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C03E" w14:textId="221279C1" w:rsidR="00115E2C" w:rsidRDefault="00115E2C" w:rsidP="00115E2C">
      <w:pPr>
        <w:rPr>
          <w:lang w:val="es-ES"/>
        </w:rPr>
      </w:pPr>
      <w:r>
        <w:rPr>
          <w:noProof/>
          <w:lang w:val="es-ES"/>
        </w:rPr>
        <w:drawing>
          <wp:anchor distT="0" distB="0" distL="114300" distR="114300" simplePos="0" relativeHeight="251658240" behindDoc="0" locked="0" layoutInCell="1" allowOverlap="1" wp14:anchorId="39D59F4E" wp14:editId="08275D90">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22382158"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2158"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13D27A81" w14:textId="77777777" w:rsidR="00115E2C" w:rsidRDefault="00115E2C" w:rsidP="00115E2C">
      <w:pPr>
        <w:rPr>
          <w:lang w:val="es-ES"/>
        </w:rPr>
      </w:pPr>
    </w:p>
    <w:p w14:paraId="7477A8C1" w14:textId="2921E171" w:rsidR="00115E2C" w:rsidRDefault="00115E2C" w:rsidP="00115E2C">
      <w:pPr>
        <w:rPr>
          <w:lang w:val="es-ES"/>
        </w:rPr>
        <w:sectPr w:rsidR="00115E2C" w:rsidSect="00115E2C">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bookmarkStart w:id="0" w:name="IA_Cover"/>
      <w:bookmarkEnd w:id="0"/>
    </w:p>
    <w:p w14:paraId="70C07368" w14:textId="4BCE4362" w:rsidR="00115E2C" w:rsidRDefault="00115E2C" w:rsidP="00115E2C">
      <w:pPr>
        <w:pStyle w:val="TOCCaptulo"/>
        <w:rPr>
          <w:lang w:val="es-ES"/>
        </w:rPr>
      </w:pPr>
      <w:bookmarkStart w:id="1" w:name="Capítulo_IV_B_Venezuela"/>
      <w:bookmarkEnd w:id="1"/>
      <w:r>
        <w:rPr>
          <w:lang w:val="es-ES"/>
        </w:rPr>
        <w:lastRenderedPageBreak/>
        <w:t>CAPÍTULO IV.B</w:t>
      </w:r>
      <w:r w:rsidR="003B2BBA">
        <w:rPr>
          <w:lang w:val="es-ES"/>
        </w:rPr>
        <w:t>:</w:t>
      </w:r>
      <w:r>
        <w:rPr>
          <w:lang w:val="es-ES"/>
        </w:rPr>
        <w:t xml:space="preserve"> </w:t>
      </w:r>
      <w:r w:rsidR="006C1AD5">
        <w:rPr>
          <w:lang w:val="es-ES"/>
        </w:rPr>
        <w:tab/>
      </w:r>
      <w:r>
        <w:rPr>
          <w:lang w:val="es-ES"/>
        </w:rPr>
        <w:t>VENEZUELA</w:t>
      </w:r>
    </w:p>
    <w:bookmarkStart w:id="2" w:name="IA_TOC"/>
    <w:bookmarkEnd w:id="2"/>
    <w:p w14:paraId="5F064053" w14:textId="5B9B9AF0" w:rsidR="00115E2C" w:rsidRDefault="00115E2C" w:rsidP="00115E2C">
      <w:pPr>
        <w:pStyle w:val="TOC1"/>
        <w:tabs>
          <w:tab w:val="right" w:leader="dot" w:pos="9350"/>
        </w:tabs>
        <w:rPr>
          <w:rFonts w:asciiTheme="minorHAnsi" w:eastAsiaTheme="minorEastAsia" w:hAnsiTheme="minorHAnsi" w:cstheme="minorBidi"/>
          <w:b w:val="0"/>
          <w:caps w:val="0"/>
          <w:noProof/>
          <w:kern w:val="2"/>
          <w:sz w:val="24"/>
          <w14:ligatures w14:val="standardContextual"/>
        </w:rPr>
      </w:pPr>
      <w:r>
        <w:rPr>
          <w:lang w:val="es-ES"/>
        </w:rPr>
        <w:fldChar w:fldCharType="begin"/>
      </w:r>
      <w:r>
        <w:rPr>
          <w:lang w:val="es-ES"/>
        </w:rPr>
        <w:instrText xml:space="preserve"> TOC \o "1-9" \h \z \t "IA   Título,1,IA  Subtítulo 2,2,IA  Subtítulo 3,3" </w:instrText>
      </w:r>
      <w:r>
        <w:rPr>
          <w:lang w:val="es-ES"/>
        </w:rPr>
        <w:fldChar w:fldCharType="separate"/>
      </w:r>
      <w:hyperlink w:anchor="_Toc195617449" w:history="1">
        <w:r w:rsidRPr="005E6AA6">
          <w:rPr>
            <w:rStyle w:val="Hyperlink"/>
            <w:noProof/>
            <w:lang w:val="es-ES"/>
          </w:rPr>
          <w:t>I.</w:t>
        </w:r>
        <w:r>
          <w:rPr>
            <w:rFonts w:asciiTheme="minorHAnsi" w:eastAsiaTheme="minorEastAsia" w:hAnsiTheme="minorHAnsi" w:cstheme="minorBidi"/>
            <w:b w:val="0"/>
            <w:caps w:val="0"/>
            <w:noProof/>
            <w:kern w:val="2"/>
            <w:sz w:val="24"/>
            <w14:ligatures w14:val="standardContextual"/>
          </w:rPr>
          <w:tab/>
        </w:r>
        <w:r w:rsidRPr="005E6AA6">
          <w:rPr>
            <w:rStyle w:val="Hyperlink"/>
            <w:noProof/>
            <w:lang w:val="es-ES"/>
          </w:rPr>
          <w:t>INTRODUCCIÓN</w:t>
        </w:r>
        <w:r>
          <w:rPr>
            <w:noProof/>
            <w:webHidden/>
          </w:rPr>
          <w:tab/>
        </w:r>
        <w:r>
          <w:rPr>
            <w:noProof/>
            <w:webHidden/>
          </w:rPr>
          <w:fldChar w:fldCharType="begin"/>
        </w:r>
        <w:r>
          <w:rPr>
            <w:noProof/>
            <w:webHidden/>
          </w:rPr>
          <w:instrText xml:space="preserve"> PAGEREF _Toc195617449 \h </w:instrText>
        </w:r>
        <w:r>
          <w:rPr>
            <w:noProof/>
            <w:webHidden/>
          </w:rPr>
        </w:r>
        <w:r>
          <w:rPr>
            <w:noProof/>
            <w:webHidden/>
          </w:rPr>
          <w:fldChar w:fldCharType="separate"/>
        </w:r>
        <w:r w:rsidR="00A31D4E">
          <w:rPr>
            <w:noProof/>
            <w:webHidden/>
          </w:rPr>
          <w:t>785</w:t>
        </w:r>
        <w:r>
          <w:rPr>
            <w:noProof/>
            <w:webHidden/>
          </w:rPr>
          <w:fldChar w:fldCharType="end"/>
        </w:r>
      </w:hyperlink>
    </w:p>
    <w:p w14:paraId="0DDE91B6" w14:textId="114FC80D" w:rsidR="00115E2C" w:rsidRDefault="00000000" w:rsidP="00115E2C">
      <w:pPr>
        <w:pStyle w:val="TOC1"/>
        <w:tabs>
          <w:tab w:val="right" w:leader="dot" w:pos="9350"/>
        </w:tabs>
        <w:rPr>
          <w:rFonts w:asciiTheme="minorHAnsi" w:eastAsiaTheme="minorEastAsia" w:hAnsiTheme="minorHAnsi" w:cstheme="minorBidi"/>
          <w:b w:val="0"/>
          <w:caps w:val="0"/>
          <w:noProof/>
          <w:kern w:val="2"/>
          <w:sz w:val="24"/>
          <w14:ligatures w14:val="standardContextual"/>
        </w:rPr>
      </w:pPr>
      <w:hyperlink w:anchor="_Toc195617450" w:history="1">
        <w:r w:rsidR="00115E2C" w:rsidRPr="005E6AA6">
          <w:rPr>
            <w:rStyle w:val="Hyperlink"/>
            <w:noProof/>
            <w:lang w:val="es-ES"/>
          </w:rPr>
          <w:t>II.</w:t>
        </w:r>
        <w:r w:rsidR="00115E2C">
          <w:rPr>
            <w:rFonts w:asciiTheme="minorHAnsi" w:eastAsiaTheme="minorEastAsia" w:hAnsiTheme="minorHAnsi" w:cstheme="minorBidi"/>
            <w:b w:val="0"/>
            <w:caps w:val="0"/>
            <w:noProof/>
            <w:kern w:val="2"/>
            <w:sz w:val="24"/>
            <w14:ligatures w14:val="standardContextual"/>
          </w:rPr>
          <w:tab/>
        </w:r>
        <w:r w:rsidR="00115E2C" w:rsidRPr="005E6AA6">
          <w:rPr>
            <w:rStyle w:val="Hyperlink"/>
            <w:noProof/>
            <w:lang w:val="es-US"/>
          </w:rPr>
          <w:t>PRESENCIA DE ELEMENTOS REGLAMENTARIOS QUE FAVORECEN LA INCLUSIÓN</w:t>
        </w:r>
        <w:r w:rsidR="00115E2C">
          <w:rPr>
            <w:noProof/>
            <w:webHidden/>
          </w:rPr>
          <w:tab/>
        </w:r>
        <w:r w:rsidR="00115E2C">
          <w:rPr>
            <w:noProof/>
            <w:webHidden/>
          </w:rPr>
          <w:fldChar w:fldCharType="begin"/>
        </w:r>
        <w:r w:rsidR="00115E2C">
          <w:rPr>
            <w:noProof/>
            <w:webHidden/>
          </w:rPr>
          <w:instrText xml:space="preserve"> PAGEREF _Toc195617450 \h </w:instrText>
        </w:r>
        <w:r w:rsidR="00115E2C">
          <w:rPr>
            <w:noProof/>
            <w:webHidden/>
          </w:rPr>
        </w:r>
        <w:r w:rsidR="00115E2C">
          <w:rPr>
            <w:noProof/>
            <w:webHidden/>
          </w:rPr>
          <w:fldChar w:fldCharType="separate"/>
        </w:r>
        <w:r w:rsidR="00A31D4E">
          <w:rPr>
            <w:noProof/>
            <w:webHidden/>
          </w:rPr>
          <w:t>786</w:t>
        </w:r>
        <w:r w:rsidR="00115E2C">
          <w:rPr>
            <w:noProof/>
            <w:webHidden/>
          </w:rPr>
          <w:fldChar w:fldCharType="end"/>
        </w:r>
      </w:hyperlink>
    </w:p>
    <w:p w14:paraId="2E88B9A0" w14:textId="5644DEEF" w:rsidR="00115E2C" w:rsidRDefault="00000000" w:rsidP="00115E2C">
      <w:pPr>
        <w:pStyle w:val="TOC1"/>
        <w:tabs>
          <w:tab w:val="right" w:leader="dot" w:pos="9350"/>
        </w:tabs>
        <w:rPr>
          <w:rFonts w:asciiTheme="minorHAnsi" w:eastAsiaTheme="minorEastAsia" w:hAnsiTheme="minorHAnsi" w:cstheme="minorBidi"/>
          <w:b w:val="0"/>
          <w:caps w:val="0"/>
          <w:noProof/>
          <w:kern w:val="2"/>
          <w:sz w:val="24"/>
          <w14:ligatures w14:val="standardContextual"/>
        </w:rPr>
      </w:pPr>
      <w:hyperlink w:anchor="_Toc195617451" w:history="1">
        <w:r w:rsidR="00115E2C" w:rsidRPr="005E6AA6">
          <w:rPr>
            <w:rStyle w:val="Hyperlink"/>
            <w:noProof/>
            <w:lang w:val="es-US"/>
          </w:rPr>
          <w:t>III.</w:t>
        </w:r>
        <w:r w:rsidR="00115E2C">
          <w:rPr>
            <w:rFonts w:asciiTheme="minorHAnsi" w:eastAsiaTheme="minorEastAsia" w:hAnsiTheme="minorHAnsi" w:cstheme="minorBidi"/>
            <w:b w:val="0"/>
            <w:caps w:val="0"/>
            <w:noProof/>
            <w:kern w:val="2"/>
            <w:sz w:val="24"/>
            <w14:ligatures w14:val="standardContextual"/>
          </w:rPr>
          <w:tab/>
        </w:r>
        <w:r w:rsidR="00115E2C" w:rsidRPr="005E6AA6">
          <w:rPr>
            <w:rStyle w:val="Hyperlink"/>
            <w:noProof/>
            <w:lang w:val="es-US"/>
          </w:rPr>
          <w:t>afectación grave del orden democratico y de los derechos políticos</w:t>
        </w:r>
        <w:r w:rsidR="00115E2C">
          <w:rPr>
            <w:noProof/>
            <w:webHidden/>
          </w:rPr>
          <w:tab/>
        </w:r>
        <w:r w:rsidR="00115E2C">
          <w:rPr>
            <w:noProof/>
            <w:webHidden/>
          </w:rPr>
          <w:fldChar w:fldCharType="begin"/>
        </w:r>
        <w:r w:rsidR="00115E2C">
          <w:rPr>
            <w:noProof/>
            <w:webHidden/>
          </w:rPr>
          <w:instrText xml:space="preserve"> PAGEREF _Toc195617451 \h </w:instrText>
        </w:r>
        <w:r w:rsidR="00115E2C">
          <w:rPr>
            <w:noProof/>
            <w:webHidden/>
          </w:rPr>
        </w:r>
        <w:r w:rsidR="00115E2C">
          <w:rPr>
            <w:noProof/>
            <w:webHidden/>
          </w:rPr>
          <w:fldChar w:fldCharType="separate"/>
        </w:r>
        <w:r w:rsidR="00A31D4E">
          <w:rPr>
            <w:noProof/>
            <w:webHidden/>
          </w:rPr>
          <w:t>788</w:t>
        </w:r>
        <w:r w:rsidR="00115E2C">
          <w:rPr>
            <w:noProof/>
            <w:webHidden/>
          </w:rPr>
          <w:fldChar w:fldCharType="end"/>
        </w:r>
      </w:hyperlink>
    </w:p>
    <w:p w14:paraId="4E46060B" w14:textId="6D474190" w:rsidR="00115E2C" w:rsidRDefault="00000000" w:rsidP="00115E2C">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17452" w:history="1">
        <w:r w:rsidR="00115E2C" w:rsidRPr="005E6AA6">
          <w:rPr>
            <w:rStyle w:val="Hyperlink"/>
            <w:noProof/>
          </w:rPr>
          <w:t>A.</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rPr>
          <w:t>Etapa I: persecución política en el periodo preelectoral</w:t>
        </w:r>
        <w:r w:rsidR="00115E2C">
          <w:rPr>
            <w:noProof/>
            <w:webHidden/>
          </w:rPr>
          <w:tab/>
        </w:r>
        <w:r w:rsidR="00115E2C">
          <w:rPr>
            <w:noProof/>
            <w:webHidden/>
          </w:rPr>
          <w:fldChar w:fldCharType="begin"/>
        </w:r>
        <w:r w:rsidR="00115E2C">
          <w:rPr>
            <w:noProof/>
            <w:webHidden/>
          </w:rPr>
          <w:instrText xml:space="preserve"> PAGEREF _Toc195617452 \h </w:instrText>
        </w:r>
        <w:r w:rsidR="00115E2C">
          <w:rPr>
            <w:noProof/>
            <w:webHidden/>
          </w:rPr>
        </w:r>
        <w:r w:rsidR="00115E2C">
          <w:rPr>
            <w:noProof/>
            <w:webHidden/>
          </w:rPr>
          <w:fldChar w:fldCharType="separate"/>
        </w:r>
        <w:r w:rsidR="00A31D4E">
          <w:rPr>
            <w:noProof/>
            <w:webHidden/>
          </w:rPr>
          <w:t>788</w:t>
        </w:r>
        <w:r w:rsidR="00115E2C">
          <w:rPr>
            <w:noProof/>
            <w:webHidden/>
          </w:rPr>
          <w:fldChar w:fldCharType="end"/>
        </w:r>
      </w:hyperlink>
    </w:p>
    <w:p w14:paraId="6F62A272" w14:textId="7CBD478C"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53" w:history="1">
        <w:r w:rsidR="00115E2C" w:rsidRPr="005E6AA6">
          <w:rPr>
            <w:rStyle w:val="Hyperlink"/>
            <w:noProof/>
            <w:lang w:val="es-US"/>
          </w:rPr>
          <w:t>1.</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Inhabilitaciones administrativas de personas opositoras</w:t>
        </w:r>
        <w:r w:rsidR="00115E2C">
          <w:rPr>
            <w:noProof/>
            <w:webHidden/>
          </w:rPr>
          <w:tab/>
        </w:r>
        <w:r w:rsidR="00115E2C">
          <w:rPr>
            <w:noProof/>
            <w:webHidden/>
          </w:rPr>
          <w:fldChar w:fldCharType="begin"/>
        </w:r>
        <w:r w:rsidR="00115E2C">
          <w:rPr>
            <w:noProof/>
            <w:webHidden/>
          </w:rPr>
          <w:instrText xml:space="preserve"> PAGEREF _Toc195617453 \h </w:instrText>
        </w:r>
        <w:r w:rsidR="00115E2C">
          <w:rPr>
            <w:noProof/>
            <w:webHidden/>
          </w:rPr>
        </w:r>
        <w:r w:rsidR="00115E2C">
          <w:rPr>
            <w:noProof/>
            <w:webHidden/>
          </w:rPr>
          <w:fldChar w:fldCharType="separate"/>
        </w:r>
        <w:r w:rsidR="00A31D4E">
          <w:rPr>
            <w:noProof/>
            <w:webHidden/>
          </w:rPr>
          <w:t>789</w:t>
        </w:r>
        <w:r w:rsidR="00115E2C">
          <w:rPr>
            <w:noProof/>
            <w:webHidden/>
          </w:rPr>
          <w:fldChar w:fldCharType="end"/>
        </w:r>
      </w:hyperlink>
    </w:p>
    <w:p w14:paraId="35FED013" w14:textId="258F2991"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54" w:history="1">
        <w:r w:rsidR="00115E2C" w:rsidRPr="005E6AA6">
          <w:rPr>
            <w:rStyle w:val="Hyperlink"/>
            <w:noProof/>
            <w:lang w:val="es-CO"/>
          </w:rPr>
          <w:t>2.</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Obstáculos para la inscripción de candidaturas opositoras</w:t>
        </w:r>
        <w:r w:rsidR="00115E2C">
          <w:rPr>
            <w:noProof/>
            <w:webHidden/>
          </w:rPr>
          <w:tab/>
        </w:r>
        <w:r w:rsidR="00115E2C">
          <w:rPr>
            <w:noProof/>
            <w:webHidden/>
          </w:rPr>
          <w:fldChar w:fldCharType="begin"/>
        </w:r>
        <w:r w:rsidR="00115E2C">
          <w:rPr>
            <w:noProof/>
            <w:webHidden/>
          </w:rPr>
          <w:instrText xml:space="preserve"> PAGEREF _Toc195617454 \h </w:instrText>
        </w:r>
        <w:r w:rsidR="00115E2C">
          <w:rPr>
            <w:noProof/>
            <w:webHidden/>
          </w:rPr>
        </w:r>
        <w:r w:rsidR="00115E2C">
          <w:rPr>
            <w:noProof/>
            <w:webHidden/>
          </w:rPr>
          <w:fldChar w:fldCharType="separate"/>
        </w:r>
        <w:r w:rsidR="00A31D4E">
          <w:rPr>
            <w:noProof/>
            <w:webHidden/>
          </w:rPr>
          <w:t>790</w:t>
        </w:r>
        <w:r w:rsidR="00115E2C">
          <w:rPr>
            <w:noProof/>
            <w:webHidden/>
          </w:rPr>
          <w:fldChar w:fldCharType="end"/>
        </w:r>
      </w:hyperlink>
    </w:p>
    <w:p w14:paraId="0B8128AB" w14:textId="5E183157"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55" w:history="1">
        <w:r w:rsidR="00115E2C" w:rsidRPr="005E6AA6">
          <w:rPr>
            <w:rStyle w:val="Hyperlink"/>
            <w:noProof/>
            <w:lang w:val="es-CO"/>
          </w:rPr>
          <w:t>3.</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CO"/>
          </w:rPr>
          <w:t>Obstáculos</w:t>
        </w:r>
        <w:r w:rsidR="00115E2C" w:rsidRPr="005E6AA6">
          <w:rPr>
            <w:rStyle w:val="Hyperlink"/>
            <w:noProof/>
            <w:lang w:val="es-US"/>
          </w:rPr>
          <w:t xml:space="preserve"> discriminatorios para el ejercicio del voto en el exterior</w:t>
        </w:r>
        <w:r w:rsidR="00115E2C">
          <w:rPr>
            <w:noProof/>
            <w:webHidden/>
          </w:rPr>
          <w:tab/>
        </w:r>
        <w:r w:rsidR="00115E2C">
          <w:rPr>
            <w:noProof/>
            <w:webHidden/>
          </w:rPr>
          <w:fldChar w:fldCharType="begin"/>
        </w:r>
        <w:r w:rsidR="00115E2C">
          <w:rPr>
            <w:noProof/>
            <w:webHidden/>
          </w:rPr>
          <w:instrText xml:space="preserve"> PAGEREF _Toc195617455 \h </w:instrText>
        </w:r>
        <w:r w:rsidR="00115E2C">
          <w:rPr>
            <w:noProof/>
            <w:webHidden/>
          </w:rPr>
        </w:r>
        <w:r w:rsidR="00115E2C">
          <w:rPr>
            <w:noProof/>
            <w:webHidden/>
          </w:rPr>
          <w:fldChar w:fldCharType="separate"/>
        </w:r>
        <w:r w:rsidR="00A31D4E">
          <w:rPr>
            <w:noProof/>
            <w:webHidden/>
          </w:rPr>
          <w:t>790</w:t>
        </w:r>
        <w:r w:rsidR="00115E2C">
          <w:rPr>
            <w:noProof/>
            <w:webHidden/>
          </w:rPr>
          <w:fldChar w:fldCharType="end"/>
        </w:r>
      </w:hyperlink>
    </w:p>
    <w:p w14:paraId="7501F1B3" w14:textId="18CA354F"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56" w:history="1">
        <w:r w:rsidR="00115E2C" w:rsidRPr="005E6AA6">
          <w:rPr>
            <w:rStyle w:val="Hyperlink"/>
            <w:noProof/>
            <w:lang w:val="es-CO"/>
          </w:rPr>
          <w:t>4.</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ES"/>
          </w:rPr>
          <w:t>Retiro de misiones internacionales de observación electoral</w:t>
        </w:r>
        <w:r w:rsidR="00115E2C">
          <w:rPr>
            <w:noProof/>
            <w:webHidden/>
          </w:rPr>
          <w:tab/>
        </w:r>
        <w:r w:rsidR="00115E2C">
          <w:rPr>
            <w:noProof/>
            <w:webHidden/>
          </w:rPr>
          <w:fldChar w:fldCharType="begin"/>
        </w:r>
        <w:r w:rsidR="00115E2C">
          <w:rPr>
            <w:noProof/>
            <w:webHidden/>
          </w:rPr>
          <w:instrText xml:space="preserve"> PAGEREF _Toc195617456 \h </w:instrText>
        </w:r>
        <w:r w:rsidR="00115E2C">
          <w:rPr>
            <w:noProof/>
            <w:webHidden/>
          </w:rPr>
        </w:r>
        <w:r w:rsidR="00115E2C">
          <w:rPr>
            <w:noProof/>
            <w:webHidden/>
          </w:rPr>
          <w:fldChar w:fldCharType="separate"/>
        </w:r>
        <w:r w:rsidR="00A31D4E">
          <w:rPr>
            <w:noProof/>
            <w:webHidden/>
          </w:rPr>
          <w:t>791</w:t>
        </w:r>
        <w:r w:rsidR="00115E2C">
          <w:rPr>
            <w:noProof/>
            <w:webHidden/>
          </w:rPr>
          <w:fldChar w:fldCharType="end"/>
        </w:r>
      </w:hyperlink>
    </w:p>
    <w:p w14:paraId="66A2481A" w14:textId="64DF522E"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57" w:history="1">
        <w:r w:rsidR="00115E2C" w:rsidRPr="005E6AA6">
          <w:rPr>
            <w:rStyle w:val="Hyperlink"/>
            <w:noProof/>
            <w:lang w:val="es-CO"/>
          </w:rPr>
          <w:t>5.</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CO"/>
          </w:rPr>
          <w:t>Detenciones arbitrarias y amedrentamientos a personas opositoras o percibidas como tales previo a la elección del 28 de julio</w:t>
        </w:r>
        <w:r w:rsidR="00115E2C">
          <w:rPr>
            <w:noProof/>
            <w:webHidden/>
          </w:rPr>
          <w:tab/>
        </w:r>
        <w:r w:rsidR="00115E2C">
          <w:rPr>
            <w:noProof/>
            <w:webHidden/>
          </w:rPr>
          <w:fldChar w:fldCharType="begin"/>
        </w:r>
        <w:r w:rsidR="00115E2C">
          <w:rPr>
            <w:noProof/>
            <w:webHidden/>
          </w:rPr>
          <w:instrText xml:space="preserve"> PAGEREF _Toc195617457 \h </w:instrText>
        </w:r>
        <w:r w:rsidR="00115E2C">
          <w:rPr>
            <w:noProof/>
            <w:webHidden/>
          </w:rPr>
        </w:r>
        <w:r w:rsidR="00115E2C">
          <w:rPr>
            <w:noProof/>
            <w:webHidden/>
          </w:rPr>
          <w:fldChar w:fldCharType="separate"/>
        </w:r>
        <w:r w:rsidR="00A31D4E">
          <w:rPr>
            <w:noProof/>
            <w:webHidden/>
          </w:rPr>
          <w:t>791</w:t>
        </w:r>
        <w:r w:rsidR="00115E2C">
          <w:rPr>
            <w:noProof/>
            <w:webHidden/>
          </w:rPr>
          <w:fldChar w:fldCharType="end"/>
        </w:r>
      </w:hyperlink>
    </w:p>
    <w:p w14:paraId="7AB4F2D2" w14:textId="209438B3" w:rsidR="00115E2C" w:rsidRDefault="00000000" w:rsidP="00115E2C">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17458" w:history="1">
        <w:r w:rsidR="00115E2C" w:rsidRPr="005E6AA6">
          <w:rPr>
            <w:rStyle w:val="Hyperlink"/>
            <w:noProof/>
          </w:rPr>
          <w:t>B.</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rPr>
          <w:t>Etapa II: opacidad informativa y manipulación electoral</w:t>
        </w:r>
        <w:r w:rsidR="00115E2C">
          <w:rPr>
            <w:noProof/>
            <w:webHidden/>
          </w:rPr>
          <w:tab/>
        </w:r>
        <w:r w:rsidR="00115E2C">
          <w:rPr>
            <w:noProof/>
            <w:webHidden/>
          </w:rPr>
          <w:fldChar w:fldCharType="begin"/>
        </w:r>
        <w:r w:rsidR="00115E2C">
          <w:rPr>
            <w:noProof/>
            <w:webHidden/>
          </w:rPr>
          <w:instrText xml:space="preserve"> PAGEREF _Toc195617458 \h </w:instrText>
        </w:r>
        <w:r w:rsidR="00115E2C">
          <w:rPr>
            <w:noProof/>
            <w:webHidden/>
          </w:rPr>
        </w:r>
        <w:r w:rsidR="00115E2C">
          <w:rPr>
            <w:noProof/>
            <w:webHidden/>
          </w:rPr>
          <w:fldChar w:fldCharType="separate"/>
        </w:r>
        <w:r w:rsidR="00A31D4E">
          <w:rPr>
            <w:noProof/>
            <w:webHidden/>
          </w:rPr>
          <w:t>794</w:t>
        </w:r>
        <w:r w:rsidR="00115E2C">
          <w:rPr>
            <w:noProof/>
            <w:webHidden/>
          </w:rPr>
          <w:fldChar w:fldCharType="end"/>
        </w:r>
      </w:hyperlink>
    </w:p>
    <w:p w14:paraId="0AD45947" w14:textId="210661CE"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59" w:history="1">
        <w:r w:rsidR="00115E2C" w:rsidRPr="005E6AA6">
          <w:rPr>
            <w:rStyle w:val="Hyperlink"/>
            <w:noProof/>
            <w:lang w:val="es-CO"/>
          </w:rPr>
          <w:t>1.</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CO"/>
          </w:rPr>
          <w:t>Elección presidencial del 28 de julio, anuncio de los resultados electorales por parte del CNE y denuncias de fraude electoral</w:t>
        </w:r>
        <w:r w:rsidR="00115E2C">
          <w:rPr>
            <w:noProof/>
            <w:webHidden/>
          </w:rPr>
          <w:tab/>
        </w:r>
        <w:r w:rsidR="00115E2C">
          <w:rPr>
            <w:noProof/>
            <w:webHidden/>
          </w:rPr>
          <w:fldChar w:fldCharType="begin"/>
        </w:r>
        <w:r w:rsidR="00115E2C">
          <w:rPr>
            <w:noProof/>
            <w:webHidden/>
          </w:rPr>
          <w:instrText xml:space="preserve"> PAGEREF _Toc195617459 \h </w:instrText>
        </w:r>
        <w:r w:rsidR="00115E2C">
          <w:rPr>
            <w:noProof/>
            <w:webHidden/>
          </w:rPr>
        </w:r>
        <w:r w:rsidR="00115E2C">
          <w:rPr>
            <w:noProof/>
            <w:webHidden/>
          </w:rPr>
          <w:fldChar w:fldCharType="separate"/>
        </w:r>
        <w:r w:rsidR="00A31D4E">
          <w:rPr>
            <w:noProof/>
            <w:webHidden/>
          </w:rPr>
          <w:t>794</w:t>
        </w:r>
        <w:r w:rsidR="00115E2C">
          <w:rPr>
            <w:noProof/>
            <w:webHidden/>
          </w:rPr>
          <w:fldChar w:fldCharType="end"/>
        </w:r>
      </w:hyperlink>
    </w:p>
    <w:p w14:paraId="0F71BD5B" w14:textId="74A53CD1"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60" w:history="1">
        <w:r w:rsidR="00115E2C" w:rsidRPr="005E6AA6">
          <w:rPr>
            <w:rStyle w:val="Hyperlink"/>
            <w:noProof/>
            <w:lang w:val="es-ES"/>
          </w:rPr>
          <w:t>2.</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ES"/>
          </w:rPr>
          <w:t>Estrategia de la oposición frente a un posible fraude electoral</w:t>
        </w:r>
        <w:r w:rsidR="00115E2C">
          <w:rPr>
            <w:noProof/>
            <w:webHidden/>
          </w:rPr>
          <w:tab/>
        </w:r>
        <w:r w:rsidR="00115E2C">
          <w:rPr>
            <w:noProof/>
            <w:webHidden/>
          </w:rPr>
          <w:fldChar w:fldCharType="begin"/>
        </w:r>
        <w:r w:rsidR="00115E2C">
          <w:rPr>
            <w:noProof/>
            <w:webHidden/>
          </w:rPr>
          <w:instrText xml:space="preserve"> PAGEREF _Toc195617460 \h </w:instrText>
        </w:r>
        <w:r w:rsidR="00115E2C">
          <w:rPr>
            <w:noProof/>
            <w:webHidden/>
          </w:rPr>
        </w:r>
        <w:r w:rsidR="00115E2C">
          <w:rPr>
            <w:noProof/>
            <w:webHidden/>
          </w:rPr>
          <w:fldChar w:fldCharType="separate"/>
        </w:r>
        <w:r w:rsidR="00A31D4E">
          <w:rPr>
            <w:noProof/>
            <w:webHidden/>
          </w:rPr>
          <w:t>795</w:t>
        </w:r>
        <w:r w:rsidR="00115E2C">
          <w:rPr>
            <w:noProof/>
            <w:webHidden/>
          </w:rPr>
          <w:fldChar w:fldCharType="end"/>
        </w:r>
      </w:hyperlink>
    </w:p>
    <w:p w14:paraId="197A0741" w14:textId="64D5AFF1"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61" w:history="1">
        <w:r w:rsidR="00115E2C" w:rsidRPr="005E6AA6">
          <w:rPr>
            <w:rStyle w:val="Hyperlink"/>
            <w:noProof/>
            <w:lang w:val="es-CO"/>
          </w:rPr>
          <w:t>3.</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CO"/>
          </w:rPr>
          <w:t>Los recursos legales interpuestos tras la controversia de resultados</w:t>
        </w:r>
        <w:r w:rsidR="00115E2C">
          <w:rPr>
            <w:noProof/>
            <w:webHidden/>
          </w:rPr>
          <w:tab/>
        </w:r>
        <w:r w:rsidR="00115E2C">
          <w:rPr>
            <w:noProof/>
            <w:webHidden/>
          </w:rPr>
          <w:fldChar w:fldCharType="begin"/>
        </w:r>
        <w:r w:rsidR="00115E2C">
          <w:rPr>
            <w:noProof/>
            <w:webHidden/>
          </w:rPr>
          <w:instrText xml:space="preserve"> PAGEREF _Toc195617461 \h </w:instrText>
        </w:r>
        <w:r w:rsidR="00115E2C">
          <w:rPr>
            <w:noProof/>
            <w:webHidden/>
          </w:rPr>
        </w:r>
        <w:r w:rsidR="00115E2C">
          <w:rPr>
            <w:noProof/>
            <w:webHidden/>
          </w:rPr>
          <w:fldChar w:fldCharType="separate"/>
        </w:r>
        <w:r w:rsidR="00A31D4E">
          <w:rPr>
            <w:noProof/>
            <w:webHidden/>
          </w:rPr>
          <w:t>796</w:t>
        </w:r>
        <w:r w:rsidR="00115E2C">
          <w:rPr>
            <w:noProof/>
            <w:webHidden/>
          </w:rPr>
          <w:fldChar w:fldCharType="end"/>
        </w:r>
      </w:hyperlink>
    </w:p>
    <w:p w14:paraId="79750F1E" w14:textId="41691168" w:rsidR="00115E2C" w:rsidRDefault="00000000" w:rsidP="00115E2C">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17462" w:history="1">
        <w:r w:rsidR="00115E2C" w:rsidRPr="005E6AA6">
          <w:rPr>
            <w:rStyle w:val="Hyperlink"/>
            <w:noProof/>
          </w:rPr>
          <w:t>C.</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rPr>
          <w:t>Etapa III: prácticas de terrorismo de Estado</w:t>
        </w:r>
        <w:r w:rsidR="00115E2C">
          <w:rPr>
            <w:noProof/>
            <w:webHidden/>
          </w:rPr>
          <w:tab/>
        </w:r>
        <w:r w:rsidR="00115E2C">
          <w:rPr>
            <w:noProof/>
            <w:webHidden/>
          </w:rPr>
          <w:fldChar w:fldCharType="begin"/>
        </w:r>
        <w:r w:rsidR="00115E2C">
          <w:rPr>
            <w:noProof/>
            <w:webHidden/>
          </w:rPr>
          <w:instrText xml:space="preserve"> PAGEREF _Toc195617462 \h </w:instrText>
        </w:r>
        <w:r w:rsidR="00115E2C">
          <w:rPr>
            <w:noProof/>
            <w:webHidden/>
          </w:rPr>
        </w:r>
        <w:r w:rsidR="00115E2C">
          <w:rPr>
            <w:noProof/>
            <w:webHidden/>
          </w:rPr>
          <w:fldChar w:fldCharType="separate"/>
        </w:r>
        <w:r w:rsidR="00A31D4E">
          <w:rPr>
            <w:noProof/>
            <w:webHidden/>
          </w:rPr>
          <w:t>797</w:t>
        </w:r>
        <w:r w:rsidR="00115E2C">
          <w:rPr>
            <w:noProof/>
            <w:webHidden/>
          </w:rPr>
          <w:fldChar w:fldCharType="end"/>
        </w:r>
      </w:hyperlink>
    </w:p>
    <w:p w14:paraId="1AD1EF2E" w14:textId="47EA5DD9"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63" w:history="1">
        <w:r w:rsidR="00115E2C" w:rsidRPr="005E6AA6">
          <w:rPr>
            <w:rStyle w:val="Hyperlink"/>
            <w:noProof/>
            <w:lang w:val="es-CO"/>
          </w:rPr>
          <w:t>1.</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CO"/>
          </w:rPr>
          <w:t>Uso arbitrario de la fuerza y pérdida de vidas humanas</w:t>
        </w:r>
        <w:r w:rsidR="00115E2C">
          <w:rPr>
            <w:noProof/>
            <w:webHidden/>
          </w:rPr>
          <w:tab/>
        </w:r>
        <w:r w:rsidR="00115E2C">
          <w:rPr>
            <w:noProof/>
            <w:webHidden/>
          </w:rPr>
          <w:fldChar w:fldCharType="begin"/>
        </w:r>
        <w:r w:rsidR="00115E2C">
          <w:rPr>
            <w:noProof/>
            <w:webHidden/>
          </w:rPr>
          <w:instrText xml:space="preserve"> PAGEREF _Toc195617463 \h </w:instrText>
        </w:r>
        <w:r w:rsidR="00115E2C">
          <w:rPr>
            <w:noProof/>
            <w:webHidden/>
          </w:rPr>
        </w:r>
        <w:r w:rsidR="00115E2C">
          <w:rPr>
            <w:noProof/>
            <w:webHidden/>
          </w:rPr>
          <w:fldChar w:fldCharType="separate"/>
        </w:r>
        <w:r w:rsidR="00A31D4E">
          <w:rPr>
            <w:noProof/>
            <w:webHidden/>
          </w:rPr>
          <w:t>798</w:t>
        </w:r>
        <w:r w:rsidR="00115E2C">
          <w:rPr>
            <w:noProof/>
            <w:webHidden/>
          </w:rPr>
          <w:fldChar w:fldCharType="end"/>
        </w:r>
      </w:hyperlink>
    </w:p>
    <w:p w14:paraId="02D1862A" w14:textId="19022EFC"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64" w:history="1">
        <w:r w:rsidR="00115E2C" w:rsidRPr="005E6AA6">
          <w:rPr>
            <w:rStyle w:val="Hyperlink"/>
            <w:noProof/>
            <w:lang w:val="es-CO"/>
          </w:rPr>
          <w:t>2.</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CO"/>
          </w:rPr>
          <w:t>Detenciones arbitrarias en el contexto de las manifestaciones</w:t>
        </w:r>
        <w:r w:rsidR="00115E2C">
          <w:rPr>
            <w:noProof/>
            <w:webHidden/>
          </w:rPr>
          <w:tab/>
        </w:r>
        <w:r w:rsidR="00115E2C">
          <w:rPr>
            <w:noProof/>
            <w:webHidden/>
          </w:rPr>
          <w:fldChar w:fldCharType="begin"/>
        </w:r>
        <w:r w:rsidR="00115E2C">
          <w:rPr>
            <w:noProof/>
            <w:webHidden/>
          </w:rPr>
          <w:instrText xml:space="preserve"> PAGEREF _Toc195617464 \h </w:instrText>
        </w:r>
        <w:r w:rsidR="00115E2C">
          <w:rPr>
            <w:noProof/>
            <w:webHidden/>
          </w:rPr>
        </w:r>
        <w:r w:rsidR="00115E2C">
          <w:rPr>
            <w:noProof/>
            <w:webHidden/>
          </w:rPr>
          <w:fldChar w:fldCharType="separate"/>
        </w:r>
        <w:r w:rsidR="00A31D4E">
          <w:rPr>
            <w:noProof/>
            <w:webHidden/>
          </w:rPr>
          <w:t>800</w:t>
        </w:r>
        <w:r w:rsidR="00115E2C">
          <w:rPr>
            <w:noProof/>
            <w:webHidden/>
          </w:rPr>
          <w:fldChar w:fldCharType="end"/>
        </w:r>
      </w:hyperlink>
    </w:p>
    <w:p w14:paraId="3B14B38D" w14:textId="0C0C4198"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65" w:history="1">
        <w:r w:rsidR="00115E2C" w:rsidRPr="005E6AA6">
          <w:rPr>
            <w:rStyle w:val="Hyperlink"/>
            <w:noProof/>
            <w:lang w:val="es-US"/>
          </w:rPr>
          <w:t>3.</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Anulación de pasaportes y otros actos de hostigamientos</w:t>
        </w:r>
        <w:r w:rsidR="00115E2C">
          <w:rPr>
            <w:noProof/>
            <w:webHidden/>
          </w:rPr>
          <w:tab/>
        </w:r>
        <w:r w:rsidR="00115E2C">
          <w:rPr>
            <w:noProof/>
            <w:webHidden/>
          </w:rPr>
          <w:fldChar w:fldCharType="begin"/>
        </w:r>
        <w:r w:rsidR="00115E2C">
          <w:rPr>
            <w:noProof/>
            <w:webHidden/>
          </w:rPr>
          <w:instrText xml:space="preserve"> PAGEREF _Toc195617465 \h </w:instrText>
        </w:r>
        <w:r w:rsidR="00115E2C">
          <w:rPr>
            <w:noProof/>
            <w:webHidden/>
          </w:rPr>
        </w:r>
        <w:r w:rsidR="00115E2C">
          <w:rPr>
            <w:noProof/>
            <w:webHidden/>
          </w:rPr>
          <w:fldChar w:fldCharType="separate"/>
        </w:r>
        <w:r w:rsidR="00A31D4E">
          <w:rPr>
            <w:noProof/>
            <w:webHidden/>
          </w:rPr>
          <w:t>802</w:t>
        </w:r>
        <w:r w:rsidR="00115E2C">
          <w:rPr>
            <w:noProof/>
            <w:webHidden/>
          </w:rPr>
          <w:fldChar w:fldCharType="end"/>
        </w:r>
      </w:hyperlink>
    </w:p>
    <w:p w14:paraId="24390E34" w14:textId="3D8EC4A5" w:rsidR="00115E2C" w:rsidRDefault="00000000" w:rsidP="00115E2C">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17466" w:history="1">
        <w:r w:rsidR="00115E2C" w:rsidRPr="005E6AA6">
          <w:rPr>
            <w:rStyle w:val="Hyperlink"/>
            <w:noProof/>
            <w:lang w:val="es-US"/>
          </w:rPr>
          <w:t>D.</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Situación de la libertad de expresión</w:t>
        </w:r>
        <w:r w:rsidR="00115E2C">
          <w:rPr>
            <w:noProof/>
            <w:webHidden/>
          </w:rPr>
          <w:tab/>
        </w:r>
        <w:r w:rsidR="00115E2C">
          <w:rPr>
            <w:noProof/>
            <w:webHidden/>
          </w:rPr>
          <w:fldChar w:fldCharType="begin"/>
        </w:r>
        <w:r w:rsidR="00115E2C">
          <w:rPr>
            <w:noProof/>
            <w:webHidden/>
          </w:rPr>
          <w:instrText xml:space="preserve"> PAGEREF _Toc195617466 \h </w:instrText>
        </w:r>
        <w:r w:rsidR="00115E2C">
          <w:rPr>
            <w:noProof/>
            <w:webHidden/>
          </w:rPr>
        </w:r>
        <w:r w:rsidR="00115E2C">
          <w:rPr>
            <w:noProof/>
            <w:webHidden/>
          </w:rPr>
          <w:fldChar w:fldCharType="separate"/>
        </w:r>
        <w:r w:rsidR="00A31D4E">
          <w:rPr>
            <w:noProof/>
            <w:webHidden/>
          </w:rPr>
          <w:t>803</w:t>
        </w:r>
        <w:r w:rsidR="00115E2C">
          <w:rPr>
            <w:noProof/>
            <w:webHidden/>
          </w:rPr>
          <w:fldChar w:fldCharType="end"/>
        </w:r>
      </w:hyperlink>
    </w:p>
    <w:p w14:paraId="3BE2B389" w14:textId="0249E286"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67" w:history="1">
        <w:r w:rsidR="00115E2C" w:rsidRPr="005E6AA6">
          <w:rPr>
            <w:rStyle w:val="Hyperlink"/>
            <w:noProof/>
            <w:lang w:val="es-US"/>
          </w:rPr>
          <w:t>1.</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Criminalización de periodistas y uso del derecho penal con fines de silenciamiento</w:t>
        </w:r>
        <w:r w:rsidR="00115E2C">
          <w:rPr>
            <w:noProof/>
            <w:webHidden/>
          </w:rPr>
          <w:tab/>
        </w:r>
        <w:r w:rsidR="00115E2C">
          <w:rPr>
            <w:noProof/>
            <w:webHidden/>
          </w:rPr>
          <w:fldChar w:fldCharType="begin"/>
        </w:r>
        <w:r w:rsidR="00115E2C">
          <w:rPr>
            <w:noProof/>
            <w:webHidden/>
          </w:rPr>
          <w:instrText xml:space="preserve"> PAGEREF _Toc195617467 \h </w:instrText>
        </w:r>
        <w:r w:rsidR="00115E2C">
          <w:rPr>
            <w:noProof/>
            <w:webHidden/>
          </w:rPr>
        </w:r>
        <w:r w:rsidR="00115E2C">
          <w:rPr>
            <w:noProof/>
            <w:webHidden/>
          </w:rPr>
          <w:fldChar w:fldCharType="separate"/>
        </w:r>
        <w:r w:rsidR="00A31D4E">
          <w:rPr>
            <w:noProof/>
            <w:webHidden/>
          </w:rPr>
          <w:t>803</w:t>
        </w:r>
        <w:r w:rsidR="00115E2C">
          <w:rPr>
            <w:noProof/>
            <w:webHidden/>
          </w:rPr>
          <w:fldChar w:fldCharType="end"/>
        </w:r>
      </w:hyperlink>
    </w:p>
    <w:p w14:paraId="030E7606" w14:textId="49376DD4"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68" w:history="1">
        <w:r w:rsidR="00115E2C" w:rsidRPr="005E6AA6">
          <w:rPr>
            <w:rStyle w:val="Hyperlink"/>
            <w:noProof/>
            <w:lang w:val="es-ES"/>
          </w:rPr>
          <w:t>2.</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ES"/>
          </w:rPr>
          <w:t>Hostigamiento y agresiones contra la prensa e impedimentos a la cobertura periodística</w:t>
        </w:r>
        <w:r w:rsidR="00115E2C">
          <w:rPr>
            <w:noProof/>
            <w:webHidden/>
          </w:rPr>
          <w:tab/>
        </w:r>
        <w:r w:rsidR="00115E2C">
          <w:rPr>
            <w:noProof/>
            <w:webHidden/>
          </w:rPr>
          <w:fldChar w:fldCharType="begin"/>
        </w:r>
        <w:r w:rsidR="00115E2C">
          <w:rPr>
            <w:noProof/>
            <w:webHidden/>
          </w:rPr>
          <w:instrText xml:space="preserve"> PAGEREF _Toc195617468 \h </w:instrText>
        </w:r>
        <w:r w:rsidR="00115E2C">
          <w:rPr>
            <w:noProof/>
            <w:webHidden/>
          </w:rPr>
        </w:r>
        <w:r w:rsidR="00115E2C">
          <w:rPr>
            <w:noProof/>
            <w:webHidden/>
          </w:rPr>
          <w:fldChar w:fldCharType="separate"/>
        </w:r>
        <w:r w:rsidR="00A31D4E">
          <w:rPr>
            <w:noProof/>
            <w:webHidden/>
          </w:rPr>
          <w:t>807</w:t>
        </w:r>
        <w:r w:rsidR="00115E2C">
          <w:rPr>
            <w:noProof/>
            <w:webHidden/>
          </w:rPr>
          <w:fldChar w:fldCharType="end"/>
        </w:r>
      </w:hyperlink>
    </w:p>
    <w:p w14:paraId="5CD28331" w14:textId="52819900"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69" w:history="1">
        <w:r w:rsidR="00115E2C" w:rsidRPr="005E6AA6">
          <w:rPr>
            <w:rStyle w:val="Hyperlink"/>
            <w:noProof/>
            <w:lang w:val="es-ES"/>
          </w:rPr>
          <w:t>3.</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ES_tradnl"/>
          </w:rPr>
          <w:t>Ataques, allanamientos y cierre de medios de comunicación</w:t>
        </w:r>
        <w:r w:rsidR="00115E2C">
          <w:rPr>
            <w:noProof/>
            <w:webHidden/>
          </w:rPr>
          <w:tab/>
        </w:r>
        <w:r w:rsidR="00115E2C">
          <w:rPr>
            <w:noProof/>
            <w:webHidden/>
          </w:rPr>
          <w:fldChar w:fldCharType="begin"/>
        </w:r>
        <w:r w:rsidR="00115E2C">
          <w:rPr>
            <w:noProof/>
            <w:webHidden/>
          </w:rPr>
          <w:instrText xml:space="preserve"> PAGEREF _Toc195617469 \h </w:instrText>
        </w:r>
        <w:r w:rsidR="00115E2C">
          <w:rPr>
            <w:noProof/>
            <w:webHidden/>
          </w:rPr>
        </w:r>
        <w:r w:rsidR="00115E2C">
          <w:rPr>
            <w:noProof/>
            <w:webHidden/>
          </w:rPr>
          <w:fldChar w:fldCharType="separate"/>
        </w:r>
        <w:r w:rsidR="00A31D4E">
          <w:rPr>
            <w:noProof/>
            <w:webHidden/>
          </w:rPr>
          <w:t>810</w:t>
        </w:r>
        <w:r w:rsidR="00115E2C">
          <w:rPr>
            <w:noProof/>
            <w:webHidden/>
          </w:rPr>
          <w:fldChar w:fldCharType="end"/>
        </w:r>
      </w:hyperlink>
    </w:p>
    <w:p w14:paraId="12FFE5CB" w14:textId="751170C6"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70" w:history="1">
        <w:r w:rsidR="00115E2C" w:rsidRPr="005E6AA6">
          <w:rPr>
            <w:rStyle w:val="Hyperlink"/>
            <w:noProof/>
            <w:lang w:val="es-ES"/>
          </w:rPr>
          <w:t>4.</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ES_tradnl"/>
          </w:rPr>
          <w:t>Discriminación y persecución de voces críticas y disidentes</w:t>
        </w:r>
        <w:r w:rsidR="00115E2C">
          <w:rPr>
            <w:noProof/>
            <w:webHidden/>
          </w:rPr>
          <w:tab/>
        </w:r>
        <w:r w:rsidR="00115E2C">
          <w:rPr>
            <w:noProof/>
            <w:webHidden/>
          </w:rPr>
          <w:fldChar w:fldCharType="begin"/>
        </w:r>
        <w:r w:rsidR="00115E2C">
          <w:rPr>
            <w:noProof/>
            <w:webHidden/>
          </w:rPr>
          <w:instrText xml:space="preserve"> PAGEREF _Toc195617470 \h </w:instrText>
        </w:r>
        <w:r w:rsidR="00115E2C">
          <w:rPr>
            <w:noProof/>
            <w:webHidden/>
          </w:rPr>
        </w:r>
        <w:r w:rsidR="00115E2C">
          <w:rPr>
            <w:noProof/>
            <w:webHidden/>
          </w:rPr>
          <w:fldChar w:fldCharType="separate"/>
        </w:r>
        <w:r w:rsidR="00A31D4E">
          <w:rPr>
            <w:noProof/>
            <w:webHidden/>
          </w:rPr>
          <w:t>813</w:t>
        </w:r>
        <w:r w:rsidR="00115E2C">
          <w:rPr>
            <w:noProof/>
            <w:webHidden/>
          </w:rPr>
          <w:fldChar w:fldCharType="end"/>
        </w:r>
      </w:hyperlink>
    </w:p>
    <w:p w14:paraId="7E1F51F1" w14:textId="26C3B566"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71" w:history="1">
        <w:r w:rsidR="00115E2C" w:rsidRPr="005E6AA6">
          <w:rPr>
            <w:rStyle w:val="Hyperlink"/>
            <w:noProof/>
            <w:lang w:val="es-ES"/>
          </w:rPr>
          <w:t>5.</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ES_tradnl"/>
          </w:rPr>
          <w:t>Cierre del espacio cívico e iniciativas legislativas restrictivas</w:t>
        </w:r>
        <w:r w:rsidR="00115E2C">
          <w:rPr>
            <w:noProof/>
            <w:webHidden/>
          </w:rPr>
          <w:tab/>
        </w:r>
        <w:r w:rsidR="00115E2C">
          <w:rPr>
            <w:noProof/>
            <w:webHidden/>
          </w:rPr>
          <w:fldChar w:fldCharType="begin"/>
        </w:r>
        <w:r w:rsidR="00115E2C">
          <w:rPr>
            <w:noProof/>
            <w:webHidden/>
          </w:rPr>
          <w:instrText xml:space="preserve"> PAGEREF _Toc195617471 \h </w:instrText>
        </w:r>
        <w:r w:rsidR="00115E2C">
          <w:rPr>
            <w:noProof/>
            <w:webHidden/>
          </w:rPr>
        </w:r>
        <w:r w:rsidR="00115E2C">
          <w:rPr>
            <w:noProof/>
            <w:webHidden/>
          </w:rPr>
          <w:fldChar w:fldCharType="separate"/>
        </w:r>
        <w:r w:rsidR="00A31D4E">
          <w:rPr>
            <w:noProof/>
            <w:webHidden/>
          </w:rPr>
          <w:t>814</w:t>
        </w:r>
        <w:r w:rsidR="00115E2C">
          <w:rPr>
            <w:noProof/>
            <w:webHidden/>
          </w:rPr>
          <w:fldChar w:fldCharType="end"/>
        </w:r>
      </w:hyperlink>
    </w:p>
    <w:p w14:paraId="12978968" w14:textId="13F23117"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72" w:history="1">
        <w:r w:rsidR="00115E2C" w:rsidRPr="005E6AA6">
          <w:rPr>
            <w:rStyle w:val="Hyperlink"/>
            <w:noProof/>
            <w:lang w:val="es-ES"/>
          </w:rPr>
          <w:t>6.</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ES"/>
          </w:rPr>
          <w:t>Restricciones a la libertad de expresión en internet</w:t>
        </w:r>
        <w:r w:rsidR="00115E2C">
          <w:rPr>
            <w:noProof/>
            <w:webHidden/>
          </w:rPr>
          <w:tab/>
        </w:r>
        <w:r w:rsidR="00115E2C">
          <w:rPr>
            <w:noProof/>
            <w:webHidden/>
          </w:rPr>
          <w:fldChar w:fldCharType="begin"/>
        </w:r>
        <w:r w:rsidR="00115E2C">
          <w:rPr>
            <w:noProof/>
            <w:webHidden/>
          </w:rPr>
          <w:instrText xml:space="preserve"> PAGEREF _Toc195617472 \h </w:instrText>
        </w:r>
        <w:r w:rsidR="00115E2C">
          <w:rPr>
            <w:noProof/>
            <w:webHidden/>
          </w:rPr>
        </w:r>
        <w:r w:rsidR="00115E2C">
          <w:rPr>
            <w:noProof/>
            <w:webHidden/>
          </w:rPr>
          <w:fldChar w:fldCharType="separate"/>
        </w:r>
        <w:r w:rsidR="00A31D4E">
          <w:rPr>
            <w:noProof/>
            <w:webHidden/>
          </w:rPr>
          <w:t>815</w:t>
        </w:r>
        <w:r w:rsidR="00115E2C">
          <w:rPr>
            <w:noProof/>
            <w:webHidden/>
          </w:rPr>
          <w:fldChar w:fldCharType="end"/>
        </w:r>
      </w:hyperlink>
    </w:p>
    <w:p w14:paraId="5A7F2230" w14:textId="5B0BD07D"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73" w:history="1">
        <w:r w:rsidR="00115E2C" w:rsidRPr="005E6AA6">
          <w:rPr>
            <w:rStyle w:val="Hyperlink"/>
            <w:noProof/>
            <w:lang w:val="es-ES"/>
          </w:rPr>
          <w:t>7.</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ES"/>
          </w:rPr>
          <w:t>Libertad académica y represión a la comunidad educativa</w:t>
        </w:r>
        <w:r w:rsidR="00115E2C">
          <w:rPr>
            <w:noProof/>
            <w:webHidden/>
          </w:rPr>
          <w:tab/>
        </w:r>
        <w:r w:rsidR="00115E2C">
          <w:rPr>
            <w:noProof/>
            <w:webHidden/>
          </w:rPr>
          <w:fldChar w:fldCharType="begin"/>
        </w:r>
        <w:r w:rsidR="00115E2C">
          <w:rPr>
            <w:noProof/>
            <w:webHidden/>
          </w:rPr>
          <w:instrText xml:space="preserve"> PAGEREF _Toc195617473 \h </w:instrText>
        </w:r>
        <w:r w:rsidR="00115E2C">
          <w:rPr>
            <w:noProof/>
            <w:webHidden/>
          </w:rPr>
        </w:r>
        <w:r w:rsidR="00115E2C">
          <w:rPr>
            <w:noProof/>
            <w:webHidden/>
          </w:rPr>
          <w:fldChar w:fldCharType="separate"/>
        </w:r>
        <w:r w:rsidR="00A31D4E">
          <w:rPr>
            <w:noProof/>
            <w:webHidden/>
          </w:rPr>
          <w:t>816</w:t>
        </w:r>
        <w:r w:rsidR="00115E2C">
          <w:rPr>
            <w:noProof/>
            <w:webHidden/>
          </w:rPr>
          <w:fldChar w:fldCharType="end"/>
        </w:r>
      </w:hyperlink>
    </w:p>
    <w:p w14:paraId="5A4F693F" w14:textId="0F4982F6" w:rsidR="00115E2C" w:rsidRDefault="00000000" w:rsidP="00115E2C">
      <w:pPr>
        <w:pStyle w:val="TOC1"/>
        <w:tabs>
          <w:tab w:val="right" w:leader="dot" w:pos="9350"/>
        </w:tabs>
        <w:rPr>
          <w:rFonts w:asciiTheme="minorHAnsi" w:eastAsiaTheme="minorEastAsia" w:hAnsiTheme="minorHAnsi" w:cstheme="minorBidi"/>
          <w:b w:val="0"/>
          <w:caps w:val="0"/>
          <w:noProof/>
          <w:kern w:val="2"/>
          <w:sz w:val="24"/>
          <w14:ligatures w14:val="standardContextual"/>
        </w:rPr>
      </w:pPr>
      <w:hyperlink w:anchor="_Toc195617474" w:history="1">
        <w:r w:rsidR="00115E2C" w:rsidRPr="005E6AA6">
          <w:rPr>
            <w:rStyle w:val="Hyperlink"/>
            <w:rFonts w:eastAsia="Cambria"/>
            <w:noProof/>
            <w:lang w:val="es-CO"/>
          </w:rPr>
          <w:t>IV.</w:t>
        </w:r>
        <w:r w:rsidR="00115E2C">
          <w:rPr>
            <w:rFonts w:asciiTheme="minorHAnsi" w:eastAsiaTheme="minorEastAsia" w:hAnsiTheme="minorHAnsi" w:cstheme="minorBidi"/>
            <w:b w:val="0"/>
            <w:caps w:val="0"/>
            <w:noProof/>
            <w:kern w:val="2"/>
            <w:sz w:val="24"/>
            <w14:ligatures w14:val="standardContextual"/>
          </w:rPr>
          <w:tab/>
        </w:r>
        <w:r w:rsidR="00115E2C" w:rsidRPr="005E6AA6">
          <w:rPr>
            <w:rStyle w:val="Hyperlink"/>
            <w:rFonts w:eastAsia="Cambria"/>
            <w:noProof/>
            <w:lang w:val="es-CO"/>
          </w:rPr>
          <w:t>situaciones estructurales con GRAVE afectaciON AL goce y disfrute de los derechos HUMANOS</w:t>
        </w:r>
        <w:r w:rsidR="00115E2C">
          <w:rPr>
            <w:noProof/>
            <w:webHidden/>
          </w:rPr>
          <w:tab/>
        </w:r>
        <w:r w:rsidR="00115E2C">
          <w:rPr>
            <w:noProof/>
            <w:webHidden/>
          </w:rPr>
          <w:fldChar w:fldCharType="begin"/>
        </w:r>
        <w:r w:rsidR="00115E2C">
          <w:rPr>
            <w:noProof/>
            <w:webHidden/>
          </w:rPr>
          <w:instrText xml:space="preserve"> PAGEREF _Toc195617474 \h </w:instrText>
        </w:r>
        <w:r w:rsidR="00115E2C">
          <w:rPr>
            <w:noProof/>
            <w:webHidden/>
          </w:rPr>
        </w:r>
        <w:r w:rsidR="00115E2C">
          <w:rPr>
            <w:noProof/>
            <w:webHidden/>
          </w:rPr>
          <w:fldChar w:fldCharType="separate"/>
        </w:r>
        <w:r w:rsidR="00A31D4E">
          <w:rPr>
            <w:noProof/>
            <w:webHidden/>
          </w:rPr>
          <w:t>817</w:t>
        </w:r>
        <w:r w:rsidR="00115E2C">
          <w:rPr>
            <w:noProof/>
            <w:webHidden/>
          </w:rPr>
          <w:fldChar w:fldCharType="end"/>
        </w:r>
      </w:hyperlink>
    </w:p>
    <w:p w14:paraId="33857F9D" w14:textId="1D2DFBE6" w:rsidR="00115E2C" w:rsidRDefault="00000000" w:rsidP="00115E2C">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17475" w:history="1">
        <w:r w:rsidR="00115E2C" w:rsidRPr="005E6AA6">
          <w:rPr>
            <w:rStyle w:val="Hyperlink"/>
            <w:noProof/>
            <w:lang w:val="es-US"/>
          </w:rPr>
          <w:t>A.</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Desafíos en el acceso y goce del derecho a la salud, al agua, a la alimentación y a la educación</w:t>
        </w:r>
        <w:r w:rsidR="00115E2C">
          <w:rPr>
            <w:noProof/>
            <w:webHidden/>
          </w:rPr>
          <w:tab/>
        </w:r>
        <w:r w:rsidR="00115E2C">
          <w:rPr>
            <w:noProof/>
            <w:webHidden/>
          </w:rPr>
          <w:fldChar w:fldCharType="begin"/>
        </w:r>
        <w:r w:rsidR="00115E2C">
          <w:rPr>
            <w:noProof/>
            <w:webHidden/>
          </w:rPr>
          <w:instrText xml:space="preserve"> PAGEREF _Toc195617475 \h </w:instrText>
        </w:r>
        <w:r w:rsidR="00115E2C">
          <w:rPr>
            <w:noProof/>
            <w:webHidden/>
          </w:rPr>
        </w:r>
        <w:r w:rsidR="00115E2C">
          <w:rPr>
            <w:noProof/>
            <w:webHidden/>
          </w:rPr>
          <w:fldChar w:fldCharType="separate"/>
        </w:r>
        <w:r w:rsidR="00A31D4E">
          <w:rPr>
            <w:noProof/>
            <w:webHidden/>
          </w:rPr>
          <w:t>818</w:t>
        </w:r>
        <w:r w:rsidR="00115E2C">
          <w:rPr>
            <w:noProof/>
            <w:webHidden/>
          </w:rPr>
          <w:fldChar w:fldCharType="end"/>
        </w:r>
      </w:hyperlink>
    </w:p>
    <w:p w14:paraId="237D68D4" w14:textId="1EECD4B2" w:rsidR="00115E2C" w:rsidRDefault="00000000" w:rsidP="00115E2C">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17476" w:history="1">
        <w:r w:rsidR="00115E2C" w:rsidRPr="005E6AA6">
          <w:rPr>
            <w:rStyle w:val="Hyperlink"/>
            <w:noProof/>
            <w:lang w:val="es-US"/>
          </w:rPr>
          <w:t>B.</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Precariedad laboral y ambiente hostil para la defensa de los derechos laborales y sindicales</w:t>
        </w:r>
        <w:r w:rsidR="00115E2C">
          <w:rPr>
            <w:noProof/>
            <w:webHidden/>
          </w:rPr>
          <w:tab/>
        </w:r>
        <w:r w:rsidR="00115E2C">
          <w:rPr>
            <w:noProof/>
            <w:webHidden/>
          </w:rPr>
          <w:fldChar w:fldCharType="begin"/>
        </w:r>
        <w:r w:rsidR="00115E2C">
          <w:rPr>
            <w:noProof/>
            <w:webHidden/>
          </w:rPr>
          <w:instrText xml:space="preserve"> PAGEREF _Toc195617476 \h </w:instrText>
        </w:r>
        <w:r w:rsidR="00115E2C">
          <w:rPr>
            <w:noProof/>
            <w:webHidden/>
          </w:rPr>
        </w:r>
        <w:r w:rsidR="00115E2C">
          <w:rPr>
            <w:noProof/>
            <w:webHidden/>
          </w:rPr>
          <w:fldChar w:fldCharType="separate"/>
        </w:r>
        <w:r w:rsidR="00A31D4E">
          <w:rPr>
            <w:noProof/>
            <w:webHidden/>
          </w:rPr>
          <w:t>820</w:t>
        </w:r>
        <w:r w:rsidR="00115E2C">
          <w:rPr>
            <w:noProof/>
            <w:webHidden/>
          </w:rPr>
          <w:fldChar w:fldCharType="end"/>
        </w:r>
      </w:hyperlink>
    </w:p>
    <w:p w14:paraId="1D2B48BC" w14:textId="21F052E2" w:rsidR="00115E2C" w:rsidRDefault="00000000" w:rsidP="00115E2C">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17477" w:history="1">
        <w:r w:rsidR="00115E2C" w:rsidRPr="005E6AA6">
          <w:rPr>
            <w:rStyle w:val="Hyperlink"/>
            <w:noProof/>
            <w:lang w:val="es-US"/>
          </w:rPr>
          <w:t>C.</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ES"/>
          </w:rPr>
          <w:t>Emergencia climática y protección al medio ambiente</w:t>
        </w:r>
        <w:r w:rsidR="00115E2C">
          <w:rPr>
            <w:noProof/>
            <w:webHidden/>
          </w:rPr>
          <w:tab/>
        </w:r>
        <w:r w:rsidR="00115E2C">
          <w:rPr>
            <w:noProof/>
            <w:webHidden/>
          </w:rPr>
          <w:fldChar w:fldCharType="begin"/>
        </w:r>
        <w:r w:rsidR="00115E2C">
          <w:rPr>
            <w:noProof/>
            <w:webHidden/>
          </w:rPr>
          <w:instrText xml:space="preserve"> PAGEREF _Toc195617477 \h </w:instrText>
        </w:r>
        <w:r w:rsidR="00115E2C">
          <w:rPr>
            <w:noProof/>
            <w:webHidden/>
          </w:rPr>
        </w:r>
        <w:r w:rsidR="00115E2C">
          <w:rPr>
            <w:noProof/>
            <w:webHidden/>
          </w:rPr>
          <w:fldChar w:fldCharType="separate"/>
        </w:r>
        <w:r w:rsidR="00A31D4E">
          <w:rPr>
            <w:noProof/>
            <w:webHidden/>
          </w:rPr>
          <w:t>820</w:t>
        </w:r>
        <w:r w:rsidR="00115E2C">
          <w:rPr>
            <w:noProof/>
            <w:webHidden/>
          </w:rPr>
          <w:fldChar w:fldCharType="end"/>
        </w:r>
      </w:hyperlink>
    </w:p>
    <w:p w14:paraId="20922539" w14:textId="282C67A4" w:rsidR="00115E2C" w:rsidRDefault="00000000" w:rsidP="00115E2C">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17478" w:history="1">
        <w:r w:rsidR="00115E2C" w:rsidRPr="005E6AA6">
          <w:rPr>
            <w:rStyle w:val="Hyperlink"/>
            <w:noProof/>
            <w:lang w:val="es-ES"/>
          </w:rPr>
          <w:t>D.</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ES"/>
          </w:rPr>
          <w:t>Empresas y Derechos Humanos: explotación de minería e impactos a comunidades</w:t>
        </w:r>
        <w:r w:rsidR="00115E2C">
          <w:rPr>
            <w:noProof/>
            <w:webHidden/>
          </w:rPr>
          <w:tab/>
        </w:r>
        <w:r w:rsidR="00115E2C">
          <w:rPr>
            <w:noProof/>
            <w:webHidden/>
          </w:rPr>
          <w:fldChar w:fldCharType="begin"/>
        </w:r>
        <w:r w:rsidR="00115E2C">
          <w:rPr>
            <w:noProof/>
            <w:webHidden/>
          </w:rPr>
          <w:instrText xml:space="preserve"> PAGEREF _Toc195617478 \h </w:instrText>
        </w:r>
        <w:r w:rsidR="00115E2C">
          <w:rPr>
            <w:noProof/>
            <w:webHidden/>
          </w:rPr>
        </w:r>
        <w:r w:rsidR="00115E2C">
          <w:rPr>
            <w:noProof/>
            <w:webHidden/>
          </w:rPr>
          <w:fldChar w:fldCharType="separate"/>
        </w:r>
        <w:r w:rsidR="00A31D4E">
          <w:rPr>
            <w:noProof/>
            <w:webHidden/>
          </w:rPr>
          <w:t>821</w:t>
        </w:r>
        <w:r w:rsidR="00115E2C">
          <w:rPr>
            <w:noProof/>
            <w:webHidden/>
          </w:rPr>
          <w:fldChar w:fldCharType="end"/>
        </w:r>
      </w:hyperlink>
    </w:p>
    <w:p w14:paraId="21AAB5C7" w14:textId="306CA252" w:rsidR="00115E2C" w:rsidRDefault="00000000" w:rsidP="00115E2C">
      <w:pPr>
        <w:pStyle w:val="TOC2"/>
        <w:tabs>
          <w:tab w:val="left" w:pos="1440"/>
          <w:tab w:val="right" w:leader="dot" w:pos="9350"/>
        </w:tabs>
        <w:rPr>
          <w:rFonts w:asciiTheme="minorHAnsi" w:eastAsiaTheme="minorEastAsia" w:hAnsiTheme="minorHAnsi" w:cstheme="minorBidi"/>
          <w:noProof/>
          <w:kern w:val="2"/>
          <w:sz w:val="24"/>
          <w14:ligatures w14:val="standardContextual"/>
        </w:rPr>
      </w:pPr>
      <w:hyperlink w:anchor="_Toc195617479" w:history="1">
        <w:r w:rsidR="00115E2C" w:rsidRPr="005E6AA6">
          <w:rPr>
            <w:rStyle w:val="Hyperlink"/>
            <w:noProof/>
          </w:rPr>
          <w:t>E.</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rPr>
          <w:t>Grupos en situación de discriminación histórica</w:t>
        </w:r>
        <w:r w:rsidR="00115E2C">
          <w:rPr>
            <w:noProof/>
            <w:webHidden/>
          </w:rPr>
          <w:tab/>
        </w:r>
        <w:r w:rsidR="00115E2C">
          <w:rPr>
            <w:noProof/>
            <w:webHidden/>
          </w:rPr>
          <w:fldChar w:fldCharType="begin"/>
        </w:r>
        <w:r w:rsidR="00115E2C">
          <w:rPr>
            <w:noProof/>
            <w:webHidden/>
          </w:rPr>
          <w:instrText xml:space="preserve"> PAGEREF _Toc195617479 \h </w:instrText>
        </w:r>
        <w:r w:rsidR="00115E2C">
          <w:rPr>
            <w:noProof/>
            <w:webHidden/>
          </w:rPr>
        </w:r>
        <w:r w:rsidR="00115E2C">
          <w:rPr>
            <w:noProof/>
            <w:webHidden/>
          </w:rPr>
          <w:fldChar w:fldCharType="separate"/>
        </w:r>
        <w:r w:rsidR="00A31D4E">
          <w:rPr>
            <w:noProof/>
            <w:webHidden/>
          </w:rPr>
          <w:t>821</w:t>
        </w:r>
        <w:r w:rsidR="00115E2C">
          <w:rPr>
            <w:noProof/>
            <w:webHidden/>
          </w:rPr>
          <w:fldChar w:fldCharType="end"/>
        </w:r>
      </w:hyperlink>
    </w:p>
    <w:p w14:paraId="2D0C645E" w14:textId="45E7D4F4"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80" w:history="1">
        <w:r w:rsidR="00115E2C" w:rsidRPr="005E6AA6">
          <w:rPr>
            <w:rStyle w:val="Hyperlink"/>
            <w:noProof/>
            <w:lang w:val="es-US"/>
          </w:rPr>
          <w:t>1.</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Niñas, niños y adolescentes</w:t>
        </w:r>
        <w:r w:rsidR="00115E2C">
          <w:rPr>
            <w:noProof/>
            <w:webHidden/>
          </w:rPr>
          <w:tab/>
        </w:r>
        <w:r w:rsidR="00115E2C">
          <w:rPr>
            <w:noProof/>
            <w:webHidden/>
          </w:rPr>
          <w:fldChar w:fldCharType="begin"/>
        </w:r>
        <w:r w:rsidR="00115E2C">
          <w:rPr>
            <w:noProof/>
            <w:webHidden/>
          </w:rPr>
          <w:instrText xml:space="preserve"> PAGEREF _Toc195617480 \h </w:instrText>
        </w:r>
        <w:r w:rsidR="00115E2C">
          <w:rPr>
            <w:noProof/>
            <w:webHidden/>
          </w:rPr>
        </w:r>
        <w:r w:rsidR="00115E2C">
          <w:rPr>
            <w:noProof/>
            <w:webHidden/>
          </w:rPr>
          <w:fldChar w:fldCharType="separate"/>
        </w:r>
        <w:r w:rsidR="00A31D4E">
          <w:rPr>
            <w:noProof/>
            <w:webHidden/>
          </w:rPr>
          <w:t>821</w:t>
        </w:r>
        <w:r w:rsidR="00115E2C">
          <w:rPr>
            <w:noProof/>
            <w:webHidden/>
          </w:rPr>
          <w:fldChar w:fldCharType="end"/>
        </w:r>
      </w:hyperlink>
    </w:p>
    <w:p w14:paraId="4F733227" w14:textId="0761017B"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81" w:history="1">
        <w:r w:rsidR="00115E2C" w:rsidRPr="005E6AA6">
          <w:rPr>
            <w:rStyle w:val="Hyperlink"/>
            <w:noProof/>
            <w:lang w:val="es-US"/>
          </w:rPr>
          <w:t>2.</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Mujeres</w:t>
        </w:r>
        <w:r w:rsidR="00115E2C">
          <w:rPr>
            <w:noProof/>
            <w:webHidden/>
          </w:rPr>
          <w:tab/>
        </w:r>
        <w:r w:rsidR="00115E2C">
          <w:rPr>
            <w:noProof/>
            <w:webHidden/>
          </w:rPr>
          <w:fldChar w:fldCharType="begin"/>
        </w:r>
        <w:r w:rsidR="00115E2C">
          <w:rPr>
            <w:noProof/>
            <w:webHidden/>
          </w:rPr>
          <w:instrText xml:space="preserve"> PAGEREF _Toc195617481 \h </w:instrText>
        </w:r>
        <w:r w:rsidR="00115E2C">
          <w:rPr>
            <w:noProof/>
            <w:webHidden/>
          </w:rPr>
        </w:r>
        <w:r w:rsidR="00115E2C">
          <w:rPr>
            <w:noProof/>
            <w:webHidden/>
          </w:rPr>
          <w:fldChar w:fldCharType="separate"/>
        </w:r>
        <w:r w:rsidR="00A31D4E">
          <w:rPr>
            <w:noProof/>
            <w:webHidden/>
          </w:rPr>
          <w:t>822</w:t>
        </w:r>
        <w:r w:rsidR="00115E2C">
          <w:rPr>
            <w:noProof/>
            <w:webHidden/>
          </w:rPr>
          <w:fldChar w:fldCharType="end"/>
        </w:r>
      </w:hyperlink>
    </w:p>
    <w:p w14:paraId="1157F15D" w14:textId="3DA28A91"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82" w:history="1">
        <w:r w:rsidR="00115E2C" w:rsidRPr="005E6AA6">
          <w:rPr>
            <w:rStyle w:val="Hyperlink"/>
            <w:noProof/>
            <w:lang w:val="es-US"/>
          </w:rPr>
          <w:t>3.</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Personas defensoras de derechos humanos</w:t>
        </w:r>
        <w:r w:rsidR="00115E2C">
          <w:rPr>
            <w:noProof/>
            <w:webHidden/>
          </w:rPr>
          <w:tab/>
        </w:r>
        <w:r w:rsidR="00115E2C">
          <w:rPr>
            <w:noProof/>
            <w:webHidden/>
          </w:rPr>
          <w:fldChar w:fldCharType="begin"/>
        </w:r>
        <w:r w:rsidR="00115E2C">
          <w:rPr>
            <w:noProof/>
            <w:webHidden/>
          </w:rPr>
          <w:instrText xml:space="preserve"> PAGEREF _Toc195617482 \h </w:instrText>
        </w:r>
        <w:r w:rsidR="00115E2C">
          <w:rPr>
            <w:noProof/>
            <w:webHidden/>
          </w:rPr>
        </w:r>
        <w:r w:rsidR="00115E2C">
          <w:rPr>
            <w:noProof/>
            <w:webHidden/>
          </w:rPr>
          <w:fldChar w:fldCharType="separate"/>
        </w:r>
        <w:r w:rsidR="00A31D4E">
          <w:rPr>
            <w:noProof/>
            <w:webHidden/>
          </w:rPr>
          <w:t>824</w:t>
        </w:r>
        <w:r w:rsidR="00115E2C">
          <w:rPr>
            <w:noProof/>
            <w:webHidden/>
          </w:rPr>
          <w:fldChar w:fldCharType="end"/>
        </w:r>
      </w:hyperlink>
    </w:p>
    <w:p w14:paraId="75D3458A" w14:textId="707116EB"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83" w:history="1">
        <w:r w:rsidR="00115E2C" w:rsidRPr="005E6AA6">
          <w:rPr>
            <w:rStyle w:val="Hyperlink"/>
            <w:noProof/>
            <w:lang w:val="es-US"/>
          </w:rPr>
          <w:t>4.</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Personas lesbianas, gay, bisexuales, trans e intersex (LGBTI)</w:t>
        </w:r>
        <w:r w:rsidR="00115E2C">
          <w:rPr>
            <w:noProof/>
            <w:webHidden/>
          </w:rPr>
          <w:tab/>
        </w:r>
        <w:r w:rsidR="00115E2C">
          <w:rPr>
            <w:noProof/>
            <w:webHidden/>
          </w:rPr>
          <w:fldChar w:fldCharType="begin"/>
        </w:r>
        <w:r w:rsidR="00115E2C">
          <w:rPr>
            <w:noProof/>
            <w:webHidden/>
          </w:rPr>
          <w:instrText xml:space="preserve"> PAGEREF _Toc195617483 \h </w:instrText>
        </w:r>
        <w:r w:rsidR="00115E2C">
          <w:rPr>
            <w:noProof/>
            <w:webHidden/>
          </w:rPr>
        </w:r>
        <w:r w:rsidR="00115E2C">
          <w:rPr>
            <w:noProof/>
            <w:webHidden/>
          </w:rPr>
          <w:fldChar w:fldCharType="separate"/>
        </w:r>
        <w:r w:rsidR="00A31D4E">
          <w:rPr>
            <w:noProof/>
            <w:webHidden/>
          </w:rPr>
          <w:t>827</w:t>
        </w:r>
        <w:r w:rsidR="00115E2C">
          <w:rPr>
            <w:noProof/>
            <w:webHidden/>
          </w:rPr>
          <w:fldChar w:fldCharType="end"/>
        </w:r>
      </w:hyperlink>
    </w:p>
    <w:p w14:paraId="451FA748" w14:textId="53C21B2F"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84" w:history="1">
        <w:r w:rsidR="00115E2C" w:rsidRPr="005E6AA6">
          <w:rPr>
            <w:rStyle w:val="Hyperlink"/>
            <w:rFonts w:eastAsia="Cambria" w:cs="Cambria"/>
            <w:noProof/>
            <w:lang w:val="es-US"/>
          </w:rPr>
          <w:t>5.</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Personas mayores</w:t>
        </w:r>
        <w:r w:rsidR="00115E2C">
          <w:rPr>
            <w:noProof/>
            <w:webHidden/>
          </w:rPr>
          <w:tab/>
        </w:r>
        <w:r w:rsidR="00115E2C">
          <w:rPr>
            <w:noProof/>
            <w:webHidden/>
          </w:rPr>
          <w:fldChar w:fldCharType="begin"/>
        </w:r>
        <w:r w:rsidR="00115E2C">
          <w:rPr>
            <w:noProof/>
            <w:webHidden/>
          </w:rPr>
          <w:instrText xml:space="preserve"> PAGEREF _Toc195617484 \h </w:instrText>
        </w:r>
        <w:r w:rsidR="00115E2C">
          <w:rPr>
            <w:noProof/>
            <w:webHidden/>
          </w:rPr>
        </w:r>
        <w:r w:rsidR="00115E2C">
          <w:rPr>
            <w:noProof/>
            <w:webHidden/>
          </w:rPr>
          <w:fldChar w:fldCharType="separate"/>
        </w:r>
        <w:r w:rsidR="00A31D4E">
          <w:rPr>
            <w:noProof/>
            <w:webHidden/>
          </w:rPr>
          <w:t>827</w:t>
        </w:r>
        <w:r w:rsidR="00115E2C">
          <w:rPr>
            <w:noProof/>
            <w:webHidden/>
          </w:rPr>
          <w:fldChar w:fldCharType="end"/>
        </w:r>
      </w:hyperlink>
    </w:p>
    <w:p w14:paraId="6A616193" w14:textId="1BC307BE"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85" w:history="1">
        <w:r w:rsidR="00115E2C" w:rsidRPr="005E6AA6">
          <w:rPr>
            <w:rStyle w:val="Hyperlink"/>
            <w:noProof/>
            <w:lang w:val="es-US"/>
          </w:rPr>
          <w:t>6.</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Personas privadas de libertad</w:t>
        </w:r>
        <w:r w:rsidR="00115E2C">
          <w:rPr>
            <w:noProof/>
            <w:webHidden/>
          </w:rPr>
          <w:tab/>
        </w:r>
        <w:r w:rsidR="00115E2C">
          <w:rPr>
            <w:noProof/>
            <w:webHidden/>
          </w:rPr>
          <w:fldChar w:fldCharType="begin"/>
        </w:r>
        <w:r w:rsidR="00115E2C">
          <w:rPr>
            <w:noProof/>
            <w:webHidden/>
          </w:rPr>
          <w:instrText xml:space="preserve"> PAGEREF _Toc195617485 \h </w:instrText>
        </w:r>
        <w:r w:rsidR="00115E2C">
          <w:rPr>
            <w:noProof/>
            <w:webHidden/>
          </w:rPr>
        </w:r>
        <w:r w:rsidR="00115E2C">
          <w:rPr>
            <w:noProof/>
            <w:webHidden/>
          </w:rPr>
          <w:fldChar w:fldCharType="separate"/>
        </w:r>
        <w:r w:rsidR="00A31D4E">
          <w:rPr>
            <w:noProof/>
            <w:webHidden/>
          </w:rPr>
          <w:t>828</w:t>
        </w:r>
        <w:r w:rsidR="00115E2C">
          <w:rPr>
            <w:noProof/>
            <w:webHidden/>
          </w:rPr>
          <w:fldChar w:fldCharType="end"/>
        </w:r>
      </w:hyperlink>
    </w:p>
    <w:p w14:paraId="34E93E3D" w14:textId="19134237"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86" w:history="1">
        <w:r w:rsidR="00115E2C" w:rsidRPr="005E6AA6">
          <w:rPr>
            <w:rStyle w:val="Hyperlink"/>
            <w:noProof/>
            <w:lang w:val="es-US"/>
          </w:rPr>
          <w:t>7.</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Personas en movilidad humana</w:t>
        </w:r>
        <w:r w:rsidR="00115E2C">
          <w:rPr>
            <w:noProof/>
            <w:webHidden/>
          </w:rPr>
          <w:tab/>
        </w:r>
        <w:r w:rsidR="00115E2C">
          <w:rPr>
            <w:noProof/>
            <w:webHidden/>
          </w:rPr>
          <w:fldChar w:fldCharType="begin"/>
        </w:r>
        <w:r w:rsidR="00115E2C">
          <w:rPr>
            <w:noProof/>
            <w:webHidden/>
          </w:rPr>
          <w:instrText xml:space="preserve"> PAGEREF _Toc195617486 \h </w:instrText>
        </w:r>
        <w:r w:rsidR="00115E2C">
          <w:rPr>
            <w:noProof/>
            <w:webHidden/>
          </w:rPr>
        </w:r>
        <w:r w:rsidR="00115E2C">
          <w:rPr>
            <w:noProof/>
            <w:webHidden/>
          </w:rPr>
          <w:fldChar w:fldCharType="separate"/>
        </w:r>
        <w:r w:rsidR="00A31D4E">
          <w:rPr>
            <w:noProof/>
            <w:webHidden/>
          </w:rPr>
          <w:t>830</w:t>
        </w:r>
        <w:r w:rsidR="00115E2C">
          <w:rPr>
            <w:noProof/>
            <w:webHidden/>
          </w:rPr>
          <w:fldChar w:fldCharType="end"/>
        </w:r>
      </w:hyperlink>
    </w:p>
    <w:p w14:paraId="73056AF8" w14:textId="34D1483C"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87" w:history="1">
        <w:r w:rsidR="00115E2C" w:rsidRPr="005E6AA6">
          <w:rPr>
            <w:rStyle w:val="Hyperlink"/>
            <w:noProof/>
            <w:lang w:val="es-US"/>
          </w:rPr>
          <w:t>8.</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Pueblos indígenas</w:t>
        </w:r>
        <w:r w:rsidR="00115E2C">
          <w:rPr>
            <w:noProof/>
            <w:webHidden/>
          </w:rPr>
          <w:tab/>
        </w:r>
        <w:r w:rsidR="00115E2C">
          <w:rPr>
            <w:noProof/>
            <w:webHidden/>
          </w:rPr>
          <w:fldChar w:fldCharType="begin"/>
        </w:r>
        <w:r w:rsidR="00115E2C">
          <w:rPr>
            <w:noProof/>
            <w:webHidden/>
          </w:rPr>
          <w:instrText xml:space="preserve"> PAGEREF _Toc195617487 \h </w:instrText>
        </w:r>
        <w:r w:rsidR="00115E2C">
          <w:rPr>
            <w:noProof/>
            <w:webHidden/>
          </w:rPr>
        </w:r>
        <w:r w:rsidR="00115E2C">
          <w:rPr>
            <w:noProof/>
            <w:webHidden/>
          </w:rPr>
          <w:fldChar w:fldCharType="separate"/>
        </w:r>
        <w:r w:rsidR="00A31D4E">
          <w:rPr>
            <w:noProof/>
            <w:webHidden/>
          </w:rPr>
          <w:t>831</w:t>
        </w:r>
        <w:r w:rsidR="00115E2C">
          <w:rPr>
            <w:noProof/>
            <w:webHidden/>
          </w:rPr>
          <w:fldChar w:fldCharType="end"/>
        </w:r>
      </w:hyperlink>
    </w:p>
    <w:p w14:paraId="31E5B0DE" w14:textId="61FC4772"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88" w:history="1">
        <w:r w:rsidR="00115E2C" w:rsidRPr="005E6AA6">
          <w:rPr>
            <w:rStyle w:val="Hyperlink"/>
            <w:noProof/>
            <w:lang w:val="es-US"/>
          </w:rPr>
          <w:t>9.</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US"/>
          </w:rPr>
          <w:t>Personas afrodescendientes</w:t>
        </w:r>
        <w:r w:rsidR="00115E2C">
          <w:rPr>
            <w:noProof/>
            <w:webHidden/>
          </w:rPr>
          <w:tab/>
        </w:r>
        <w:r w:rsidR="00115E2C">
          <w:rPr>
            <w:noProof/>
            <w:webHidden/>
          </w:rPr>
          <w:fldChar w:fldCharType="begin"/>
        </w:r>
        <w:r w:rsidR="00115E2C">
          <w:rPr>
            <w:noProof/>
            <w:webHidden/>
          </w:rPr>
          <w:instrText xml:space="preserve"> PAGEREF _Toc195617488 \h </w:instrText>
        </w:r>
        <w:r w:rsidR="00115E2C">
          <w:rPr>
            <w:noProof/>
            <w:webHidden/>
          </w:rPr>
        </w:r>
        <w:r w:rsidR="00115E2C">
          <w:rPr>
            <w:noProof/>
            <w:webHidden/>
          </w:rPr>
          <w:fldChar w:fldCharType="separate"/>
        </w:r>
        <w:r w:rsidR="00A31D4E">
          <w:rPr>
            <w:noProof/>
            <w:webHidden/>
          </w:rPr>
          <w:t>832</w:t>
        </w:r>
        <w:r w:rsidR="00115E2C">
          <w:rPr>
            <w:noProof/>
            <w:webHidden/>
          </w:rPr>
          <w:fldChar w:fldCharType="end"/>
        </w:r>
      </w:hyperlink>
    </w:p>
    <w:p w14:paraId="53BF0964" w14:textId="126D1911" w:rsidR="00115E2C" w:rsidRDefault="00000000" w:rsidP="00115E2C">
      <w:pPr>
        <w:pStyle w:val="TOC1"/>
        <w:tabs>
          <w:tab w:val="right" w:leader="dot" w:pos="9350"/>
        </w:tabs>
        <w:rPr>
          <w:rFonts w:asciiTheme="minorHAnsi" w:eastAsiaTheme="minorEastAsia" w:hAnsiTheme="minorHAnsi" w:cstheme="minorBidi"/>
          <w:b w:val="0"/>
          <w:caps w:val="0"/>
          <w:noProof/>
          <w:kern w:val="2"/>
          <w:sz w:val="24"/>
          <w14:ligatures w14:val="standardContextual"/>
        </w:rPr>
      </w:pPr>
      <w:hyperlink w:anchor="_Toc195617489" w:history="1">
        <w:r w:rsidR="00115E2C" w:rsidRPr="005E6AA6">
          <w:rPr>
            <w:rStyle w:val="Hyperlink"/>
            <w:noProof/>
            <w:lang w:val="es-CO"/>
          </w:rPr>
          <w:t>V.</w:t>
        </w:r>
        <w:r w:rsidR="00115E2C">
          <w:rPr>
            <w:rFonts w:asciiTheme="minorHAnsi" w:eastAsiaTheme="minorEastAsia" w:hAnsiTheme="minorHAnsi" w:cstheme="minorBidi"/>
            <w:b w:val="0"/>
            <w:caps w:val="0"/>
            <w:noProof/>
            <w:kern w:val="2"/>
            <w:sz w:val="24"/>
            <w14:ligatures w14:val="standardContextual"/>
          </w:rPr>
          <w:tab/>
        </w:r>
        <w:r w:rsidR="00115E2C" w:rsidRPr="005E6AA6">
          <w:rPr>
            <w:rStyle w:val="Hyperlink"/>
            <w:noProof/>
            <w:lang w:val="es-CO"/>
          </w:rPr>
          <w:t>CONCLUSIÓN Y RECOMENDACIONES</w:t>
        </w:r>
        <w:r w:rsidR="00115E2C">
          <w:rPr>
            <w:noProof/>
            <w:webHidden/>
          </w:rPr>
          <w:tab/>
        </w:r>
        <w:r w:rsidR="00115E2C">
          <w:rPr>
            <w:noProof/>
            <w:webHidden/>
          </w:rPr>
          <w:fldChar w:fldCharType="begin"/>
        </w:r>
        <w:r w:rsidR="00115E2C">
          <w:rPr>
            <w:noProof/>
            <w:webHidden/>
          </w:rPr>
          <w:instrText xml:space="preserve"> PAGEREF _Toc195617489 \h </w:instrText>
        </w:r>
        <w:r w:rsidR="00115E2C">
          <w:rPr>
            <w:noProof/>
            <w:webHidden/>
          </w:rPr>
        </w:r>
        <w:r w:rsidR="00115E2C">
          <w:rPr>
            <w:noProof/>
            <w:webHidden/>
          </w:rPr>
          <w:fldChar w:fldCharType="separate"/>
        </w:r>
        <w:r w:rsidR="00A31D4E">
          <w:rPr>
            <w:noProof/>
            <w:webHidden/>
          </w:rPr>
          <w:t>833</w:t>
        </w:r>
        <w:r w:rsidR="00115E2C">
          <w:rPr>
            <w:noProof/>
            <w:webHidden/>
          </w:rPr>
          <w:fldChar w:fldCharType="end"/>
        </w:r>
      </w:hyperlink>
    </w:p>
    <w:p w14:paraId="62D82BE0" w14:textId="607D15EE" w:rsidR="00115E2C" w:rsidRDefault="00000000" w:rsidP="00115E2C">
      <w:pPr>
        <w:pStyle w:val="TOC2"/>
        <w:tabs>
          <w:tab w:val="right" w:leader="dot" w:pos="9350"/>
        </w:tabs>
        <w:rPr>
          <w:rFonts w:asciiTheme="minorHAnsi" w:eastAsiaTheme="minorEastAsia" w:hAnsiTheme="minorHAnsi" w:cstheme="minorBidi"/>
          <w:noProof/>
          <w:kern w:val="2"/>
          <w:sz w:val="24"/>
          <w14:ligatures w14:val="standardContextual"/>
        </w:rPr>
      </w:pPr>
      <w:hyperlink w:anchor="_Toc195617490" w:history="1">
        <w:r w:rsidR="00115E2C" w:rsidRPr="005E6AA6">
          <w:rPr>
            <w:rStyle w:val="Hyperlink"/>
            <w:noProof/>
            <w:lang w:val="es-US"/>
          </w:rPr>
          <w:t>Personas lesbianas, gay, bisexuales, trans e intersex (LGBTI)</w:t>
        </w:r>
        <w:r w:rsidR="00115E2C">
          <w:rPr>
            <w:noProof/>
            <w:webHidden/>
          </w:rPr>
          <w:tab/>
        </w:r>
        <w:r w:rsidR="00115E2C">
          <w:rPr>
            <w:noProof/>
            <w:webHidden/>
          </w:rPr>
          <w:fldChar w:fldCharType="begin"/>
        </w:r>
        <w:r w:rsidR="00115E2C">
          <w:rPr>
            <w:noProof/>
            <w:webHidden/>
          </w:rPr>
          <w:instrText xml:space="preserve"> PAGEREF _Toc195617490 \h </w:instrText>
        </w:r>
        <w:r w:rsidR="00115E2C">
          <w:rPr>
            <w:noProof/>
            <w:webHidden/>
          </w:rPr>
        </w:r>
        <w:r w:rsidR="00115E2C">
          <w:rPr>
            <w:noProof/>
            <w:webHidden/>
          </w:rPr>
          <w:fldChar w:fldCharType="separate"/>
        </w:r>
        <w:r w:rsidR="00A31D4E">
          <w:rPr>
            <w:noProof/>
            <w:webHidden/>
          </w:rPr>
          <w:t>837</w:t>
        </w:r>
        <w:r w:rsidR="00115E2C">
          <w:rPr>
            <w:noProof/>
            <w:webHidden/>
          </w:rPr>
          <w:fldChar w:fldCharType="end"/>
        </w:r>
      </w:hyperlink>
    </w:p>
    <w:p w14:paraId="1A181575" w14:textId="758546F4" w:rsidR="00115E2C" w:rsidRDefault="00000000" w:rsidP="00115E2C">
      <w:pPr>
        <w:pStyle w:val="TOC2"/>
        <w:tabs>
          <w:tab w:val="right" w:leader="dot" w:pos="9350"/>
        </w:tabs>
        <w:rPr>
          <w:rFonts w:asciiTheme="minorHAnsi" w:eastAsiaTheme="minorEastAsia" w:hAnsiTheme="minorHAnsi" w:cstheme="minorBidi"/>
          <w:noProof/>
          <w:kern w:val="2"/>
          <w:sz w:val="24"/>
          <w14:ligatures w14:val="standardContextual"/>
        </w:rPr>
      </w:pPr>
      <w:hyperlink w:anchor="_Toc195617491" w:history="1">
        <w:r w:rsidR="00115E2C" w:rsidRPr="005E6AA6">
          <w:rPr>
            <w:rStyle w:val="Hyperlink"/>
            <w:noProof/>
            <w:lang w:val="es-US"/>
          </w:rPr>
          <w:t>Personas mayores</w:t>
        </w:r>
        <w:r w:rsidR="00115E2C">
          <w:rPr>
            <w:noProof/>
            <w:webHidden/>
          </w:rPr>
          <w:tab/>
        </w:r>
        <w:r w:rsidR="00115E2C">
          <w:rPr>
            <w:noProof/>
            <w:webHidden/>
          </w:rPr>
          <w:fldChar w:fldCharType="begin"/>
        </w:r>
        <w:r w:rsidR="00115E2C">
          <w:rPr>
            <w:noProof/>
            <w:webHidden/>
          </w:rPr>
          <w:instrText xml:space="preserve"> PAGEREF _Toc195617491 \h </w:instrText>
        </w:r>
        <w:r w:rsidR="00115E2C">
          <w:rPr>
            <w:noProof/>
            <w:webHidden/>
          </w:rPr>
        </w:r>
        <w:r w:rsidR="00115E2C">
          <w:rPr>
            <w:noProof/>
            <w:webHidden/>
          </w:rPr>
          <w:fldChar w:fldCharType="separate"/>
        </w:r>
        <w:r w:rsidR="00A31D4E">
          <w:rPr>
            <w:noProof/>
            <w:webHidden/>
          </w:rPr>
          <w:t>837</w:t>
        </w:r>
        <w:r w:rsidR="00115E2C">
          <w:rPr>
            <w:noProof/>
            <w:webHidden/>
          </w:rPr>
          <w:fldChar w:fldCharType="end"/>
        </w:r>
      </w:hyperlink>
    </w:p>
    <w:p w14:paraId="28FBDE41" w14:textId="37A1E71A" w:rsidR="00115E2C" w:rsidRDefault="00000000" w:rsidP="00115E2C">
      <w:pPr>
        <w:pStyle w:val="TOC2"/>
        <w:tabs>
          <w:tab w:val="right" w:leader="dot" w:pos="9350"/>
        </w:tabs>
        <w:rPr>
          <w:rFonts w:asciiTheme="minorHAnsi" w:eastAsiaTheme="minorEastAsia" w:hAnsiTheme="minorHAnsi" w:cstheme="minorBidi"/>
          <w:noProof/>
          <w:kern w:val="2"/>
          <w:sz w:val="24"/>
          <w14:ligatures w14:val="standardContextual"/>
        </w:rPr>
      </w:pPr>
      <w:hyperlink w:anchor="_Toc195617492" w:history="1">
        <w:r w:rsidR="00115E2C" w:rsidRPr="005E6AA6">
          <w:rPr>
            <w:rStyle w:val="Hyperlink"/>
            <w:noProof/>
            <w:lang w:val="es-US"/>
          </w:rPr>
          <w:t>Personas afrodescendientes</w:t>
        </w:r>
        <w:r w:rsidR="00115E2C">
          <w:rPr>
            <w:noProof/>
            <w:webHidden/>
          </w:rPr>
          <w:tab/>
        </w:r>
        <w:r w:rsidR="00115E2C">
          <w:rPr>
            <w:noProof/>
            <w:webHidden/>
          </w:rPr>
          <w:fldChar w:fldCharType="begin"/>
        </w:r>
        <w:r w:rsidR="00115E2C">
          <w:rPr>
            <w:noProof/>
            <w:webHidden/>
          </w:rPr>
          <w:instrText xml:space="preserve"> PAGEREF _Toc195617492 \h </w:instrText>
        </w:r>
        <w:r w:rsidR="00115E2C">
          <w:rPr>
            <w:noProof/>
            <w:webHidden/>
          </w:rPr>
        </w:r>
        <w:r w:rsidR="00115E2C">
          <w:rPr>
            <w:noProof/>
            <w:webHidden/>
          </w:rPr>
          <w:fldChar w:fldCharType="separate"/>
        </w:r>
        <w:r w:rsidR="00A31D4E">
          <w:rPr>
            <w:noProof/>
            <w:webHidden/>
          </w:rPr>
          <w:t>838</w:t>
        </w:r>
        <w:r w:rsidR="00115E2C">
          <w:rPr>
            <w:noProof/>
            <w:webHidden/>
          </w:rPr>
          <w:fldChar w:fldCharType="end"/>
        </w:r>
      </w:hyperlink>
    </w:p>
    <w:p w14:paraId="618A38A8" w14:textId="79E5F310" w:rsidR="00115E2C" w:rsidRDefault="00000000" w:rsidP="00115E2C">
      <w:pPr>
        <w:pStyle w:val="TOC2"/>
        <w:tabs>
          <w:tab w:val="right" w:leader="dot" w:pos="9350"/>
        </w:tabs>
        <w:rPr>
          <w:rFonts w:asciiTheme="minorHAnsi" w:eastAsiaTheme="minorEastAsia" w:hAnsiTheme="minorHAnsi" w:cstheme="minorBidi"/>
          <w:noProof/>
          <w:kern w:val="2"/>
          <w:sz w:val="24"/>
          <w14:ligatures w14:val="standardContextual"/>
        </w:rPr>
      </w:pPr>
      <w:hyperlink w:anchor="_Toc195617493" w:history="1">
        <w:r w:rsidR="00115E2C" w:rsidRPr="005E6AA6">
          <w:rPr>
            <w:rStyle w:val="Hyperlink"/>
            <w:noProof/>
            <w:lang w:val="es-US"/>
          </w:rPr>
          <w:t>Pueblos indígenas</w:t>
        </w:r>
        <w:r w:rsidR="00115E2C">
          <w:rPr>
            <w:noProof/>
            <w:webHidden/>
          </w:rPr>
          <w:tab/>
        </w:r>
        <w:r w:rsidR="00115E2C">
          <w:rPr>
            <w:noProof/>
            <w:webHidden/>
          </w:rPr>
          <w:fldChar w:fldCharType="begin"/>
        </w:r>
        <w:r w:rsidR="00115E2C">
          <w:rPr>
            <w:noProof/>
            <w:webHidden/>
          </w:rPr>
          <w:instrText xml:space="preserve"> PAGEREF _Toc195617493 \h </w:instrText>
        </w:r>
        <w:r w:rsidR="00115E2C">
          <w:rPr>
            <w:noProof/>
            <w:webHidden/>
          </w:rPr>
        </w:r>
        <w:r w:rsidR="00115E2C">
          <w:rPr>
            <w:noProof/>
            <w:webHidden/>
          </w:rPr>
          <w:fldChar w:fldCharType="separate"/>
        </w:r>
        <w:r w:rsidR="00A31D4E">
          <w:rPr>
            <w:noProof/>
            <w:webHidden/>
          </w:rPr>
          <w:t>838</w:t>
        </w:r>
        <w:r w:rsidR="00115E2C">
          <w:rPr>
            <w:noProof/>
            <w:webHidden/>
          </w:rPr>
          <w:fldChar w:fldCharType="end"/>
        </w:r>
      </w:hyperlink>
    </w:p>
    <w:p w14:paraId="0EAC6518" w14:textId="7BF38FDB"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94" w:history="1">
        <w:r w:rsidR="00115E2C" w:rsidRPr="005E6AA6">
          <w:rPr>
            <w:rStyle w:val="Hyperlink"/>
            <w:noProof/>
            <w:lang w:val="es-AR"/>
          </w:rPr>
          <w:t>1.</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AR"/>
          </w:rPr>
          <w:t>El Capítulo IV-B contiene consideraciones que suponen un riesgo para las personas en gestación y desconocen necesidades integrales de las mujeres</w:t>
        </w:r>
        <w:r w:rsidR="00115E2C">
          <w:rPr>
            <w:noProof/>
            <w:webHidden/>
          </w:rPr>
          <w:tab/>
        </w:r>
        <w:r w:rsidR="00115E2C">
          <w:rPr>
            <w:noProof/>
            <w:webHidden/>
          </w:rPr>
          <w:fldChar w:fldCharType="begin"/>
        </w:r>
        <w:r w:rsidR="00115E2C">
          <w:rPr>
            <w:noProof/>
            <w:webHidden/>
          </w:rPr>
          <w:instrText xml:space="preserve"> PAGEREF _Toc195617494 \h </w:instrText>
        </w:r>
        <w:r w:rsidR="00115E2C">
          <w:rPr>
            <w:noProof/>
            <w:webHidden/>
          </w:rPr>
        </w:r>
        <w:r w:rsidR="00115E2C">
          <w:rPr>
            <w:noProof/>
            <w:webHidden/>
          </w:rPr>
          <w:fldChar w:fldCharType="separate"/>
        </w:r>
        <w:r w:rsidR="00A31D4E">
          <w:rPr>
            <w:noProof/>
            <w:webHidden/>
          </w:rPr>
          <w:t>839</w:t>
        </w:r>
        <w:r w:rsidR="00115E2C">
          <w:rPr>
            <w:noProof/>
            <w:webHidden/>
          </w:rPr>
          <w:fldChar w:fldCharType="end"/>
        </w:r>
      </w:hyperlink>
    </w:p>
    <w:p w14:paraId="06AEF7F4" w14:textId="1910FC48" w:rsidR="00115E2C" w:rsidRDefault="00000000" w:rsidP="00115E2C">
      <w:pPr>
        <w:pStyle w:val="TOC3"/>
        <w:tabs>
          <w:tab w:val="left" w:pos="2160"/>
          <w:tab w:val="right" w:leader="dot" w:pos="9350"/>
        </w:tabs>
        <w:rPr>
          <w:rFonts w:asciiTheme="minorHAnsi" w:eastAsiaTheme="minorEastAsia" w:hAnsiTheme="minorHAnsi" w:cstheme="minorBidi"/>
          <w:noProof/>
          <w:kern w:val="2"/>
          <w:sz w:val="24"/>
          <w14:ligatures w14:val="standardContextual"/>
        </w:rPr>
      </w:pPr>
      <w:hyperlink w:anchor="_Toc195617495" w:history="1">
        <w:r w:rsidR="00115E2C" w:rsidRPr="005E6AA6">
          <w:rPr>
            <w:rStyle w:val="Hyperlink"/>
            <w:noProof/>
            <w:highlight w:val="white"/>
            <w:lang w:val="es-AR"/>
          </w:rPr>
          <w:t>2.</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lang w:val="es-AR"/>
          </w:rPr>
          <w:t>Abordaje insuficiente en relación con la aprobación y uso de métodos anticonceptivos</w:t>
        </w:r>
        <w:r w:rsidR="00115E2C">
          <w:rPr>
            <w:noProof/>
            <w:webHidden/>
          </w:rPr>
          <w:tab/>
        </w:r>
        <w:r w:rsidR="00115E2C">
          <w:rPr>
            <w:noProof/>
            <w:webHidden/>
          </w:rPr>
          <w:fldChar w:fldCharType="begin"/>
        </w:r>
        <w:r w:rsidR="00115E2C">
          <w:rPr>
            <w:noProof/>
            <w:webHidden/>
          </w:rPr>
          <w:instrText xml:space="preserve"> PAGEREF _Toc195617495 \h </w:instrText>
        </w:r>
        <w:r w:rsidR="00115E2C">
          <w:rPr>
            <w:noProof/>
            <w:webHidden/>
          </w:rPr>
        </w:r>
        <w:r w:rsidR="00115E2C">
          <w:rPr>
            <w:noProof/>
            <w:webHidden/>
          </w:rPr>
          <w:fldChar w:fldCharType="separate"/>
        </w:r>
        <w:r w:rsidR="00A31D4E">
          <w:rPr>
            <w:noProof/>
            <w:webHidden/>
          </w:rPr>
          <w:t>842</w:t>
        </w:r>
        <w:r w:rsidR="00115E2C">
          <w:rPr>
            <w:noProof/>
            <w:webHidden/>
          </w:rPr>
          <w:fldChar w:fldCharType="end"/>
        </w:r>
      </w:hyperlink>
    </w:p>
    <w:p w14:paraId="016B01E5" w14:textId="2B5580C2" w:rsidR="00115E2C" w:rsidRDefault="00000000" w:rsidP="00115E2C">
      <w:pPr>
        <w:pStyle w:val="TOC3"/>
        <w:tabs>
          <w:tab w:val="left" w:pos="2160"/>
          <w:tab w:val="right" w:leader="dot" w:pos="9350"/>
        </w:tabs>
        <w:rPr>
          <w:rStyle w:val="Hyperlink"/>
          <w:noProof/>
        </w:rPr>
      </w:pPr>
      <w:hyperlink w:anchor="_Toc195617496" w:history="1">
        <w:r w:rsidR="00115E2C" w:rsidRPr="005E6AA6">
          <w:rPr>
            <w:rStyle w:val="Hyperlink"/>
            <w:noProof/>
            <w:highlight w:val="white"/>
            <w:lang w:val="es-AR"/>
          </w:rPr>
          <w:t>3.</w:t>
        </w:r>
        <w:r w:rsidR="00115E2C">
          <w:rPr>
            <w:rFonts w:asciiTheme="minorHAnsi" w:eastAsiaTheme="minorEastAsia" w:hAnsiTheme="minorHAnsi" w:cstheme="minorBidi"/>
            <w:noProof/>
            <w:kern w:val="2"/>
            <w:sz w:val="24"/>
            <w14:ligatures w14:val="standardContextual"/>
          </w:rPr>
          <w:tab/>
        </w:r>
        <w:r w:rsidR="00115E2C" w:rsidRPr="005E6AA6">
          <w:rPr>
            <w:rStyle w:val="Hyperlink"/>
            <w:noProof/>
            <w:highlight w:val="white"/>
            <w:lang w:val="es-AR"/>
          </w:rPr>
          <w:t>Imprecisiones en relación con los derechos de personas LGTBI</w:t>
        </w:r>
        <w:r w:rsidR="00115E2C">
          <w:rPr>
            <w:noProof/>
            <w:webHidden/>
          </w:rPr>
          <w:tab/>
        </w:r>
        <w:r w:rsidR="00115E2C">
          <w:rPr>
            <w:noProof/>
            <w:webHidden/>
          </w:rPr>
          <w:fldChar w:fldCharType="begin"/>
        </w:r>
        <w:r w:rsidR="00115E2C">
          <w:rPr>
            <w:noProof/>
            <w:webHidden/>
          </w:rPr>
          <w:instrText xml:space="preserve"> PAGEREF _Toc195617496 \h </w:instrText>
        </w:r>
        <w:r w:rsidR="00115E2C">
          <w:rPr>
            <w:noProof/>
            <w:webHidden/>
          </w:rPr>
        </w:r>
        <w:r w:rsidR="00115E2C">
          <w:rPr>
            <w:noProof/>
            <w:webHidden/>
          </w:rPr>
          <w:fldChar w:fldCharType="separate"/>
        </w:r>
        <w:r w:rsidR="00A31D4E">
          <w:rPr>
            <w:noProof/>
            <w:webHidden/>
          </w:rPr>
          <w:t>843</w:t>
        </w:r>
        <w:r w:rsidR="00115E2C">
          <w:rPr>
            <w:noProof/>
            <w:webHidden/>
          </w:rPr>
          <w:fldChar w:fldCharType="end"/>
        </w:r>
      </w:hyperlink>
    </w:p>
    <w:p w14:paraId="2EE3AF79" w14:textId="77777777" w:rsidR="006C1AD5" w:rsidRDefault="006C1AD5" w:rsidP="006C1AD5">
      <w:pPr>
        <w:rPr>
          <w:rFonts w:eastAsiaTheme="minorEastAsia"/>
        </w:rPr>
      </w:pPr>
    </w:p>
    <w:p w14:paraId="44F351AD" w14:textId="6EB41EEF" w:rsidR="006C1AD5" w:rsidRPr="006C1AD5" w:rsidRDefault="00000000" w:rsidP="006C1AD5">
      <w:pPr>
        <w:pStyle w:val="TOC1"/>
        <w:tabs>
          <w:tab w:val="right" w:leader="dot" w:pos="9350"/>
        </w:tabs>
        <w:rPr>
          <w:rFonts w:eastAsiaTheme="minorEastAsia"/>
          <w:lang w:val="es-AR"/>
        </w:rPr>
      </w:pPr>
      <w:hyperlink w:anchor="Voto_Razonado" w:history="1">
        <w:r w:rsidR="006C1AD5" w:rsidRPr="00605BFC">
          <w:rPr>
            <w:rStyle w:val="Hyperlink"/>
            <w:rFonts w:eastAsiaTheme="minorEastAsia"/>
            <w:lang w:val="es-AR"/>
          </w:rPr>
          <w:t>VOTO RAZONADO DEL COMISIONADO CARLOS BERNAL PULIDO FRENTE AL CAPÍTULO IV.B-VENEZUELA DEL INFORME ANUAL DE 2024</w:t>
        </w:r>
        <w:r w:rsidR="006C1AD5" w:rsidRPr="00605BFC">
          <w:rPr>
            <w:rStyle w:val="Hyperlink"/>
            <w:rFonts w:eastAsiaTheme="minorEastAsia"/>
            <w:b w:val="0"/>
            <w:lang w:val="es-AR"/>
          </w:rPr>
          <w:tab/>
          <w:t>839</w:t>
        </w:r>
      </w:hyperlink>
    </w:p>
    <w:p w14:paraId="4EC19400" w14:textId="77777777" w:rsidR="006C1AD5" w:rsidRPr="006C1AD5" w:rsidRDefault="006C1AD5" w:rsidP="006C1AD5">
      <w:pPr>
        <w:rPr>
          <w:rFonts w:eastAsiaTheme="minorEastAsia"/>
        </w:rPr>
      </w:pPr>
    </w:p>
    <w:p w14:paraId="0AF88926" w14:textId="01344ECA" w:rsidR="00115E2C" w:rsidRDefault="00115E2C" w:rsidP="00115E2C">
      <w:pPr>
        <w:rPr>
          <w:lang w:val="es-ES"/>
        </w:rPr>
        <w:sectPr w:rsidR="00115E2C" w:rsidSect="00115E2C">
          <w:type w:val="oddPage"/>
          <w:pgSz w:w="12240" w:h="15840"/>
          <w:pgMar w:top="1440" w:right="1440" w:bottom="1440" w:left="1440" w:header="720" w:footer="720" w:gutter="0"/>
          <w:pgNumType w:fmt="lowerRoman" w:start="1"/>
          <w:cols w:space="720"/>
          <w:titlePg/>
          <w:docGrid w:linePitch="360"/>
        </w:sectPr>
      </w:pPr>
      <w:r>
        <w:rPr>
          <w:lang w:val="es-ES"/>
        </w:rPr>
        <w:fldChar w:fldCharType="end"/>
      </w:r>
    </w:p>
    <w:p w14:paraId="361A56EF" w14:textId="37B1C74D" w:rsidR="003B41C5" w:rsidRPr="00C468AE" w:rsidRDefault="00227EB2">
      <w:pPr>
        <w:rPr>
          <w:rFonts w:ascii="Cambria" w:hAnsi="Cambria"/>
          <w:lang w:val="es-ES"/>
        </w:rPr>
      </w:pPr>
      <w:r w:rsidRPr="00C468AE">
        <w:rPr>
          <w:rFonts w:ascii="Cambria" w:hAnsi="Cambria"/>
          <w:lang w:val="es-ES"/>
        </w:rPr>
        <w:t xml:space="preserve"> </w:t>
      </w:r>
    </w:p>
    <w:p w14:paraId="10FBC644" w14:textId="77777777" w:rsidR="00E757D0" w:rsidRPr="00C332F1" w:rsidRDefault="00E757D0" w:rsidP="003B41C5">
      <w:pPr>
        <w:pStyle w:val="IACaptulo"/>
        <w:rPr>
          <w:rFonts w:ascii="Cambria" w:hAnsi="Cambria"/>
          <w:color w:val="auto"/>
          <w:szCs w:val="32"/>
          <w:lang w:val="es-ES"/>
        </w:rPr>
      </w:pPr>
      <w:r w:rsidRPr="00C332F1">
        <w:rPr>
          <w:rFonts w:ascii="Cambria" w:hAnsi="Cambria"/>
          <w:color w:val="auto"/>
          <w:szCs w:val="32"/>
          <w:lang w:val="es-ES"/>
        </w:rPr>
        <w:t>CAPÍTULO IV.B</w:t>
      </w:r>
    </w:p>
    <w:p w14:paraId="3AFFB2CD" w14:textId="2BAE1B0A" w:rsidR="003B41C5" w:rsidRPr="00C332F1" w:rsidRDefault="00572C9C" w:rsidP="003B41C5">
      <w:pPr>
        <w:pStyle w:val="IACaptulo"/>
        <w:rPr>
          <w:rFonts w:ascii="Cambria" w:hAnsi="Cambria"/>
          <w:color w:val="auto"/>
          <w:szCs w:val="32"/>
          <w:lang w:val="es-ES"/>
        </w:rPr>
      </w:pPr>
      <w:r w:rsidRPr="00C332F1">
        <w:rPr>
          <w:rFonts w:ascii="Cambria" w:hAnsi="Cambria"/>
          <w:color w:val="auto"/>
          <w:szCs w:val="32"/>
          <w:lang w:val="es-ES"/>
        </w:rPr>
        <w:t>VENEZUELA</w:t>
      </w:r>
      <w:r w:rsidR="00A14F05">
        <w:rPr>
          <w:rFonts w:ascii="ZWAdobeF" w:hAnsi="ZWAdobeF" w:cs="ZWAdobeF"/>
          <w:b w:val="0"/>
          <w:color w:val="auto"/>
          <w:sz w:val="2"/>
          <w:szCs w:val="2"/>
          <w:lang w:val="es-ES"/>
        </w:rPr>
        <w:t>0F</w:t>
      </w:r>
      <w:r w:rsidR="008717A6" w:rsidRPr="005C52BD">
        <w:rPr>
          <w:rStyle w:val="FootnoteReference"/>
          <w:rFonts w:ascii="Cambria" w:hAnsi="Cambria"/>
          <w:color w:val="auto"/>
          <w:lang w:val="es-ES"/>
        </w:rPr>
        <w:footnoteReference w:id="2"/>
      </w:r>
    </w:p>
    <w:p w14:paraId="7E7B3CE8" w14:textId="57257445" w:rsidR="003B41C5" w:rsidRPr="00C332F1" w:rsidRDefault="00572C9C" w:rsidP="003B41C5">
      <w:pPr>
        <w:pStyle w:val="IATtulo"/>
        <w:rPr>
          <w:color w:val="auto"/>
          <w:lang w:val="es-ES"/>
        </w:rPr>
      </w:pPr>
      <w:bookmarkStart w:id="3" w:name="_Toc195617449"/>
      <w:r w:rsidRPr="00C332F1">
        <w:rPr>
          <w:color w:val="auto"/>
          <w:lang w:val="es-ES"/>
        </w:rPr>
        <w:t>INTRODUCCIÓN</w:t>
      </w:r>
      <w:bookmarkEnd w:id="3"/>
      <w:r w:rsidRPr="00C332F1">
        <w:rPr>
          <w:color w:val="auto"/>
          <w:lang w:val="es-ES"/>
        </w:rPr>
        <w:t xml:space="preserve"> </w:t>
      </w:r>
    </w:p>
    <w:p w14:paraId="0D64A979" w14:textId="79221926" w:rsidR="005E4791" w:rsidRPr="00C332F1" w:rsidRDefault="005E4791" w:rsidP="00DF128B">
      <w:pPr>
        <w:pStyle w:val="IAPrrafo"/>
        <w:suppressAutoHyphens/>
        <w:rPr>
          <w:rStyle w:val="normaltextrun"/>
          <w:color w:val="auto"/>
          <w:szCs w:val="20"/>
        </w:rPr>
      </w:pPr>
      <w:r w:rsidRPr="00C332F1">
        <w:rPr>
          <w:color w:val="auto"/>
        </w:rPr>
        <w:t>En el cumplimiento de su mandato convencional y reglamentario, la Comisión Interamericana de Derechos Humanos (la Comisión, la Comisión Interamericana, o la CIDH) ha seguido con especial atención la situación de</w:t>
      </w:r>
      <w:r w:rsidRPr="00C332F1">
        <w:rPr>
          <w:rFonts w:eastAsia="Cambria" w:cs="Cambria"/>
          <w:color w:val="auto"/>
        </w:rPr>
        <w:t xml:space="preserve"> derechos humanos en Venezuela. </w:t>
      </w:r>
      <w:r w:rsidRPr="00C332F1">
        <w:rPr>
          <w:rStyle w:val="normaltextrun"/>
          <w:color w:val="auto"/>
          <w:szCs w:val="20"/>
        </w:rPr>
        <w:t xml:space="preserve">Desde el año 2005, el Estado ha sido incluido en el capítulo IV.B del informe anual </w:t>
      </w:r>
      <w:r w:rsidR="00A766DE" w:rsidRPr="00C332F1">
        <w:rPr>
          <w:rStyle w:val="normaltextrun"/>
          <w:color w:val="auto"/>
          <w:szCs w:val="20"/>
        </w:rPr>
        <w:t xml:space="preserve">debido a la </w:t>
      </w:r>
      <w:r w:rsidRPr="00C332F1">
        <w:rPr>
          <w:rStyle w:val="normaltextrun"/>
          <w:color w:val="auto"/>
          <w:szCs w:val="20"/>
        </w:rPr>
        <w:t>grave situación de derechos humanos</w:t>
      </w:r>
      <w:r w:rsidR="006D54FD" w:rsidRPr="00C332F1">
        <w:rPr>
          <w:rStyle w:val="normaltextrun"/>
          <w:color w:val="auto"/>
          <w:szCs w:val="20"/>
        </w:rPr>
        <w:t xml:space="preserve"> en el país</w:t>
      </w:r>
      <w:r w:rsidR="00A766DE" w:rsidRPr="00C332F1">
        <w:rPr>
          <w:rStyle w:val="normaltextrun"/>
          <w:color w:val="auto"/>
          <w:szCs w:val="20"/>
        </w:rPr>
        <w:t xml:space="preserve"> y la completa erosión de</w:t>
      </w:r>
      <w:r w:rsidR="006D2D18" w:rsidRPr="00C332F1">
        <w:rPr>
          <w:rStyle w:val="normaltextrun"/>
          <w:color w:val="auto"/>
          <w:szCs w:val="20"/>
        </w:rPr>
        <w:t xml:space="preserve"> la democracia y del Estado de Derecho.</w:t>
      </w:r>
    </w:p>
    <w:p w14:paraId="01EB49A2" w14:textId="51502267" w:rsidR="00D914E5" w:rsidRPr="00C332F1" w:rsidRDefault="003F56AE" w:rsidP="00DF128B">
      <w:pPr>
        <w:pStyle w:val="IAPrrafo"/>
        <w:rPr>
          <w:color w:val="auto"/>
          <w:szCs w:val="20"/>
        </w:rPr>
      </w:pPr>
      <w:r w:rsidRPr="00C332F1">
        <w:rPr>
          <w:color w:val="auto"/>
        </w:rPr>
        <w:t>En 2024 se registraron graves y sistemáticas violaciones de derechos humanos.</w:t>
      </w:r>
      <w:r w:rsidR="0078338E" w:rsidRPr="00C332F1">
        <w:rPr>
          <w:rStyle w:val="normaltextrun"/>
          <w:color w:val="auto"/>
          <w:szCs w:val="20"/>
        </w:rPr>
        <w:t xml:space="preserve"> </w:t>
      </w:r>
      <w:r w:rsidR="00BB768F" w:rsidRPr="00C332F1">
        <w:rPr>
          <w:color w:val="auto"/>
        </w:rPr>
        <w:t xml:space="preserve">Antes, durante y después de </w:t>
      </w:r>
      <w:r w:rsidR="00421678" w:rsidRPr="00C332F1">
        <w:rPr>
          <w:color w:val="auto"/>
          <w:lang w:val="es-ES"/>
        </w:rPr>
        <w:t>la elección presidencial del 28 de julio, e</w:t>
      </w:r>
      <w:r w:rsidR="00B25BDC" w:rsidRPr="00C332F1">
        <w:rPr>
          <w:color w:val="auto"/>
        </w:rPr>
        <w:t xml:space="preserve">l </w:t>
      </w:r>
      <w:r w:rsidR="00392AEA" w:rsidRPr="00C332F1">
        <w:rPr>
          <w:color w:val="auto"/>
        </w:rPr>
        <w:t>régimen</w:t>
      </w:r>
      <w:r w:rsidR="00B25BDC" w:rsidRPr="00C332F1">
        <w:rPr>
          <w:color w:val="auto"/>
        </w:rPr>
        <w:t xml:space="preserve"> </w:t>
      </w:r>
      <w:r w:rsidR="006637E8" w:rsidRPr="00C332F1">
        <w:rPr>
          <w:color w:val="auto"/>
        </w:rPr>
        <w:t>implementó</w:t>
      </w:r>
      <w:r w:rsidR="00EF2271" w:rsidRPr="00C332F1">
        <w:rPr>
          <w:color w:val="auto"/>
        </w:rPr>
        <w:t xml:space="preserve"> </w:t>
      </w:r>
      <w:r w:rsidR="005E747D" w:rsidRPr="00C332F1">
        <w:rPr>
          <w:color w:val="auto"/>
        </w:rPr>
        <w:t>una estrategia</w:t>
      </w:r>
      <w:r w:rsidR="00DE70D5" w:rsidRPr="00C332F1">
        <w:rPr>
          <w:color w:val="auto"/>
        </w:rPr>
        <w:t xml:space="preserve"> represiva</w:t>
      </w:r>
      <w:r w:rsidR="005D058A" w:rsidRPr="00C332F1">
        <w:rPr>
          <w:color w:val="auto"/>
        </w:rPr>
        <w:t xml:space="preserve"> coordinada</w:t>
      </w:r>
      <w:r w:rsidR="0026584A" w:rsidRPr="00C332F1">
        <w:rPr>
          <w:color w:val="auto"/>
        </w:rPr>
        <w:t>, con tres etapas</w:t>
      </w:r>
      <w:r w:rsidR="008A21D5" w:rsidRPr="00C332F1">
        <w:rPr>
          <w:color w:val="auto"/>
        </w:rPr>
        <w:t>,</w:t>
      </w:r>
      <w:r w:rsidR="001006DD" w:rsidRPr="00C332F1">
        <w:rPr>
          <w:color w:val="auto"/>
        </w:rPr>
        <w:t xml:space="preserve"> </w:t>
      </w:r>
      <w:r w:rsidR="0026584A" w:rsidRPr="00C332F1">
        <w:rPr>
          <w:color w:val="auto"/>
        </w:rPr>
        <w:t>para</w:t>
      </w:r>
      <w:r w:rsidR="005E747D" w:rsidRPr="00C332F1">
        <w:rPr>
          <w:color w:val="auto"/>
        </w:rPr>
        <w:t xml:space="preserve"> </w:t>
      </w:r>
      <w:r w:rsidR="005E747D" w:rsidRPr="00C332F1">
        <w:rPr>
          <w:rFonts w:cs="Open Sans"/>
          <w:shd w:val="clear" w:color="auto" w:fill="FFFFFF"/>
          <w:lang w:val="es-US"/>
        </w:rPr>
        <w:t>perpetuarse ilegítimamente en el poder.</w:t>
      </w:r>
      <w:r w:rsidR="00CA3B2F" w:rsidRPr="00C332F1">
        <w:rPr>
          <w:rFonts w:cs="Open Sans"/>
          <w:shd w:val="clear" w:color="auto" w:fill="FFFFFF"/>
          <w:lang w:val="es-US"/>
        </w:rPr>
        <w:t xml:space="preserve"> En el marco de es</w:t>
      </w:r>
      <w:r w:rsidR="003A0AB1" w:rsidRPr="00C332F1">
        <w:rPr>
          <w:rFonts w:cs="Open Sans"/>
          <w:shd w:val="clear" w:color="auto" w:fill="FFFFFF"/>
          <w:lang w:val="es-US"/>
        </w:rPr>
        <w:t>t</w:t>
      </w:r>
      <w:r w:rsidR="00CA3B2F" w:rsidRPr="00C332F1">
        <w:rPr>
          <w:rFonts w:cs="Open Sans"/>
          <w:shd w:val="clear" w:color="auto" w:fill="FFFFFF"/>
          <w:lang w:val="es-US"/>
        </w:rPr>
        <w:t xml:space="preserve">a estrategia, </w:t>
      </w:r>
      <w:r w:rsidR="00024B0D" w:rsidRPr="00C332F1">
        <w:rPr>
          <w:rFonts w:cs="Open Sans"/>
          <w:shd w:val="clear" w:color="auto" w:fill="FFFFFF"/>
          <w:lang w:val="es-US"/>
        </w:rPr>
        <w:t xml:space="preserve">se </w:t>
      </w:r>
      <w:r w:rsidR="0095043A" w:rsidRPr="00C332F1">
        <w:rPr>
          <w:rFonts w:cs="Open Sans"/>
          <w:shd w:val="clear" w:color="auto" w:fill="FFFFFF"/>
          <w:lang w:val="es-US"/>
        </w:rPr>
        <w:t xml:space="preserve">ejecutaron </w:t>
      </w:r>
      <w:r w:rsidR="00F83530" w:rsidRPr="00C332F1">
        <w:rPr>
          <w:rFonts w:cs="Open Sans"/>
          <w:shd w:val="clear" w:color="auto" w:fill="FFFFFF"/>
          <w:lang w:val="es-US"/>
        </w:rPr>
        <w:t xml:space="preserve">prácticas </w:t>
      </w:r>
      <w:r w:rsidR="006778F7" w:rsidRPr="00C332F1">
        <w:rPr>
          <w:color w:val="auto"/>
        </w:rPr>
        <w:t xml:space="preserve">de terrorismo de Estado </w:t>
      </w:r>
      <w:r w:rsidR="00B25BDC" w:rsidRPr="00C332F1">
        <w:rPr>
          <w:color w:val="auto"/>
        </w:rPr>
        <w:t xml:space="preserve">que </w:t>
      </w:r>
      <w:r w:rsidR="00252D9B" w:rsidRPr="00C332F1">
        <w:rPr>
          <w:color w:val="auto"/>
        </w:rPr>
        <w:t>tuv</w:t>
      </w:r>
      <w:r w:rsidR="006778F7" w:rsidRPr="00C332F1">
        <w:rPr>
          <w:color w:val="auto"/>
        </w:rPr>
        <w:t>ieron</w:t>
      </w:r>
      <w:r w:rsidR="00252D9B" w:rsidRPr="00C332F1">
        <w:rPr>
          <w:color w:val="auto"/>
        </w:rPr>
        <w:t xml:space="preserve"> </w:t>
      </w:r>
      <w:r w:rsidR="00BA5628" w:rsidRPr="00C332F1">
        <w:rPr>
          <w:color w:val="auto"/>
        </w:rPr>
        <w:t xml:space="preserve">como propósito </w:t>
      </w:r>
      <w:r w:rsidR="002937C9" w:rsidRPr="00C332F1">
        <w:rPr>
          <w:rFonts w:cs="Open Sans"/>
          <w:shd w:val="clear" w:color="auto" w:fill="FFFFFF"/>
          <w:lang w:val="es-US"/>
        </w:rPr>
        <w:t>impedir</w:t>
      </w:r>
      <w:r w:rsidR="005E4791" w:rsidRPr="00C332F1">
        <w:rPr>
          <w:rFonts w:cs="Open Sans"/>
          <w:shd w:val="clear" w:color="auto" w:fill="FFFFFF"/>
          <w:lang w:val="es-US"/>
        </w:rPr>
        <w:t xml:space="preserve"> la participación política de la oposición, </w:t>
      </w:r>
      <w:r w:rsidR="005E4791" w:rsidRPr="00C332F1">
        <w:rPr>
          <w:lang w:val="es-ES"/>
        </w:rPr>
        <w:t xml:space="preserve">obstaculizar el desarrollo de una contienda electoral libre, justa, competitiva y transparente, </w:t>
      </w:r>
      <w:r w:rsidR="005575E6" w:rsidRPr="00C332F1">
        <w:rPr>
          <w:lang w:val="es-ES"/>
        </w:rPr>
        <w:t xml:space="preserve">y </w:t>
      </w:r>
      <w:r w:rsidR="005E4791" w:rsidRPr="00C332F1">
        <w:rPr>
          <w:rFonts w:cs="Open Sans"/>
          <w:shd w:val="clear" w:color="auto" w:fill="FFFFFF"/>
          <w:lang w:val="es-US"/>
        </w:rPr>
        <w:t>sembrar terror</w:t>
      </w:r>
      <w:r w:rsidR="0023299C" w:rsidRPr="00C332F1">
        <w:rPr>
          <w:rFonts w:cs="Open Sans"/>
          <w:shd w:val="clear" w:color="auto" w:fill="FFFFFF"/>
          <w:lang w:val="es-US"/>
        </w:rPr>
        <w:t xml:space="preserve"> en la ciudadanía</w:t>
      </w:r>
      <w:r w:rsidR="00A14F05">
        <w:rPr>
          <w:rFonts w:ascii="ZWAdobeF" w:hAnsi="ZWAdobeF" w:cs="ZWAdobeF"/>
          <w:color w:val="auto"/>
          <w:sz w:val="2"/>
          <w:szCs w:val="2"/>
          <w:shd w:val="clear" w:color="auto" w:fill="FFFFFF"/>
          <w:lang w:val="es-US"/>
        </w:rPr>
        <w:t>1F</w:t>
      </w:r>
      <w:r w:rsidR="00825226" w:rsidRPr="005C52BD">
        <w:rPr>
          <w:rFonts w:cs="Open Sans"/>
          <w:shd w:val="clear" w:color="auto" w:fill="FFFFFF"/>
          <w:vertAlign w:val="superscript"/>
          <w:lang w:val="es-US"/>
        </w:rPr>
        <w:footnoteReference w:id="3"/>
      </w:r>
      <w:r w:rsidR="00530AFE" w:rsidRPr="00C332F1">
        <w:rPr>
          <w:rFonts w:cs="Open Sans"/>
          <w:shd w:val="clear" w:color="auto" w:fill="FFFFFF"/>
          <w:lang w:val="es-US"/>
        </w:rPr>
        <w:t>.</w:t>
      </w:r>
      <w:r w:rsidR="002208E2" w:rsidRPr="00C332F1">
        <w:rPr>
          <w:color w:val="auto"/>
          <w:lang w:val="es-US"/>
        </w:rPr>
        <w:t xml:space="preserve"> </w:t>
      </w:r>
      <w:r w:rsidR="004C2CE6" w:rsidRPr="00C332F1">
        <w:rPr>
          <w:lang w:val="es-ES"/>
        </w:rPr>
        <w:t>Estos hechos</w:t>
      </w:r>
      <w:r w:rsidR="008B65CF" w:rsidRPr="00C332F1">
        <w:rPr>
          <w:lang w:val="es-ES"/>
        </w:rPr>
        <w:t xml:space="preserve"> </w:t>
      </w:r>
      <w:r w:rsidR="008D6EAC" w:rsidRPr="00C332F1">
        <w:rPr>
          <w:lang w:val="es-ES"/>
        </w:rPr>
        <w:t xml:space="preserve">sólo </w:t>
      </w:r>
      <w:r w:rsidR="00302458" w:rsidRPr="00C332F1">
        <w:rPr>
          <w:lang w:val="es-ES"/>
        </w:rPr>
        <w:t>pudieron llevarse a cabo</w:t>
      </w:r>
      <w:r w:rsidR="00930004" w:rsidRPr="00C332F1">
        <w:rPr>
          <w:lang w:val="es-ES"/>
        </w:rPr>
        <w:t>, sin ningún control, debido</w:t>
      </w:r>
      <w:r w:rsidR="00302458" w:rsidRPr="00C332F1">
        <w:rPr>
          <w:lang w:val="es-ES"/>
        </w:rPr>
        <w:t xml:space="preserve"> </w:t>
      </w:r>
      <w:r w:rsidR="00DB65A2" w:rsidRPr="00C332F1">
        <w:rPr>
          <w:lang w:val="es-ES"/>
        </w:rPr>
        <w:t>a la cooptación de los distintos poderes del Estado,</w:t>
      </w:r>
      <w:r w:rsidR="00910F03" w:rsidRPr="00C332F1">
        <w:rPr>
          <w:rStyle w:val="normaltextrun"/>
          <w:color w:val="auto"/>
          <w:szCs w:val="20"/>
        </w:rPr>
        <w:t xml:space="preserve"> registrada en l</w:t>
      </w:r>
      <w:r w:rsidR="009E7AD6" w:rsidRPr="00C332F1">
        <w:rPr>
          <w:rStyle w:val="normaltextrun"/>
          <w:color w:val="auto"/>
          <w:szCs w:val="20"/>
        </w:rPr>
        <w:t>as últimas dos décadas</w:t>
      </w:r>
      <w:r w:rsidR="0000477E" w:rsidRPr="00C332F1">
        <w:rPr>
          <w:rStyle w:val="normaltextrun"/>
          <w:color w:val="auto"/>
          <w:szCs w:val="20"/>
        </w:rPr>
        <w:t>.</w:t>
      </w:r>
      <w:r w:rsidR="00614EF1" w:rsidRPr="00C332F1">
        <w:rPr>
          <w:rStyle w:val="normaltextrun"/>
          <w:color w:val="auto"/>
          <w:szCs w:val="20"/>
        </w:rPr>
        <w:t xml:space="preserve"> </w:t>
      </w:r>
    </w:p>
    <w:p w14:paraId="0461B891" w14:textId="27F45891" w:rsidR="00603C51" w:rsidRPr="00C332F1" w:rsidRDefault="00636AC8" w:rsidP="00AD373C">
      <w:pPr>
        <w:pStyle w:val="IAPrrafo"/>
        <w:rPr>
          <w:sz w:val="24"/>
          <w:lang w:val="es-ES"/>
        </w:rPr>
      </w:pPr>
      <w:r w:rsidRPr="00C332F1">
        <w:rPr>
          <w:lang w:val="es-ES"/>
        </w:rPr>
        <w:t xml:space="preserve">La primera etapa </w:t>
      </w:r>
      <w:r w:rsidR="00603C51" w:rsidRPr="00C332F1">
        <w:rPr>
          <w:lang w:val="es-ES"/>
        </w:rPr>
        <w:t>se desarrolló durante</w:t>
      </w:r>
      <w:r w:rsidRPr="00C332F1">
        <w:rPr>
          <w:lang w:val="es-ES"/>
        </w:rPr>
        <w:t xml:space="preserve"> el período preelectoral y </w:t>
      </w:r>
      <w:r w:rsidR="00603C51" w:rsidRPr="00C332F1">
        <w:rPr>
          <w:lang w:val="es-ES"/>
        </w:rPr>
        <w:t>tuvo como objetivo</w:t>
      </w:r>
      <w:r w:rsidRPr="00C332F1">
        <w:rPr>
          <w:lang w:val="es-ES"/>
        </w:rPr>
        <w:t xml:space="preserve"> </w:t>
      </w:r>
      <w:r w:rsidR="00B32C07" w:rsidRPr="00C332F1">
        <w:rPr>
          <w:lang w:val="es-ES"/>
        </w:rPr>
        <w:t>impedir</w:t>
      </w:r>
      <w:r w:rsidRPr="00C332F1">
        <w:rPr>
          <w:lang w:val="es-ES"/>
        </w:rPr>
        <w:t xml:space="preserve"> la participación política de la oposición, </w:t>
      </w:r>
      <w:r w:rsidR="00603C51" w:rsidRPr="00C332F1">
        <w:rPr>
          <w:lang w:val="es-ES"/>
        </w:rPr>
        <w:t>lo que constituyó una</w:t>
      </w:r>
      <w:r w:rsidR="00657277" w:rsidRPr="00C332F1">
        <w:rPr>
          <w:lang w:val="es-ES"/>
        </w:rPr>
        <w:t xml:space="preserve"> violación a</w:t>
      </w:r>
      <w:r w:rsidRPr="00C332F1">
        <w:rPr>
          <w:lang w:val="es-ES"/>
        </w:rPr>
        <w:t xml:space="preserve"> su derecho </w:t>
      </w:r>
      <w:r w:rsidR="00657277" w:rsidRPr="00C332F1">
        <w:rPr>
          <w:lang w:val="es-ES"/>
        </w:rPr>
        <w:t xml:space="preserve">a la igualdad de oportunidades para postularse y </w:t>
      </w:r>
      <w:r w:rsidR="008A0A19" w:rsidRPr="00C332F1">
        <w:rPr>
          <w:lang w:val="es-ES"/>
        </w:rPr>
        <w:t>hacer campaña</w:t>
      </w:r>
      <w:r w:rsidR="00700BE2" w:rsidRPr="00C332F1">
        <w:rPr>
          <w:lang w:val="es-ES"/>
        </w:rPr>
        <w:t xml:space="preserve"> sin </w:t>
      </w:r>
      <w:r w:rsidR="00657277" w:rsidRPr="00C332F1">
        <w:rPr>
          <w:lang w:val="es-ES"/>
        </w:rPr>
        <w:t xml:space="preserve">restricciones arbitrarias </w:t>
      </w:r>
      <w:r w:rsidR="00603C51" w:rsidRPr="00C332F1">
        <w:rPr>
          <w:lang w:val="es-ES"/>
        </w:rPr>
        <w:t>ni discriminatorias.</w:t>
      </w:r>
      <w:r w:rsidRPr="00C332F1">
        <w:rPr>
          <w:lang w:val="es-ES"/>
        </w:rPr>
        <w:t xml:space="preserve"> El Estado </w:t>
      </w:r>
      <w:r w:rsidR="00603C51" w:rsidRPr="00C332F1">
        <w:rPr>
          <w:lang w:val="es-ES"/>
        </w:rPr>
        <w:t>recurrió al</w:t>
      </w:r>
      <w:r w:rsidRPr="00C332F1">
        <w:rPr>
          <w:lang w:val="es-ES"/>
        </w:rPr>
        <w:t xml:space="preserve"> poder de instituciones como la Contraloría General de la República Bolivariana de Venezuela, el Tribunal Supremo de Justicia </w:t>
      </w:r>
      <w:r w:rsidR="008E2310" w:rsidRPr="00C332F1">
        <w:rPr>
          <w:lang w:val="es-ES"/>
        </w:rPr>
        <w:t>(TSJ)</w:t>
      </w:r>
      <w:r w:rsidRPr="00C332F1">
        <w:rPr>
          <w:lang w:val="es-ES"/>
        </w:rPr>
        <w:t xml:space="preserve"> y las fuerzas de seguridad para </w:t>
      </w:r>
      <w:r w:rsidR="00603C51" w:rsidRPr="00C332F1">
        <w:rPr>
          <w:lang w:val="es-ES"/>
        </w:rPr>
        <w:t>llevar a cabo</w:t>
      </w:r>
      <w:r w:rsidRPr="00C332F1">
        <w:rPr>
          <w:lang w:val="es-ES"/>
        </w:rPr>
        <w:t xml:space="preserve"> detenciones arbitrarias de personas </w:t>
      </w:r>
      <w:r w:rsidR="001E6EA5" w:rsidRPr="00C332F1">
        <w:rPr>
          <w:lang w:val="es-ES"/>
        </w:rPr>
        <w:t xml:space="preserve">opositoras, </w:t>
      </w:r>
      <w:r w:rsidRPr="00C332F1">
        <w:rPr>
          <w:lang w:val="es-ES"/>
        </w:rPr>
        <w:t xml:space="preserve">defensoras de derechos humanos y </w:t>
      </w:r>
      <w:r w:rsidR="00603C51" w:rsidRPr="00C332F1">
        <w:rPr>
          <w:lang w:val="es-ES"/>
        </w:rPr>
        <w:t>con liderazgo social</w:t>
      </w:r>
      <w:r w:rsidRPr="00C332F1">
        <w:rPr>
          <w:lang w:val="es-ES"/>
        </w:rPr>
        <w:t xml:space="preserve"> bajo acusaciones vagas. Además, se </w:t>
      </w:r>
      <w:r w:rsidR="00603C51" w:rsidRPr="00C332F1">
        <w:rPr>
          <w:lang w:val="es-ES"/>
        </w:rPr>
        <w:t>registraron</w:t>
      </w:r>
      <w:r w:rsidRPr="00C332F1">
        <w:rPr>
          <w:lang w:val="es-ES"/>
        </w:rPr>
        <w:t xml:space="preserve"> actos de hostigamiento</w:t>
      </w:r>
      <w:r w:rsidR="00065431" w:rsidRPr="00C332F1">
        <w:rPr>
          <w:lang w:val="es-ES"/>
        </w:rPr>
        <w:t>,</w:t>
      </w:r>
      <w:r w:rsidRPr="00C332F1">
        <w:rPr>
          <w:lang w:val="es-ES"/>
        </w:rPr>
        <w:t xml:space="preserve"> persecución </w:t>
      </w:r>
      <w:r w:rsidR="00065431" w:rsidRPr="00C332F1">
        <w:rPr>
          <w:lang w:val="es-ES"/>
        </w:rPr>
        <w:t xml:space="preserve">e inhabilitación </w:t>
      </w:r>
      <w:r w:rsidRPr="00C332F1">
        <w:rPr>
          <w:lang w:val="es-ES"/>
        </w:rPr>
        <w:t xml:space="preserve">contra personas </w:t>
      </w:r>
      <w:r w:rsidR="00603C51" w:rsidRPr="00C332F1">
        <w:rPr>
          <w:lang w:val="es-ES"/>
        </w:rPr>
        <w:t xml:space="preserve">opositoras o </w:t>
      </w:r>
      <w:r w:rsidRPr="00C332F1">
        <w:rPr>
          <w:lang w:val="es-ES"/>
        </w:rPr>
        <w:t>percibidas como tales</w:t>
      </w:r>
      <w:r w:rsidR="00E36DC4" w:rsidRPr="00C332F1">
        <w:rPr>
          <w:lang w:val="es-ES"/>
        </w:rPr>
        <w:t>, así como el retiro de misiones internacionales de observación electoral</w:t>
      </w:r>
      <w:r w:rsidR="00065431" w:rsidRPr="00C332F1">
        <w:rPr>
          <w:lang w:val="es-ES"/>
        </w:rPr>
        <w:t>.</w:t>
      </w:r>
      <w:r w:rsidRPr="00C332F1">
        <w:rPr>
          <w:lang w:val="es-ES"/>
        </w:rPr>
        <w:t xml:space="preserve"> Por </w:t>
      </w:r>
      <w:r w:rsidR="00603C51" w:rsidRPr="00C332F1">
        <w:rPr>
          <w:lang w:val="es-ES"/>
        </w:rPr>
        <w:t>otro lado</w:t>
      </w:r>
      <w:r w:rsidRPr="00C332F1">
        <w:rPr>
          <w:lang w:val="es-ES"/>
        </w:rPr>
        <w:t>, la Comisión Nacional de Telecomunicaciones (</w:t>
      </w:r>
      <w:r w:rsidR="00BC7B00" w:rsidRPr="00C332F1">
        <w:rPr>
          <w:lang w:val="es-ES"/>
        </w:rPr>
        <w:t>CONATEL</w:t>
      </w:r>
      <w:r w:rsidRPr="00C332F1">
        <w:rPr>
          <w:lang w:val="es-ES"/>
        </w:rPr>
        <w:t xml:space="preserve">) </w:t>
      </w:r>
      <w:r w:rsidR="00603C51" w:rsidRPr="00C332F1">
        <w:rPr>
          <w:lang w:val="es-ES"/>
        </w:rPr>
        <w:t>impuso severas restricciones a</w:t>
      </w:r>
      <w:r w:rsidRPr="00C332F1">
        <w:rPr>
          <w:lang w:val="es-ES"/>
        </w:rPr>
        <w:t xml:space="preserve"> la libertad de prensa, mientras que el Consejo Nacional Electoral (CNE) </w:t>
      </w:r>
      <w:r w:rsidR="00603C51" w:rsidRPr="00C332F1">
        <w:rPr>
          <w:lang w:val="es-ES"/>
        </w:rPr>
        <w:t xml:space="preserve">estableció </w:t>
      </w:r>
      <w:r w:rsidRPr="00C332F1">
        <w:rPr>
          <w:lang w:val="es-ES"/>
        </w:rPr>
        <w:t xml:space="preserve">obstáculos que </w:t>
      </w:r>
      <w:r w:rsidR="00603C51" w:rsidRPr="00C332F1">
        <w:rPr>
          <w:lang w:val="es-ES"/>
        </w:rPr>
        <w:t>negaron el derecho al</w:t>
      </w:r>
      <w:r w:rsidRPr="00C332F1">
        <w:rPr>
          <w:lang w:val="es-ES"/>
        </w:rPr>
        <w:t xml:space="preserve"> voto en el extranjero, afectando a cerca de 5 millones de </w:t>
      </w:r>
      <w:r w:rsidR="00603C51" w:rsidRPr="00C332F1">
        <w:rPr>
          <w:lang w:val="es-ES"/>
        </w:rPr>
        <w:t>personas venezolanas.</w:t>
      </w:r>
    </w:p>
    <w:p w14:paraId="24ACBCF4" w14:textId="7268614D" w:rsidR="008947DE" w:rsidRPr="00C332F1" w:rsidRDefault="001E6EA5" w:rsidP="00AD373C">
      <w:pPr>
        <w:pStyle w:val="IAPrrafo"/>
        <w:rPr>
          <w:color w:val="auto"/>
          <w:lang w:val="es-ES_tradnl"/>
        </w:rPr>
      </w:pPr>
      <w:r w:rsidRPr="00C332F1">
        <w:rPr>
          <w:color w:val="auto"/>
          <w:lang w:val="es-US"/>
        </w:rPr>
        <w:t>La segunda etapa tuvo lugar e</w:t>
      </w:r>
      <w:r w:rsidR="00F33D7A" w:rsidRPr="00C332F1">
        <w:rPr>
          <w:color w:val="auto"/>
          <w:lang w:val="es-US"/>
        </w:rPr>
        <w:t>l 28 de julio, durante la elección presidencial</w:t>
      </w:r>
      <w:r w:rsidR="00BD5FA9" w:rsidRPr="00C332F1">
        <w:rPr>
          <w:color w:val="auto"/>
          <w:lang w:val="es-US"/>
        </w:rPr>
        <w:t>.</w:t>
      </w:r>
      <w:r w:rsidR="00F33D7A" w:rsidRPr="00C332F1">
        <w:rPr>
          <w:color w:val="auto"/>
          <w:lang w:val="es-US"/>
        </w:rPr>
        <w:t xml:space="preserve"> </w:t>
      </w:r>
      <w:r w:rsidR="00BD5FA9" w:rsidRPr="00C332F1">
        <w:rPr>
          <w:color w:val="auto"/>
          <w:lang w:val="es-US"/>
        </w:rPr>
        <w:t>E</w:t>
      </w:r>
      <w:r w:rsidR="00F33D7A" w:rsidRPr="00C332F1">
        <w:rPr>
          <w:color w:val="auto"/>
          <w:lang w:val="es-US"/>
        </w:rPr>
        <w:t xml:space="preserve">l </w:t>
      </w:r>
      <w:r w:rsidR="00056C2D" w:rsidRPr="00C332F1">
        <w:rPr>
          <w:color w:val="auto"/>
          <w:lang w:val="es-US"/>
        </w:rPr>
        <w:t>gobierno</w:t>
      </w:r>
      <w:r w:rsidR="00B345A7" w:rsidRPr="00C332F1">
        <w:rPr>
          <w:color w:val="auto"/>
          <w:lang w:val="es-US"/>
        </w:rPr>
        <w:t xml:space="preserve"> </w:t>
      </w:r>
      <w:r w:rsidR="00F33D7A" w:rsidRPr="00C332F1">
        <w:rPr>
          <w:color w:val="auto"/>
          <w:lang w:val="es-US"/>
        </w:rPr>
        <w:t xml:space="preserve">implementó una estrategia destinada a manipular los resultados para proclamar como ganador a Nicolás Maduro sin </w:t>
      </w:r>
      <w:r w:rsidR="00260B1D" w:rsidRPr="00C332F1">
        <w:rPr>
          <w:color w:val="auto"/>
          <w:lang w:val="es-US"/>
        </w:rPr>
        <w:t>ningún tipo de</w:t>
      </w:r>
      <w:r w:rsidR="00F33D7A" w:rsidRPr="00C332F1">
        <w:rPr>
          <w:color w:val="auto"/>
          <w:lang w:val="es-US"/>
        </w:rPr>
        <w:t xml:space="preserve"> transparencia. </w:t>
      </w:r>
      <w:r w:rsidR="00056C2D" w:rsidRPr="00C332F1">
        <w:rPr>
          <w:color w:val="auto"/>
          <w:lang w:val="es-US"/>
        </w:rPr>
        <w:t>Con este propósito</w:t>
      </w:r>
      <w:r w:rsidR="00B323D0" w:rsidRPr="00C332F1">
        <w:rPr>
          <w:color w:val="auto"/>
          <w:lang w:val="es-US"/>
        </w:rPr>
        <w:t>, e</w:t>
      </w:r>
      <w:r w:rsidR="00260B1D" w:rsidRPr="00C332F1">
        <w:rPr>
          <w:color w:val="auto"/>
          <w:lang w:val="es-US"/>
        </w:rPr>
        <w:t xml:space="preserve">l </w:t>
      </w:r>
      <w:r w:rsidR="00F33D7A" w:rsidRPr="00C332F1">
        <w:rPr>
          <w:color w:val="auto"/>
          <w:lang w:val="es-US"/>
        </w:rPr>
        <w:t>CNE detuvo la transmisión de datos bajo el pretexto de un supuesto ciberataque. Asimismo,</w:t>
      </w:r>
      <w:r w:rsidR="00260B1D" w:rsidRPr="00C332F1">
        <w:rPr>
          <w:color w:val="auto"/>
          <w:lang w:val="es-US"/>
        </w:rPr>
        <w:t xml:space="preserve"> suspendió</w:t>
      </w:r>
      <w:r w:rsidR="00F33D7A" w:rsidRPr="00C332F1">
        <w:rPr>
          <w:color w:val="auto"/>
          <w:lang w:val="es-US"/>
        </w:rPr>
        <w:t xml:space="preserve"> la realización de auditorías al proceso electoral y se negó a publicar las actas de votación </w:t>
      </w:r>
      <w:r w:rsidR="00260B1D" w:rsidRPr="00C332F1">
        <w:rPr>
          <w:color w:val="auto"/>
          <w:lang w:val="es-US"/>
        </w:rPr>
        <w:t>que respalda</w:t>
      </w:r>
      <w:r w:rsidR="00B323D0" w:rsidRPr="00C332F1">
        <w:rPr>
          <w:color w:val="auto"/>
          <w:lang w:val="es-US"/>
        </w:rPr>
        <w:t>ban los resultados anunciados</w:t>
      </w:r>
      <w:r w:rsidR="00F33D7A" w:rsidRPr="00C332F1">
        <w:rPr>
          <w:color w:val="auto"/>
          <w:lang w:val="es-US"/>
        </w:rPr>
        <w:t xml:space="preserve">. </w:t>
      </w:r>
      <w:r w:rsidR="008F033D" w:rsidRPr="00C332F1">
        <w:rPr>
          <w:color w:val="auto"/>
          <w:lang w:val="es-ES_tradnl"/>
        </w:rPr>
        <w:t xml:space="preserve">Anticipando </w:t>
      </w:r>
      <w:r w:rsidR="003615C0" w:rsidRPr="00C332F1">
        <w:rPr>
          <w:color w:val="auto"/>
          <w:lang w:val="es-ES_tradnl"/>
        </w:rPr>
        <w:t>un</w:t>
      </w:r>
      <w:r w:rsidR="008F033D" w:rsidRPr="00C332F1">
        <w:rPr>
          <w:color w:val="auto"/>
          <w:lang w:val="es-ES_tradnl"/>
        </w:rPr>
        <w:t xml:space="preserve"> fraude electoral</w:t>
      </w:r>
      <w:r w:rsidR="00F33D7A" w:rsidRPr="00C332F1">
        <w:rPr>
          <w:color w:val="auto"/>
          <w:lang w:val="es-US"/>
        </w:rPr>
        <w:t xml:space="preserve">, la oposición recopiló </w:t>
      </w:r>
      <w:r w:rsidR="008B57E4" w:rsidRPr="00C332F1">
        <w:rPr>
          <w:color w:val="auto"/>
          <w:lang w:val="es-US"/>
        </w:rPr>
        <w:t>más</w:t>
      </w:r>
      <w:r w:rsidR="00F33D7A" w:rsidRPr="00C332F1">
        <w:rPr>
          <w:color w:val="auto"/>
          <w:lang w:val="es-US"/>
        </w:rPr>
        <w:t xml:space="preserve"> del </w:t>
      </w:r>
      <w:r w:rsidR="008B57E4" w:rsidRPr="00C332F1">
        <w:rPr>
          <w:color w:val="auto"/>
          <w:lang w:val="es-US"/>
        </w:rPr>
        <w:t>80</w:t>
      </w:r>
      <w:r w:rsidR="00F33D7A" w:rsidRPr="00C332F1">
        <w:rPr>
          <w:color w:val="auto"/>
          <w:lang w:val="es-US"/>
        </w:rPr>
        <w:t xml:space="preserve">% de las actas </w:t>
      </w:r>
      <w:r w:rsidR="00EB1FC9" w:rsidRPr="00C332F1">
        <w:rPr>
          <w:color w:val="auto"/>
          <w:lang w:val="es-US"/>
        </w:rPr>
        <w:t xml:space="preserve">digitalizadas </w:t>
      </w:r>
      <w:r w:rsidR="00F33D7A" w:rsidRPr="00C332F1">
        <w:rPr>
          <w:color w:val="auto"/>
          <w:lang w:val="es-US"/>
        </w:rPr>
        <w:t>a nivel nacional,</w:t>
      </w:r>
      <w:r w:rsidR="000568F5" w:rsidRPr="00C332F1">
        <w:rPr>
          <w:color w:val="auto"/>
          <w:lang w:val="es-US"/>
        </w:rPr>
        <w:t xml:space="preserve"> con el objetivo de</w:t>
      </w:r>
      <w:r w:rsidR="00722735" w:rsidRPr="00C332F1">
        <w:rPr>
          <w:color w:val="auto"/>
          <w:lang w:val="es-US"/>
        </w:rPr>
        <w:t xml:space="preserve"> asegurar transparencia </w:t>
      </w:r>
      <w:r w:rsidR="006B0941" w:rsidRPr="00C332F1">
        <w:rPr>
          <w:color w:val="auto"/>
          <w:lang w:val="es-US"/>
        </w:rPr>
        <w:t xml:space="preserve">y </w:t>
      </w:r>
      <w:r w:rsidR="003A2BF4" w:rsidRPr="00C332F1">
        <w:rPr>
          <w:color w:val="auto"/>
          <w:lang w:val="es-US"/>
        </w:rPr>
        <w:t>credibilidad</w:t>
      </w:r>
      <w:r w:rsidR="006B0941" w:rsidRPr="00C332F1">
        <w:rPr>
          <w:color w:val="auto"/>
          <w:lang w:val="es-US"/>
        </w:rPr>
        <w:t xml:space="preserve"> </w:t>
      </w:r>
      <w:r w:rsidR="003A2BF4" w:rsidRPr="00C332F1">
        <w:rPr>
          <w:color w:val="auto"/>
          <w:lang w:val="es-US"/>
        </w:rPr>
        <w:t>de</w:t>
      </w:r>
      <w:r w:rsidR="00722735" w:rsidRPr="00C332F1">
        <w:rPr>
          <w:color w:val="auto"/>
          <w:lang w:val="es-US"/>
        </w:rPr>
        <w:t xml:space="preserve"> los resultados de la contienda</w:t>
      </w:r>
      <w:r w:rsidR="00D0196F" w:rsidRPr="00C332F1">
        <w:rPr>
          <w:color w:val="auto"/>
          <w:lang w:val="es-US"/>
        </w:rPr>
        <w:t xml:space="preserve">. </w:t>
      </w:r>
      <w:r w:rsidR="00D6312D" w:rsidRPr="00C332F1">
        <w:rPr>
          <w:color w:val="auto"/>
          <w:lang w:val="es-US"/>
        </w:rPr>
        <w:t xml:space="preserve">La totalización de los votos contenidos en estas actas </w:t>
      </w:r>
      <w:r w:rsidR="007F0B7F" w:rsidRPr="00C332F1">
        <w:rPr>
          <w:color w:val="auto"/>
          <w:lang w:val="es-US"/>
        </w:rPr>
        <w:t>dar</w:t>
      </w:r>
      <w:r w:rsidR="00626B35" w:rsidRPr="00C332F1">
        <w:rPr>
          <w:color w:val="auto"/>
          <w:lang w:val="es-US"/>
        </w:rPr>
        <w:t>ía</w:t>
      </w:r>
      <w:r w:rsidR="000827A7" w:rsidRPr="00C332F1">
        <w:rPr>
          <w:color w:val="auto"/>
          <w:lang w:val="es-US"/>
        </w:rPr>
        <w:t xml:space="preserve"> la victoria </w:t>
      </w:r>
      <w:r w:rsidR="007F0B7F" w:rsidRPr="00C332F1">
        <w:rPr>
          <w:color w:val="auto"/>
          <w:lang w:val="es-US"/>
        </w:rPr>
        <w:t>a</w:t>
      </w:r>
      <w:r w:rsidR="000827A7" w:rsidRPr="00C332F1">
        <w:rPr>
          <w:color w:val="auto"/>
          <w:lang w:val="es-US"/>
        </w:rPr>
        <w:t>l candidato</w:t>
      </w:r>
      <w:r w:rsidR="00D0196F" w:rsidRPr="00C332F1">
        <w:rPr>
          <w:color w:val="auto"/>
          <w:lang w:val="es-US"/>
        </w:rPr>
        <w:t xml:space="preserve"> opositor </w:t>
      </w:r>
      <w:r w:rsidR="00F33D7A" w:rsidRPr="00C332F1">
        <w:rPr>
          <w:color w:val="auto"/>
          <w:lang w:val="es-US"/>
        </w:rPr>
        <w:t>Edmundo González Urrutia</w:t>
      </w:r>
      <w:r w:rsidR="000827A7" w:rsidRPr="00C332F1">
        <w:rPr>
          <w:color w:val="auto"/>
          <w:lang w:val="es-US"/>
        </w:rPr>
        <w:t xml:space="preserve">, </w:t>
      </w:r>
      <w:r w:rsidR="00626B35" w:rsidRPr="00C332F1">
        <w:rPr>
          <w:color w:val="auto"/>
          <w:lang w:val="es-US"/>
        </w:rPr>
        <w:t>con un</w:t>
      </w:r>
      <w:r w:rsidR="000827A7" w:rsidRPr="00C332F1">
        <w:rPr>
          <w:color w:val="auto"/>
          <w:lang w:val="es-US"/>
        </w:rPr>
        <w:t xml:space="preserve"> 67%</w:t>
      </w:r>
      <w:r w:rsidR="00626B35" w:rsidRPr="00C332F1">
        <w:rPr>
          <w:color w:val="auto"/>
          <w:lang w:val="es-US"/>
        </w:rPr>
        <w:t xml:space="preserve"> de los sufragios</w:t>
      </w:r>
      <w:r w:rsidR="004D06F9" w:rsidRPr="00C332F1">
        <w:rPr>
          <w:color w:val="auto"/>
          <w:lang w:val="es-US"/>
        </w:rPr>
        <w:t>.</w:t>
      </w:r>
    </w:p>
    <w:p w14:paraId="0F1EF28E" w14:textId="09521312" w:rsidR="00805D07" w:rsidRPr="00C332F1" w:rsidRDefault="00805D07" w:rsidP="00AD373C">
      <w:pPr>
        <w:pStyle w:val="IAPrrafo"/>
        <w:rPr>
          <w:lang w:val="es-ES_tradnl"/>
        </w:rPr>
      </w:pPr>
      <w:r w:rsidRPr="00C332F1">
        <w:rPr>
          <w:lang w:val="es-ES_tradnl"/>
        </w:rPr>
        <w:t>La percepción de fraude e</w:t>
      </w:r>
      <w:r w:rsidR="00EA6BC7" w:rsidRPr="00C332F1">
        <w:rPr>
          <w:lang w:val="es-ES_tradnl"/>
        </w:rPr>
        <w:t>n</w:t>
      </w:r>
      <w:r w:rsidRPr="00C332F1">
        <w:rPr>
          <w:lang w:val="es-ES_tradnl"/>
        </w:rPr>
        <w:t xml:space="preserve"> la ciudadanía desencadenó cerca de 300 manifestaciones espontáneas, lideradas principalmente por hombres</w:t>
      </w:r>
      <w:r w:rsidR="00EA6204" w:rsidRPr="00C332F1">
        <w:rPr>
          <w:lang w:val="es-ES_tradnl"/>
        </w:rPr>
        <w:t xml:space="preserve"> jóvenes</w:t>
      </w:r>
      <w:r w:rsidRPr="00C332F1">
        <w:rPr>
          <w:lang w:val="es-ES_tradnl"/>
        </w:rPr>
        <w:t xml:space="preserve"> en situación de pobreza. En respuesta, el régimen implementó una tercera etapa de represión sistemática, </w:t>
      </w:r>
      <w:r w:rsidR="004043EF" w:rsidRPr="00C332F1">
        <w:rPr>
          <w:lang w:val="es-ES_tradnl"/>
        </w:rPr>
        <w:t>incrementando</w:t>
      </w:r>
      <w:r w:rsidRPr="00C332F1">
        <w:rPr>
          <w:lang w:val="es-ES_tradnl"/>
        </w:rPr>
        <w:t xml:space="preserve"> el terror como herramienta de control social. Las autoridades</w:t>
      </w:r>
      <w:r w:rsidR="00095F96" w:rsidRPr="00C332F1">
        <w:rPr>
          <w:lang w:val="es-ES_tradnl"/>
        </w:rPr>
        <w:t xml:space="preserve"> movilizaron grupos de civiles de choque contra las manifestaciones y</w:t>
      </w:r>
      <w:r w:rsidRPr="00C332F1">
        <w:rPr>
          <w:lang w:val="es-ES_tradnl"/>
        </w:rPr>
        <w:t xml:space="preserve"> lanzaron la “Operación Tun Tun,” aludiendo al sonido característico de agentes tocando puertas antes de realizar detenciones. Esta operación dejó al menos 2</w:t>
      </w:r>
      <w:r w:rsidR="002C7276" w:rsidRPr="00C332F1">
        <w:rPr>
          <w:lang w:val="es-ES_tradnl"/>
        </w:rPr>
        <w:t>5</w:t>
      </w:r>
      <w:r w:rsidRPr="00C332F1">
        <w:rPr>
          <w:lang w:val="es-ES_tradnl"/>
        </w:rPr>
        <w:t xml:space="preserve"> asesinatos, decenas de desapariciones forzadas breves, unas 2</w:t>
      </w:r>
      <w:r w:rsidR="003C383A" w:rsidRPr="00C332F1">
        <w:rPr>
          <w:lang w:val="es-ES_tradnl"/>
        </w:rPr>
        <w:t>.</w:t>
      </w:r>
      <w:r w:rsidRPr="00C332F1">
        <w:rPr>
          <w:lang w:val="es-ES_tradnl"/>
        </w:rPr>
        <w:t xml:space="preserve">000 detenciones arbitrarias —incluyendo </w:t>
      </w:r>
      <w:r w:rsidR="00D10B59" w:rsidRPr="00C332F1">
        <w:rPr>
          <w:lang w:val="es-ES_tradnl"/>
        </w:rPr>
        <w:t>niñas, niños y adolescentes</w:t>
      </w:r>
      <w:r w:rsidRPr="00C332F1">
        <w:rPr>
          <w:lang w:val="es-ES_tradnl"/>
        </w:rPr>
        <w:t>—, torturas, tratos crueles, inhumanos y degradantes, y graves violaciones a las garantías judiciales y la libertad de expresión. Además, se emplearon tácticas como detenciones masivas, allanamientos sin orden judicial, marcación de viviendas opositoras</w:t>
      </w:r>
      <w:r w:rsidR="00104A5E" w:rsidRPr="00C332F1">
        <w:rPr>
          <w:lang w:val="es-ES_tradnl"/>
        </w:rPr>
        <w:t>,</w:t>
      </w:r>
      <w:r w:rsidRPr="00C332F1">
        <w:rPr>
          <w:lang w:val="es-ES_tradnl"/>
        </w:rPr>
        <w:t xml:space="preserve"> redadas en barrios populares</w:t>
      </w:r>
      <w:r w:rsidR="00104A5E" w:rsidRPr="00C332F1">
        <w:rPr>
          <w:lang w:val="es-ES_tradnl"/>
        </w:rPr>
        <w:t xml:space="preserve"> y</w:t>
      </w:r>
      <w:r w:rsidR="00104A5E" w:rsidRPr="00C332F1">
        <w:rPr>
          <w:lang w:val="es-ES"/>
        </w:rPr>
        <w:t xml:space="preserve"> cancelación</w:t>
      </w:r>
      <w:r w:rsidR="00986A1C" w:rsidRPr="00C332F1">
        <w:rPr>
          <w:lang w:val="es-ES"/>
        </w:rPr>
        <w:t xml:space="preserve"> abrupta</w:t>
      </w:r>
      <w:r w:rsidR="00104A5E" w:rsidRPr="00C332F1">
        <w:rPr>
          <w:lang w:val="es-ES"/>
        </w:rPr>
        <w:t xml:space="preserve"> de pasaportes</w:t>
      </w:r>
      <w:r w:rsidR="00986A1C" w:rsidRPr="00C332F1">
        <w:rPr>
          <w:lang w:val="es-ES"/>
        </w:rPr>
        <w:t>.</w:t>
      </w:r>
    </w:p>
    <w:p w14:paraId="59908E75" w14:textId="0A44A61C" w:rsidR="00913EB9" w:rsidRPr="00C332F1" w:rsidRDefault="00913EB9" w:rsidP="00AD373C">
      <w:pPr>
        <w:pStyle w:val="IAPrrafo"/>
        <w:rPr>
          <w:szCs w:val="20"/>
          <w:lang w:val="es-ES_tradnl"/>
        </w:rPr>
      </w:pPr>
      <w:r w:rsidRPr="00C332F1">
        <w:rPr>
          <w:szCs w:val="20"/>
          <w:lang w:val="es-ES_tradnl"/>
        </w:rPr>
        <w:t xml:space="preserve">La crisis política </w:t>
      </w:r>
      <w:r w:rsidR="008B7CE0" w:rsidRPr="00C332F1">
        <w:rPr>
          <w:szCs w:val="20"/>
          <w:lang w:val="es-ES_tradnl"/>
        </w:rPr>
        <w:t xml:space="preserve">y derechos humanos en </w:t>
      </w:r>
      <w:r w:rsidRPr="00C332F1">
        <w:rPr>
          <w:szCs w:val="20"/>
          <w:lang w:val="es-ES_tradnl"/>
        </w:rPr>
        <w:t xml:space="preserve">Venezuela </w:t>
      </w:r>
      <w:r w:rsidR="008B7CE0" w:rsidRPr="00C332F1">
        <w:rPr>
          <w:szCs w:val="20"/>
          <w:lang w:val="es-ES_tradnl"/>
        </w:rPr>
        <w:t xml:space="preserve">es el resultado </w:t>
      </w:r>
      <w:r w:rsidRPr="00C332F1">
        <w:rPr>
          <w:szCs w:val="20"/>
          <w:lang w:val="es-ES_tradnl"/>
        </w:rPr>
        <w:t xml:space="preserve">de la cooptación </w:t>
      </w:r>
      <w:r w:rsidR="00D64ADB" w:rsidRPr="00C332F1">
        <w:rPr>
          <w:szCs w:val="20"/>
          <w:lang w:val="es-ES_tradnl"/>
        </w:rPr>
        <w:t xml:space="preserve">total </w:t>
      </w:r>
      <w:r w:rsidRPr="00C332F1">
        <w:rPr>
          <w:szCs w:val="20"/>
          <w:lang w:val="es-ES_tradnl"/>
        </w:rPr>
        <w:t>de las instituciones estatales por parte de</w:t>
      </w:r>
      <w:r w:rsidR="00D64ADB" w:rsidRPr="00C332F1">
        <w:rPr>
          <w:szCs w:val="20"/>
          <w:lang w:val="es-ES_tradnl"/>
        </w:rPr>
        <w:t xml:space="preserve"> un régimen que busca </w:t>
      </w:r>
      <w:r w:rsidR="00F9652C" w:rsidRPr="00C332F1">
        <w:rPr>
          <w:szCs w:val="20"/>
          <w:lang w:val="es-ES_tradnl"/>
        </w:rPr>
        <w:t xml:space="preserve">sobre todo </w:t>
      </w:r>
      <w:r w:rsidR="00D64ADB" w:rsidRPr="00C332F1">
        <w:rPr>
          <w:szCs w:val="20"/>
          <w:lang w:val="es-ES_tradnl"/>
        </w:rPr>
        <w:t>mantenerse ilegítimamente en el poder</w:t>
      </w:r>
      <w:r w:rsidRPr="00C332F1">
        <w:rPr>
          <w:szCs w:val="20"/>
          <w:lang w:val="es-ES_tradnl"/>
        </w:rPr>
        <w:t xml:space="preserve">. El control </w:t>
      </w:r>
      <w:r w:rsidR="001B00D6" w:rsidRPr="00C332F1">
        <w:rPr>
          <w:szCs w:val="20"/>
          <w:lang w:val="es-ES_tradnl"/>
        </w:rPr>
        <w:t>de las instituciones diseñadas para promover y proteger los derechos humanos</w:t>
      </w:r>
      <w:r w:rsidR="002A011D" w:rsidRPr="00C332F1">
        <w:rPr>
          <w:szCs w:val="20"/>
          <w:lang w:val="es-ES_tradnl"/>
        </w:rPr>
        <w:t xml:space="preserve"> y la democracia</w:t>
      </w:r>
      <w:r w:rsidR="001B00D6" w:rsidRPr="00C332F1">
        <w:rPr>
          <w:szCs w:val="20"/>
          <w:lang w:val="es-ES_tradnl"/>
        </w:rPr>
        <w:t xml:space="preserve">, </w:t>
      </w:r>
      <w:r w:rsidRPr="00C332F1">
        <w:rPr>
          <w:szCs w:val="20"/>
          <w:lang w:val="es-ES_tradnl"/>
        </w:rPr>
        <w:t>junto con la corrupción a gran escala</w:t>
      </w:r>
      <w:r w:rsidR="003C44EB" w:rsidRPr="00C332F1">
        <w:rPr>
          <w:szCs w:val="20"/>
          <w:lang w:val="es-ES_tradnl"/>
        </w:rPr>
        <w:t xml:space="preserve"> </w:t>
      </w:r>
      <w:r w:rsidR="00230667" w:rsidRPr="00C332F1">
        <w:rPr>
          <w:szCs w:val="20"/>
          <w:lang w:val="es-ES_tradnl"/>
        </w:rPr>
        <w:t>para</w:t>
      </w:r>
      <w:r w:rsidR="003C44EB" w:rsidRPr="00C332F1">
        <w:rPr>
          <w:szCs w:val="20"/>
          <w:lang w:val="es-ES_tradnl"/>
        </w:rPr>
        <w:t xml:space="preserve"> el recaudo de rentas lícitas e ilícitas</w:t>
      </w:r>
      <w:r w:rsidRPr="00C332F1">
        <w:rPr>
          <w:szCs w:val="20"/>
          <w:lang w:val="es-ES_tradnl"/>
        </w:rPr>
        <w:t xml:space="preserve">, han sido fundamentales para garantizar </w:t>
      </w:r>
      <w:r w:rsidR="001B00D6" w:rsidRPr="00C332F1">
        <w:rPr>
          <w:szCs w:val="20"/>
          <w:lang w:val="es-ES_tradnl"/>
        </w:rPr>
        <w:t>el actuar impune de las fuerzas de seguridad</w:t>
      </w:r>
      <w:r w:rsidR="00A14F05">
        <w:rPr>
          <w:rFonts w:ascii="ZWAdobeF" w:hAnsi="ZWAdobeF" w:cs="ZWAdobeF"/>
          <w:color w:val="auto"/>
          <w:sz w:val="2"/>
          <w:szCs w:val="2"/>
          <w:lang w:val="es-ES_tradnl"/>
        </w:rPr>
        <w:t>2F</w:t>
      </w:r>
      <w:r w:rsidR="0087559B" w:rsidRPr="005C52BD">
        <w:rPr>
          <w:rStyle w:val="FootnoteReference"/>
          <w:color w:val="auto"/>
          <w:sz w:val="20"/>
          <w:szCs w:val="20"/>
          <w:lang w:val="es-US"/>
        </w:rPr>
        <w:footnoteReference w:id="4"/>
      </w:r>
      <w:r w:rsidRPr="00C332F1">
        <w:rPr>
          <w:szCs w:val="20"/>
          <w:lang w:val="es-ES_tradnl"/>
        </w:rPr>
        <w:t xml:space="preserve">. Estas acciones no solo han comprometido la gobernanza, sino que también han afectado </w:t>
      </w:r>
      <w:r w:rsidR="00AA3920" w:rsidRPr="00C332F1">
        <w:rPr>
          <w:szCs w:val="20"/>
          <w:lang w:val="es-ES_tradnl"/>
        </w:rPr>
        <w:t xml:space="preserve">de modo significativo </w:t>
      </w:r>
      <w:r w:rsidR="002E6406" w:rsidRPr="00C332F1">
        <w:rPr>
          <w:szCs w:val="20"/>
          <w:lang w:val="es-ES_tradnl"/>
        </w:rPr>
        <w:t xml:space="preserve">el goce de </w:t>
      </w:r>
      <w:r w:rsidRPr="00C332F1">
        <w:rPr>
          <w:szCs w:val="20"/>
          <w:lang w:val="es-ES_tradnl"/>
        </w:rPr>
        <w:t xml:space="preserve">los derechos humanos, </w:t>
      </w:r>
      <w:r w:rsidR="00F9652C" w:rsidRPr="00C332F1">
        <w:rPr>
          <w:szCs w:val="20"/>
          <w:lang w:val="es-ES_tradnl"/>
        </w:rPr>
        <w:t xml:space="preserve">en </w:t>
      </w:r>
      <w:r w:rsidRPr="00C332F1">
        <w:rPr>
          <w:szCs w:val="20"/>
          <w:lang w:val="es-ES_tradnl"/>
        </w:rPr>
        <w:t xml:space="preserve">especial </w:t>
      </w:r>
      <w:r w:rsidR="002E6406" w:rsidRPr="00C332F1">
        <w:rPr>
          <w:szCs w:val="20"/>
          <w:lang w:val="es-ES_tradnl"/>
        </w:rPr>
        <w:t>en</w:t>
      </w:r>
      <w:r w:rsidRPr="00C332F1">
        <w:rPr>
          <w:szCs w:val="20"/>
          <w:lang w:val="es-ES_tradnl"/>
        </w:rPr>
        <w:t xml:space="preserve"> grupos históricamente</w:t>
      </w:r>
      <w:r w:rsidR="00045A4B" w:rsidRPr="00C332F1">
        <w:rPr>
          <w:szCs w:val="20"/>
          <w:lang w:val="es-ES_tradnl"/>
        </w:rPr>
        <w:t xml:space="preserve"> discriminados </w:t>
      </w:r>
      <w:r w:rsidRPr="00C332F1">
        <w:rPr>
          <w:szCs w:val="20"/>
          <w:lang w:val="es-ES_tradnl"/>
        </w:rPr>
        <w:t xml:space="preserve">como pueblos indígenas, personas afrodescendientes, mujeres, personas </w:t>
      </w:r>
      <w:r w:rsidR="006C72B1" w:rsidRPr="00C332F1">
        <w:rPr>
          <w:szCs w:val="20"/>
          <w:lang w:val="es-ES_tradnl"/>
        </w:rPr>
        <w:t>L</w:t>
      </w:r>
      <w:r w:rsidRPr="00C332F1">
        <w:rPr>
          <w:szCs w:val="20"/>
          <w:lang w:val="es-ES_tradnl"/>
        </w:rPr>
        <w:t>GBTI, niños, niñas y adolescentes, personas mayores, así como aquellos en situación de pobreza y pobreza extrema.</w:t>
      </w:r>
    </w:p>
    <w:p w14:paraId="014CCBBC" w14:textId="76063B43" w:rsidR="00305438" w:rsidRPr="00C332F1" w:rsidRDefault="0050258C" w:rsidP="00AD373C">
      <w:pPr>
        <w:pStyle w:val="IAPrrafo"/>
        <w:rPr>
          <w:lang w:val="es-ES"/>
        </w:rPr>
      </w:pPr>
      <w:r w:rsidRPr="00C332F1">
        <w:rPr>
          <w:lang w:val="es-ES"/>
        </w:rPr>
        <w:t xml:space="preserve">Este informe </w:t>
      </w:r>
      <w:r w:rsidR="00556B75" w:rsidRPr="00C332F1">
        <w:rPr>
          <w:lang w:val="es-ES"/>
        </w:rPr>
        <w:t xml:space="preserve">se divide en </w:t>
      </w:r>
      <w:r w:rsidR="00E45BCA" w:rsidRPr="00C332F1">
        <w:rPr>
          <w:lang w:val="es-ES"/>
        </w:rPr>
        <w:t>cinco</w:t>
      </w:r>
      <w:r w:rsidR="00556B75" w:rsidRPr="00C332F1">
        <w:rPr>
          <w:lang w:val="es-ES"/>
        </w:rPr>
        <w:t xml:space="preserve"> capítulos.</w:t>
      </w:r>
      <w:r w:rsidR="00386547" w:rsidRPr="00C332F1">
        <w:rPr>
          <w:lang w:val="es-ES"/>
        </w:rPr>
        <w:t xml:space="preserve"> </w:t>
      </w:r>
      <w:r w:rsidR="003C46E7" w:rsidRPr="00C332F1">
        <w:rPr>
          <w:lang w:val="es-ES"/>
        </w:rPr>
        <w:t xml:space="preserve">Posterior a </w:t>
      </w:r>
      <w:r w:rsidR="00E45BCA" w:rsidRPr="00C332F1">
        <w:rPr>
          <w:lang w:val="es-ES"/>
        </w:rPr>
        <w:t>la</w:t>
      </w:r>
      <w:r w:rsidR="003C46E7" w:rsidRPr="00C332F1">
        <w:rPr>
          <w:lang w:val="es-ES"/>
        </w:rPr>
        <w:t xml:space="preserve"> introducción</w:t>
      </w:r>
      <w:r w:rsidR="00305438" w:rsidRPr="00C332F1">
        <w:rPr>
          <w:lang w:val="es-ES"/>
        </w:rPr>
        <w:t>,</w:t>
      </w:r>
      <w:r w:rsidR="00556B75" w:rsidRPr="00C332F1">
        <w:rPr>
          <w:lang w:val="es-ES"/>
        </w:rPr>
        <w:t xml:space="preserve"> el segundo </w:t>
      </w:r>
      <w:r w:rsidR="00824927" w:rsidRPr="00C332F1">
        <w:rPr>
          <w:lang w:val="es-ES"/>
        </w:rPr>
        <w:t xml:space="preserve">capítulo </w:t>
      </w:r>
      <w:r w:rsidR="008F23B6" w:rsidRPr="00C332F1">
        <w:rPr>
          <w:lang w:val="es-ES"/>
        </w:rPr>
        <w:t xml:space="preserve">presenta </w:t>
      </w:r>
      <w:r w:rsidR="00556B75" w:rsidRPr="00C332F1">
        <w:rPr>
          <w:lang w:val="es-ES"/>
        </w:rPr>
        <w:t>los elementos que</w:t>
      </w:r>
      <w:r w:rsidR="008F23B6" w:rsidRPr="00C332F1">
        <w:rPr>
          <w:lang w:val="es-ES"/>
        </w:rPr>
        <w:t xml:space="preserve"> justifican la inclusión de Venezuela en el capítulo IV.B del Informe Anual 2024</w:t>
      </w:r>
      <w:r w:rsidR="00452BA0" w:rsidRPr="00C332F1">
        <w:rPr>
          <w:lang w:val="es-ES"/>
        </w:rPr>
        <w:t xml:space="preserve"> de la CIDH</w:t>
      </w:r>
      <w:r w:rsidR="008F23B6" w:rsidRPr="00C332F1">
        <w:rPr>
          <w:lang w:val="es-ES"/>
        </w:rPr>
        <w:t>.</w:t>
      </w:r>
      <w:r w:rsidR="00556B75" w:rsidRPr="00C332F1">
        <w:rPr>
          <w:lang w:val="es-ES"/>
        </w:rPr>
        <w:t xml:space="preserve"> </w:t>
      </w:r>
      <w:r w:rsidR="008F23B6" w:rsidRPr="00C332F1">
        <w:rPr>
          <w:lang w:val="es-ES"/>
        </w:rPr>
        <w:t>El capítulo</w:t>
      </w:r>
      <w:r w:rsidR="003C46E7" w:rsidRPr="00C332F1">
        <w:rPr>
          <w:lang w:val="es-ES"/>
        </w:rPr>
        <w:t xml:space="preserve"> tres</w:t>
      </w:r>
      <w:r w:rsidR="00305438" w:rsidRPr="00C332F1">
        <w:rPr>
          <w:lang w:val="es-ES"/>
        </w:rPr>
        <w:t xml:space="preserve"> documenta la </w:t>
      </w:r>
      <w:r w:rsidR="00305438" w:rsidRPr="00C332F1">
        <w:rPr>
          <w:lang w:val="es-US"/>
        </w:rPr>
        <w:t>afectación grave del orden democrático y de los derechos políticos</w:t>
      </w:r>
      <w:r w:rsidR="00A07705" w:rsidRPr="00C332F1">
        <w:rPr>
          <w:lang w:val="es-US"/>
        </w:rPr>
        <w:t xml:space="preserve"> en el marco de la elección presidencial</w:t>
      </w:r>
      <w:r w:rsidR="00305438" w:rsidRPr="00C332F1">
        <w:rPr>
          <w:lang w:val="es-US"/>
        </w:rPr>
        <w:t xml:space="preserve">, </w:t>
      </w:r>
      <w:r w:rsidR="00E669BE" w:rsidRPr="00C332F1">
        <w:rPr>
          <w:lang w:val="es-US"/>
        </w:rPr>
        <w:t>lo que incluye</w:t>
      </w:r>
      <w:r w:rsidR="002B4D98" w:rsidRPr="00C332F1">
        <w:rPr>
          <w:lang w:val="es-US"/>
        </w:rPr>
        <w:t xml:space="preserve"> </w:t>
      </w:r>
      <w:r w:rsidR="59D23C37" w:rsidRPr="00C332F1">
        <w:rPr>
          <w:lang w:val="es-US"/>
        </w:rPr>
        <w:t xml:space="preserve">la respuesta represiva del Estado y </w:t>
      </w:r>
      <w:r w:rsidR="002B4D98" w:rsidRPr="00C332F1">
        <w:rPr>
          <w:lang w:val="es-US"/>
        </w:rPr>
        <w:t>la situación de la libertad de expresi</w:t>
      </w:r>
      <w:r w:rsidR="00240C65" w:rsidRPr="00C332F1">
        <w:rPr>
          <w:lang w:val="es-US"/>
        </w:rPr>
        <w:t>ón</w:t>
      </w:r>
      <w:r w:rsidR="002B4D98" w:rsidRPr="00C332F1">
        <w:rPr>
          <w:lang w:val="es-US"/>
        </w:rPr>
        <w:t xml:space="preserve">. </w:t>
      </w:r>
      <w:r w:rsidR="006D060C" w:rsidRPr="00C332F1">
        <w:rPr>
          <w:lang w:val="es-US"/>
        </w:rPr>
        <w:t>Dada la cooptación de las instituciones del Estado y la desatención a las políticas públicas, el</w:t>
      </w:r>
      <w:r w:rsidR="002B4D98" w:rsidRPr="00C332F1">
        <w:rPr>
          <w:lang w:val="es-US"/>
        </w:rPr>
        <w:t xml:space="preserve"> </w:t>
      </w:r>
      <w:r w:rsidR="00E669BE" w:rsidRPr="00C332F1">
        <w:rPr>
          <w:lang w:val="es-US"/>
        </w:rPr>
        <w:t>cuarto</w:t>
      </w:r>
      <w:r w:rsidR="00112128" w:rsidRPr="00C332F1">
        <w:rPr>
          <w:lang w:val="es-US"/>
        </w:rPr>
        <w:t xml:space="preserve"> capítulo</w:t>
      </w:r>
      <w:r w:rsidR="00452BA0" w:rsidRPr="00C332F1">
        <w:rPr>
          <w:lang w:val="es-US"/>
        </w:rPr>
        <w:t xml:space="preserve"> presenta l</w:t>
      </w:r>
      <w:r w:rsidR="006D4304" w:rsidRPr="00C332F1">
        <w:rPr>
          <w:lang w:val="es-US"/>
        </w:rPr>
        <w:t>os persistentes desafíos para el goce de los derechos económicos, sociales, culturales y ambientales</w:t>
      </w:r>
      <w:r w:rsidR="00F1167E" w:rsidRPr="00C332F1">
        <w:rPr>
          <w:lang w:val="es-US"/>
        </w:rPr>
        <w:t xml:space="preserve"> (DESCA)</w:t>
      </w:r>
      <w:r w:rsidR="006D4304" w:rsidRPr="00C332F1">
        <w:rPr>
          <w:lang w:val="es-US"/>
        </w:rPr>
        <w:t>.</w:t>
      </w:r>
      <w:r w:rsidR="001C26B7" w:rsidRPr="00C332F1">
        <w:rPr>
          <w:lang w:val="es-US"/>
        </w:rPr>
        <w:t xml:space="preserve"> </w:t>
      </w:r>
      <w:r w:rsidR="001025C2" w:rsidRPr="00C332F1">
        <w:rPr>
          <w:lang w:val="es-US"/>
        </w:rPr>
        <w:t>Este apartado</w:t>
      </w:r>
      <w:r w:rsidR="00E669BE" w:rsidRPr="00C332F1">
        <w:rPr>
          <w:lang w:val="es-US"/>
        </w:rPr>
        <w:t xml:space="preserve"> también desarrolla la situación de grupos </w:t>
      </w:r>
      <w:r w:rsidR="001025C2" w:rsidRPr="00C332F1">
        <w:rPr>
          <w:lang w:val="es-US"/>
        </w:rPr>
        <w:t xml:space="preserve">que históricamente han padecido discriminación estructural. </w:t>
      </w:r>
      <w:r w:rsidR="001C26B7" w:rsidRPr="00C332F1">
        <w:rPr>
          <w:lang w:val="es-US"/>
        </w:rPr>
        <w:t>El último capítulo</w:t>
      </w:r>
      <w:r w:rsidR="00450084" w:rsidRPr="00C332F1">
        <w:rPr>
          <w:lang w:val="es-US"/>
        </w:rPr>
        <w:t xml:space="preserve"> </w:t>
      </w:r>
      <w:r w:rsidR="001B6589" w:rsidRPr="00C332F1">
        <w:rPr>
          <w:lang w:val="es-US"/>
        </w:rPr>
        <w:t xml:space="preserve">esboza una conclusión y una serie de recomendaciones </w:t>
      </w:r>
      <w:r w:rsidR="00CF23D8" w:rsidRPr="00C332F1">
        <w:rPr>
          <w:lang w:val="es-US"/>
        </w:rPr>
        <w:t>para el respecto y la garantía de los derechos humanos en Venezuela.</w:t>
      </w:r>
    </w:p>
    <w:p w14:paraId="1CAD3D22" w14:textId="6385264B" w:rsidR="007262BA" w:rsidRPr="00C332F1" w:rsidRDefault="00AD588D" w:rsidP="00AD373C">
      <w:pPr>
        <w:pStyle w:val="IAPrrafo"/>
        <w:rPr>
          <w:rFonts w:cs="Open Sans"/>
          <w:shd w:val="clear" w:color="auto" w:fill="FFFFFF"/>
          <w:lang w:val="es-US"/>
        </w:rPr>
      </w:pPr>
      <w:r w:rsidRPr="00C332F1">
        <w:rPr>
          <w:rFonts w:cs="Open Sans"/>
          <w:shd w:val="clear" w:color="auto" w:fill="FFFFFF"/>
          <w:lang w:val="es-US"/>
        </w:rPr>
        <w:t>La Comisión Interamericana de</w:t>
      </w:r>
      <w:r w:rsidR="000B3A18" w:rsidRPr="00C332F1">
        <w:rPr>
          <w:rFonts w:cs="Open Sans"/>
          <w:shd w:val="clear" w:color="auto" w:fill="FFFFFF"/>
          <w:lang w:val="es-US"/>
        </w:rPr>
        <w:t>staca que</w:t>
      </w:r>
      <w:r w:rsidR="00EB58A6" w:rsidRPr="00C332F1">
        <w:rPr>
          <w:rFonts w:cs="Open Sans"/>
          <w:shd w:val="clear" w:color="auto" w:fill="FFFFFF"/>
          <w:lang w:val="es-ES_tradnl"/>
        </w:rPr>
        <w:t xml:space="preserve"> el caso venezolano ilustra claramente la relación intrínseca entre los derechos humanos, la democracia y el Estado de Derecho. Estos tres elementos conforman una tríada en la que cada uno se define, complementa y cobra sentido en función de los otros. El colapso de esta tríada, provocado por la cooptación de los poderes públicos por parte del Poder Ejecutivo, facilitó el establecimiento de un</w:t>
      </w:r>
      <w:r w:rsidR="007E72C1" w:rsidRPr="00C332F1">
        <w:rPr>
          <w:rFonts w:cs="Open Sans"/>
          <w:shd w:val="clear" w:color="auto" w:fill="FFFFFF"/>
          <w:lang w:val="es-ES_tradnl"/>
        </w:rPr>
        <w:t xml:space="preserve"> </w:t>
      </w:r>
      <w:r w:rsidR="00C431A7" w:rsidRPr="00C332F1">
        <w:rPr>
          <w:rFonts w:cs="Open Sans"/>
          <w:shd w:val="clear" w:color="auto" w:fill="FFFFFF"/>
          <w:lang w:val="es-US"/>
        </w:rPr>
        <w:t>régimen</w:t>
      </w:r>
      <w:r w:rsidR="00EB58A6" w:rsidRPr="00C332F1">
        <w:rPr>
          <w:rFonts w:cs="Open Sans"/>
          <w:shd w:val="clear" w:color="auto" w:fill="FFFFFF"/>
          <w:lang w:val="es-ES_tradnl"/>
        </w:rPr>
        <w:t xml:space="preserve"> de facto.</w:t>
      </w:r>
    </w:p>
    <w:p w14:paraId="50922D8C" w14:textId="77777777" w:rsidR="005E4791" w:rsidRPr="00C332F1" w:rsidRDefault="005E4791" w:rsidP="00CC005C">
      <w:pPr>
        <w:pStyle w:val="IATtulo"/>
        <w:jc w:val="both"/>
        <w:rPr>
          <w:lang w:val="es-ES"/>
        </w:rPr>
      </w:pPr>
      <w:bookmarkStart w:id="4" w:name="_Toc195617450"/>
      <w:r w:rsidRPr="00C332F1">
        <w:rPr>
          <w:color w:val="auto"/>
          <w:lang w:val="es-US"/>
        </w:rPr>
        <w:t>PRESENCIA DE ELEMENTOS REGLAMENTARIOS QUE FAVORECEN LA INCLUSIÓN</w:t>
      </w:r>
      <w:bookmarkEnd w:id="4"/>
    </w:p>
    <w:p w14:paraId="12EA4049" w14:textId="77777777" w:rsidR="005E4791" w:rsidRPr="00C332F1" w:rsidRDefault="005E4791" w:rsidP="00AD373C">
      <w:pPr>
        <w:pStyle w:val="IAPrrafo"/>
        <w:rPr>
          <w:color w:val="auto"/>
          <w:lang w:val="es-ES_tradnl"/>
        </w:rPr>
      </w:pPr>
      <w:r w:rsidRPr="00C332F1">
        <w:rPr>
          <w:color w:val="auto"/>
          <w:lang w:val="es-ES_tradnl"/>
        </w:rPr>
        <w:t>Después de haber evaluado la situación de los derechos humanos en Venezuela, la Comisión decidió incluir a este país en el presente capítulo, de conformidad con el artículo 59, incisos 6.a.i, 6.a.ii, 6.d.i y 6.d.iii del Reglamento Interno, el cual establece los siguientes criterios:</w:t>
      </w:r>
    </w:p>
    <w:p w14:paraId="7F332A4C" w14:textId="499AAB82" w:rsidR="008E58A5" w:rsidRPr="00C332F1" w:rsidRDefault="005E4791" w:rsidP="00042648">
      <w:pPr>
        <w:pBdr>
          <w:top w:val="nil"/>
          <w:left w:val="nil"/>
          <w:bottom w:val="nil"/>
          <w:right w:val="nil"/>
          <w:between w:val="nil"/>
        </w:pBdr>
        <w:tabs>
          <w:tab w:val="left" w:pos="1440"/>
        </w:tabs>
        <w:ind w:left="1440" w:right="720" w:hanging="180"/>
        <w:jc w:val="both"/>
        <w:rPr>
          <w:rFonts w:ascii="Cambria" w:eastAsia="Cambria" w:hAnsi="Cambria" w:cs="Cambria"/>
          <w:sz w:val="20"/>
          <w:szCs w:val="20"/>
          <w:lang w:val="es-CO"/>
        </w:rPr>
      </w:pPr>
      <w:r w:rsidRPr="00C332F1">
        <w:rPr>
          <w:rFonts w:ascii="Cambria" w:eastAsia="Cambria" w:hAnsi="Cambria" w:cs="Cambria"/>
          <w:sz w:val="20"/>
          <w:szCs w:val="20"/>
          <w:lang w:val="es-CO"/>
        </w:rPr>
        <w:t>a.</w:t>
      </w:r>
      <w:r w:rsidR="00D02C5C" w:rsidRPr="00C332F1">
        <w:rPr>
          <w:rFonts w:ascii="Cambria" w:eastAsia="Cambria" w:hAnsi="Cambria" w:cs="Cambria"/>
          <w:sz w:val="20"/>
          <w:szCs w:val="20"/>
          <w:lang w:val="es-CO"/>
        </w:rPr>
        <w:t xml:space="preserve"> </w:t>
      </w:r>
      <w:r w:rsidRPr="00C332F1">
        <w:rPr>
          <w:rFonts w:ascii="Cambria" w:eastAsia="Cambria" w:hAnsi="Cambria" w:cs="Cambria"/>
          <w:sz w:val="20"/>
          <w:szCs w:val="20"/>
          <w:lang w:val="es-CO"/>
        </w:rPr>
        <w:t xml:space="preserve">Una violación grave de los elementos fundamentales y las instituciones de la democracia representativa previstos en la Carta Democrática Interamericana, que son medios esenciales para la realización de los derechos humanos, entre ellos: </w:t>
      </w:r>
    </w:p>
    <w:p w14:paraId="3F111926" w14:textId="77777777" w:rsidR="005E4791" w:rsidRPr="00C332F1" w:rsidRDefault="005E4791" w:rsidP="00042648">
      <w:pPr>
        <w:pBdr>
          <w:top w:val="nil"/>
          <w:left w:val="nil"/>
          <w:bottom w:val="nil"/>
          <w:right w:val="nil"/>
          <w:between w:val="nil"/>
        </w:pBdr>
        <w:tabs>
          <w:tab w:val="left" w:pos="8100"/>
        </w:tabs>
        <w:ind w:left="1440" w:right="720"/>
        <w:jc w:val="both"/>
        <w:rPr>
          <w:rFonts w:ascii="Cambria" w:eastAsia="Cambria" w:hAnsi="Cambria" w:cs="Cambria"/>
          <w:sz w:val="20"/>
          <w:szCs w:val="20"/>
          <w:lang w:val="es-CO"/>
        </w:rPr>
      </w:pPr>
    </w:p>
    <w:p w14:paraId="68EAAA61" w14:textId="77777777" w:rsidR="005E4791" w:rsidRPr="00C332F1" w:rsidRDefault="005E4791" w:rsidP="00042648">
      <w:pPr>
        <w:pBdr>
          <w:top w:val="nil"/>
          <w:left w:val="nil"/>
          <w:bottom w:val="nil"/>
          <w:right w:val="nil"/>
          <w:between w:val="nil"/>
        </w:pBdr>
        <w:tabs>
          <w:tab w:val="left" w:pos="8100"/>
        </w:tabs>
        <w:ind w:left="1710" w:right="720"/>
        <w:jc w:val="both"/>
        <w:rPr>
          <w:rFonts w:ascii="Cambria" w:eastAsia="Cambria" w:hAnsi="Cambria" w:cs="Cambria"/>
          <w:sz w:val="20"/>
          <w:szCs w:val="20"/>
          <w:lang w:val="es-CO"/>
        </w:rPr>
      </w:pPr>
      <w:r w:rsidRPr="00C332F1">
        <w:rPr>
          <w:rFonts w:ascii="Cambria" w:eastAsia="Cambria" w:hAnsi="Cambria" w:cs="Cambria"/>
          <w:sz w:val="20"/>
          <w:szCs w:val="20"/>
          <w:lang w:val="es-CO"/>
        </w:rPr>
        <w:t>i. 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w:t>
      </w:r>
    </w:p>
    <w:p w14:paraId="0D974659" w14:textId="77777777" w:rsidR="005E4791" w:rsidRPr="00C332F1" w:rsidRDefault="005E4791" w:rsidP="00042648">
      <w:pPr>
        <w:pBdr>
          <w:top w:val="nil"/>
          <w:left w:val="nil"/>
          <w:bottom w:val="nil"/>
          <w:right w:val="nil"/>
          <w:between w:val="nil"/>
        </w:pBdr>
        <w:tabs>
          <w:tab w:val="left" w:pos="8100"/>
        </w:tabs>
        <w:ind w:left="1440" w:right="720"/>
        <w:jc w:val="both"/>
        <w:rPr>
          <w:rFonts w:ascii="Cambria" w:eastAsia="Cambria" w:hAnsi="Cambria" w:cs="Cambria"/>
          <w:sz w:val="20"/>
          <w:szCs w:val="20"/>
          <w:lang w:val="es-CO"/>
        </w:rPr>
      </w:pPr>
    </w:p>
    <w:p w14:paraId="7F728883" w14:textId="681C708C" w:rsidR="005E4791" w:rsidRPr="00C332F1" w:rsidRDefault="005E4791" w:rsidP="00042648">
      <w:pPr>
        <w:pBdr>
          <w:top w:val="nil"/>
          <w:left w:val="nil"/>
          <w:bottom w:val="nil"/>
          <w:right w:val="nil"/>
          <w:between w:val="nil"/>
        </w:pBdr>
        <w:tabs>
          <w:tab w:val="left" w:pos="8100"/>
        </w:tabs>
        <w:ind w:left="1710" w:right="720"/>
        <w:jc w:val="both"/>
        <w:rPr>
          <w:rFonts w:ascii="Cambria" w:eastAsia="Cambria" w:hAnsi="Cambria" w:cs="Cambria"/>
          <w:sz w:val="20"/>
          <w:szCs w:val="20"/>
          <w:lang w:val="es-CO"/>
        </w:rPr>
      </w:pPr>
      <w:r w:rsidRPr="00C332F1">
        <w:rPr>
          <w:rFonts w:ascii="Cambria" w:eastAsia="Cambria" w:hAnsi="Cambria" w:cs="Cambria"/>
          <w:sz w:val="20"/>
          <w:szCs w:val="20"/>
          <w:lang w:val="es-CO"/>
        </w:rPr>
        <w:t>ii. si se hubiera producido una alteración del orden constitucional que afecte gravemente el orden democrático […].</w:t>
      </w:r>
    </w:p>
    <w:p w14:paraId="67EC1507" w14:textId="77777777" w:rsidR="005E4791" w:rsidRPr="00C332F1" w:rsidRDefault="005E4791" w:rsidP="00042648">
      <w:pPr>
        <w:pBdr>
          <w:top w:val="nil"/>
          <w:left w:val="nil"/>
          <w:bottom w:val="nil"/>
          <w:right w:val="nil"/>
          <w:between w:val="nil"/>
        </w:pBdr>
        <w:tabs>
          <w:tab w:val="left" w:pos="8100"/>
        </w:tabs>
        <w:ind w:left="1440" w:right="720"/>
        <w:jc w:val="both"/>
        <w:rPr>
          <w:rFonts w:ascii="Cambria" w:eastAsia="Cambria" w:hAnsi="Cambria" w:cs="Cambria"/>
          <w:sz w:val="20"/>
          <w:szCs w:val="20"/>
          <w:lang w:val="es-CO"/>
        </w:rPr>
      </w:pPr>
    </w:p>
    <w:p w14:paraId="66EFAF18" w14:textId="4EA1D700" w:rsidR="005E4791" w:rsidRPr="00C332F1" w:rsidRDefault="005E4791" w:rsidP="00042648">
      <w:pPr>
        <w:pBdr>
          <w:top w:val="nil"/>
          <w:left w:val="nil"/>
          <w:bottom w:val="nil"/>
          <w:right w:val="nil"/>
          <w:between w:val="nil"/>
        </w:pBdr>
        <w:tabs>
          <w:tab w:val="left" w:pos="1080"/>
        </w:tabs>
        <w:ind w:left="1440" w:right="720" w:hanging="360"/>
        <w:jc w:val="both"/>
        <w:rPr>
          <w:rFonts w:ascii="Cambria" w:eastAsia="Cambria" w:hAnsi="Cambria" w:cs="Cambria"/>
          <w:sz w:val="20"/>
          <w:szCs w:val="20"/>
          <w:lang w:val="es-CO"/>
        </w:rPr>
      </w:pPr>
      <w:r w:rsidRPr="00C332F1">
        <w:rPr>
          <w:rFonts w:ascii="Cambria" w:eastAsia="Cambria" w:hAnsi="Cambria" w:cs="Cambria"/>
          <w:sz w:val="20"/>
          <w:szCs w:val="20"/>
          <w:lang w:val="es-CO"/>
        </w:rPr>
        <w:t xml:space="preserve">d. </w:t>
      </w:r>
      <w:r w:rsidRPr="00C332F1">
        <w:rPr>
          <w:rFonts w:ascii="Cambria" w:eastAsia="Cambria" w:hAnsi="Cambria" w:cs="Cambria"/>
          <w:sz w:val="20"/>
          <w:szCs w:val="20"/>
          <w:lang w:val="es-CO"/>
        </w:rPr>
        <w:tab/>
        <w:t>La presencia de otras situaciones estructurales que afecten seria y gravemente el goce y disfrute de los derechos fundamentales consagrados en la Declaración Americana, la Convención Americana o los demás instrumentos de derechos humanos aplicables. Entre otros factores a ponderar, estarán los siguientes:</w:t>
      </w:r>
    </w:p>
    <w:p w14:paraId="141D07BC" w14:textId="77777777" w:rsidR="005E4791" w:rsidRPr="00C332F1" w:rsidRDefault="005E4791" w:rsidP="00042648">
      <w:pPr>
        <w:pBdr>
          <w:top w:val="nil"/>
          <w:left w:val="nil"/>
          <w:bottom w:val="nil"/>
          <w:right w:val="nil"/>
          <w:between w:val="nil"/>
        </w:pBdr>
        <w:ind w:left="1440" w:right="720"/>
        <w:jc w:val="both"/>
        <w:rPr>
          <w:rFonts w:ascii="Cambria" w:eastAsia="Cambria" w:hAnsi="Cambria" w:cs="Cambria"/>
          <w:sz w:val="20"/>
          <w:szCs w:val="20"/>
          <w:lang w:val="es-CO"/>
        </w:rPr>
      </w:pPr>
    </w:p>
    <w:p w14:paraId="38BE6CDF" w14:textId="2616AAC4" w:rsidR="005E4791" w:rsidRPr="00C332F1" w:rsidRDefault="005E4791" w:rsidP="00042648">
      <w:pPr>
        <w:pBdr>
          <w:top w:val="nil"/>
          <w:left w:val="nil"/>
          <w:bottom w:val="nil"/>
          <w:right w:val="nil"/>
          <w:between w:val="nil"/>
        </w:pBdr>
        <w:tabs>
          <w:tab w:val="left" w:pos="8100"/>
        </w:tabs>
        <w:ind w:left="1710" w:right="720"/>
        <w:jc w:val="both"/>
        <w:rPr>
          <w:rFonts w:ascii="Cambria" w:eastAsia="Cambria" w:hAnsi="Cambria" w:cs="Cambria"/>
          <w:sz w:val="20"/>
          <w:szCs w:val="20"/>
          <w:lang w:val="es-CO"/>
        </w:rPr>
      </w:pPr>
      <w:r w:rsidRPr="00C332F1">
        <w:rPr>
          <w:rFonts w:ascii="Cambria" w:eastAsia="Cambria" w:hAnsi="Cambria" w:cs="Cambria"/>
          <w:sz w:val="20"/>
          <w:szCs w:val="20"/>
          <w:lang w:val="es-CO"/>
        </w:rPr>
        <w:t>i. graves crisis institucionales que infrinjan el disfrute de derechos humanos;</w:t>
      </w:r>
    </w:p>
    <w:p w14:paraId="7C637BFA" w14:textId="77777777" w:rsidR="005E4791" w:rsidRPr="00C332F1" w:rsidRDefault="005E4791" w:rsidP="00042648">
      <w:pPr>
        <w:pBdr>
          <w:top w:val="nil"/>
          <w:left w:val="nil"/>
          <w:bottom w:val="nil"/>
          <w:right w:val="nil"/>
          <w:between w:val="nil"/>
        </w:pBdr>
        <w:ind w:left="1440" w:right="720"/>
        <w:jc w:val="both"/>
        <w:rPr>
          <w:rFonts w:ascii="Cambria" w:eastAsia="Cambria" w:hAnsi="Cambria" w:cs="Cambria"/>
          <w:sz w:val="20"/>
          <w:szCs w:val="20"/>
          <w:lang w:val="es-CO"/>
        </w:rPr>
      </w:pPr>
    </w:p>
    <w:p w14:paraId="0F982547" w14:textId="31C204E0" w:rsidR="005E4791" w:rsidRPr="00C332F1" w:rsidRDefault="005E4791" w:rsidP="00042648">
      <w:pPr>
        <w:pBdr>
          <w:top w:val="nil"/>
          <w:left w:val="nil"/>
          <w:bottom w:val="nil"/>
          <w:right w:val="nil"/>
          <w:between w:val="nil"/>
        </w:pBdr>
        <w:tabs>
          <w:tab w:val="left" w:pos="8100"/>
        </w:tabs>
        <w:ind w:left="1710" w:right="720"/>
        <w:jc w:val="both"/>
        <w:rPr>
          <w:rFonts w:ascii="Cambria" w:eastAsia="Cambria" w:hAnsi="Cambria" w:cs="Cambria"/>
          <w:sz w:val="20"/>
          <w:szCs w:val="20"/>
          <w:lang w:val="es-CO"/>
        </w:rPr>
      </w:pPr>
      <w:r w:rsidRPr="00C332F1">
        <w:rPr>
          <w:rFonts w:ascii="Cambria" w:eastAsia="Cambria" w:hAnsi="Cambria" w:cs="Cambria"/>
          <w:sz w:val="20"/>
          <w:szCs w:val="20"/>
          <w:lang w:val="es-CO"/>
        </w:rPr>
        <w:t>iii. omisiones graves en la adopción de disposiciones necesarias para hacer efectivos los derechos fundamentales o para cumplir las decisiones de la Comisión y la Corte Interamericana […]</w:t>
      </w:r>
    </w:p>
    <w:p w14:paraId="5ADAC738" w14:textId="77777777" w:rsidR="005E4791" w:rsidRPr="00C332F1" w:rsidRDefault="005E4791" w:rsidP="005E4791">
      <w:pPr>
        <w:pBdr>
          <w:top w:val="nil"/>
          <w:left w:val="nil"/>
          <w:bottom w:val="nil"/>
          <w:right w:val="nil"/>
          <w:between w:val="nil"/>
        </w:pBdr>
        <w:spacing w:line="276" w:lineRule="auto"/>
        <w:ind w:left="1440" w:right="720"/>
        <w:jc w:val="both"/>
        <w:rPr>
          <w:rFonts w:ascii="Cambria" w:eastAsia="Cambria" w:hAnsi="Cambria" w:cs="Cambria"/>
          <w:sz w:val="20"/>
          <w:szCs w:val="20"/>
          <w:lang w:val="es-CO"/>
        </w:rPr>
      </w:pPr>
    </w:p>
    <w:p w14:paraId="1619928D" w14:textId="1F049448" w:rsidR="005E4791" w:rsidRPr="00C332F1" w:rsidRDefault="005E4791" w:rsidP="00AD373C">
      <w:pPr>
        <w:pStyle w:val="IAPrrafo"/>
        <w:rPr>
          <w:color w:val="auto"/>
        </w:rPr>
      </w:pPr>
      <w:r w:rsidRPr="00C332F1">
        <w:rPr>
          <w:color w:val="auto"/>
        </w:rPr>
        <w:t xml:space="preserve">En relación con el artículo 59, incisos 6.a.i y 6.d.i, la CIDH reitera que el Poder Ejecutivo ha logrado cooptar las diversas ramas del poder público. En efecto, las distintas instituciones del poder público operan como apéndices del </w:t>
      </w:r>
      <w:r w:rsidR="00E673A9" w:rsidRPr="00C332F1">
        <w:rPr>
          <w:color w:val="auto"/>
        </w:rPr>
        <w:t>gobierno</w:t>
      </w:r>
      <w:r w:rsidRPr="00C332F1">
        <w:rPr>
          <w:color w:val="auto"/>
        </w:rPr>
        <w:t xml:space="preserve"> y adoptan de manera sistemática decisiones lesivas para el Estado de Derecho, la separación de poderes y la participación política. Todo esto, en franca violación </w:t>
      </w:r>
      <w:r w:rsidR="00674002" w:rsidRPr="00C332F1">
        <w:rPr>
          <w:color w:val="auto"/>
        </w:rPr>
        <w:t>de</w:t>
      </w:r>
      <w:r w:rsidRPr="00C332F1">
        <w:rPr>
          <w:color w:val="auto"/>
        </w:rPr>
        <w:t xml:space="preserve"> la Carta Democrática Interamericana y otros instrumentos aplicables.</w:t>
      </w:r>
    </w:p>
    <w:p w14:paraId="6E17F194" w14:textId="346C45D5" w:rsidR="005E4791" w:rsidRPr="00C332F1" w:rsidRDefault="005E4791" w:rsidP="00AD373C">
      <w:pPr>
        <w:pStyle w:val="IAPrrafo"/>
        <w:rPr>
          <w:color w:val="auto"/>
        </w:rPr>
      </w:pPr>
      <w:r w:rsidRPr="00C332F1">
        <w:rPr>
          <w:color w:val="auto"/>
        </w:rPr>
        <w:t>En 2024, el TSJ adoptó decisiones ratificando las inhabilitaciones administrativas de las principales personas candidatas opositoras. Adicionalmente, convalidó los resultados electorales anunciados por el Consejo Nacional Electoral (CNE)</w:t>
      </w:r>
      <w:r w:rsidR="00C34138" w:rsidRPr="00C332F1">
        <w:rPr>
          <w:color w:val="auto"/>
        </w:rPr>
        <w:t>,</w:t>
      </w:r>
      <w:r w:rsidRPr="00C332F1">
        <w:rPr>
          <w:color w:val="auto"/>
        </w:rPr>
        <w:t xml:space="preserve"> pese a que dicha institución no publicó las actas de votación ni los resultados electorales desagregados por estados o municipios. Por su parte, el CNE obstaculizó la inscripción de candidaturas opositoras y la inscripción de personas venezolanas en el extranjero, lo cual impidió que millones de personas ejercieran su derecho al voto. </w:t>
      </w:r>
    </w:p>
    <w:p w14:paraId="279BAA1C" w14:textId="77777777" w:rsidR="005E4791" w:rsidRPr="00C332F1" w:rsidRDefault="005E4791" w:rsidP="005E4791">
      <w:pPr>
        <w:pStyle w:val="IAPrrafo"/>
        <w:rPr>
          <w:color w:val="auto"/>
        </w:rPr>
      </w:pPr>
      <w:r w:rsidRPr="00C332F1">
        <w:rPr>
          <w:color w:val="auto"/>
        </w:rPr>
        <w:t>Al margen de la participación política, la subordinación de las instituciones al Poder Ejecutivo tuvo dos consecuencias significativas en 2024. En primer lugar, no se tomaron medidas idóneas para combatir la impunidad por las violaciones ocurridas en años anteriores, especialmente durante las protestas de 2014 y 2017. Al respecto, es preciso señalar</w:t>
      </w:r>
      <w:r w:rsidRPr="00C332F1">
        <w:rPr>
          <w:color w:val="auto"/>
          <w:lang w:val="es-US"/>
        </w:rPr>
        <w:t xml:space="preserve"> </w:t>
      </w:r>
      <w:r w:rsidRPr="00C332F1">
        <w:rPr>
          <w:color w:val="auto"/>
        </w:rPr>
        <w:t>que la gravedad, sistematicidad e impunidad de dichas violaciones llevaron a la Fiscalía de la Corte Penal Internacional (CPI) a iniciar una investigación por la presunta comisión de crímenes de lesa humanidad, un hecho sin precedentes en el hemisferio occidental.</w:t>
      </w:r>
    </w:p>
    <w:p w14:paraId="19D9CB04" w14:textId="6A5A47FA" w:rsidR="005E4791" w:rsidRPr="00C332F1" w:rsidRDefault="005E4791" w:rsidP="005E4791">
      <w:pPr>
        <w:pStyle w:val="IAPrrafo"/>
        <w:rPr>
          <w:rFonts w:cs="Arial"/>
          <w:color w:val="auto"/>
        </w:rPr>
      </w:pPr>
      <w:r w:rsidRPr="00C332F1">
        <w:rPr>
          <w:color w:val="auto"/>
        </w:rPr>
        <w:t xml:space="preserve">En segundo lugar, la Asamblea Nacional no adoptó reformas para reestablecer la separación e independencia de los poderes públicos o fortalecer la veeduría ciudadana. Por el contrario, discutió y adoptó leyes que restringen el espacio cívico y criminalizan la labor que desempeñan las personas defensoras de derechos humanos. Tal es el caso de la </w:t>
      </w:r>
      <w:r w:rsidR="00226C95" w:rsidRPr="00C332F1">
        <w:rPr>
          <w:color w:val="auto"/>
        </w:rPr>
        <w:t>“</w:t>
      </w:r>
      <w:r w:rsidRPr="00C332F1">
        <w:rPr>
          <w:color w:val="auto"/>
        </w:rPr>
        <w:t>Ley de fiscalización, regularización, actuación y financiamiento de las organizaciones no gubernamentales y afines</w:t>
      </w:r>
      <w:r w:rsidR="00226C95" w:rsidRPr="00C332F1">
        <w:rPr>
          <w:color w:val="auto"/>
        </w:rPr>
        <w:t>”</w:t>
      </w:r>
      <w:r w:rsidRPr="00C332F1">
        <w:rPr>
          <w:color w:val="auto"/>
        </w:rPr>
        <w:t>, adoptada el 15 de agosto.</w:t>
      </w:r>
    </w:p>
    <w:p w14:paraId="534E1FEF" w14:textId="06A527BD" w:rsidR="005E4791" w:rsidRPr="00C332F1" w:rsidRDefault="005E4791" w:rsidP="005E4791">
      <w:pPr>
        <w:pStyle w:val="IAPrrafo"/>
        <w:rPr>
          <w:rFonts w:cs="Arial"/>
          <w:color w:val="auto"/>
          <w:szCs w:val="20"/>
        </w:rPr>
      </w:pPr>
      <w:r w:rsidRPr="00C332F1">
        <w:rPr>
          <w:color w:val="auto"/>
          <w:szCs w:val="20"/>
        </w:rPr>
        <w:t xml:space="preserve">En lo que concierne al artículo 59, inciso 6.a.ii, la Comisión Interamericana </w:t>
      </w:r>
      <w:r w:rsidR="005E32D4" w:rsidRPr="00C332F1">
        <w:rPr>
          <w:color w:val="auto"/>
          <w:szCs w:val="20"/>
        </w:rPr>
        <w:t xml:space="preserve">advierte </w:t>
      </w:r>
      <w:r w:rsidRPr="00C332F1">
        <w:rPr>
          <w:color w:val="auto"/>
          <w:szCs w:val="20"/>
        </w:rPr>
        <w:t xml:space="preserve">que la manera como se desarrolló la elección presidencial del 28 de julio configuró una </w:t>
      </w:r>
      <w:r w:rsidRPr="00C332F1">
        <w:rPr>
          <w:rFonts w:eastAsia="Cambria" w:cs="Cambria"/>
          <w:color w:val="auto"/>
          <w:szCs w:val="20"/>
        </w:rPr>
        <w:t>alteración del orden constitucional. Si bien la CIDH no es un órgano con competencia para certificar elecciones, las circunstancias que antecedieron y rodearon la elección evidencian que las personas ciudadanas venezolanas no pudieron ejercer sus derechos políticos en condiciones de igualdad</w:t>
      </w:r>
      <w:r w:rsidR="00A14F05">
        <w:rPr>
          <w:rFonts w:ascii="ZWAdobeF" w:eastAsia="Cambria" w:hAnsi="ZWAdobeF" w:cs="ZWAdobeF"/>
          <w:color w:val="auto"/>
          <w:sz w:val="2"/>
          <w:szCs w:val="2"/>
        </w:rPr>
        <w:t>3F</w:t>
      </w:r>
      <w:r w:rsidR="004C176F" w:rsidRPr="005C52BD">
        <w:rPr>
          <w:rStyle w:val="FootnoteReference"/>
          <w:color w:val="auto"/>
          <w:sz w:val="20"/>
          <w:szCs w:val="20"/>
        </w:rPr>
        <w:footnoteReference w:id="5"/>
      </w:r>
      <w:r w:rsidRPr="00C332F1">
        <w:rPr>
          <w:rFonts w:eastAsia="Cambria" w:cs="Cambria"/>
          <w:color w:val="auto"/>
          <w:szCs w:val="20"/>
        </w:rPr>
        <w:t>. Como consecuencia de esta situación, no puede considerarse que el anuncio del CNE, proclamando la reelección de Nicolás Maduro, goce de legitimidad democrática.</w:t>
      </w:r>
    </w:p>
    <w:p w14:paraId="772BF89A" w14:textId="1A3E3459" w:rsidR="005E4791" w:rsidRPr="00C332F1" w:rsidRDefault="00CC2D00" w:rsidP="005E4791">
      <w:pPr>
        <w:pStyle w:val="IAPrrafo"/>
        <w:rPr>
          <w:color w:val="auto"/>
        </w:rPr>
      </w:pPr>
      <w:r w:rsidRPr="00C332F1">
        <w:rPr>
          <w:color w:val="auto"/>
        </w:rPr>
        <w:t>En cuanto</w:t>
      </w:r>
      <w:r w:rsidR="005E4791" w:rsidRPr="00C332F1">
        <w:rPr>
          <w:color w:val="auto"/>
        </w:rPr>
        <w:t xml:space="preserve"> al inciso 6.d.iii del Reglamento Interno, la CIDH observa que persisten situaciones estructurales que limitan severamente el disfrute de los derechos humanos, </w:t>
      </w:r>
      <w:r w:rsidRPr="00C332F1">
        <w:rPr>
          <w:color w:val="auto"/>
        </w:rPr>
        <w:t xml:space="preserve">en </w:t>
      </w:r>
      <w:r w:rsidR="005E4791" w:rsidRPr="00C332F1">
        <w:rPr>
          <w:color w:val="auto"/>
        </w:rPr>
        <w:t>especial en lo que respecta a los derechos económicos, sociales, culturales y ambientales (DESCA). Desde 2015, más de 7</w:t>
      </w:r>
      <w:r w:rsidR="00816CF5" w:rsidRPr="00C332F1">
        <w:rPr>
          <w:color w:val="auto"/>
        </w:rPr>
        <w:t>,</w:t>
      </w:r>
      <w:r w:rsidR="005E4791" w:rsidRPr="00C332F1">
        <w:rPr>
          <w:color w:val="auto"/>
        </w:rPr>
        <w:t xml:space="preserve">7 millones de personas han migrado </w:t>
      </w:r>
      <w:r w:rsidR="00DA7AE5" w:rsidRPr="00C332F1">
        <w:rPr>
          <w:color w:val="auto"/>
        </w:rPr>
        <w:t>de manera forzada</w:t>
      </w:r>
      <w:r w:rsidR="005E4791" w:rsidRPr="00C332F1">
        <w:rPr>
          <w:color w:val="auto"/>
        </w:rPr>
        <w:t>, en lo que constituye el desplazamiento más grande de la región y uno de los más grandes del mundo. Este movimiento migratorio responde a una estrategia de supervivencia para salvaguardar derechos como la vida, la integridad personal, la salud y la alimentación. Todo esto es consecuencia de la grave situación de derechos humanos en Venezuela.</w:t>
      </w:r>
    </w:p>
    <w:p w14:paraId="6CED118C" w14:textId="439318B1" w:rsidR="005E4791" w:rsidRPr="00C332F1" w:rsidRDefault="005E4791" w:rsidP="005E4791">
      <w:pPr>
        <w:pStyle w:val="IAPrrafo"/>
        <w:rPr>
          <w:color w:val="auto"/>
          <w:lang w:val="es-US"/>
        </w:rPr>
      </w:pPr>
      <w:r w:rsidRPr="00C332F1">
        <w:rPr>
          <w:color w:val="auto"/>
          <w:lang w:val="es-US"/>
        </w:rPr>
        <w:t xml:space="preserve">De conformidad con el artículo 59.5 del Reglamento de la CIDH, la elaboración de este informe se basa en fuentes primarias y secundarias de información. Respecto </w:t>
      </w:r>
      <w:r w:rsidR="00DA7AE5" w:rsidRPr="00C332F1">
        <w:rPr>
          <w:color w:val="auto"/>
          <w:lang w:val="es-US"/>
        </w:rPr>
        <w:t xml:space="preserve">a </w:t>
      </w:r>
      <w:r w:rsidRPr="00C332F1">
        <w:rPr>
          <w:color w:val="auto"/>
          <w:lang w:val="es-US"/>
        </w:rPr>
        <w:t xml:space="preserve">las fuentes primarias, la CIDH analizó los testimonios recibidos a través el Mecanismo Especial de Seguimiento para Venezuela (MESEVE), la información disponible en los casos, peticiones y medidas cautelares y provisionales, la presentada en las audiencias públicas, así como la </w:t>
      </w:r>
      <w:r w:rsidR="00E7583C" w:rsidRPr="00C332F1">
        <w:rPr>
          <w:color w:val="auto"/>
          <w:lang w:val="es-US"/>
        </w:rPr>
        <w:t>registrada</w:t>
      </w:r>
      <w:r w:rsidRPr="00C332F1">
        <w:rPr>
          <w:color w:val="auto"/>
          <w:lang w:val="es-US"/>
        </w:rPr>
        <w:t xml:space="preserve"> en comunicados de prensa de la Comisión, informes anuales y temáticos.</w:t>
      </w:r>
    </w:p>
    <w:p w14:paraId="5DC70D63" w14:textId="7E99B7DD" w:rsidR="005E4791" w:rsidRPr="00C332F1" w:rsidRDefault="005E4791" w:rsidP="005E4791">
      <w:pPr>
        <w:pStyle w:val="IAPrrafo"/>
        <w:rPr>
          <w:color w:val="auto"/>
          <w:lang w:val="es-US"/>
        </w:rPr>
      </w:pPr>
      <w:r w:rsidRPr="00C332F1">
        <w:rPr>
          <w:color w:val="auto"/>
          <w:lang w:val="es-US"/>
        </w:rPr>
        <w:t xml:space="preserve">En relación con las fuentes secundarias, el informe tomó en cuenta: los actos oficiales del Estado y en todos los niveles y en cualquiera de sus ramas, incluyendo enmiendas constitucionales, legislación, decretos, decisiones judiciales, pronunciamientos oficiales; conclusiones de otros órganos internacionales de derechos humanos, incluyendo los órganos de tratados, Relatores, grupos de trabajo, el Consejo de Derechos Humanos y otros órganos y agencias especializadas de la Organización de las Naciones Unidas; informes de derechos humanos de gobiernos y de órganos regionales; informes de organizaciones de la sociedad civil e información presentada por éstas y por particulares; información pública ampliamente diseminada en los medios de comunicación; </w:t>
      </w:r>
      <w:r w:rsidR="00F421C7" w:rsidRPr="00C332F1">
        <w:rPr>
          <w:color w:val="auto"/>
          <w:lang w:val="es-US"/>
        </w:rPr>
        <w:t>e</w:t>
      </w:r>
      <w:r w:rsidRPr="00C332F1">
        <w:rPr>
          <w:color w:val="auto"/>
          <w:lang w:val="es-US"/>
        </w:rPr>
        <w:t> investigación jurídica y académica pertinente.</w:t>
      </w:r>
    </w:p>
    <w:p w14:paraId="58A9DEA9" w14:textId="281241B6" w:rsidR="008A7202" w:rsidRPr="008A7202" w:rsidRDefault="008A7202" w:rsidP="008A7202">
      <w:pPr>
        <w:pStyle w:val="IAPrrafo"/>
        <w:rPr>
          <w:color w:val="auto"/>
          <w:shd w:val="clear" w:color="auto" w:fill="FFFFFF"/>
        </w:rPr>
      </w:pPr>
      <w:r w:rsidRPr="008A7202">
        <w:rPr>
          <w:color w:val="auto"/>
          <w:shd w:val="clear" w:color="auto" w:fill="FFFFFF"/>
        </w:rPr>
        <w:t>La CIDH aprobó el presente informe el 1</w:t>
      </w:r>
      <w:r w:rsidR="00087A55">
        <w:rPr>
          <w:color w:val="auto"/>
          <w:shd w:val="clear" w:color="auto" w:fill="FFFFFF"/>
        </w:rPr>
        <w:t>6</w:t>
      </w:r>
      <w:r w:rsidRPr="008A7202">
        <w:rPr>
          <w:color w:val="auto"/>
          <w:shd w:val="clear" w:color="auto" w:fill="FFFFFF"/>
        </w:rPr>
        <w:t xml:space="preserve"> de diciembre de 2024. El 24 de enero de 2025, la Comisión envió al Estado de </w:t>
      </w:r>
      <w:r w:rsidR="00087A55">
        <w:rPr>
          <w:color w:val="auto"/>
          <w:shd w:val="clear" w:color="auto" w:fill="FFFFFF"/>
        </w:rPr>
        <w:t>Venezuel</w:t>
      </w:r>
      <w:r w:rsidRPr="008A7202">
        <w:rPr>
          <w:color w:val="auto"/>
          <w:shd w:val="clear" w:color="auto" w:fill="FFFFFF"/>
        </w:rPr>
        <w:t xml:space="preserve">a una copia del borrador preliminar de este informe de conformidad con los artículos 59.7 y 59.10 de su Reglamento con plazo de un mes para recibir sus observaciones. El Estado no presentó observaciones. </w:t>
      </w:r>
    </w:p>
    <w:p w14:paraId="4A6A148D" w14:textId="3404CE84" w:rsidR="00DC7159" w:rsidRPr="00C332F1" w:rsidRDefault="00DC7159" w:rsidP="00CC005C">
      <w:pPr>
        <w:pStyle w:val="IATtulo"/>
        <w:jc w:val="both"/>
        <w:rPr>
          <w:color w:val="auto"/>
          <w:lang w:val="es-US"/>
        </w:rPr>
      </w:pPr>
      <w:bookmarkStart w:id="5" w:name="_Toc195617451"/>
      <w:r w:rsidRPr="00C332F1">
        <w:rPr>
          <w:color w:val="auto"/>
          <w:lang w:val="es-US"/>
        </w:rPr>
        <w:t>afectación grave del orden democratico</w:t>
      </w:r>
      <w:r w:rsidR="007A1A69" w:rsidRPr="00C332F1">
        <w:rPr>
          <w:color w:val="auto"/>
          <w:lang w:val="es-US"/>
        </w:rPr>
        <w:t xml:space="preserve"> y</w:t>
      </w:r>
      <w:r w:rsidR="00D67AF4" w:rsidRPr="00C332F1">
        <w:rPr>
          <w:color w:val="auto"/>
          <w:lang w:val="es-US"/>
        </w:rPr>
        <w:t xml:space="preserve"> </w:t>
      </w:r>
      <w:r w:rsidR="00946C4D" w:rsidRPr="00C332F1">
        <w:rPr>
          <w:color w:val="auto"/>
          <w:lang w:val="es-US"/>
        </w:rPr>
        <w:t>de los</w:t>
      </w:r>
      <w:r w:rsidR="002A6900" w:rsidRPr="00C332F1">
        <w:rPr>
          <w:color w:val="auto"/>
          <w:lang w:val="es-US"/>
        </w:rPr>
        <w:t xml:space="preserve"> derechos políticos</w:t>
      </w:r>
      <w:bookmarkEnd w:id="5"/>
    </w:p>
    <w:p w14:paraId="48E0940A" w14:textId="6C50FA28" w:rsidR="00852ABF" w:rsidRPr="0070208E" w:rsidRDefault="00EE42FE" w:rsidP="0070208E">
      <w:pPr>
        <w:pStyle w:val="IAPrrafo"/>
        <w:rPr>
          <w:lang w:val="es-ES"/>
        </w:rPr>
      </w:pPr>
      <w:r w:rsidRPr="00C332F1">
        <w:rPr>
          <w:lang w:val="es-ES"/>
        </w:rPr>
        <w:t>En este capítulo se analiza</w:t>
      </w:r>
      <w:r w:rsidR="0062661B" w:rsidRPr="00C332F1">
        <w:rPr>
          <w:lang w:val="es-ES"/>
        </w:rPr>
        <w:t xml:space="preserve"> la instrumentalización de las instituciones del Estado</w:t>
      </w:r>
      <w:r w:rsidR="001B23FA" w:rsidRPr="00C332F1">
        <w:rPr>
          <w:lang w:val="es-ES"/>
        </w:rPr>
        <w:t xml:space="preserve"> por</w:t>
      </w:r>
      <w:r w:rsidR="7B971DF9" w:rsidRPr="00C332F1">
        <w:rPr>
          <w:lang w:val="es-ES"/>
        </w:rPr>
        <w:t xml:space="preserve"> parte</w:t>
      </w:r>
      <w:r w:rsidR="001B23FA" w:rsidRPr="00C332F1">
        <w:rPr>
          <w:lang w:val="es-ES"/>
        </w:rPr>
        <w:t xml:space="preserve"> el régimen para mantenerse </w:t>
      </w:r>
      <w:r w:rsidR="00355F51" w:rsidRPr="00C332F1">
        <w:rPr>
          <w:lang w:val="es-ES"/>
        </w:rPr>
        <w:t xml:space="preserve">ilegítimamente </w:t>
      </w:r>
      <w:r w:rsidR="001B23FA" w:rsidRPr="00C332F1">
        <w:rPr>
          <w:lang w:val="es-ES"/>
        </w:rPr>
        <w:t>en el poder</w:t>
      </w:r>
      <w:r w:rsidR="00CC0D88" w:rsidRPr="00C332F1">
        <w:rPr>
          <w:lang w:val="es-ES"/>
        </w:rPr>
        <w:t xml:space="preserve">, así como las </w:t>
      </w:r>
      <w:r w:rsidR="00FE2AE6" w:rsidRPr="00C332F1">
        <w:rPr>
          <w:lang w:val="es-ES"/>
        </w:rPr>
        <w:t>prácticas</w:t>
      </w:r>
      <w:r w:rsidR="00CC0D88" w:rsidRPr="00C332F1">
        <w:rPr>
          <w:lang w:val="es-ES"/>
        </w:rPr>
        <w:t xml:space="preserve"> empleadas para</w:t>
      </w:r>
      <w:r w:rsidR="00AE3F63" w:rsidRPr="00C332F1">
        <w:rPr>
          <w:lang w:val="es-ES"/>
        </w:rPr>
        <w:t xml:space="preserve"> perseguir a la oposición e</w:t>
      </w:r>
      <w:r w:rsidRPr="00C332F1">
        <w:rPr>
          <w:lang w:val="es-ES"/>
        </w:rPr>
        <w:t xml:space="preserve"> </w:t>
      </w:r>
      <w:r w:rsidR="00CE340C" w:rsidRPr="00C332F1">
        <w:rPr>
          <w:lang w:val="es-ES"/>
        </w:rPr>
        <w:t xml:space="preserve">impedir </w:t>
      </w:r>
      <w:r w:rsidR="00AE3F63" w:rsidRPr="00C332F1">
        <w:rPr>
          <w:lang w:val="es-ES"/>
        </w:rPr>
        <w:t>su participación política</w:t>
      </w:r>
      <w:r w:rsidR="00CE340C" w:rsidRPr="00C332F1">
        <w:rPr>
          <w:lang w:val="es-ES"/>
        </w:rPr>
        <w:t xml:space="preserve"> en igualdad de condiciones</w:t>
      </w:r>
      <w:r w:rsidR="000D0C10" w:rsidRPr="00C332F1">
        <w:rPr>
          <w:lang w:val="es-ES"/>
        </w:rPr>
        <w:t>.</w:t>
      </w:r>
      <w:r w:rsidR="002E296F" w:rsidRPr="00C332F1">
        <w:rPr>
          <w:lang w:val="es-ES"/>
        </w:rPr>
        <w:t xml:space="preserve"> </w:t>
      </w:r>
      <w:r w:rsidR="00F064F8" w:rsidRPr="00C332F1">
        <w:rPr>
          <w:lang w:val="es-ES"/>
        </w:rPr>
        <w:t>Para tal fin, a continuación</w:t>
      </w:r>
      <w:r w:rsidR="00221624" w:rsidRPr="00C332F1">
        <w:rPr>
          <w:lang w:val="es-ES"/>
        </w:rPr>
        <w:t xml:space="preserve">, se analizará </w:t>
      </w:r>
      <w:r w:rsidR="006059A5" w:rsidRPr="00C332F1">
        <w:rPr>
          <w:lang w:val="es-ES"/>
        </w:rPr>
        <w:t xml:space="preserve">la estrategia </w:t>
      </w:r>
      <w:r w:rsidR="00221624" w:rsidRPr="00C332F1">
        <w:rPr>
          <w:lang w:val="es-ES"/>
        </w:rPr>
        <w:t>del régimen en tres etapas separadas</w:t>
      </w:r>
      <w:r w:rsidR="00917012" w:rsidRPr="00C332F1">
        <w:rPr>
          <w:lang w:val="es-ES"/>
        </w:rPr>
        <w:t xml:space="preserve">. </w:t>
      </w:r>
      <w:r w:rsidR="00D84A26" w:rsidRPr="00C332F1">
        <w:rPr>
          <w:lang w:val="es-ES"/>
        </w:rPr>
        <w:t xml:space="preserve">La primera </w:t>
      </w:r>
      <w:r w:rsidR="007C072F" w:rsidRPr="00C332F1">
        <w:rPr>
          <w:lang w:val="es-ES"/>
        </w:rPr>
        <w:t>corresponde al periodo preelectoral</w:t>
      </w:r>
      <w:r w:rsidR="00473E61" w:rsidRPr="00C332F1">
        <w:rPr>
          <w:lang w:val="es-ES"/>
        </w:rPr>
        <w:t xml:space="preserve">, es decir, desde el 1 de enero al 27 de julio. La segunda etapa </w:t>
      </w:r>
      <w:r w:rsidR="002E7C40" w:rsidRPr="00C332F1">
        <w:rPr>
          <w:lang w:val="es-ES"/>
        </w:rPr>
        <w:t>se refiere a los sucesos d</w:t>
      </w:r>
      <w:r w:rsidR="00473E61" w:rsidRPr="00C332F1">
        <w:rPr>
          <w:lang w:val="es-ES"/>
        </w:rPr>
        <w:t>el</w:t>
      </w:r>
      <w:r w:rsidR="007715CB" w:rsidRPr="00C332F1">
        <w:rPr>
          <w:lang w:val="es-ES"/>
        </w:rPr>
        <w:t xml:space="preserve"> 28 de julio, día de la elección presidencial. La tercera etapa </w:t>
      </w:r>
      <w:r w:rsidR="00000A0A" w:rsidRPr="00C332F1">
        <w:rPr>
          <w:lang w:val="es-ES"/>
        </w:rPr>
        <w:t>comprende</w:t>
      </w:r>
      <w:r w:rsidR="000E3608" w:rsidRPr="00C332F1">
        <w:rPr>
          <w:lang w:val="es-ES"/>
        </w:rPr>
        <w:t xml:space="preserve"> la </w:t>
      </w:r>
      <w:r w:rsidR="001338F4" w:rsidRPr="00C332F1">
        <w:rPr>
          <w:lang w:val="es-ES"/>
        </w:rPr>
        <w:t>respuesta represiva del régimen ante las</w:t>
      </w:r>
      <w:r w:rsidR="000E3608" w:rsidRPr="00C332F1">
        <w:rPr>
          <w:lang w:val="es-ES"/>
        </w:rPr>
        <w:t xml:space="preserve"> denuncias de fraude electoral</w:t>
      </w:r>
      <w:r w:rsidR="00EE5B2D" w:rsidRPr="00C332F1">
        <w:rPr>
          <w:lang w:val="es-ES"/>
        </w:rPr>
        <w:t xml:space="preserve"> y las amplias manifestaciones sociales</w:t>
      </w:r>
      <w:r w:rsidR="00646B75" w:rsidRPr="00C332F1">
        <w:rPr>
          <w:lang w:val="es-ES"/>
        </w:rPr>
        <w:t xml:space="preserve"> en su contra</w:t>
      </w:r>
      <w:r w:rsidR="00EE5B2D" w:rsidRPr="00C332F1">
        <w:rPr>
          <w:lang w:val="es-ES"/>
        </w:rPr>
        <w:t>.</w:t>
      </w:r>
    </w:p>
    <w:p w14:paraId="2F32A954" w14:textId="10B84058" w:rsidR="003575B0" w:rsidRPr="0098398F" w:rsidRDefault="0098398F" w:rsidP="0098398F">
      <w:pPr>
        <w:pStyle w:val="IASubttulo2"/>
      </w:pPr>
      <w:bookmarkStart w:id="6" w:name="_Toc195617452"/>
      <w:r w:rsidRPr="0098398F">
        <w:t>Etapa I: persecución política en el periodo preelectoral</w:t>
      </w:r>
      <w:bookmarkEnd w:id="6"/>
    </w:p>
    <w:p w14:paraId="37C9D8F5" w14:textId="7C85F6BB" w:rsidR="000522ED" w:rsidRPr="00C332F1" w:rsidRDefault="00CD3519" w:rsidP="00D81C1E">
      <w:pPr>
        <w:pStyle w:val="IAPrrafo"/>
        <w:rPr>
          <w:lang w:val="es-ES"/>
        </w:rPr>
      </w:pPr>
      <w:r w:rsidRPr="00C332F1">
        <w:rPr>
          <w:lang w:val="es-ES"/>
        </w:rPr>
        <w:t>E</w:t>
      </w:r>
      <w:r w:rsidR="008B3151" w:rsidRPr="00C332F1">
        <w:rPr>
          <w:lang w:val="es-ES"/>
        </w:rPr>
        <w:t xml:space="preserve">n el periodo preelectoral, el gobierno no sólo utilizó la maquinaria del Estado </w:t>
      </w:r>
      <w:r w:rsidR="005762B4" w:rsidRPr="00C332F1">
        <w:rPr>
          <w:lang w:val="es-ES"/>
        </w:rPr>
        <w:t xml:space="preserve">para favorecer la campaña de Nicolás Maduro, sino también para obstaculizar </w:t>
      </w:r>
      <w:r w:rsidR="00E87A59" w:rsidRPr="00C332F1">
        <w:rPr>
          <w:lang w:val="es-ES"/>
        </w:rPr>
        <w:t>e impedir la participación política de la oposición. En esta etapa se registraron: inhabilitaciones administrativas de personas opositoras; obstáculo</w:t>
      </w:r>
      <w:r w:rsidR="00650E17" w:rsidRPr="00C332F1">
        <w:rPr>
          <w:lang w:val="es-ES"/>
        </w:rPr>
        <w:t>s</w:t>
      </w:r>
      <w:r w:rsidR="00E87A59" w:rsidRPr="00C332F1">
        <w:rPr>
          <w:lang w:val="es-ES"/>
        </w:rPr>
        <w:t xml:space="preserve"> para la inscripción</w:t>
      </w:r>
      <w:r w:rsidR="000522ED" w:rsidRPr="00C332F1">
        <w:rPr>
          <w:lang w:val="es-ES"/>
        </w:rPr>
        <w:t xml:space="preserve"> </w:t>
      </w:r>
      <w:r w:rsidR="00E87A59" w:rsidRPr="00C332F1">
        <w:rPr>
          <w:lang w:val="es-ES"/>
        </w:rPr>
        <w:t>de candidaturas opositoras;</w:t>
      </w:r>
      <w:r w:rsidR="000522ED" w:rsidRPr="00C332F1">
        <w:rPr>
          <w:lang w:val="es-ES"/>
        </w:rPr>
        <w:t xml:space="preserve"> </w:t>
      </w:r>
      <w:r w:rsidR="00650E17" w:rsidRPr="00C332F1">
        <w:t>impedimentos</w:t>
      </w:r>
      <w:r w:rsidR="00650E17" w:rsidRPr="00C332F1">
        <w:rPr>
          <w:lang w:val="es-US"/>
        </w:rPr>
        <w:t xml:space="preserve"> </w:t>
      </w:r>
      <w:r w:rsidR="000522ED" w:rsidRPr="00C332F1">
        <w:rPr>
          <w:lang w:val="es-US"/>
        </w:rPr>
        <w:t>discriminatorios para el ejercicio del voto en el exterior;</w:t>
      </w:r>
      <w:r w:rsidR="004F4B8D" w:rsidRPr="00C332F1">
        <w:rPr>
          <w:lang w:val="es-ES"/>
        </w:rPr>
        <w:t xml:space="preserve"> </w:t>
      </w:r>
      <w:r w:rsidR="00E448D9" w:rsidRPr="00C332F1">
        <w:rPr>
          <w:lang w:val="es-ES"/>
        </w:rPr>
        <w:t xml:space="preserve">el retiro de misiones internacionales de observación electoral; </w:t>
      </w:r>
      <w:r w:rsidR="48D9BC37" w:rsidRPr="00C332F1">
        <w:rPr>
          <w:lang w:val="es-ES"/>
        </w:rPr>
        <w:t>así como</w:t>
      </w:r>
      <w:r w:rsidR="004F4B8D" w:rsidRPr="00C332F1">
        <w:rPr>
          <w:lang w:val="es-ES"/>
        </w:rPr>
        <w:t xml:space="preserve"> </w:t>
      </w:r>
      <w:r w:rsidR="004F4B8D" w:rsidRPr="00C332F1">
        <w:t>detenciones</w:t>
      </w:r>
      <w:r w:rsidR="00757E84" w:rsidRPr="00C332F1">
        <w:t xml:space="preserve"> arbitrarias y amedrentamientos a personas opositoras o percibidas como tales</w:t>
      </w:r>
      <w:r w:rsidR="00B34411" w:rsidRPr="00C332F1">
        <w:t>.</w:t>
      </w:r>
    </w:p>
    <w:p w14:paraId="120D35E0" w14:textId="393BEAC2" w:rsidR="005A1755" w:rsidRPr="00C332F1" w:rsidRDefault="008C7A1A" w:rsidP="008D3DDF">
      <w:pPr>
        <w:pStyle w:val="IASubttulo3"/>
        <w:rPr>
          <w:lang w:val="es-US"/>
        </w:rPr>
      </w:pPr>
      <w:bookmarkStart w:id="7" w:name="_Toc195617453"/>
      <w:r w:rsidRPr="00C332F1">
        <w:rPr>
          <w:lang w:val="es-US"/>
        </w:rPr>
        <w:t>Inhabilitaciones administrativas</w:t>
      </w:r>
      <w:r w:rsidR="00D618F2" w:rsidRPr="00C332F1">
        <w:rPr>
          <w:lang w:val="es-US"/>
        </w:rPr>
        <w:t xml:space="preserve"> de personas </w:t>
      </w:r>
      <w:r w:rsidRPr="00C332F1">
        <w:rPr>
          <w:lang w:val="es-US"/>
        </w:rPr>
        <w:t>opositoras</w:t>
      </w:r>
      <w:bookmarkEnd w:id="7"/>
    </w:p>
    <w:p w14:paraId="47EAB8D3" w14:textId="4DC9E398" w:rsidR="00D02CF4" w:rsidRPr="00C332F1" w:rsidRDefault="00C612EF" w:rsidP="00E97C1B">
      <w:pPr>
        <w:pStyle w:val="IAPrrafo"/>
        <w:rPr>
          <w:rFonts w:cstheme="majorBidi"/>
          <w:color w:val="auto"/>
          <w:szCs w:val="20"/>
        </w:rPr>
      </w:pPr>
      <w:r w:rsidRPr="00C332F1">
        <w:rPr>
          <w:rFonts w:cstheme="majorBidi"/>
          <w:color w:val="auto"/>
          <w:szCs w:val="20"/>
        </w:rPr>
        <w:t>Al menos desde el 2021</w:t>
      </w:r>
      <w:r w:rsidR="004E2AC1" w:rsidRPr="00C332F1">
        <w:rPr>
          <w:rFonts w:cstheme="majorBidi"/>
          <w:color w:val="auto"/>
          <w:szCs w:val="20"/>
        </w:rPr>
        <w:t>, el gobierno y la oposición han</w:t>
      </w:r>
      <w:r w:rsidR="000B2887" w:rsidRPr="00C332F1">
        <w:rPr>
          <w:rFonts w:cstheme="majorBidi"/>
          <w:color w:val="auto"/>
          <w:szCs w:val="20"/>
        </w:rPr>
        <w:t xml:space="preserve"> sostenido negociaciones para el establecimiento de garantías democráticas</w:t>
      </w:r>
      <w:r w:rsidR="00B16F25" w:rsidRPr="00C332F1">
        <w:rPr>
          <w:rFonts w:cstheme="majorBidi"/>
          <w:color w:val="auto"/>
          <w:szCs w:val="20"/>
        </w:rPr>
        <w:t xml:space="preserve"> y la superación de la crisis</w:t>
      </w:r>
      <w:r w:rsidR="00A14F05">
        <w:rPr>
          <w:rFonts w:ascii="ZWAdobeF" w:hAnsi="ZWAdobeF" w:cs="ZWAdobeF"/>
          <w:color w:val="auto"/>
          <w:sz w:val="2"/>
          <w:szCs w:val="2"/>
        </w:rPr>
        <w:t>4F</w:t>
      </w:r>
      <w:r w:rsidR="00D166C4" w:rsidRPr="005C52BD">
        <w:rPr>
          <w:rStyle w:val="FootnoteReference"/>
          <w:rFonts w:cstheme="majorBidi"/>
          <w:color w:val="auto"/>
          <w:sz w:val="20"/>
          <w:szCs w:val="20"/>
        </w:rPr>
        <w:footnoteReference w:id="6"/>
      </w:r>
      <w:r w:rsidR="00D166C4" w:rsidRPr="00C332F1">
        <w:rPr>
          <w:rFonts w:cstheme="majorBidi"/>
          <w:color w:val="auto"/>
          <w:szCs w:val="20"/>
        </w:rPr>
        <w:t xml:space="preserve">. </w:t>
      </w:r>
      <w:r w:rsidR="00866669" w:rsidRPr="00C332F1">
        <w:rPr>
          <w:rFonts w:cstheme="majorBidi"/>
          <w:color w:val="auto"/>
          <w:szCs w:val="20"/>
        </w:rPr>
        <w:t xml:space="preserve">Varios países de la comunidad internacional </w:t>
      </w:r>
      <w:r w:rsidR="001A1238" w:rsidRPr="00C332F1">
        <w:rPr>
          <w:rFonts w:cstheme="majorBidi"/>
          <w:color w:val="auto"/>
          <w:szCs w:val="20"/>
        </w:rPr>
        <w:t xml:space="preserve">han apoyado </w:t>
      </w:r>
      <w:r w:rsidR="00866669" w:rsidRPr="00C332F1">
        <w:rPr>
          <w:rFonts w:cstheme="majorBidi"/>
          <w:color w:val="auto"/>
          <w:szCs w:val="20"/>
        </w:rPr>
        <w:t>estos esfuerzos</w:t>
      </w:r>
      <w:r w:rsidR="005C38D3" w:rsidRPr="00C332F1">
        <w:rPr>
          <w:rFonts w:cstheme="majorBidi"/>
          <w:color w:val="auto"/>
          <w:szCs w:val="20"/>
        </w:rPr>
        <w:t xml:space="preserve">, </w:t>
      </w:r>
      <w:r w:rsidR="00EE471D" w:rsidRPr="00C332F1">
        <w:rPr>
          <w:rFonts w:cstheme="majorBidi"/>
          <w:color w:val="auto"/>
          <w:szCs w:val="20"/>
        </w:rPr>
        <w:t>en especial</w:t>
      </w:r>
      <w:r w:rsidR="005C38D3" w:rsidRPr="00C332F1">
        <w:rPr>
          <w:rFonts w:cstheme="majorBidi"/>
          <w:color w:val="auto"/>
          <w:szCs w:val="20"/>
        </w:rPr>
        <w:t xml:space="preserve">, </w:t>
      </w:r>
      <w:r w:rsidR="009A4651" w:rsidRPr="00C332F1">
        <w:rPr>
          <w:rFonts w:cstheme="majorBidi"/>
          <w:color w:val="auto"/>
          <w:szCs w:val="20"/>
        </w:rPr>
        <w:t xml:space="preserve">por la necesidad de </w:t>
      </w:r>
      <w:r w:rsidR="00F77937" w:rsidRPr="00C332F1">
        <w:rPr>
          <w:rFonts w:cstheme="majorBidi"/>
          <w:color w:val="auto"/>
          <w:szCs w:val="20"/>
        </w:rPr>
        <w:t xml:space="preserve">brindar transparencia y confianza </w:t>
      </w:r>
      <w:r w:rsidR="00781955" w:rsidRPr="00C332F1">
        <w:rPr>
          <w:rFonts w:cstheme="majorBidi"/>
          <w:color w:val="auto"/>
          <w:szCs w:val="20"/>
        </w:rPr>
        <w:t>a</w:t>
      </w:r>
      <w:r w:rsidR="00382722" w:rsidRPr="00C332F1">
        <w:rPr>
          <w:rFonts w:cstheme="majorBidi"/>
          <w:color w:val="auto"/>
          <w:szCs w:val="20"/>
        </w:rPr>
        <w:t xml:space="preserve"> l</w:t>
      </w:r>
      <w:r w:rsidR="00F22730" w:rsidRPr="00C332F1">
        <w:rPr>
          <w:rFonts w:cstheme="majorBidi"/>
          <w:color w:val="auto"/>
          <w:szCs w:val="20"/>
        </w:rPr>
        <w:t>os comicios presidenciales</w:t>
      </w:r>
      <w:r w:rsidR="00382722" w:rsidRPr="00C332F1">
        <w:rPr>
          <w:rFonts w:cstheme="majorBidi"/>
          <w:color w:val="auto"/>
          <w:szCs w:val="20"/>
        </w:rPr>
        <w:t>.</w:t>
      </w:r>
      <w:r w:rsidR="00D02CF4" w:rsidRPr="00C332F1">
        <w:rPr>
          <w:rFonts w:cstheme="majorBidi"/>
          <w:color w:val="auto"/>
          <w:szCs w:val="20"/>
        </w:rPr>
        <w:t xml:space="preserve"> </w:t>
      </w:r>
      <w:r w:rsidR="00D5003F" w:rsidRPr="00C332F1">
        <w:rPr>
          <w:rFonts w:cstheme="majorBidi"/>
          <w:color w:val="auto"/>
          <w:szCs w:val="20"/>
        </w:rPr>
        <w:t>Finalmente, e</w:t>
      </w:r>
      <w:r w:rsidR="00D02CF4" w:rsidRPr="00C332F1">
        <w:rPr>
          <w:rFonts w:cstheme="majorBidi"/>
          <w:color w:val="auto"/>
          <w:szCs w:val="20"/>
          <w:shd w:val="clear" w:color="auto" w:fill="FFFFFF"/>
          <w:lang w:val="es-US"/>
        </w:rPr>
        <w:t xml:space="preserve">l 17 de octubre de 2023, el gobierno de Venezuela y la oposición firmaron el </w:t>
      </w:r>
      <w:r w:rsidR="00EE471D" w:rsidRPr="00C332F1">
        <w:rPr>
          <w:rFonts w:cstheme="majorBidi"/>
          <w:color w:val="auto"/>
          <w:szCs w:val="20"/>
          <w:shd w:val="clear" w:color="auto" w:fill="FFFFFF"/>
          <w:lang w:val="es-US"/>
        </w:rPr>
        <w:t>“</w:t>
      </w:r>
      <w:r w:rsidR="00D02CF4" w:rsidRPr="00C332F1">
        <w:rPr>
          <w:rFonts w:cstheme="majorBidi"/>
          <w:color w:val="auto"/>
          <w:szCs w:val="20"/>
          <w:shd w:val="clear" w:color="auto" w:fill="FFFFFF"/>
          <w:lang w:val="es-US"/>
        </w:rPr>
        <w:t>Acuerdo parcial sobre la promoción de derechos políticos y garantías electorales para todos los venezolanos</w:t>
      </w:r>
      <w:r w:rsidR="00EE471D" w:rsidRPr="00C332F1">
        <w:rPr>
          <w:rFonts w:cstheme="majorBidi"/>
          <w:color w:val="auto"/>
          <w:szCs w:val="20"/>
          <w:shd w:val="clear" w:color="auto" w:fill="FFFFFF"/>
          <w:lang w:val="es-US"/>
        </w:rPr>
        <w:t>”</w:t>
      </w:r>
      <w:r w:rsidR="00D02CF4" w:rsidRPr="00C332F1">
        <w:rPr>
          <w:rFonts w:cstheme="majorBidi"/>
          <w:color w:val="auto"/>
          <w:szCs w:val="20"/>
          <w:shd w:val="clear" w:color="auto" w:fill="FFFFFF"/>
          <w:lang w:val="es-US"/>
        </w:rPr>
        <w:t xml:space="preserve"> </w:t>
      </w:r>
      <w:r w:rsidR="00445E3F" w:rsidRPr="00C332F1">
        <w:rPr>
          <w:rFonts w:cstheme="majorBidi"/>
          <w:color w:val="auto"/>
          <w:szCs w:val="20"/>
          <w:shd w:val="clear" w:color="auto" w:fill="FFFFFF"/>
          <w:lang w:val="es-US"/>
        </w:rPr>
        <w:t xml:space="preserve">(Acuerdo de Barbados) </w:t>
      </w:r>
      <w:r w:rsidR="00D02CF4" w:rsidRPr="00C332F1">
        <w:rPr>
          <w:rFonts w:cstheme="majorBidi"/>
          <w:color w:val="auto"/>
          <w:szCs w:val="20"/>
          <w:shd w:val="clear" w:color="auto" w:fill="FFFFFF"/>
          <w:lang w:val="es-US"/>
        </w:rPr>
        <w:t>que establecía el compromiso de llevar a cabo elecciones presidenciales pacíficas con observación internacional</w:t>
      </w:r>
      <w:r w:rsidR="00A14F05">
        <w:rPr>
          <w:rFonts w:ascii="ZWAdobeF" w:hAnsi="ZWAdobeF" w:cs="ZWAdobeF"/>
          <w:color w:val="auto"/>
          <w:sz w:val="2"/>
          <w:szCs w:val="2"/>
          <w:shd w:val="clear" w:color="auto" w:fill="FFFFFF"/>
          <w:lang w:val="es-US"/>
        </w:rPr>
        <w:t>5F</w:t>
      </w:r>
      <w:r w:rsidR="00F23612" w:rsidRPr="005C52BD">
        <w:rPr>
          <w:rStyle w:val="FootnoteReference"/>
          <w:rFonts w:cstheme="majorBidi"/>
          <w:color w:val="auto"/>
          <w:sz w:val="20"/>
          <w:szCs w:val="20"/>
          <w:shd w:val="clear" w:color="auto" w:fill="FFFFFF"/>
          <w:lang w:val="es-US"/>
        </w:rPr>
        <w:footnoteReference w:id="7"/>
      </w:r>
      <w:r w:rsidR="00D02CF4" w:rsidRPr="00C332F1">
        <w:rPr>
          <w:rFonts w:cstheme="majorBidi"/>
          <w:color w:val="auto"/>
          <w:szCs w:val="20"/>
          <w:shd w:val="clear" w:color="auto" w:fill="FFFFFF"/>
          <w:lang w:val="es-US"/>
        </w:rPr>
        <w:t>.</w:t>
      </w:r>
      <w:r w:rsidR="00D905B1" w:rsidRPr="00C332F1">
        <w:rPr>
          <w:rFonts w:cstheme="majorBidi"/>
          <w:color w:val="auto"/>
          <w:szCs w:val="20"/>
          <w:shd w:val="clear" w:color="auto" w:fill="FFFFFF"/>
          <w:lang w:val="es-US"/>
        </w:rPr>
        <w:t xml:space="preserve"> </w:t>
      </w:r>
    </w:p>
    <w:p w14:paraId="1C9E7553" w14:textId="552D1D9A" w:rsidR="00A46D03" w:rsidRPr="00C332F1" w:rsidRDefault="00D5003F" w:rsidP="00E97C1B">
      <w:pPr>
        <w:pStyle w:val="IAPrrafo"/>
        <w:rPr>
          <w:rFonts w:cstheme="majorBidi"/>
          <w:color w:val="auto"/>
          <w:szCs w:val="20"/>
        </w:rPr>
      </w:pPr>
      <w:r w:rsidRPr="00C332F1">
        <w:rPr>
          <w:rFonts w:cstheme="majorBidi"/>
          <w:color w:val="auto"/>
          <w:szCs w:val="20"/>
          <w:shd w:val="clear" w:color="auto" w:fill="FFFFFF"/>
          <w:lang w:val="es-US"/>
        </w:rPr>
        <w:t>El punto 1 del Acuerdo de Barbados</w:t>
      </w:r>
      <w:r w:rsidR="00D905B1" w:rsidRPr="00C332F1">
        <w:rPr>
          <w:rFonts w:cstheme="majorBidi"/>
          <w:color w:val="auto"/>
          <w:szCs w:val="20"/>
          <w:shd w:val="clear" w:color="auto" w:fill="FFFFFF"/>
          <w:lang w:val="es-US"/>
        </w:rPr>
        <w:t xml:space="preserve"> </w:t>
      </w:r>
      <w:r w:rsidR="00A46D03" w:rsidRPr="00C332F1">
        <w:rPr>
          <w:rFonts w:cstheme="majorBidi"/>
          <w:color w:val="auto"/>
          <w:szCs w:val="20"/>
          <w:shd w:val="clear" w:color="auto" w:fill="FFFFFF"/>
          <w:lang w:val="es-US"/>
        </w:rPr>
        <w:t>señala</w:t>
      </w:r>
      <w:r w:rsidR="00EE471D" w:rsidRPr="00C332F1">
        <w:rPr>
          <w:rFonts w:cstheme="majorBidi"/>
          <w:color w:val="auto"/>
          <w:szCs w:val="20"/>
          <w:shd w:val="clear" w:color="auto" w:fill="FFFFFF"/>
          <w:lang w:val="es-US"/>
        </w:rPr>
        <w:t>:</w:t>
      </w:r>
      <w:r w:rsidR="0030385D" w:rsidRPr="00C332F1">
        <w:rPr>
          <w:rFonts w:cstheme="majorBidi"/>
          <w:color w:val="auto"/>
          <w:szCs w:val="20"/>
          <w:shd w:val="clear" w:color="auto" w:fill="FFFFFF"/>
          <w:lang w:val="es-US"/>
        </w:rPr>
        <w:t xml:space="preserve"> “1) Las partes se reconocen y respetan el derecho de cada actor político de seleccionar su candidato para las elecciones presidenciales, de manera libre y conforme a sus mecanismos internos, atendiendo a lo establecido en la Constitución de la República Bolivariana de Venezuela y la ley”</w:t>
      </w:r>
      <w:r w:rsidR="00A14F05">
        <w:rPr>
          <w:rFonts w:ascii="ZWAdobeF" w:hAnsi="ZWAdobeF" w:cs="ZWAdobeF"/>
          <w:color w:val="auto"/>
          <w:sz w:val="2"/>
          <w:szCs w:val="2"/>
          <w:shd w:val="clear" w:color="auto" w:fill="FFFFFF"/>
          <w:lang w:val="es-US"/>
        </w:rPr>
        <w:t>6F</w:t>
      </w:r>
      <w:r w:rsidR="00665812" w:rsidRPr="005C52BD">
        <w:rPr>
          <w:rStyle w:val="FootnoteReference"/>
          <w:rFonts w:cstheme="majorBidi"/>
          <w:color w:val="auto"/>
          <w:sz w:val="20"/>
          <w:szCs w:val="20"/>
          <w:shd w:val="clear" w:color="auto" w:fill="FFFFFF"/>
          <w:lang w:val="es-US"/>
        </w:rPr>
        <w:footnoteReference w:id="8"/>
      </w:r>
      <w:r w:rsidR="0030385D" w:rsidRPr="00C332F1">
        <w:rPr>
          <w:rFonts w:cstheme="majorBidi"/>
          <w:color w:val="auto"/>
          <w:szCs w:val="20"/>
          <w:shd w:val="clear" w:color="auto" w:fill="FFFFFF"/>
          <w:lang w:val="es-US"/>
        </w:rPr>
        <w:t>.</w:t>
      </w:r>
      <w:r w:rsidR="00D02C5C" w:rsidRPr="00C332F1">
        <w:rPr>
          <w:rFonts w:cstheme="majorBidi"/>
          <w:color w:val="auto"/>
          <w:szCs w:val="20"/>
          <w:shd w:val="clear" w:color="auto" w:fill="FFFFFF"/>
          <w:lang w:val="es-US"/>
        </w:rPr>
        <w:t xml:space="preserve"> </w:t>
      </w:r>
      <w:r w:rsidR="00360E85" w:rsidRPr="00C332F1">
        <w:rPr>
          <w:rFonts w:cstheme="majorBidi"/>
          <w:color w:val="auto"/>
          <w:szCs w:val="20"/>
        </w:rPr>
        <w:t>A pesar de</w:t>
      </w:r>
      <w:r w:rsidR="00E06EFE" w:rsidRPr="00C332F1">
        <w:rPr>
          <w:rFonts w:cstheme="majorBidi"/>
          <w:color w:val="auto"/>
          <w:szCs w:val="20"/>
        </w:rPr>
        <w:t xml:space="preserve"> lo</w:t>
      </w:r>
      <w:r w:rsidR="00B10A5B" w:rsidRPr="00C332F1">
        <w:rPr>
          <w:rFonts w:cstheme="majorBidi"/>
          <w:color w:val="auto"/>
          <w:szCs w:val="20"/>
        </w:rPr>
        <w:t xml:space="preserve"> establecido en el</w:t>
      </w:r>
      <w:r w:rsidR="00360E85" w:rsidRPr="00C332F1">
        <w:rPr>
          <w:rFonts w:cstheme="majorBidi"/>
          <w:color w:val="auto"/>
          <w:szCs w:val="20"/>
        </w:rPr>
        <w:t xml:space="preserve"> punto</w:t>
      </w:r>
      <w:r w:rsidR="004E2CBE" w:rsidRPr="00C332F1">
        <w:rPr>
          <w:rFonts w:cstheme="majorBidi"/>
          <w:color w:val="auto"/>
          <w:szCs w:val="20"/>
        </w:rPr>
        <w:t xml:space="preserve"> </w:t>
      </w:r>
      <w:r w:rsidR="00360E85" w:rsidRPr="00C332F1">
        <w:rPr>
          <w:rFonts w:cstheme="majorBidi"/>
          <w:color w:val="auto"/>
          <w:szCs w:val="20"/>
        </w:rPr>
        <w:t>1, e</w:t>
      </w:r>
      <w:r w:rsidR="00CE7B01" w:rsidRPr="00C332F1">
        <w:rPr>
          <w:rFonts w:cstheme="majorBidi"/>
          <w:color w:val="auto"/>
          <w:szCs w:val="20"/>
        </w:rPr>
        <w:t xml:space="preserve">l 26 de enero, el Tribunal Supremo de Justicia (TSJ) dio a conocer una serie de decisiones que tenían como objeto revisar las inhabilitaciones impuestas por la Contraloría General de la Nación en contra de dirigentes opositores. </w:t>
      </w:r>
    </w:p>
    <w:p w14:paraId="68B89C80" w14:textId="1F8B1F90" w:rsidR="00DF2663" w:rsidRPr="00C332F1" w:rsidRDefault="00CE7B01" w:rsidP="00E97C1B">
      <w:pPr>
        <w:pStyle w:val="IAPrrafo"/>
        <w:suppressAutoHyphens/>
        <w:rPr>
          <w:rFonts w:eastAsiaTheme="minorHAnsi" w:cstheme="majorBidi"/>
          <w:szCs w:val="20"/>
          <w:lang w:val="es-ES_tradnl"/>
        </w:rPr>
      </w:pPr>
      <w:r w:rsidRPr="00C332F1">
        <w:rPr>
          <w:rFonts w:cstheme="majorBidi"/>
          <w:color w:val="auto"/>
          <w:szCs w:val="20"/>
        </w:rPr>
        <w:t>En dichas decisiones, el TSJ decidió mantener la prohibición de ocupar cargos de elección popular a Henrique Capriles</w:t>
      </w:r>
      <w:r w:rsidRPr="00C332F1">
        <w:rPr>
          <w:rFonts w:cstheme="majorBidi"/>
          <w:color w:val="23283F"/>
          <w:szCs w:val="20"/>
          <w:shd w:val="clear" w:color="auto" w:fill="FFFFFF"/>
          <w:lang w:val="es-US"/>
        </w:rPr>
        <w:t xml:space="preserve"> </w:t>
      </w:r>
      <w:r w:rsidR="00CB7D41" w:rsidRPr="00C332F1">
        <w:rPr>
          <w:rFonts w:cstheme="majorBidi"/>
          <w:color w:val="auto"/>
          <w:szCs w:val="20"/>
          <w:lang w:val="es-US"/>
        </w:rPr>
        <w:t>Radonski</w:t>
      </w:r>
      <w:r w:rsidRPr="00C332F1">
        <w:rPr>
          <w:rFonts w:cstheme="majorBidi"/>
          <w:color w:val="auto"/>
          <w:szCs w:val="20"/>
        </w:rPr>
        <w:t xml:space="preserve"> y María Corina Machado (quien ganó las elecciones primarias de la oposición) y levantar temporalmente las inhabilitaciones de Leocenis García, Richard Mardo, Pablo Pérez, Zulay Medina, Daniel Ceballos y Rosa Brandonisio de Scarano</w:t>
      </w:r>
      <w:r w:rsidR="00A14F05">
        <w:rPr>
          <w:rFonts w:ascii="ZWAdobeF" w:hAnsi="ZWAdobeF" w:cs="ZWAdobeF"/>
          <w:color w:val="auto"/>
          <w:sz w:val="2"/>
          <w:szCs w:val="2"/>
        </w:rPr>
        <w:t>7F</w:t>
      </w:r>
      <w:r w:rsidRPr="005C52BD">
        <w:rPr>
          <w:rStyle w:val="FootnoteReference"/>
          <w:rFonts w:eastAsia="Cambria" w:cstheme="majorBidi"/>
          <w:color w:val="auto"/>
          <w:sz w:val="20"/>
          <w:szCs w:val="20"/>
        </w:rPr>
        <w:footnoteReference w:id="9"/>
      </w:r>
      <w:r w:rsidRPr="00C332F1">
        <w:rPr>
          <w:rFonts w:cstheme="majorBidi"/>
          <w:color w:val="auto"/>
          <w:szCs w:val="20"/>
        </w:rPr>
        <w:t>.</w:t>
      </w:r>
      <w:r w:rsidR="00A46D03" w:rsidRPr="00C332F1">
        <w:rPr>
          <w:rFonts w:cstheme="majorBidi"/>
          <w:color w:val="auto"/>
          <w:szCs w:val="20"/>
        </w:rPr>
        <w:t xml:space="preserve"> </w:t>
      </w:r>
      <w:r w:rsidR="00F43115" w:rsidRPr="00C332F1">
        <w:rPr>
          <w:rFonts w:cstheme="majorBidi"/>
          <w:szCs w:val="20"/>
          <w:lang w:val="es-ES"/>
        </w:rPr>
        <w:t>En</w:t>
      </w:r>
      <w:r w:rsidR="00F43115" w:rsidRPr="00C332F1">
        <w:rPr>
          <w:rFonts w:eastAsiaTheme="minorEastAsia" w:cstheme="majorBidi"/>
          <w:szCs w:val="20"/>
          <w:lang w:val="es-ES"/>
        </w:rPr>
        <w:t xml:space="preserve"> </w:t>
      </w:r>
      <w:r w:rsidR="00931F9C" w:rsidRPr="00C332F1">
        <w:rPr>
          <w:rFonts w:eastAsiaTheme="minorEastAsia" w:cstheme="majorBidi"/>
          <w:szCs w:val="20"/>
          <w:lang w:val="es-ES"/>
        </w:rPr>
        <w:t>el caso de Henrique Capriles</w:t>
      </w:r>
      <w:r w:rsidR="00CB7D41" w:rsidRPr="00C332F1">
        <w:rPr>
          <w:rFonts w:cstheme="majorBidi"/>
          <w:color w:val="23283F"/>
          <w:szCs w:val="20"/>
          <w:shd w:val="clear" w:color="auto" w:fill="FFFFFF"/>
          <w:lang w:val="es-US"/>
        </w:rPr>
        <w:t xml:space="preserve"> </w:t>
      </w:r>
      <w:r w:rsidR="00CB7D41" w:rsidRPr="00C332F1">
        <w:rPr>
          <w:rFonts w:cstheme="majorBidi"/>
          <w:szCs w:val="20"/>
          <w:lang w:val="es-US"/>
        </w:rPr>
        <w:t>Radonski</w:t>
      </w:r>
      <w:r w:rsidR="00931F9C" w:rsidRPr="00C332F1">
        <w:rPr>
          <w:rFonts w:eastAsiaTheme="minorEastAsia" w:cstheme="majorBidi"/>
          <w:szCs w:val="20"/>
          <w:lang w:val="es-ES"/>
        </w:rPr>
        <w:t xml:space="preserve">, la </w:t>
      </w:r>
      <w:r w:rsidR="00486E06" w:rsidRPr="00C332F1">
        <w:rPr>
          <w:rFonts w:cstheme="majorBidi"/>
          <w:szCs w:val="20"/>
          <w:lang w:val="es-ES"/>
        </w:rPr>
        <w:t xml:space="preserve">ratificación de su </w:t>
      </w:r>
      <w:r w:rsidR="00931F9C" w:rsidRPr="00C332F1">
        <w:rPr>
          <w:rFonts w:eastAsiaTheme="minorEastAsia" w:cstheme="majorBidi"/>
          <w:szCs w:val="20"/>
          <w:lang w:val="es-ES"/>
        </w:rPr>
        <w:t>inhabilitación se fundamentó en presuntas irregularidades administrativas durante su gestión como gobernador del estado Miranda entre 2011 y 2013. El TSJ argumentó que la solicitud de revisión presentada por Capriles no cumplía con los requerimientos establecidos, manteniendo así la prohibición para ejercer funciones públicas</w:t>
      </w:r>
      <w:r w:rsidR="00A14F05">
        <w:rPr>
          <w:rFonts w:ascii="ZWAdobeF" w:eastAsiaTheme="minorEastAsia" w:hAnsi="ZWAdobeF" w:cs="ZWAdobeF"/>
          <w:color w:val="auto"/>
          <w:sz w:val="2"/>
          <w:szCs w:val="2"/>
          <w:lang w:val="es-ES"/>
        </w:rPr>
        <w:t>8F</w:t>
      </w:r>
      <w:r w:rsidR="00931F9C" w:rsidRPr="005C52BD">
        <w:rPr>
          <w:rStyle w:val="FootnoteReference"/>
          <w:rFonts w:cstheme="majorBidi"/>
          <w:sz w:val="20"/>
          <w:szCs w:val="20"/>
          <w:lang w:val="es-ES"/>
        </w:rPr>
        <w:footnoteReference w:id="10"/>
      </w:r>
      <w:r w:rsidR="00931F9C" w:rsidRPr="00C332F1">
        <w:rPr>
          <w:rFonts w:eastAsiaTheme="minorEastAsia" w:cstheme="majorBidi"/>
          <w:szCs w:val="20"/>
          <w:lang w:val="es-ES"/>
        </w:rPr>
        <w:t>.</w:t>
      </w:r>
    </w:p>
    <w:p w14:paraId="1166B902" w14:textId="2AB13D40" w:rsidR="00931F9C" w:rsidRPr="00C332F1" w:rsidRDefault="00931F9C" w:rsidP="00E97C1B">
      <w:pPr>
        <w:pStyle w:val="IAPrrafo"/>
        <w:suppressAutoHyphens/>
        <w:rPr>
          <w:rFonts w:eastAsiaTheme="minorHAnsi" w:cstheme="majorBidi"/>
          <w:szCs w:val="20"/>
          <w:lang w:val="es-ES_tradnl"/>
        </w:rPr>
      </w:pPr>
      <w:r w:rsidRPr="00C332F1">
        <w:rPr>
          <w:rFonts w:eastAsiaTheme="minorHAnsi" w:cstheme="majorBidi"/>
          <w:szCs w:val="20"/>
          <w:lang w:val="es-ES_tradnl"/>
        </w:rPr>
        <w:t xml:space="preserve">Por su parte, María Corina Machado fue inhabilitada por supuestas violaciones a la normativa administrativa y </w:t>
      </w:r>
      <w:r w:rsidR="00AB7298" w:rsidRPr="00C332F1">
        <w:rPr>
          <w:rFonts w:eastAsiaTheme="minorHAnsi" w:cstheme="majorBidi"/>
          <w:szCs w:val="20"/>
          <w:lang w:val="es-ES_tradnl"/>
        </w:rPr>
        <w:t xml:space="preserve">fiscal y por </w:t>
      </w:r>
      <w:r w:rsidR="00DF2663" w:rsidRPr="00C332F1">
        <w:rPr>
          <w:rFonts w:cstheme="majorBidi"/>
          <w:szCs w:val="20"/>
          <w:lang w:val="es-US"/>
        </w:rPr>
        <w:t xml:space="preserve">su apoyo a las sanciones internacionales contra Venezuela. </w:t>
      </w:r>
      <w:r w:rsidR="00062DD9" w:rsidRPr="00C332F1">
        <w:rPr>
          <w:rFonts w:cstheme="majorBidi"/>
          <w:szCs w:val="20"/>
          <w:lang w:val="es-US"/>
        </w:rPr>
        <w:t>En concreto</w:t>
      </w:r>
      <w:r w:rsidR="00DF2663" w:rsidRPr="00C332F1">
        <w:rPr>
          <w:rFonts w:cstheme="majorBidi"/>
          <w:szCs w:val="20"/>
          <w:lang w:val="es-US"/>
        </w:rPr>
        <w:t xml:space="preserve">, las autoridades la acusaron de participar en un esquema de corrupción orquestado por Juan Guaidó, que supuestamente llevó al </w:t>
      </w:r>
      <w:r w:rsidR="00062DD9" w:rsidRPr="00C332F1">
        <w:rPr>
          <w:rFonts w:cstheme="majorBidi"/>
          <w:szCs w:val="20"/>
          <w:lang w:val="es-US"/>
        </w:rPr>
        <w:t>“</w:t>
      </w:r>
      <w:r w:rsidR="00DF2663" w:rsidRPr="00C332F1">
        <w:rPr>
          <w:rFonts w:cstheme="majorBidi"/>
          <w:szCs w:val="20"/>
          <w:lang w:val="es-US"/>
        </w:rPr>
        <w:t>bloqueo criminal</w:t>
      </w:r>
      <w:r w:rsidR="00062DD9" w:rsidRPr="00C332F1">
        <w:rPr>
          <w:rFonts w:cstheme="majorBidi"/>
          <w:szCs w:val="20"/>
          <w:lang w:val="es-US"/>
        </w:rPr>
        <w:t>”</w:t>
      </w:r>
      <w:r w:rsidR="00DF2663" w:rsidRPr="00C332F1">
        <w:rPr>
          <w:rFonts w:cstheme="majorBidi"/>
          <w:szCs w:val="20"/>
          <w:lang w:val="es-US"/>
        </w:rPr>
        <w:t xml:space="preserve"> de Venezuela y al desvío de activos nacionales en el extranjero</w:t>
      </w:r>
      <w:r w:rsidR="00A14F05">
        <w:rPr>
          <w:rFonts w:ascii="ZWAdobeF" w:hAnsi="ZWAdobeF" w:cs="ZWAdobeF"/>
          <w:color w:val="auto"/>
          <w:sz w:val="2"/>
          <w:szCs w:val="2"/>
          <w:lang w:val="es-US"/>
        </w:rPr>
        <w:t>9F</w:t>
      </w:r>
      <w:r w:rsidR="00DF2663" w:rsidRPr="005C52BD">
        <w:rPr>
          <w:rStyle w:val="FootnoteReference"/>
          <w:rFonts w:cstheme="majorBidi"/>
          <w:sz w:val="20"/>
          <w:szCs w:val="20"/>
          <w:lang w:val="es-US"/>
        </w:rPr>
        <w:footnoteReference w:id="11"/>
      </w:r>
      <w:r w:rsidR="00DF2663" w:rsidRPr="00C332F1">
        <w:rPr>
          <w:rFonts w:cstheme="majorBidi"/>
          <w:szCs w:val="20"/>
          <w:lang w:val="es-US"/>
        </w:rPr>
        <w:t>.</w:t>
      </w:r>
      <w:r w:rsidRPr="00C332F1">
        <w:rPr>
          <w:rFonts w:eastAsiaTheme="minorHAnsi" w:cstheme="majorBidi"/>
          <w:szCs w:val="20"/>
          <w:lang w:val="es-ES_tradnl"/>
        </w:rPr>
        <w:t xml:space="preserve"> El TSJ declaró improcedente la solicitud de amparo cautelar presentada por Machado </w:t>
      </w:r>
      <w:r w:rsidR="006F5AA0" w:rsidRPr="00C332F1">
        <w:rPr>
          <w:rFonts w:eastAsiaTheme="minorHAnsi" w:cstheme="majorBidi"/>
          <w:szCs w:val="20"/>
          <w:lang w:val="es-ES_tradnl"/>
        </w:rPr>
        <w:t xml:space="preserve">y confirmó </w:t>
      </w:r>
      <w:r w:rsidRPr="00C332F1">
        <w:rPr>
          <w:rFonts w:eastAsiaTheme="minorHAnsi" w:cstheme="majorBidi"/>
          <w:szCs w:val="20"/>
          <w:lang w:val="es-ES_tradnl"/>
        </w:rPr>
        <w:t>la inhabilitación que le impid</w:t>
      </w:r>
      <w:r w:rsidR="00051A22" w:rsidRPr="00C332F1">
        <w:rPr>
          <w:rFonts w:eastAsiaTheme="minorHAnsi" w:cstheme="majorBidi"/>
          <w:szCs w:val="20"/>
          <w:lang w:val="es-ES_tradnl"/>
        </w:rPr>
        <w:t>ió</w:t>
      </w:r>
      <w:r w:rsidRPr="00C332F1">
        <w:rPr>
          <w:rFonts w:eastAsiaTheme="minorHAnsi" w:cstheme="majorBidi"/>
          <w:szCs w:val="20"/>
          <w:lang w:val="es-ES_tradnl"/>
        </w:rPr>
        <w:t xml:space="preserve"> postularse a cargos públicos</w:t>
      </w:r>
      <w:r w:rsidR="00051A22" w:rsidRPr="00C332F1">
        <w:rPr>
          <w:rFonts w:eastAsiaTheme="minorHAnsi" w:cstheme="majorBidi"/>
          <w:szCs w:val="20"/>
          <w:lang w:val="es-ES_tradnl"/>
        </w:rPr>
        <w:t xml:space="preserve"> por 15 años</w:t>
      </w:r>
      <w:r w:rsidR="00A14F05">
        <w:rPr>
          <w:rFonts w:ascii="ZWAdobeF" w:eastAsiaTheme="minorHAnsi" w:hAnsi="ZWAdobeF" w:cs="ZWAdobeF"/>
          <w:color w:val="auto"/>
          <w:sz w:val="2"/>
          <w:szCs w:val="2"/>
          <w:lang w:val="es-ES_tradnl"/>
        </w:rPr>
        <w:t>10F</w:t>
      </w:r>
      <w:r w:rsidRPr="005C52BD">
        <w:rPr>
          <w:rStyle w:val="FootnoteReference"/>
          <w:rFonts w:cstheme="majorBidi"/>
          <w:sz w:val="20"/>
          <w:szCs w:val="20"/>
          <w:lang w:val="es-ES_tradnl"/>
        </w:rPr>
        <w:footnoteReference w:id="12"/>
      </w:r>
      <w:r w:rsidRPr="00C332F1">
        <w:rPr>
          <w:rFonts w:eastAsiaTheme="minorHAnsi" w:cstheme="majorBidi"/>
          <w:szCs w:val="20"/>
          <w:lang w:val="es-ES_tradnl"/>
        </w:rPr>
        <w:t>.</w:t>
      </w:r>
    </w:p>
    <w:p w14:paraId="05701535" w14:textId="6C8795F7" w:rsidR="00CE7B01" w:rsidRPr="00C332F1" w:rsidRDefault="00CE7B01" w:rsidP="00E97C1B">
      <w:pPr>
        <w:pStyle w:val="IAPrrafo"/>
        <w:rPr>
          <w:rFonts w:cstheme="majorBidi"/>
          <w:color w:val="auto"/>
          <w:szCs w:val="20"/>
        </w:rPr>
      </w:pPr>
      <w:r w:rsidRPr="00C332F1">
        <w:rPr>
          <w:rFonts w:cstheme="majorBidi"/>
          <w:color w:val="auto"/>
          <w:szCs w:val="20"/>
        </w:rPr>
        <w:t xml:space="preserve">Este tipo de inhabilitaciones no son nuevas en Venezuela. En el 2021, en el marco de las elecciones de autoridades regionales y municipales, el </w:t>
      </w:r>
      <w:r w:rsidR="001B72F8" w:rsidRPr="00C332F1">
        <w:rPr>
          <w:rFonts w:cstheme="majorBidi"/>
          <w:color w:val="auto"/>
          <w:szCs w:val="20"/>
        </w:rPr>
        <w:t xml:space="preserve">CNE </w:t>
      </w:r>
      <w:r w:rsidRPr="00C332F1">
        <w:rPr>
          <w:rFonts w:cstheme="majorBidi"/>
          <w:color w:val="auto"/>
          <w:szCs w:val="20"/>
        </w:rPr>
        <w:t xml:space="preserve">rechazó 27 candidaturas debido a inhabilitaciones impuestas por la Contraloría General de la República. Dicha decisión impactó desproporcionadamente a los partidos políticos disidentes del gobierno, como es el caso del Partido Comunista de Venezuela, con 15 inhabilitaciones, y los partidos de oposición reunidos en la Mesa de la Unidad Democrática (MUD), que recibieron al menos </w:t>
      </w:r>
      <w:r w:rsidR="00143370" w:rsidRPr="00C332F1">
        <w:rPr>
          <w:rFonts w:cstheme="majorBidi"/>
          <w:color w:val="auto"/>
          <w:szCs w:val="20"/>
        </w:rPr>
        <w:t>tres</w:t>
      </w:r>
      <w:r w:rsidRPr="00C332F1">
        <w:rPr>
          <w:rFonts w:cstheme="majorBidi"/>
          <w:color w:val="auto"/>
          <w:szCs w:val="20"/>
        </w:rPr>
        <w:t xml:space="preserve"> inhabilitaciones</w:t>
      </w:r>
      <w:r w:rsidR="00A14F05">
        <w:rPr>
          <w:rFonts w:ascii="ZWAdobeF" w:hAnsi="ZWAdobeF" w:cs="ZWAdobeF"/>
          <w:color w:val="auto"/>
          <w:sz w:val="2"/>
          <w:szCs w:val="2"/>
        </w:rPr>
        <w:t>11F</w:t>
      </w:r>
      <w:r w:rsidRPr="005C52BD">
        <w:rPr>
          <w:rStyle w:val="FootnoteReference"/>
          <w:rFonts w:eastAsia="Cambria" w:cstheme="majorBidi"/>
          <w:color w:val="auto"/>
          <w:sz w:val="20"/>
          <w:szCs w:val="20"/>
        </w:rPr>
        <w:footnoteReference w:id="13"/>
      </w:r>
      <w:r w:rsidRPr="00C332F1">
        <w:rPr>
          <w:rFonts w:cstheme="majorBidi"/>
          <w:color w:val="auto"/>
          <w:szCs w:val="20"/>
        </w:rPr>
        <w:t>.</w:t>
      </w:r>
    </w:p>
    <w:p w14:paraId="3003B0CD" w14:textId="28911D24" w:rsidR="00CE7B01" w:rsidRPr="00C332F1" w:rsidRDefault="00CE7B01" w:rsidP="00E97C1B">
      <w:pPr>
        <w:pStyle w:val="IAPrrafo"/>
        <w:rPr>
          <w:rFonts w:cstheme="majorBidi"/>
          <w:color w:val="auto"/>
        </w:rPr>
      </w:pPr>
      <w:r w:rsidRPr="00C332F1">
        <w:rPr>
          <w:rFonts w:cstheme="majorBidi"/>
          <w:color w:val="auto"/>
        </w:rPr>
        <w:t>La CIDH recuerda que el Estado de Venezuela fue condenado internacionalmente en el caso López Mendoza por este tipo de sanciones. Al respecto, reitera que</w:t>
      </w:r>
      <w:r w:rsidR="00892FAB" w:rsidRPr="00C332F1">
        <w:rPr>
          <w:rFonts w:cstheme="majorBidi"/>
          <w:color w:val="auto"/>
        </w:rPr>
        <w:t>, conforme a la Convención Americana sobre Derechos Humanos</w:t>
      </w:r>
      <w:r w:rsidR="00760F28" w:rsidRPr="00C332F1">
        <w:rPr>
          <w:rFonts w:cstheme="majorBidi"/>
          <w:color w:val="auto"/>
        </w:rPr>
        <w:t xml:space="preserve"> (CADH)</w:t>
      </w:r>
      <w:r w:rsidR="00892FAB" w:rsidRPr="00C332F1">
        <w:rPr>
          <w:rFonts w:cstheme="majorBidi"/>
          <w:color w:val="auto"/>
        </w:rPr>
        <w:t>,</w:t>
      </w:r>
      <w:r w:rsidRPr="00C332F1">
        <w:rPr>
          <w:rFonts w:cstheme="majorBidi"/>
          <w:color w:val="auto"/>
        </w:rPr>
        <w:t xml:space="preserve"> ningún órgano administrativo puede restringir los derechos políticos a elegir y ser elegido a través de sanciones de inhabilidad o destitución. Conforme a</w:t>
      </w:r>
      <w:r w:rsidR="00760F28" w:rsidRPr="00C332F1">
        <w:rPr>
          <w:rFonts w:cstheme="majorBidi"/>
          <w:color w:val="auto"/>
        </w:rPr>
        <w:t>l artículo 23.2 de la CADH</w:t>
      </w:r>
      <w:r w:rsidRPr="00C332F1">
        <w:rPr>
          <w:rFonts w:cstheme="majorBidi"/>
          <w:color w:val="auto"/>
        </w:rPr>
        <w:t xml:space="preserve">, para consolidar y proteger un ordenamiento democrático respetuoso de los derechos humanos, este tipo de sanciones </w:t>
      </w:r>
      <w:r w:rsidR="003118F5" w:rsidRPr="00C332F1">
        <w:rPr>
          <w:rFonts w:cstheme="majorBidi"/>
          <w:color w:val="auto"/>
        </w:rPr>
        <w:t xml:space="preserve">sólo </w:t>
      </w:r>
      <w:r w:rsidRPr="00C332F1">
        <w:rPr>
          <w:rFonts w:cstheme="majorBidi"/>
          <w:color w:val="auto"/>
        </w:rPr>
        <w:t xml:space="preserve">puede ser impuesta mediante </w:t>
      </w:r>
      <w:r w:rsidR="00A72853" w:rsidRPr="00C332F1">
        <w:rPr>
          <w:rFonts w:cstheme="majorBidi"/>
          <w:color w:val="auto"/>
        </w:rPr>
        <w:t xml:space="preserve">condena por juez competente, </w:t>
      </w:r>
      <w:r w:rsidRPr="00C332F1">
        <w:rPr>
          <w:rFonts w:cstheme="majorBidi"/>
          <w:color w:val="auto"/>
        </w:rPr>
        <w:t>en el marco de un proceso penal</w:t>
      </w:r>
      <w:r w:rsidR="00A14F05">
        <w:rPr>
          <w:rFonts w:ascii="ZWAdobeF" w:hAnsi="ZWAdobeF" w:cs="ZWAdobeF"/>
          <w:color w:val="auto"/>
          <w:sz w:val="2"/>
          <w:szCs w:val="2"/>
        </w:rPr>
        <w:t>12F</w:t>
      </w:r>
      <w:r w:rsidRPr="005C52BD">
        <w:rPr>
          <w:rStyle w:val="FootnoteReference"/>
          <w:rFonts w:eastAsia="Cambria" w:cstheme="majorBidi"/>
          <w:color w:val="auto"/>
          <w:sz w:val="22"/>
        </w:rPr>
        <w:footnoteReference w:id="14"/>
      </w:r>
      <w:r w:rsidRPr="00C332F1">
        <w:rPr>
          <w:rFonts w:cstheme="majorBidi"/>
          <w:color w:val="auto"/>
        </w:rPr>
        <w:t>.</w:t>
      </w:r>
    </w:p>
    <w:p w14:paraId="2AE2F633" w14:textId="5EBA43D3" w:rsidR="00681A85" w:rsidRPr="00C332F1" w:rsidRDefault="00B72EB0" w:rsidP="00CE6495">
      <w:pPr>
        <w:pStyle w:val="IASubttulo3"/>
        <w:rPr>
          <w:lang w:val="es-CO"/>
        </w:rPr>
      </w:pPr>
      <w:bookmarkStart w:id="8" w:name="_Toc195617454"/>
      <w:r w:rsidRPr="00C332F1">
        <w:rPr>
          <w:lang w:val="es-US"/>
        </w:rPr>
        <w:t>Obstáculos</w:t>
      </w:r>
      <w:r w:rsidR="00DE0A83" w:rsidRPr="00C332F1">
        <w:rPr>
          <w:lang w:val="es-US"/>
        </w:rPr>
        <w:t xml:space="preserve"> </w:t>
      </w:r>
      <w:r w:rsidRPr="00C332F1">
        <w:rPr>
          <w:lang w:val="es-US"/>
        </w:rPr>
        <w:t>para la inscripción de candidaturas opositoras</w:t>
      </w:r>
      <w:bookmarkEnd w:id="8"/>
    </w:p>
    <w:p w14:paraId="6885ABB8" w14:textId="44C7DAC5" w:rsidR="00B749D1" w:rsidRPr="00C332F1" w:rsidRDefault="00681A85" w:rsidP="00E97C1B">
      <w:pPr>
        <w:pStyle w:val="IAPrrafo"/>
        <w:rPr>
          <w:color w:val="auto"/>
          <w:szCs w:val="20"/>
        </w:rPr>
      </w:pPr>
      <w:r w:rsidRPr="00C332F1">
        <w:rPr>
          <w:color w:val="auto"/>
          <w:szCs w:val="20"/>
        </w:rPr>
        <w:t xml:space="preserve">Desde el día 21 hasta el 26 de marzo, </w:t>
      </w:r>
      <w:r w:rsidR="00843F43" w:rsidRPr="00C332F1">
        <w:rPr>
          <w:color w:val="auto"/>
          <w:szCs w:val="20"/>
        </w:rPr>
        <w:t xml:space="preserve">personas </w:t>
      </w:r>
      <w:r w:rsidRPr="00C332F1">
        <w:rPr>
          <w:color w:val="auto"/>
          <w:szCs w:val="20"/>
        </w:rPr>
        <w:t xml:space="preserve">dirigentes de la oposición denunciaron ante la opinión pública y el </w:t>
      </w:r>
      <w:r w:rsidR="00843F43" w:rsidRPr="00C332F1">
        <w:rPr>
          <w:color w:val="auto"/>
          <w:szCs w:val="20"/>
        </w:rPr>
        <w:t>CNE</w:t>
      </w:r>
      <w:r w:rsidRPr="00C332F1">
        <w:rPr>
          <w:color w:val="auto"/>
          <w:szCs w:val="20"/>
        </w:rPr>
        <w:t xml:space="preserve"> que no podían acceder al sistema automatizado de postulaciones por problemas técnicos. Llegada la fecha límite para la inscripción de candidaturas, el día 26 de marzo, la aspirante a candidata opositora, Corina Yoris, no pudo formalizar su inscripción en nombre de la Mesa de la Unidad Democrática (MUD) por la persistencia de dichos problemas</w:t>
      </w:r>
      <w:r w:rsidR="00A14F05">
        <w:rPr>
          <w:rFonts w:ascii="ZWAdobeF" w:hAnsi="ZWAdobeF" w:cs="ZWAdobeF"/>
          <w:color w:val="auto"/>
          <w:sz w:val="2"/>
          <w:szCs w:val="2"/>
        </w:rPr>
        <w:t>13F</w:t>
      </w:r>
      <w:r w:rsidR="00DD2985" w:rsidRPr="005C52BD">
        <w:rPr>
          <w:rStyle w:val="FootnoteReference"/>
          <w:rFonts w:eastAsia="Cambria"/>
          <w:color w:val="auto"/>
          <w:sz w:val="20"/>
          <w:szCs w:val="20"/>
        </w:rPr>
        <w:footnoteReference w:id="15"/>
      </w:r>
      <w:r w:rsidRPr="00C332F1">
        <w:rPr>
          <w:color w:val="auto"/>
          <w:szCs w:val="20"/>
        </w:rPr>
        <w:t xml:space="preserve">. </w:t>
      </w:r>
      <w:r w:rsidR="009F67A4" w:rsidRPr="00C332F1">
        <w:rPr>
          <w:color w:val="auto"/>
          <w:szCs w:val="20"/>
        </w:rPr>
        <w:t>Finalmente, las personas que pudieron inscribirse como candidatas fueron: Nicolás Maduro</w:t>
      </w:r>
      <w:r w:rsidR="00187261" w:rsidRPr="00C332F1">
        <w:rPr>
          <w:color w:val="auto"/>
          <w:szCs w:val="20"/>
        </w:rPr>
        <w:t>, por el Partido Socialista Unido de Venezuela</w:t>
      </w:r>
      <w:r w:rsidR="009F67A4" w:rsidRPr="00C332F1">
        <w:rPr>
          <w:color w:val="auto"/>
          <w:szCs w:val="20"/>
        </w:rPr>
        <w:t>; Edmundo González Urrutia</w:t>
      </w:r>
      <w:r w:rsidR="00187261" w:rsidRPr="00C332F1">
        <w:rPr>
          <w:color w:val="auto"/>
          <w:szCs w:val="20"/>
        </w:rPr>
        <w:t>, por la Mesa de la Unidad Democrática</w:t>
      </w:r>
      <w:r w:rsidR="009F67A4" w:rsidRPr="00C332F1">
        <w:rPr>
          <w:color w:val="auto"/>
          <w:szCs w:val="20"/>
        </w:rPr>
        <w:t>; Benjamin Rausseo</w:t>
      </w:r>
      <w:r w:rsidR="00A634A4" w:rsidRPr="00C332F1">
        <w:rPr>
          <w:color w:val="auto"/>
          <w:szCs w:val="20"/>
        </w:rPr>
        <w:t>, por la Confederación Nacional Democrática</w:t>
      </w:r>
      <w:r w:rsidR="009F67A4" w:rsidRPr="00C332F1">
        <w:rPr>
          <w:color w:val="auto"/>
          <w:szCs w:val="20"/>
        </w:rPr>
        <w:t>; Luis Eduardo Martínez</w:t>
      </w:r>
      <w:r w:rsidR="0008361C" w:rsidRPr="00C332F1">
        <w:rPr>
          <w:color w:val="auto"/>
          <w:szCs w:val="20"/>
        </w:rPr>
        <w:t>, por el Partido Acción Democrática</w:t>
      </w:r>
      <w:r w:rsidR="009F67A4" w:rsidRPr="00C332F1">
        <w:rPr>
          <w:color w:val="auto"/>
          <w:szCs w:val="20"/>
        </w:rPr>
        <w:t>; Enrique Márquez</w:t>
      </w:r>
      <w:r w:rsidR="0008361C" w:rsidRPr="00C332F1">
        <w:rPr>
          <w:color w:val="auto"/>
          <w:szCs w:val="20"/>
        </w:rPr>
        <w:t xml:space="preserve">, </w:t>
      </w:r>
      <w:r w:rsidR="007450CB" w:rsidRPr="00C332F1">
        <w:rPr>
          <w:color w:val="auto"/>
          <w:szCs w:val="20"/>
        </w:rPr>
        <w:t>por el Partido Centrados</w:t>
      </w:r>
      <w:r w:rsidR="009F67A4" w:rsidRPr="00C332F1">
        <w:rPr>
          <w:color w:val="auto"/>
          <w:szCs w:val="20"/>
        </w:rPr>
        <w:t>; Claudio Fermín</w:t>
      </w:r>
      <w:r w:rsidR="00A634A4" w:rsidRPr="00C332F1">
        <w:rPr>
          <w:color w:val="auto"/>
          <w:szCs w:val="20"/>
        </w:rPr>
        <w:t>, por el Partido Soluciones para Venezuela</w:t>
      </w:r>
      <w:r w:rsidR="009F67A4" w:rsidRPr="00C332F1">
        <w:rPr>
          <w:color w:val="auto"/>
          <w:szCs w:val="20"/>
        </w:rPr>
        <w:t>; Daniel Ceballos</w:t>
      </w:r>
      <w:r w:rsidR="00F9721B" w:rsidRPr="00C332F1">
        <w:rPr>
          <w:color w:val="auto"/>
          <w:szCs w:val="20"/>
        </w:rPr>
        <w:t>, por el Partido Arepa Digital</w:t>
      </w:r>
      <w:r w:rsidR="009F67A4" w:rsidRPr="00C332F1">
        <w:rPr>
          <w:color w:val="auto"/>
          <w:szCs w:val="20"/>
        </w:rPr>
        <w:t>; Antonio Ecarri,</w:t>
      </w:r>
      <w:r w:rsidR="00F9721B" w:rsidRPr="00C332F1">
        <w:rPr>
          <w:color w:val="auto"/>
          <w:szCs w:val="20"/>
        </w:rPr>
        <w:t xml:space="preserve"> por el Partido Alianza Lápiz;</w:t>
      </w:r>
      <w:r w:rsidR="009F67A4" w:rsidRPr="00C332F1">
        <w:rPr>
          <w:color w:val="auto"/>
          <w:szCs w:val="20"/>
        </w:rPr>
        <w:t xml:space="preserve"> José Brito</w:t>
      </w:r>
      <w:r w:rsidR="00F9721B" w:rsidRPr="00C332F1">
        <w:rPr>
          <w:color w:val="auto"/>
          <w:szCs w:val="20"/>
        </w:rPr>
        <w:t>, por el Partido Primero Venezuela</w:t>
      </w:r>
      <w:r w:rsidR="009F67A4" w:rsidRPr="00C332F1">
        <w:rPr>
          <w:color w:val="auto"/>
          <w:szCs w:val="20"/>
        </w:rPr>
        <w:t>; y Javier Bertucci</w:t>
      </w:r>
      <w:r w:rsidR="00F9721B" w:rsidRPr="00C332F1">
        <w:rPr>
          <w:color w:val="auto"/>
          <w:szCs w:val="20"/>
        </w:rPr>
        <w:t>, por el Partido El Cambio</w:t>
      </w:r>
      <w:r w:rsidR="00A14F05">
        <w:rPr>
          <w:rFonts w:ascii="ZWAdobeF" w:hAnsi="ZWAdobeF" w:cs="ZWAdobeF"/>
          <w:color w:val="auto"/>
          <w:sz w:val="2"/>
          <w:szCs w:val="2"/>
        </w:rPr>
        <w:t>14F</w:t>
      </w:r>
      <w:r w:rsidR="009F67A4" w:rsidRPr="005C52BD">
        <w:rPr>
          <w:rStyle w:val="FootnoteReference"/>
          <w:color w:val="auto"/>
          <w:sz w:val="20"/>
          <w:szCs w:val="20"/>
        </w:rPr>
        <w:footnoteReference w:id="16"/>
      </w:r>
      <w:r w:rsidR="009F67A4" w:rsidRPr="00C332F1">
        <w:rPr>
          <w:color w:val="auto"/>
          <w:szCs w:val="20"/>
        </w:rPr>
        <w:t>.</w:t>
      </w:r>
    </w:p>
    <w:p w14:paraId="7CA8F818" w14:textId="740470A5" w:rsidR="00EB3C88" w:rsidRPr="00D52AA4" w:rsidRDefault="00B91EE7" w:rsidP="00D52AA4">
      <w:pPr>
        <w:pStyle w:val="IAPrrafo"/>
        <w:rPr>
          <w:color w:val="auto"/>
          <w:szCs w:val="20"/>
        </w:rPr>
      </w:pPr>
      <w:r w:rsidRPr="00C332F1">
        <w:rPr>
          <w:color w:val="auto"/>
          <w:szCs w:val="20"/>
        </w:rPr>
        <w:t>La Comisión Interamericana destaca que e</w:t>
      </w:r>
      <w:r w:rsidR="00DD2985" w:rsidRPr="00C332F1">
        <w:rPr>
          <w:color w:val="auto"/>
          <w:szCs w:val="20"/>
        </w:rPr>
        <w:t>st</w:t>
      </w:r>
      <w:r w:rsidRPr="00C332F1">
        <w:rPr>
          <w:color w:val="auto"/>
          <w:szCs w:val="20"/>
        </w:rPr>
        <w:t xml:space="preserve">os problemas técnicos </w:t>
      </w:r>
      <w:r w:rsidR="00CA23E5" w:rsidRPr="00C332F1">
        <w:rPr>
          <w:color w:val="auto"/>
          <w:szCs w:val="20"/>
        </w:rPr>
        <w:t>impidieron</w:t>
      </w:r>
      <w:r w:rsidRPr="00C332F1">
        <w:rPr>
          <w:color w:val="auto"/>
          <w:szCs w:val="20"/>
        </w:rPr>
        <w:t xml:space="preserve"> la inscripción de </w:t>
      </w:r>
      <w:r w:rsidR="003B0488" w:rsidRPr="00C332F1">
        <w:rPr>
          <w:color w:val="auto"/>
          <w:szCs w:val="20"/>
        </w:rPr>
        <w:t xml:space="preserve">las principales </w:t>
      </w:r>
      <w:r w:rsidR="00527C0D" w:rsidRPr="00C332F1">
        <w:rPr>
          <w:color w:val="auto"/>
          <w:szCs w:val="20"/>
        </w:rPr>
        <w:t>candidaturas opositoras al régimen</w:t>
      </w:r>
      <w:r w:rsidR="00A14F05">
        <w:rPr>
          <w:rFonts w:ascii="ZWAdobeF" w:hAnsi="ZWAdobeF" w:cs="ZWAdobeF"/>
          <w:color w:val="auto"/>
          <w:sz w:val="2"/>
          <w:szCs w:val="2"/>
        </w:rPr>
        <w:t>15F</w:t>
      </w:r>
      <w:r w:rsidR="00CA23E5" w:rsidRPr="00550183">
        <w:rPr>
          <w:rStyle w:val="FootnoteReference"/>
          <w:color w:val="auto"/>
          <w:sz w:val="20"/>
          <w:szCs w:val="20"/>
        </w:rPr>
        <w:footnoteReference w:id="17"/>
      </w:r>
      <w:r w:rsidR="00CA23E5" w:rsidRPr="00C332F1">
        <w:rPr>
          <w:color w:val="auto"/>
          <w:szCs w:val="20"/>
        </w:rPr>
        <w:t xml:space="preserve">, </w:t>
      </w:r>
      <w:r w:rsidR="00A06962" w:rsidRPr="00C332F1">
        <w:rPr>
          <w:color w:val="auto"/>
          <w:szCs w:val="20"/>
        </w:rPr>
        <w:t>mientra</w:t>
      </w:r>
      <w:r w:rsidR="00407785" w:rsidRPr="00C332F1">
        <w:rPr>
          <w:color w:val="auto"/>
          <w:szCs w:val="20"/>
        </w:rPr>
        <w:t>s que las oficialistas</w:t>
      </w:r>
      <w:r w:rsidR="003B0488" w:rsidRPr="00C332F1">
        <w:rPr>
          <w:color w:val="auto"/>
          <w:szCs w:val="20"/>
        </w:rPr>
        <w:t xml:space="preserve">, </w:t>
      </w:r>
      <w:r w:rsidR="00891B08" w:rsidRPr="00C332F1">
        <w:rPr>
          <w:color w:val="auto"/>
          <w:szCs w:val="20"/>
        </w:rPr>
        <w:t xml:space="preserve">así como aquellas </w:t>
      </w:r>
      <w:r w:rsidR="00791BAE" w:rsidRPr="00C332F1">
        <w:rPr>
          <w:color w:val="auto"/>
          <w:szCs w:val="20"/>
        </w:rPr>
        <w:t>opositoras</w:t>
      </w:r>
      <w:r w:rsidR="00F070BE" w:rsidRPr="00C332F1">
        <w:rPr>
          <w:color w:val="auto"/>
          <w:szCs w:val="20"/>
        </w:rPr>
        <w:t xml:space="preserve"> de bajo perfil</w:t>
      </w:r>
      <w:r w:rsidR="003B0488" w:rsidRPr="00C332F1">
        <w:rPr>
          <w:color w:val="auto"/>
          <w:szCs w:val="20"/>
        </w:rPr>
        <w:t xml:space="preserve">, </w:t>
      </w:r>
      <w:r w:rsidR="00407785" w:rsidRPr="00C332F1">
        <w:rPr>
          <w:color w:val="auto"/>
          <w:szCs w:val="20"/>
        </w:rPr>
        <w:t xml:space="preserve">no tuvieron </w:t>
      </w:r>
      <w:r w:rsidR="007575A3" w:rsidRPr="00C332F1">
        <w:rPr>
          <w:color w:val="auto"/>
          <w:szCs w:val="20"/>
        </w:rPr>
        <w:t>ningún tipo de obstáculo para inscribir</w:t>
      </w:r>
      <w:r w:rsidR="00F13C0F" w:rsidRPr="00C332F1">
        <w:rPr>
          <w:color w:val="auto"/>
          <w:szCs w:val="20"/>
        </w:rPr>
        <w:t>se</w:t>
      </w:r>
      <w:r w:rsidR="007575A3" w:rsidRPr="00C332F1">
        <w:rPr>
          <w:color w:val="auto"/>
          <w:szCs w:val="20"/>
        </w:rPr>
        <w:t>. Esta circunstancia</w:t>
      </w:r>
      <w:r w:rsidR="00527C0D" w:rsidRPr="00C332F1">
        <w:rPr>
          <w:color w:val="auto"/>
          <w:szCs w:val="20"/>
        </w:rPr>
        <w:t xml:space="preserve"> </w:t>
      </w:r>
      <w:r w:rsidR="00043EF3" w:rsidRPr="00C332F1">
        <w:rPr>
          <w:color w:val="auto"/>
          <w:szCs w:val="20"/>
        </w:rPr>
        <w:t xml:space="preserve">sugiere un trato discriminatorio en el acceso a la función pública y una afectación </w:t>
      </w:r>
      <w:r w:rsidR="008F4D57" w:rsidRPr="00C332F1">
        <w:rPr>
          <w:color w:val="auto"/>
          <w:szCs w:val="20"/>
        </w:rPr>
        <w:t>arbitraria a</w:t>
      </w:r>
      <w:r w:rsidR="00DD2985" w:rsidRPr="00C332F1">
        <w:rPr>
          <w:color w:val="auto"/>
          <w:szCs w:val="20"/>
        </w:rPr>
        <w:t xml:space="preserve"> la oferta electoral</w:t>
      </w:r>
      <w:r w:rsidR="00ED694F" w:rsidRPr="00C332F1">
        <w:rPr>
          <w:color w:val="auto"/>
          <w:szCs w:val="20"/>
        </w:rPr>
        <w:t xml:space="preserve"> de la ciudadanía</w:t>
      </w:r>
      <w:r w:rsidR="00A14F05">
        <w:rPr>
          <w:rFonts w:ascii="ZWAdobeF" w:hAnsi="ZWAdobeF" w:cs="ZWAdobeF"/>
          <w:color w:val="auto"/>
          <w:sz w:val="2"/>
          <w:szCs w:val="2"/>
        </w:rPr>
        <w:t>16F</w:t>
      </w:r>
      <w:r w:rsidR="00DD2985" w:rsidRPr="005C52BD">
        <w:rPr>
          <w:rStyle w:val="FootnoteReference"/>
          <w:rFonts w:eastAsia="Cambria"/>
          <w:color w:val="auto"/>
          <w:sz w:val="20"/>
          <w:szCs w:val="20"/>
        </w:rPr>
        <w:footnoteReference w:id="18"/>
      </w:r>
      <w:r w:rsidR="00DD2985" w:rsidRPr="00C332F1">
        <w:rPr>
          <w:color w:val="auto"/>
          <w:szCs w:val="20"/>
        </w:rPr>
        <w:t>.</w:t>
      </w:r>
    </w:p>
    <w:p w14:paraId="1A67205E" w14:textId="5CA8C544" w:rsidR="00021253" w:rsidRPr="00C332F1" w:rsidRDefault="008976AF" w:rsidP="00E17296">
      <w:pPr>
        <w:pStyle w:val="IASubttulo3"/>
        <w:rPr>
          <w:lang w:val="es-CO"/>
        </w:rPr>
      </w:pPr>
      <w:bookmarkStart w:id="9" w:name="_Toc195617455"/>
      <w:r w:rsidRPr="00C332F1">
        <w:rPr>
          <w:lang w:val="es-CO"/>
        </w:rPr>
        <w:t>Obstáculos</w:t>
      </w:r>
      <w:r w:rsidRPr="00C332F1">
        <w:rPr>
          <w:lang w:val="es-US"/>
        </w:rPr>
        <w:t xml:space="preserve"> discriminatorios para el ejercicio del voto en el exterior</w:t>
      </w:r>
      <w:bookmarkEnd w:id="9"/>
    </w:p>
    <w:p w14:paraId="1F98F4DD" w14:textId="7C250680" w:rsidR="005E0F8C" w:rsidRPr="00C332F1" w:rsidRDefault="00BA21C6" w:rsidP="00514879">
      <w:pPr>
        <w:pStyle w:val="IAPrrafo"/>
        <w:rPr>
          <w:rFonts w:eastAsia="Cambria"/>
          <w:color w:val="auto"/>
          <w:szCs w:val="20"/>
        </w:rPr>
      </w:pPr>
      <w:r w:rsidRPr="00C332F1">
        <w:rPr>
          <w:color w:val="auto"/>
          <w:szCs w:val="20"/>
          <w:lang w:val="es-US"/>
        </w:rPr>
        <w:t>En junio de 2024, l</w:t>
      </w:r>
      <w:r w:rsidR="005E0F8C" w:rsidRPr="00C332F1">
        <w:rPr>
          <w:color w:val="auto"/>
          <w:szCs w:val="20"/>
          <w:lang w:val="es-US"/>
        </w:rPr>
        <w:t xml:space="preserve">a CIDH </w:t>
      </w:r>
      <w:r w:rsidR="00966C1F" w:rsidRPr="00C332F1">
        <w:rPr>
          <w:color w:val="auto"/>
          <w:szCs w:val="20"/>
          <w:lang w:val="es-US"/>
        </w:rPr>
        <w:t>registró</w:t>
      </w:r>
      <w:r w:rsidR="005E0F8C" w:rsidRPr="00C332F1">
        <w:rPr>
          <w:color w:val="auto"/>
          <w:szCs w:val="20"/>
          <w:lang w:val="es-US"/>
        </w:rPr>
        <w:t xml:space="preserve"> impedimentos para que las personas venezolanas en el exterior pu</w:t>
      </w:r>
      <w:r w:rsidRPr="00C332F1">
        <w:rPr>
          <w:color w:val="auto"/>
          <w:szCs w:val="20"/>
          <w:lang w:val="es-US"/>
        </w:rPr>
        <w:t>dieran</w:t>
      </w:r>
      <w:r w:rsidR="005E0F8C" w:rsidRPr="00C332F1">
        <w:rPr>
          <w:color w:val="auto"/>
          <w:szCs w:val="20"/>
          <w:lang w:val="es-US"/>
        </w:rPr>
        <w:t xml:space="preserve"> inscribirse en el registro electoral por cuenta de su estatus migratorio. La Constitución de Venezuela establece que son electoras todas las personas que hayan cumplido 18 años que no estén inhabilitadas. Mientras que, los consulados venezolanos, siguiendo instrucciones del Consejo Nacional Electoral (CNE), </w:t>
      </w:r>
      <w:r w:rsidR="002432B8" w:rsidRPr="00C332F1">
        <w:rPr>
          <w:color w:val="auto"/>
          <w:szCs w:val="20"/>
          <w:lang w:val="es-US"/>
        </w:rPr>
        <w:t xml:space="preserve">comenzaron a exigir </w:t>
      </w:r>
      <w:r w:rsidR="005E0F8C" w:rsidRPr="00C332F1">
        <w:rPr>
          <w:color w:val="auto"/>
          <w:szCs w:val="20"/>
          <w:lang w:val="es-US"/>
        </w:rPr>
        <w:t>una visa de residente como única prueba válida para la inscripción en el registro electoral</w:t>
      </w:r>
      <w:r w:rsidR="00A14F05">
        <w:rPr>
          <w:rFonts w:ascii="ZWAdobeF" w:hAnsi="ZWAdobeF" w:cs="ZWAdobeF"/>
          <w:color w:val="auto"/>
          <w:sz w:val="2"/>
          <w:szCs w:val="2"/>
          <w:lang w:val="es-US"/>
        </w:rPr>
        <w:t>17F</w:t>
      </w:r>
      <w:r w:rsidR="00232B81" w:rsidRPr="005C52BD">
        <w:rPr>
          <w:rStyle w:val="FootnoteReference"/>
          <w:color w:val="auto"/>
          <w:sz w:val="20"/>
          <w:szCs w:val="20"/>
          <w:lang w:val="es-US"/>
        </w:rPr>
        <w:footnoteReference w:id="19"/>
      </w:r>
      <w:r w:rsidR="005E0F8C" w:rsidRPr="00C332F1">
        <w:rPr>
          <w:color w:val="auto"/>
          <w:szCs w:val="20"/>
          <w:lang w:val="es-US"/>
        </w:rPr>
        <w:t>. Esta exigencia desconoc</w:t>
      </w:r>
      <w:r w:rsidR="006275DC" w:rsidRPr="00C332F1">
        <w:rPr>
          <w:color w:val="auto"/>
          <w:szCs w:val="20"/>
          <w:lang w:val="es-US"/>
        </w:rPr>
        <w:t>ió</w:t>
      </w:r>
      <w:r w:rsidR="00167EF2" w:rsidRPr="00C332F1">
        <w:rPr>
          <w:color w:val="auto"/>
          <w:szCs w:val="20"/>
          <w:lang w:val="es-US"/>
        </w:rPr>
        <w:t xml:space="preserve"> qu</w:t>
      </w:r>
      <w:r w:rsidR="009F3296" w:rsidRPr="00C332F1">
        <w:rPr>
          <w:color w:val="auto"/>
          <w:szCs w:val="20"/>
          <w:lang w:val="es-US"/>
        </w:rPr>
        <w:t>e</w:t>
      </w:r>
      <w:r w:rsidR="005E0F8C" w:rsidRPr="00C332F1">
        <w:rPr>
          <w:color w:val="auto"/>
          <w:szCs w:val="20"/>
          <w:lang w:val="es-US"/>
        </w:rPr>
        <w:t xml:space="preserve"> millones de personas venezolanas cuentan con un estatus migratorio no regularizado, o diferente al de una visa de residente, como lo son</w:t>
      </w:r>
      <w:r w:rsidR="00B97D65" w:rsidRPr="00C332F1">
        <w:rPr>
          <w:color w:val="auto"/>
          <w:szCs w:val="20"/>
          <w:lang w:val="es-US"/>
        </w:rPr>
        <w:t>:</w:t>
      </w:r>
      <w:r w:rsidR="005E0F8C" w:rsidRPr="00C332F1">
        <w:rPr>
          <w:color w:val="auto"/>
          <w:szCs w:val="20"/>
          <w:lang w:val="es-US"/>
        </w:rPr>
        <w:t xml:space="preserve"> el Permiso por Protección Temporal (Colombia); el Permiso Temporal de Permanencia (Perú); la Visa de Residencia Temporal de Excepción para Ciudadanos Venezolanos (Ecuador), y la Residencia Temporal (Chile)</w:t>
      </w:r>
      <w:r w:rsidR="00A14F05">
        <w:rPr>
          <w:rFonts w:ascii="ZWAdobeF" w:hAnsi="ZWAdobeF" w:cs="ZWAdobeF"/>
          <w:color w:val="auto"/>
          <w:sz w:val="2"/>
          <w:szCs w:val="2"/>
          <w:lang w:val="es-US"/>
        </w:rPr>
        <w:t>18F</w:t>
      </w:r>
      <w:r w:rsidR="006F34FC" w:rsidRPr="005C52BD">
        <w:rPr>
          <w:rStyle w:val="FootnoteReference"/>
          <w:color w:val="auto"/>
          <w:sz w:val="20"/>
          <w:szCs w:val="20"/>
          <w:lang w:val="es-US"/>
        </w:rPr>
        <w:footnoteReference w:id="20"/>
      </w:r>
      <w:r w:rsidR="005E0F8C" w:rsidRPr="00C332F1">
        <w:rPr>
          <w:color w:val="auto"/>
          <w:szCs w:val="20"/>
          <w:lang w:val="es-US"/>
        </w:rPr>
        <w:t>.</w:t>
      </w:r>
    </w:p>
    <w:p w14:paraId="121008FC" w14:textId="35D429AD" w:rsidR="005E0F8C" w:rsidRPr="00C332F1" w:rsidRDefault="005E0F8C" w:rsidP="00514879">
      <w:pPr>
        <w:pStyle w:val="IAPrrafo"/>
        <w:rPr>
          <w:rFonts w:eastAsia="Cambria"/>
          <w:color w:val="auto"/>
          <w:szCs w:val="20"/>
        </w:rPr>
      </w:pPr>
      <w:r w:rsidRPr="00C332F1">
        <w:rPr>
          <w:color w:val="auto"/>
          <w:szCs w:val="20"/>
          <w:lang w:val="es-US"/>
        </w:rPr>
        <w:t>Debido a la grave crisis de derechos humanos en Venezuela, al menos 7</w:t>
      </w:r>
      <w:r w:rsidR="006A5947" w:rsidRPr="00C332F1">
        <w:rPr>
          <w:color w:val="auto"/>
          <w:szCs w:val="20"/>
          <w:lang w:val="es-US"/>
        </w:rPr>
        <w:t>,</w:t>
      </w:r>
      <w:r w:rsidRPr="00C332F1">
        <w:rPr>
          <w:color w:val="auto"/>
          <w:szCs w:val="20"/>
          <w:lang w:val="es-US"/>
        </w:rPr>
        <w:t>7 millones de personas han salido forzosamente del país desde el 2015</w:t>
      </w:r>
      <w:r w:rsidR="00EB66E2" w:rsidRPr="00C332F1">
        <w:rPr>
          <w:color w:val="auto"/>
          <w:szCs w:val="20"/>
          <w:lang w:val="es-US"/>
        </w:rPr>
        <w:t xml:space="preserve"> para salvaguardar sus </w:t>
      </w:r>
      <w:r w:rsidRPr="00C332F1">
        <w:rPr>
          <w:color w:val="auto"/>
          <w:szCs w:val="20"/>
          <w:lang w:val="es-US"/>
        </w:rPr>
        <w:t xml:space="preserve">vidas y </w:t>
      </w:r>
      <w:r w:rsidR="00F77792" w:rsidRPr="00C332F1">
        <w:rPr>
          <w:color w:val="auto"/>
          <w:szCs w:val="20"/>
          <w:lang w:val="es-US"/>
        </w:rPr>
        <w:t xml:space="preserve">la </w:t>
      </w:r>
      <w:r w:rsidRPr="00C332F1">
        <w:rPr>
          <w:color w:val="auto"/>
          <w:szCs w:val="20"/>
          <w:lang w:val="es-US"/>
        </w:rPr>
        <w:t>de sus familiares</w:t>
      </w:r>
      <w:r w:rsidR="00A14F05">
        <w:rPr>
          <w:rFonts w:ascii="ZWAdobeF" w:hAnsi="ZWAdobeF" w:cs="ZWAdobeF"/>
          <w:color w:val="auto"/>
          <w:sz w:val="2"/>
          <w:szCs w:val="2"/>
          <w:lang w:val="es-US"/>
        </w:rPr>
        <w:t>19F</w:t>
      </w:r>
      <w:r w:rsidR="00EB66E2" w:rsidRPr="005C52BD">
        <w:rPr>
          <w:rStyle w:val="FootnoteReference"/>
          <w:color w:val="auto"/>
          <w:sz w:val="20"/>
          <w:szCs w:val="20"/>
          <w:lang w:val="es-US"/>
        </w:rPr>
        <w:footnoteReference w:id="21"/>
      </w:r>
      <w:r w:rsidRPr="00C332F1">
        <w:rPr>
          <w:color w:val="auto"/>
          <w:szCs w:val="20"/>
          <w:lang w:val="es-US"/>
        </w:rPr>
        <w:t>. Si bien no se conoce con exactitud cuántas de estas personas tienen más de 18 años, organizaciones de la sociedad civil estiman que alrededor de 5</w:t>
      </w:r>
      <w:r w:rsidR="006A5947" w:rsidRPr="00C332F1">
        <w:rPr>
          <w:color w:val="auto"/>
          <w:szCs w:val="20"/>
          <w:lang w:val="es-US"/>
        </w:rPr>
        <w:t>,</w:t>
      </w:r>
      <w:r w:rsidRPr="00C332F1">
        <w:rPr>
          <w:color w:val="auto"/>
          <w:szCs w:val="20"/>
          <w:lang w:val="es-US"/>
        </w:rPr>
        <w:t>5 millones de personas venezolanas esta</w:t>
      </w:r>
      <w:r w:rsidR="006275DC" w:rsidRPr="00C332F1">
        <w:rPr>
          <w:color w:val="auto"/>
          <w:szCs w:val="20"/>
          <w:lang w:val="es-US"/>
        </w:rPr>
        <w:t>ban</w:t>
      </w:r>
      <w:r w:rsidRPr="00C332F1">
        <w:rPr>
          <w:color w:val="auto"/>
          <w:szCs w:val="20"/>
          <w:lang w:val="es-US"/>
        </w:rPr>
        <w:t xml:space="preserve"> habilitadas para votar</w:t>
      </w:r>
      <w:r w:rsidR="00A14F05">
        <w:rPr>
          <w:rFonts w:ascii="ZWAdobeF" w:hAnsi="ZWAdobeF" w:cs="ZWAdobeF"/>
          <w:color w:val="auto"/>
          <w:sz w:val="2"/>
          <w:szCs w:val="2"/>
          <w:lang w:val="es-US"/>
        </w:rPr>
        <w:t>20F</w:t>
      </w:r>
      <w:r w:rsidR="00816E88" w:rsidRPr="005C52BD">
        <w:rPr>
          <w:rStyle w:val="FootnoteReference"/>
          <w:color w:val="auto"/>
          <w:sz w:val="20"/>
          <w:szCs w:val="20"/>
          <w:lang w:val="es-US"/>
        </w:rPr>
        <w:footnoteReference w:id="22"/>
      </w:r>
      <w:r w:rsidRPr="00C332F1">
        <w:rPr>
          <w:color w:val="auto"/>
          <w:szCs w:val="20"/>
          <w:lang w:val="es-US"/>
        </w:rPr>
        <w:t xml:space="preserve">. </w:t>
      </w:r>
      <w:r w:rsidR="006275DC" w:rsidRPr="00C332F1">
        <w:rPr>
          <w:color w:val="auto"/>
          <w:szCs w:val="20"/>
          <w:lang w:val="es-US"/>
        </w:rPr>
        <w:t xml:space="preserve">Como consecuencia, </w:t>
      </w:r>
      <w:r w:rsidRPr="00C332F1">
        <w:rPr>
          <w:color w:val="auto"/>
          <w:szCs w:val="20"/>
          <w:lang w:val="es-US"/>
        </w:rPr>
        <w:t xml:space="preserve">un número significativo de potenciales votantes en el extranjero </w:t>
      </w:r>
      <w:r w:rsidR="006275DC" w:rsidRPr="00C332F1">
        <w:rPr>
          <w:color w:val="auto"/>
          <w:szCs w:val="20"/>
          <w:lang w:val="es-US"/>
        </w:rPr>
        <w:t>vio</w:t>
      </w:r>
      <w:r w:rsidRPr="00C332F1">
        <w:rPr>
          <w:color w:val="auto"/>
          <w:szCs w:val="20"/>
          <w:lang w:val="es-US"/>
        </w:rPr>
        <w:t xml:space="preserve"> afectado su derecho a la participación política al no poder inscribirse en el registro electoral</w:t>
      </w:r>
      <w:r w:rsidR="00A14F05">
        <w:rPr>
          <w:rFonts w:ascii="ZWAdobeF" w:hAnsi="ZWAdobeF" w:cs="ZWAdobeF"/>
          <w:color w:val="auto"/>
          <w:sz w:val="2"/>
          <w:szCs w:val="2"/>
          <w:lang w:val="es-US"/>
        </w:rPr>
        <w:t>21F</w:t>
      </w:r>
      <w:r w:rsidR="006F34FC" w:rsidRPr="005C52BD">
        <w:rPr>
          <w:rStyle w:val="FootnoteReference"/>
          <w:color w:val="auto"/>
          <w:sz w:val="20"/>
          <w:szCs w:val="20"/>
          <w:lang w:val="es-US"/>
        </w:rPr>
        <w:footnoteReference w:id="23"/>
      </w:r>
      <w:r w:rsidRPr="00C332F1">
        <w:rPr>
          <w:color w:val="auto"/>
          <w:szCs w:val="20"/>
          <w:lang w:val="es-US"/>
        </w:rPr>
        <w:t>.</w:t>
      </w:r>
    </w:p>
    <w:p w14:paraId="784E868B" w14:textId="274F9CDA" w:rsidR="005E0F8C" w:rsidRPr="00C332F1" w:rsidRDefault="00B564C4" w:rsidP="00514879">
      <w:pPr>
        <w:pStyle w:val="IAPrrafo"/>
        <w:rPr>
          <w:rFonts w:eastAsia="Cambria"/>
          <w:color w:val="auto"/>
          <w:szCs w:val="20"/>
        </w:rPr>
      </w:pPr>
      <w:r w:rsidRPr="00C332F1">
        <w:rPr>
          <w:color w:val="auto"/>
          <w:szCs w:val="20"/>
          <w:lang w:val="es-US"/>
        </w:rPr>
        <w:t>L</w:t>
      </w:r>
      <w:r w:rsidR="00B316CD" w:rsidRPr="00C332F1">
        <w:rPr>
          <w:color w:val="auto"/>
          <w:szCs w:val="20"/>
          <w:lang w:val="es-US"/>
        </w:rPr>
        <w:t>a</w:t>
      </w:r>
      <w:r w:rsidR="005E0F8C" w:rsidRPr="00C332F1">
        <w:rPr>
          <w:color w:val="auto"/>
          <w:szCs w:val="20"/>
          <w:lang w:val="es-US"/>
        </w:rPr>
        <w:t xml:space="preserve"> Declaración Americana</w:t>
      </w:r>
      <w:r w:rsidR="39DCB76D" w:rsidRPr="00C332F1">
        <w:rPr>
          <w:color w:val="auto"/>
          <w:szCs w:val="20"/>
          <w:lang w:val="es-US"/>
        </w:rPr>
        <w:t>,</w:t>
      </w:r>
      <w:r w:rsidR="005E0F8C" w:rsidRPr="00C332F1">
        <w:rPr>
          <w:color w:val="auto"/>
          <w:szCs w:val="20"/>
          <w:lang w:val="es-US"/>
        </w:rPr>
        <w:t xml:space="preserve"> la </w:t>
      </w:r>
      <w:r w:rsidR="30CCEBF7" w:rsidRPr="00C332F1">
        <w:rPr>
          <w:color w:val="auto"/>
          <w:szCs w:val="20"/>
          <w:lang w:val="es-US"/>
        </w:rPr>
        <w:t>Convención Americana</w:t>
      </w:r>
      <w:r w:rsidR="005E0F8C" w:rsidRPr="00C332F1">
        <w:rPr>
          <w:color w:val="auto"/>
          <w:szCs w:val="20"/>
          <w:lang w:val="es-US"/>
        </w:rPr>
        <w:t xml:space="preserve"> </w:t>
      </w:r>
      <w:r w:rsidR="008217CE" w:rsidRPr="00C332F1">
        <w:rPr>
          <w:color w:val="auto"/>
          <w:szCs w:val="20"/>
          <w:lang w:val="es-US"/>
        </w:rPr>
        <w:t>y la Carta Democrática Interamericana señalan que la participación de la ciudadanía en las decisiones relativas a su propio desarrollo es un derecho, una responsabilidad, y una condición necesaria para el pleno y efectivo ejercicio de la democracia. Por tal motivo, exigir a millones de personas en el extranjero que presenten una visa de residente para inscribirse en el registro electoral es arbitrario y afecta gravemente la integridad de la elección presidencial</w:t>
      </w:r>
      <w:r w:rsidR="00A14F05">
        <w:rPr>
          <w:rFonts w:ascii="ZWAdobeF" w:hAnsi="ZWAdobeF" w:cs="ZWAdobeF"/>
          <w:color w:val="auto"/>
          <w:sz w:val="2"/>
          <w:szCs w:val="2"/>
          <w:lang w:val="es-US"/>
        </w:rPr>
        <w:t>22F</w:t>
      </w:r>
      <w:r w:rsidR="008217CE" w:rsidRPr="005C52BD">
        <w:rPr>
          <w:rStyle w:val="FootnoteReference"/>
          <w:color w:val="auto"/>
          <w:sz w:val="20"/>
          <w:szCs w:val="20"/>
          <w:lang w:val="es-US"/>
        </w:rPr>
        <w:footnoteReference w:id="24"/>
      </w:r>
      <w:r w:rsidR="008217CE" w:rsidRPr="00C332F1">
        <w:rPr>
          <w:color w:val="auto"/>
          <w:szCs w:val="20"/>
          <w:lang w:val="es-US"/>
        </w:rPr>
        <w:t>.</w:t>
      </w:r>
    </w:p>
    <w:p w14:paraId="3A0FA51B" w14:textId="3624F63B" w:rsidR="00E448D9" w:rsidRPr="00C332F1" w:rsidRDefault="00E448D9" w:rsidP="00E17296">
      <w:pPr>
        <w:pStyle w:val="IASubttulo3"/>
        <w:rPr>
          <w:lang w:val="es-CO"/>
        </w:rPr>
      </w:pPr>
      <w:bookmarkStart w:id="10" w:name="_Toc195617456"/>
      <w:r w:rsidRPr="00C332F1">
        <w:rPr>
          <w:lang w:val="es-ES"/>
        </w:rPr>
        <w:t>Retiro de misiones internacionales de observación electoral</w:t>
      </w:r>
      <w:bookmarkEnd w:id="10"/>
    </w:p>
    <w:p w14:paraId="6A689052" w14:textId="42FD63B6" w:rsidR="00E448D9" w:rsidRPr="00C332F1" w:rsidRDefault="00E448D9" w:rsidP="00E448D9">
      <w:pPr>
        <w:pStyle w:val="IAPrrafo"/>
        <w:rPr>
          <w:szCs w:val="20"/>
          <w:lang w:val="es-US"/>
        </w:rPr>
      </w:pPr>
      <w:r w:rsidRPr="00C332F1">
        <w:rPr>
          <w:szCs w:val="20"/>
          <w:lang w:val="es-US"/>
        </w:rPr>
        <w:t>El 29 de mayo de 2024, el régimen venezolano revocó la invitación a la Unión Europea para observar el desarrollo de la elección presidencial. Este anuncio lo dio a conocer el Presidente del Consejo Nacional Electoral, Elvis Amoroso</w:t>
      </w:r>
      <w:r w:rsidR="00A14F05">
        <w:rPr>
          <w:rFonts w:ascii="ZWAdobeF" w:hAnsi="ZWAdobeF" w:cs="ZWAdobeF"/>
          <w:color w:val="auto"/>
          <w:sz w:val="2"/>
          <w:szCs w:val="2"/>
          <w:lang w:val="es-US"/>
        </w:rPr>
        <w:t>23F</w:t>
      </w:r>
      <w:r w:rsidRPr="005C52BD">
        <w:rPr>
          <w:rStyle w:val="FootnoteReference"/>
          <w:sz w:val="20"/>
          <w:szCs w:val="20"/>
          <w:lang w:val="es-US"/>
        </w:rPr>
        <w:footnoteReference w:id="25"/>
      </w:r>
      <w:r w:rsidRPr="00C332F1">
        <w:rPr>
          <w:szCs w:val="20"/>
          <w:lang w:val="es-US"/>
        </w:rPr>
        <w:t>. La decisión de retirar la invitación a la Misión de Observación Electoral de la Unión Europea representa un claro desconocimiento al punto 4 del Acuerdo de Barbados</w:t>
      </w:r>
      <w:r w:rsidR="00A14F05">
        <w:rPr>
          <w:rFonts w:ascii="ZWAdobeF" w:hAnsi="ZWAdobeF" w:cs="ZWAdobeF"/>
          <w:color w:val="auto"/>
          <w:sz w:val="2"/>
          <w:szCs w:val="2"/>
          <w:lang w:val="es-US"/>
        </w:rPr>
        <w:t>24F</w:t>
      </w:r>
      <w:r w:rsidRPr="005C52BD">
        <w:rPr>
          <w:rStyle w:val="FootnoteReference"/>
          <w:sz w:val="20"/>
          <w:szCs w:val="20"/>
          <w:lang w:val="es-US"/>
        </w:rPr>
        <w:footnoteReference w:id="26"/>
      </w:r>
      <w:r w:rsidRPr="00C332F1">
        <w:rPr>
          <w:szCs w:val="20"/>
          <w:lang w:val="es-US"/>
        </w:rPr>
        <w:t>. Para la Comisión Interamericana, este hecho corroboró la falta de compromiso con lo acordado, así como la renuencia al escrutinio internacional en materia electoral.</w:t>
      </w:r>
    </w:p>
    <w:p w14:paraId="2EB8D36F" w14:textId="4F563A83" w:rsidR="00F77792" w:rsidRPr="00C332F1" w:rsidRDefault="00F77792" w:rsidP="00E17296">
      <w:pPr>
        <w:pStyle w:val="IASubttulo3"/>
        <w:rPr>
          <w:lang w:val="es-CO"/>
        </w:rPr>
      </w:pPr>
      <w:bookmarkStart w:id="11" w:name="_Toc195617457"/>
      <w:r w:rsidRPr="00C332F1">
        <w:rPr>
          <w:lang w:val="es-CO"/>
        </w:rPr>
        <w:t xml:space="preserve">Detenciones arbitrarias y amedrentamientos a personas opositoras </w:t>
      </w:r>
      <w:r w:rsidR="00925F85" w:rsidRPr="00C332F1">
        <w:rPr>
          <w:lang w:val="es-CO"/>
        </w:rPr>
        <w:t xml:space="preserve">o percibidas como tales </w:t>
      </w:r>
      <w:r w:rsidRPr="00C332F1">
        <w:rPr>
          <w:lang w:val="es-CO"/>
        </w:rPr>
        <w:t>previo a la elección del 28 de julio</w:t>
      </w:r>
      <w:bookmarkEnd w:id="11"/>
    </w:p>
    <w:p w14:paraId="410731A1" w14:textId="0DE70DE5" w:rsidR="00B91972" w:rsidRPr="00C332F1" w:rsidRDefault="00620BB1" w:rsidP="00883739">
      <w:pPr>
        <w:pStyle w:val="IAPrrafo"/>
        <w:rPr>
          <w:szCs w:val="20"/>
          <w:lang w:val="es-ES_tradnl"/>
        </w:rPr>
      </w:pPr>
      <w:r w:rsidRPr="00C332F1">
        <w:rPr>
          <w:szCs w:val="20"/>
          <w:lang w:val="es-ES_tradnl"/>
        </w:rPr>
        <w:t>En los meses previos a las elecciones de 2024, el gobierno venezolano intensificó la represión contra personas de la oposición</w:t>
      </w:r>
      <w:r w:rsidR="00F224DE" w:rsidRPr="00C332F1">
        <w:rPr>
          <w:szCs w:val="20"/>
          <w:lang w:val="es-ES_tradnl"/>
        </w:rPr>
        <w:t xml:space="preserve"> o percibidas como tales</w:t>
      </w:r>
      <w:r w:rsidRPr="00C332F1">
        <w:rPr>
          <w:szCs w:val="20"/>
          <w:lang w:val="es-ES_tradnl"/>
        </w:rPr>
        <w:t>, utilizando fuerzas de seguridad para silenciar voces críticas y neutralizar campañas</w:t>
      </w:r>
      <w:r w:rsidR="003D3481" w:rsidRPr="00C332F1">
        <w:rPr>
          <w:szCs w:val="20"/>
          <w:lang w:val="es-ES_tradnl"/>
        </w:rPr>
        <w:t xml:space="preserve"> electorales</w:t>
      </w:r>
      <w:r w:rsidRPr="00C332F1">
        <w:rPr>
          <w:szCs w:val="20"/>
          <w:lang w:val="es-ES_tradnl"/>
        </w:rPr>
        <w:t>. Este patrón incluyó detenciones arbitrarias y hostigamiento de</w:t>
      </w:r>
      <w:r w:rsidR="00184AE2" w:rsidRPr="00C332F1">
        <w:rPr>
          <w:szCs w:val="20"/>
          <w:lang w:val="es-ES_tradnl"/>
        </w:rPr>
        <w:t>,</w:t>
      </w:r>
      <w:r w:rsidRPr="00C332F1">
        <w:rPr>
          <w:szCs w:val="20"/>
          <w:lang w:val="es-ES_tradnl"/>
        </w:rPr>
        <w:t xml:space="preserve"> al menos</w:t>
      </w:r>
      <w:r w:rsidR="00184AE2" w:rsidRPr="00C332F1">
        <w:rPr>
          <w:szCs w:val="20"/>
          <w:lang w:val="es-ES_tradnl"/>
        </w:rPr>
        <w:t>,</w:t>
      </w:r>
      <w:r w:rsidRPr="00C332F1">
        <w:rPr>
          <w:szCs w:val="20"/>
          <w:lang w:val="es-ES_tradnl"/>
        </w:rPr>
        <w:t xml:space="preserve"> 50 opositores, así como de defensores de derechos humanos y líderes sociales. Las acciones evidencian un patrón de persecución contra Vente Venezuela, el comando de campaña de María Corina Machado, quien apoyó al candidato Edmundo González Urrutia. Las detenciones se llevaron a cabo en diferentes lugares y sin debido proceso, </w:t>
      </w:r>
      <w:r w:rsidR="00EC3C36" w:rsidRPr="00C332F1">
        <w:rPr>
          <w:szCs w:val="20"/>
          <w:lang w:val="es-ES_tradnl"/>
        </w:rPr>
        <w:t>e involucrando distint</w:t>
      </w:r>
      <w:r w:rsidR="00667163" w:rsidRPr="00C332F1">
        <w:rPr>
          <w:szCs w:val="20"/>
          <w:lang w:val="es-ES_tradnl"/>
        </w:rPr>
        <w:t>as fuerzas de seguridad del Estado, así como personas no identificadas</w:t>
      </w:r>
      <w:r w:rsidRPr="00C332F1">
        <w:rPr>
          <w:szCs w:val="20"/>
          <w:lang w:val="es-ES_tradnl"/>
        </w:rPr>
        <w:t>. Estos actos refleja</w:t>
      </w:r>
      <w:r w:rsidR="00E477E6" w:rsidRPr="00C332F1">
        <w:rPr>
          <w:szCs w:val="20"/>
          <w:lang w:val="es-ES_tradnl"/>
        </w:rPr>
        <w:t>ron</w:t>
      </w:r>
      <w:r w:rsidRPr="00C332F1">
        <w:rPr>
          <w:szCs w:val="20"/>
          <w:lang w:val="es-ES_tradnl"/>
        </w:rPr>
        <w:t xml:space="preserve"> un esfuerzo por controlar el panorama político y </w:t>
      </w:r>
      <w:r w:rsidR="00E477E6" w:rsidRPr="00C332F1">
        <w:rPr>
          <w:szCs w:val="20"/>
          <w:lang w:val="es-ES_tradnl"/>
        </w:rPr>
        <w:t xml:space="preserve">desmantelar </w:t>
      </w:r>
      <w:r w:rsidRPr="00C332F1">
        <w:rPr>
          <w:szCs w:val="20"/>
          <w:lang w:val="es-ES_tradnl"/>
        </w:rPr>
        <w:t>la capacidad de organización y expresión de la oposición en Venezuela</w:t>
      </w:r>
      <w:r w:rsidR="00A14F05">
        <w:rPr>
          <w:rFonts w:ascii="ZWAdobeF" w:hAnsi="ZWAdobeF" w:cs="ZWAdobeF"/>
          <w:color w:val="auto"/>
          <w:sz w:val="2"/>
          <w:szCs w:val="2"/>
          <w:lang w:val="es-ES_tradnl"/>
        </w:rPr>
        <w:t>25F</w:t>
      </w:r>
      <w:r w:rsidR="008E5A27" w:rsidRPr="005C52BD">
        <w:rPr>
          <w:rStyle w:val="FootnoteReference"/>
          <w:color w:val="auto"/>
          <w:sz w:val="20"/>
          <w:szCs w:val="20"/>
          <w:lang w:val="es-ES_tradnl"/>
        </w:rPr>
        <w:footnoteReference w:id="27"/>
      </w:r>
      <w:r w:rsidRPr="00C332F1">
        <w:rPr>
          <w:szCs w:val="20"/>
          <w:lang w:val="es-ES_tradnl"/>
        </w:rPr>
        <w:t>.</w:t>
      </w:r>
    </w:p>
    <w:p w14:paraId="2D720C82" w14:textId="740CB652" w:rsidR="00F8639C" w:rsidRPr="00C332F1" w:rsidRDefault="00F8639C" w:rsidP="00514879">
      <w:pPr>
        <w:pStyle w:val="IAPrrafo"/>
        <w:rPr>
          <w:color w:val="auto"/>
          <w:szCs w:val="20"/>
          <w:lang w:val="es-US"/>
        </w:rPr>
      </w:pPr>
      <w:r w:rsidRPr="4324C698">
        <w:rPr>
          <w:color w:val="auto"/>
          <w:lang w:val="es-US"/>
        </w:rPr>
        <w:t xml:space="preserve">Por lo general, las detenciones arbitrarias previas a la elección del 28 de julio tuvieron lugar en espacios públicos, viviendas, puestos de trabajo y en el aeropuerto. Los principales perpetradores fueron el Servicio Bolivariano de Inteligencia Nacional (SEBIN), la Dirección General de Contrainteligencia Militar (DGCIM), y la Policía Nacional Bolivariana (PNB), a través de la Dirección de Acciones Estratégicas y Tácticas (DAET). En algunos casos, también participaron personas no identificadas </w:t>
      </w:r>
      <w:r w:rsidR="00E477E6" w:rsidRPr="4324C698">
        <w:rPr>
          <w:color w:val="auto"/>
          <w:lang w:val="es-US"/>
        </w:rPr>
        <w:t>que se desplazaban</w:t>
      </w:r>
      <w:r w:rsidR="000E0819" w:rsidRPr="4324C698">
        <w:rPr>
          <w:color w:val="auto"/>
          <w:lang w:val="es-US"/>
        </w:rPr>
        <w:t xml:space="preserve"> en</w:t>
      </w:r>
      <w:r w:rsidRPr="4324C698">
        <w:rPr>
          <w:color w:val="auto"/>
          <w:lang w:val="es-US"/>
        </w:rPr>
        <w:t xml:space="preserve"> camionetas sin placas o motos. En varias de las detenciones los agentes del Estado bajaron a las personas de sus vehículos mientras les apuntaban con armas</w:t>
      </w:r>
      <w:r w:rsidR="003F2B1C" w:rsidRPr="4324C698">
        <w:rPr>
          <w:color w:val="auto"/>
          <w:lang w:val="es-US"/>
        </w:rPr>
        <w:t xml:space="preserve"> y</w:t>
      </w:r>
      <w:r w:rsidRPr="4324C698">
        <w:rPr>
          <w:color w:val="auto"/>
          <w:lang w:val="es-US"/>
        </w:rPr>
        <w:t xml:space="preserve"> posteriormente las subían a vehículos oficiales</w:t>
      </w:r>
      <w:r w:rsidR="00A14F05">
        <w:rPr>
          <w:rFonts w:ascii="ZWAdobeF" w:hAnsi="ZWAdobeF" w:cs="ZWAdobeF"/>
          <w:color w:val="auto"/>
          <w:sz w:val="2"/>
          <w:szCs w:val="2"/>
          <w:lang w:val="es-US"/>
        </w:rPr>
        <w:t>26F</w:t>
      </w:r>
      <w:r w:rsidRPr="005C52BD">
        <w:rPr>
          <w:rStyle w:val="FootnoteReference"/>
          <w:color w:val="auto"/>
          <w:sz w:val="20"/>
          <w:szCs w:val="20"/>
          <w:lang w:val="es-US"/>
        </w:rPr>
        <w:footnoteReference w:id="28"/>
      </w:r>
      <w:r w:rsidRPr="4324C698">
        <w:rPr>
          <w:color w:val="auto"/>
          <w:lang w:val="es-US"/>
        </w:rPr>
        <w:t>.</w:t>
      </w:r>
    </w:p>
    <w:p w14:paraId="264E0BB6" w14:textId="7E7D2DD9" w:rsidR="00A30A8E" w:rsidRPr="00C332F1" w:rsidRDefault="008775A3" w:rsidP="00514879">
      <w:pPr>
        <w:pStyle w:val="IAPrrafo"/>
        <w:rPr>
          <w:szCs w:val="20"/>
          <w:lang w:val="es-ES"/>
        </w:rPr>
      </w:pPr>
      <w:r w:rsidRPr="00C332F1">
        <w:rPr>
          <w:szCs w:val="20"/>
          <w:lang w:val="es-ES"/>
        </w:rPr>
        <w:t>Cabe resaltar que</w:t>
      </w:r>
      <w:r w:rsidR="0050285D" w:rsidRPr="00C332F1">
        <w:rPr>
          <w:szCs w:val="20"/>
          <w:lang w:val="es-ES"/>
        </w:rPr>
        <w:t>,</w:t>
      </w:r>
      <w:r w:rsidRPr="00C332F1">
        <w:rPr>
          <w:szCs w:val="20"/>
          <w:lang w:val="es-ES"/>
        </w:rPr>
        <w:t xml:space="preserve"> durante el periodo preelectoral, le represión no sólo estuvo dirigida contra personas </w:t>
      </w:r>
      <w:r w:rsidR="00496E2E" w:rsidRPr="00C332F1">
        <w:rPr>
          <w:szCs w:val="20"/>
          <w:lang w:val="es-ES"/>
        </w:rPr>
        <w:t>opositoras</w:t>
      </w:r>
      <w:r w:rsidRPr="00C332F1">
        <w:rPr>
          <w:szCs w:val="20"/>
          <w:lang w:val="es-ES"/>
        </w:rPr>
        <w:t xml:space="preserve">, sino también contra defensores de derechos humanos </w:t>
      </w:r>
      <w:r w:rsidR="0050285D" w:rsidRPr="00C332F1">
        <w:rPr>
          <w:szCs w:val="20"/>
          <w:lang w:val="es-ES"/>
        </w:rPr>
        <w:t xml:space="preserve">y periodistas. Uno de los casos más emblemáticos </w:t>
      </w:r>
      <w:r w:rsidR="00A30A8E" w:rsidRPr="00C332F1">
        <w:rPr>
          <w:szCs w:val="20"/>
          <w:lang w:val="es-ES"/>
        </w:rPr>
        <w:t xml:space="preserve">fue el de Rocío San Miguel, quien fue detenida mientras intentaba abordar un vuelo en el Aeropuerto Internacional de Maiquetía. </w:t>
      </w:r>
      <w:r w:rsidR="0054294B" w:rsidRPr="00C332F1">
        <w:rPr>
          <w:szCs w:val="20"/>
          <w:lang w:val="es-ES"/>
        </w:rPr>
        <w:t>Según fuera informado a esta Comisión, s</w:t>
      </w:r>
      <w:r w:rsidR="00A30A8E" w:rsidRPr="00C332F1">
        <w:rPr>
          <w:szCs w:val="20"/>
          <w:lang w:val="es-ES"/>
        </w:rPr>
        <w:t xml:space="preserve">u paradero permaneció desconocido por más de </w:t>
      </w:r>
      <w:r w:rsidR="0054294B" w:rsidRPr="00C332F1">
        <w:rPr>
          <w:szCs w:val="20"/>
          <w:lang w:val="es-ES"/>
        </w:rPr>
        <w:t>48</w:t>
      </w:r>
      <w:r w:rsidR="00A30A8E" w:rsidRPr="00C332F1">
        <w:rPr>
          <w:szCs w:val="20"/>
          <w:lang w:val="es-ES"/>
        </w:rPr>
        <w:t xml:space="preserve"> horas, lo que constituyó </w:t>
      </w:r>
      <w:r w:rsidR="000E43F7" w:rsidRPr="00C332F1">
        <w:rPr>
          <w:szCs w:val="20"/>
          <w:lang w:val="es-ES"/>
        </w:rPr>
        <w:t xml:space="preserve">una </w:t>
      </w:r>
      <w:r w:rsidR="00A30A8E" w:rsidRPr="00C332F1">
        <w:rPr>
          <w:szCs w:val="20"/>
          <w:lang w:val="es-ES"/>
        </w:rPr>
        <w:t>desaparición forzada</w:t>
      </w:r>
      <w:r w:rsidR="0054294B" w:rsidRPr="00C332F1">
        <w:rPr>
          <w:szCs w:val="20"/>
          <w:lang w:val="es-ES"/>
        </w:rPr>
        <w:t xml:space="preserve"> de corta duración</w:t>
      </w:r>
      <w:r w:rsidR="00A30A8E" w:rsidRPr="00C332F1">
        <w:rPr>
          <w:szCs w:val="20"/>
          <w:lang w:val="es-ES"/>
        </w:rPr>
        <w:t xml:space="preserve">. </w:t>
      </w:r>
      <w:r w:rsidR="00E9400B" w:rsidRPr="00C332F1">
        <w:rPr>
          <w:szCs w:val="20"/>
          <w:lang w:val="es-ES"/>
        </w:rPr>
        <w:t>Luego</w:t>
      </w:r>
      <w:r w:rsidR="00A30A8E" w:rsidRPr="00C332F1">
        <w:rPr>
          <w:szCs w:val="20"/>
          <w:lang w:val="es-ES"/>
        </w:rPr>
        <w:t>, la defensora fue acusada de traición a la patria, terrorismo y conspiración. Varios familiares de Rocío San Miguel también fueron detenidos, incluyendo su hija Miranda Díaz San Miguel, sus hermanos Miguel Ángel San Miguel Sosa y Alberto San Miguel, el padre de su hija Victor Díaz Paruta, así como el ex esposo de la defensora</w:t>
      </w:r>
      <w:r w:rsidR="0054294B" w:rsidRPr="00C332F1">
        <w:rPr>
          <w:szCs w:val="20"/>
          <w:lang w:val="es-ES"/>
        </w:rPr>
        <w:t>,</w:t>
      </w:r>
      <w:r w:rsidR="00A30A8E" w:rsidRPr="00C332F1">
        <w:rPr>
          <w:szCs w:val="20"/>
          <w:lang w:val="es-ES"/>
        </w:rPr>
        <w:t xml:space="preserve"> Alejandro González</w:t>
      </w:r>
      <w:r w:rsidR="00A14F05">
        <w:rPr>
          <w:rFonts w:ascii="ZWAdobeF" w:hAnsi="ZWAdobeF" w:cs="ZWAdobeF"/>
          <w:color w:val="auto"/>
          <w:sz w:val="2"/>
          <w:szCs w:val="2"/>
          <w:lang w:val="es-ES"/>
        </w:rPr>
        <w:t>27F</w:t>
      </w:r>
      <w:r w:rsidR="00A30A8E" w:rsidRPr="005C52BD">
        <w:rPr>
          <w:rStyle w:val="FootnoteReference"/>
          <w:sz w:val="20"/>
          <w:szCs w:val="20"/>
          <w:lang w:val="es-ES"/>
        </w:rPr>
        <w:footnoteReference w:id="29"/>
      </w:r>
      <w:r w:rsidR="00A30A8E" w:rsidRPr="00C332F1">
        <w:rPr>
          <w:szCs w:val="20"/>
          <w:lang w:val="es-ES"/>
        </w:rPr>
        <w:t>.</w:t>
      </w:r>
      <w:r w:rsidR="004D3235" w:rsidRPr="00C332F1">
        <w:rPr>
          <w:szCs w:val="20"/>
          <w:lang w:val="es-ES"/>
        </w:rPr>
        <w:t xml:space="preserve"> </w:t>
      </w:r>
      <w:r w:rsidR="00E03024" w:rsidRPr="00C332F1">
        <w:rPr>
          <w:szCs w:val="20"/>
          <w:lang w:val="es-ES"/>
        </w:rPr>
        <w:t xml:space="preserve">Rocío </w:t>
      </w:r>
      <w:r w:rsidR="004D3235" w:rsidRPr="00C332F1">
        <w:rPr>
          <w:szCs w:val="20"/>
          <w:lang w:val="es-ES"/>
        </w:rPr>
        <w:t>San Miguel es beneficiaria de medidas cautelares por la CIDH</w:t>
      </w:r>
      <w:r w:rsidR="00A14F05">
        <w:rPr>
          <w:rFonts w:ascii="ZWAdobeF" w:hAnsi="ZWAdobeF" w:cs="ZWAdobeF"/>
          <w:color w:val="auto"/>
          <w:sz w:val="2"/>
          <w:szCs w:val="2"/>
          <w:lang w:val="es-ES"/>
        </w:rPr>
        <w:t>28F</w:t>
      </w:r>
      <w:r w:rsidR="004D3235" w:rsidRPr="005C52BD">
        <w:rPr>
          <w:rStyle w:val="FootnoteReference"/>
          <w:sz w:val="20"/>
          <w:szCs w:val="20"/>
          <w:lang w:val="es-ES"/>
        </w:rPr>
        <w:footnoteReference w:id="30"/>
      </w:r>
      <w:r w:rsidR="004D3235" w:rsidRPr="00C332F1">
        <w:rPr>
          <w:szCs w:val="20"/>
          <w:lang w:val="es-ES"/>
        </w:rPr>
        <w:t>.</w:t>
      </w:r>
    </w:p>
    <w:p w14:paraId="626487B6" w14:textId="2354D412" w:rsidR="00344421" w:rsidRPr="00C332F1" w:rsidRDefault="0054294B" w:rsidP="00514879">
      <w:pPr>
        <w:pStyle w:val="IAPrrafo"/>
        <w:rPr>
          <w:rFonts w:cstheme="majorBidi"/>
          <w:szCs w:val="20"/>
          <w:lang w:val="es-ES_tradnl"/>
        </w:rPr>
      </w:pPr>
      <w:r w:rsidRPr="00C332F1">
        <w:rPr>
          <w:szCs w:val="20"/>
          <w:lang w:val="es-ES_tradnl"/>
        </w:rPr>
        <w:t>En el caso de integrantes de</w:t>
      </w:r>
      <w:r w:rsidR="00CB6120" w:rsidRPr="00C332F1">
        <w:rPr>
          <w:szCs w:val="20"/>
          <w:lang w:val="es-ES_tradnl"/>
        </w:rPr>
        <w:t xml:space="preserve"> Vente Venezuela, las detenciones arbitrarias de 2024 comenzaron el </w:t>
      </w:r>
      <w:r w:rsidR="003606C2" w:rsidRPr="00C332F1">
        <w:rPr>
          <w:szCs w:val="20"/>
          <w:lang w:val="es-ES_tradnl"/>
        </w:rPr>
        <w:t>23 de enero, cuando Luis Camacaro, Juan Freites y Guillermo López, coordinadores en los estados de Trujillo, Yaracuy y Vargas, fueron arrestados simultáneamente por funcionarios del Servicio Bolivariano de Inteligencia Nacional (SEBIN). Estas detenciones se llevaron a cabo sin órdenes judiciales y sin informar a sus familiares</w:t>
      </w:r>
      <w:r w:rsidR="00767F29" w:rsidRPr="00C332F1">
        <w:rPr>
          <w:szCs w:val="20"/>
          <w:lang w:val="es-ES_tradnl"/>
        </w:rPr>
        <w:t xml:space="preserve"> del paradero</w:t>
      </w:r>
      <w:r w:rsidR="003606C2" w:rsidRPr="00C332F1">
        <w:rPr>
          <w:szCs w:val="20"/>
          <w:lang w:val="es-ES_tradnl"/>
        </w:rPr>
        <w:t xml:space="preserve">, lo que resultó en denuncias de desaparición forzada </w:t>
      </w:r>
      <w:r w:rsidR="00767F29" w:rsidRPr="00C332F1">
        <w:rPr>
          <w:szCs w:val="20"/>
          <w:lang w:val="es-ES_tradnl"/>
        </w:rPr>
        <w:t xml:space="preserve">breves </w:t>
      </w:r>
      <w:r w:rsidR="003606C2" w:rsidRPr="00C332F1">
        <w:rPr>
          <w:szCs w:val="20"/>
          <w:lang w:val="es-ES_tradnl"/>
        </w:rPr>
        <w:t>y falta</w:t>
      </w:r>
      <w:r w:rsidR="0012596D" w:rsidRPr="00C332F1">
        <w:rPr>
          <w:szCs w:val="20"/>
          <w:lang w:val="es-ES_tradnl"/>
        </w:rPr>
        <w:t>s al</w:t>
      </w:r>
      <w:r w:rsidR="003606C2" w:rsidRPr="00C332F1">
        <w:rPr>
          <w:szCs w:val="20"/>
          <w:lang w:val="es-ES_tradnl"/>
        </w:rPr>
        <w:t xml:space="preserve"> debido proceso</w:t>
      </w:r>
      <w:r w:rsidR="00A14F05">
        <w:rPr>
          <w:rFonts w:ascii="ZWAdobeF" w:hAnsi="ZWAdobeF" w:cs="ZWAdobeF"/>
          <w:color w:val="auto"/>
          <w:sz w:val="2"/>
          <w:szCs w:val="2"/>
          <w:lang w:val="es-ES_tradnl"/>
        </w:rPr>
        <w:t>29F</w:t>
      </w:r>
      <w:r w:rsidR="00AC6AA1" w:rsidRPr="005C52BD">
        <w:rPr>
          <w:rStyle w:val="FootnoteReference"/>
          <w:color w:val="auto"/>
          <w:sz w:val="20"/>
          <w:szCs w:val="20"/>
          <w:lang w:val="es-US"/>
        </w:rPr>
        <w:footnoteReference w:id="31"/>
      </w:r>
      <w:r w:rsidR="003606C2" w:rsidRPr="00C332F1">
        <w:rPr>
          <w:szCs w:val="20"/>
          <w:lang w:val="es-ES_tradnl"/>
        </w:rPr>
        <w:t>.</w:t>
      </w:r>
      <w:r w:rsidR="00F06169" w:rsidRPr="00C332F1">
        <w:rPr>
          <w:szCs w:val="20"/>
          <w:lang w:val="es-ES_tradnl"/>
        </w:rPr>
        <w:t xml:space="preserve"> </w:t>
      </w:r>
      <w:r w:rsidR="00344421" w:rsidRPr="00C332F1">
        <w:rPr>
          <w:rFonts w:cstheme="majorBidi"/>
          <w:color w:val="222222"/>
          <w:szCs w:val="20"/>
          <w:shd w:val="clear" w:color="auto" w:fill="FFFFFF"/>
          <w:lang w:val="es-US"/>
        </w:rPr>
        <w:t>Este operativo</w:t>
      </w:r>
      <w:r w:rsidR="00F06169" w:rsidRPr="00C332F1">
        <w:rPr>
          <w:rFonts w:cstheme="majorBidi"/>
          <w:color w:val="222222"/>
          <w:szCs w:val="20"/>
          <w:shd w:val="clear" w:color="auto" w:fill="FFFFFF"/>
          <w:lang w:val="es-US"/>
        </w:rPr>
        <w:t>,</w:t>
      </w:r>
      <w:r w:rsidR="00344421" w:rsidRPr="00C332F1">
        <w:rPr>
          <w:rFonts w:cstheme="majorBidi"/>
          <w:color w:val="222222"/>
          <w:szCs w:val="20"/>
          <w:shd w:val="clear" w:color="auto" w:fill="FFFFFF"/>
          <w:lang w:val="es-US"/>
        </w:rPr>
        <w:t xml:space="preserve"> llevado a cabo de manera articulada en diferentes estados</w:t>
      </w:r>
      <w:r w:rsidR="00F06169" w:rsidRPr="00C332F1">
        <w:rPr>
          <w:rFonts w:cstheme="majorBidi"/>
          <w:color w:val="222222"/>
          <w:szCs w:val="20"/>
          <w:shd w:val="clear" w:color="auto" w:fill="FFFFFF"/>
          <w:lang w:val="es-US"/>
        </w:rPr>
        <w:t>,</w:t>
      </w:r>
      <w:r w:rsidR="00344421" w:rsidRPr="00C332F1">
        <w:rPr>
          <w:rFonts w:cstheme="majorBidi"/>
          <w:color w:val="222222"/>
          <w:szCs w:val="20"/>
          <w:shd w:val="clear" w:color="auto" w:fill="FFFFFF"/>
          <w:lang w:val="es-US"/>
        </w:rPr>
        <w:t xml:space="preserve"> da cuenta de la estrategia planificada de los servicios de seguridad para amedrentar a la oposición.</w:t>
      </w:r>
    </w:p>
    <w:p w14:paraId="68AE039D" w14:textId="468B4339" w:rsidR="00F40797" w:rsidRPr="00C332F1" w:rsidRDefault="00F40797" w:rsidP="00514879">
      <w:pPr>
        <w:pStyle w:val="IAPrrafo"/>
        <w:rPr>
          <w:szCs w:val="20"/>
          <w:lang w:val="es-ES"/>
        </w:rPr>
      </w:pPr>
      <w:r w:rsidRPr="00C332F1">
        <w:rPr>
          <w:szCs w:val="20"/>
          <w:lang w:val="es-ES"/>
        </w:rPr>
        <w:t>El 8 de marzo de 2024, Emil Brandt</w:t>
      </w:r>
      <w:r w:rsidR="00D478E2" w:rsidRPr="00C332F1">
        <w:rPr>
          <w:szCs w:val="20"/>
          <w:lang w:val="es-ES"/>
        </w:rPr>
        <w:t xml:space="preserve"> Ulloa</w:t>
      </w:r>
      <w:r w:rsidRPr="00C332F1">
        <w:rPr>
          <w:szCs w:val="20"/>
          <w:lang w:val="es-ES"/>
        </w:rPr>
        <w:t xml:space="preserve">, </w:t>
      </w:r>
      <w:r w:rsidR="00EC1E22" w:rsidRPr="00C332F1">
        <w:rPr>
          <w:szCs w:val="20"/>
          <w:lang w:val="es-ES"/>
        </w:rPr>
        <w:t>director de comando</w:t>
      </w:r>
      <w:r w:rsidRPr="00C332F1">
        <w:rPr>
          <w:szCs w:val="20"/>
          <w:lang w:val="es-ES"/>
        </w:rPr>
        <w:t xml:space="preserve"> de campaña de María Corina Machado en Barinas, también fue detenido por el SEBIN bajo acusaciones de </w:t>
      </w:r>
      <w:r w:rsidR="00FB6001" w:rsidRPr="00C332F1">
        <w:rPr>
          <w:szCs w:val="20"/>
          <w:lang w:val="es-ES"/>
        </w:rPr>
        <w:t>“conspiración, asociación, violencia de género (física) y ultraje al funcionario”</w:t>
      </w:r>
      <w:r w:rsidRPr="00C332F1">
        <w:rPr>
          <w:szCs w:val="20"/>
          <w:lang w:val="es-ES"/>
        </w:rPr>
        <w:t>. Su arresto se produjo apenas días después de una visita de Machado a la región, lo cual sugiere una clara intención de intimidar a quienes apoyaban su candidatura</w:t>
      </w:r>
      <w:r w:rsidR="00A14F05">
        <w:rPr>
          <w:rFonts w:ascii="ZWAdobeF" w:hAnsi="ZWAdobeF" w:cs="ZWAdobeF"/>
          <w:color w:val="auto"/>
          <w:sz w:val="2"/>
          <w:szCs w:val="2"/>
          <w:lang w:val="es-ES"/>
        </w:rPr>
        <w:t>30F</w:t>
      </w:r>
      <w:r w:rsidR="0032258B" w:rsidRPr="005C52BD">
        <w:rPr>
          <w:rStyle w:val="FootnoteReference"/>
          <w:sz w:val="20"/>
          <w:szCs w:val="20"/>
          <w:lang w:val="es-ES"/>
        </w:rPr>
        <w:footnoteReference w:id="32"/>
      </w:r>
      <w:r w:rsidRPr="00C332F1">
        <w:rPr>
          <w:szCs w:val="20"/>
          <w:lang w:val="es-ES"/>
        </w:rPr>
        <w:t>. Poco después, el 20 de marzo, Henry Alviárez y Dignora Hernández, ambos miembros del equipo de organización y campaña de Vente Venezuela, fueron arrestados en Caracas</w:t>
      </w:r>
      <w:r w:rsidR="00836192" w:rsidRPr="00C332F1">
        <w:rPr>
          <w:szCs w:val="20"/>
          <w:lang w:val="es-ES"/>
        </w:rPr>
        <w:t xml:space="preserve"> bajo </w:t>
      </w:r>
      <w:r w:rsidR="0054401F" w:rsidRPr="00C332F1">
        <w:rPr>
          <w:szCs w:val="20"/>
          <w:lang w:val="es-ES"/>
        </w:rPr>
        <w:t>acusaciones de</w:t>
      </w:r>
      <w:r w:rsidR="00A048E2" w:rsidRPr="00C332F1">
        <w:rPr>
          <w:szCs w:val="20"/>
          <w:lang w:val="es-ES"/>
        </w:rPr>
        <w:t xml:space="preserve"> conspirar en contra del Presidente Maduro y buscar desestabilizar el país</w:t>
      </w:r>
      <w:r w:rsidR="00A14F05">
        <w:rPr>
          <w:rFonts w:ascii="ZWAdobeF" w:hAnsi="ZWAdobeF" w:cs="ZWAdobeF"/>
          <w:color w:val="auto"/>
          <w:sz w:val="2"/>
          <w:szCs w:val="2"/>
          <w:lang w:val="es-ES"/>
        </w:rPr>
        <w:t>31F</w:t>
      </w:r>
      <w:r w:rsidR="00A14625" w:rsidRPr="005C52BD">
        <w:rPr>
          <w:rStyle w:val="FootnoteReference"/>
          <w:sz w:val="20"/>
          <w:szCs w:val="20"/>
          <w:lang w:val="es-ES"/>
        </w:rPr>
        <w:footnoteReference w:id="33"/>
      </w:r>
      <w:r w:rsidRPr="00C332F1">
        <w:rPr>
          <w:szCs w:val="20"/>
          <w:lang w:val="es-ES"/>
        </w:rPr>
        <w:t>.</w:t>
      </w:r>
    </w:p>
    <w:p w14:paraId="76CD9E89" w14:textId="093B0B86" w:rsidR="00F40797" w:rsidRPr="00C332F1" w:rsidRDefault="00F40797" w:rsidP="00514879">
      <w:pPr>
        <w:pStyle w:val="IAPrrafo"/>
        <w:rPr>
          <w:szCs w:val="20"/>
          <w:lang w:val="es-ES"/>
        </w:rPr>
      </w:pPr>
      <w:r w:rsidRPr="00C332F1">
        <w:rPr>
          <w:szCs w:val="20"/>
          <w:lang w:val="es-ES"/>
        </w:rPr>
        <w:t xml:space="preserve">Las detenciones continuaron en abril y junio, afectando tanto a </w:t>
      </w:r>
      <w:r w:rsidR="00037E3E" w:rsidRPr="00C332F1">
        <w:rPr>
          <w:szCs w:val="20"/>
          <w:lang w:val="es-ES"/>
        </w:rPr>
        <w:t>líderes sociales</w:t>
      </w:r>
      <w:r w:rsidRPr="00C332F1">
        <w:rPr>
          <w:szCs w:val="20"/>
          <w:lang w:val="es-ES"/>
        </w:rPr>
        <w:t xml:space="preserve"> como a miembros de la campaña. El 28 de abril, Víctor Castillo, jefe del Comando con Venezuela, </w:t>
      </w:r>
      <w:r w:rsidR="00B82679" w:rsidRPr="00C332F1">
        <w:rPr>
          <w:szCs w:val="20"/>
          <w:lang w:val="es-ES"/>
        </w:rPr>
        <w:t xml:space="preserve">junto con </w:t>
      </w:r>
      <w:r w:rsidR="00765761" w:rsidRPr="00C332F1">
        <w:rPr>
          <w:szCs w:val="20"/>
          <w:lang w:val="es-ES"/>
        </w:rPr>
        <w:t>Ámbar Márquez y Óscar Castañeda, simpatizantes de</w:t>
      </w:r>
      <w:r w:rsidR="002C4DBC" w:rsidRPr="00C332F1">
        <w:rPr>
          <w:szCs w:val="20"/>
          <w:lang w:val="es-ES"/>
        </w:rPr>
        <w:t xml:space="preserve"> Machado</w:t>
      </w:r>
      <w:r w:rsidR="00765761" w:rsidRPr="00C332F1">
        <w:rPr>
          <w:szCs w:val="20"/>
          <w:lang w:val="es-ES"/>
        </w:rPr>
        <w:t xml:space="preserve">, </w:t>
      </w:r>
      <w:r w:rsidRPr="00C332F1">
        <w:rPr>
          <w:szCs w:val="20"/>
          <w:lang w:val="es-ES"/>
        </w:rPr>
        <w:t>fue</w:t>
      </w:r>
      <w:r w:rsidR="00765761" w:rsidRPr="00C332F1">
        <w:rPr>
          <w:szCs w:val="20"/>
          <w:lang w:val="es-ES"/>
        </w:rPr>
        <w:t>ron</w:t>
      </w:r>
      <w:r w:rsidRPr="00C332F1">
        <w:rPr>
          <w:szCs w:val="20"/>
          <w:lang w:val="es-ES"/>
        </w:rPr>
        <w:t xml:space="preserve"> arrestado</w:t>
      </w:r>
      <w:r w:rsidR="00765761" w:rsidRPr="00C332F1">
        <w:rPr>
          <w:szCs w:val="20"/>
          <w:lang w:val="es-ES"/>
        </w:rPr>
        <w:t>s</w:t>
      </w:r>
      <w:r w:rsidRPr="00C332F1">
        <w:rPr>
          <w:szCs w:val="20"/>
          <w:lang w:val="es-ES"/>
        </w:rPr>
        <w:t xml:space="preserve"> tras </w:t>
      </w:r>
      <w:r w:rsidR="00037E3E" w:rsidRPr="00C332F1">
        <w:rPr>
          <w:szCs w:val="20"/>
          <w:lang w:val="es-ES"/>
        </w:rPr>
        <w:t>la</w:t>
      </w:r>
      <w:r w:rsidRPr="00C332F1">
        <w:rPr>
          <w:szCs w:val="20"/>
          <w:lang w:val="es-ES"/>
        </w:rPr>
        <w:t xml:space="preserve"> visita de </w:t>
      </w:r>
      <w:r w:rsidR="002C4DBC" w:rsidRPr="00C332F1">
        <w:rPr>
          <w:szCs w:val="20"/>
          <w:lang w:val="es-ES"/>
        </w:rPr>
        <w:t xml:space="preserve">la líder </w:t>
      </w:r>
      <w:r w:rsidR="00037E3E" w:rsidRPr="00C332F1">
        <w:rPr>
          <w:szCs w:val="20"/>
          <w:lang w:val="es-ES"/>
        </w:rPr>
        <w:t>opositora</w:t>
      </w:r>
      <w:r w:rsidR="002C4DBC" w:rsidRPr="00C332F1">
        <w:rPr>
          <w:szCs w:val="20"/>
          <w:lang w:val="es-ES"/>
        </w:rPr>
        <w:t xml:space="preserve"> a</w:t>
      </w:r>
      <w:r w:rsidR="00241B28" w:rsidRPr="00C332F1">
        <w:rPr>
          <w:szCs w:val="20"/>
          <w:lang w:val="es-ES"/>
        </w:rPr>
        <w:t xml:space="preserve">l municipio de </w:t>
      </w:r>
      <w:r w:rsidRPr="00C332F1">
        <w:rPr>
          <w:szCs w:val="20"/>
          <w:lang w:val="es-ES"/>
        </w:rPr>
        <w:t>Santa Rosalía</w:t>
      </w:r>
      <w:r w:rsidR="00037E3E" w:rsidRPr="00C332F1">
        <w:rPr>
          <w:szCs w:val="20"/>
          <w:lang w:val="es-ES"/>
        </w:rPr>
        <w:t>, en la región</w:t>
      </w:r>
      <w:r w:rsidR="00241B28" w:rsidRPr="00C332F1">
        <w:rPr>
          <w:szCs w:val="20"/>
          <w:lang w:val="es-ES"/>
        </w:rPr>
        <w:t xml:space="preserve"> de Portuguesa</w:t>
      </w:r>
      <w:r w:rsidR="00A14F05">
        <w:rPr>
          <w:rFonts w:ascii="ZWAdobeF" w:hAnsi="ZWAdobeF" w:cs="ZWAdobeF"/>
          <w:color w:val="auto"/>
          <w:sz w:val="2"/>
          <w:szCs w:val="2"/>
          <w:lang w:val="es-ES"/>
        </w:rPr>
        <w:t>32F</w:t>
      </w:r>
      <w:r w:rsidR="00037E3E" w:rsidRPr="005C52BD">
        <w:rPr>
          <w:rStyle w:val="FootnoteReference"/>
          <w:sz w:val="20"/>
          <w:szCs w:val="20"/>
          <w:lang w:val="es-ES"/>
        </w:rPr>
        <w:footnoteReference w:id="34"/>
      </w:r>
      <w:r w:rsidRPr="00C332F1">
        <w:rPr>
          <w:szCs w:val="20"/>
          <w:lang w:val="es-ES"/>
        </w:rPr>
        <w:t>. El 14 de junio, Julián Iriarte, miembro del Comando con Venezuela en el estado Vargas, fue detenido</w:t>
      </w:r>
      <w:r w:rsidR="0042383E" w:rsidRPr="00C332F1">
        <w:rPr>
          <w:szCs w:val="20"/>
          <w:lang w:val="es-ES"/>
        </w:rPr>
        <w:t xml:space="preserve"> bajo las figuras de incitación al odio y asociación para delinquir</w:t>
      </w:r>
      <w:r w:rsidR="00A14F05">
        <w:rPr>
          <w:rFonts w:ascii="ZWAdobeF" w:hAnsi="ZWAdobeF" w:cs="ZWAdobeF"/>
          <w:color w:val="auto"/>
          <w:sz w:val="2"/>
          <w:szCs w:val="2"/>
          <w:lang w:val="es-ES"/>
        </w:rPr>
        <w:t>33F</w:t>
      </w:r>
      <w:r w:rsidR="00A04097" w:rsidRPr="005C52BD">
        <w:rPr>
          <w:rStyle w:val="FootnoteReference"/>
          <w:sz w:val="20"/>
          <w:szCs w:val="20"/>
          <w:lang w:val="es-ES"/>
        </w:rPr>
        <w:footnoteReference w:id="35"/>
      </w:r>
      <w:r w:rsidRPr="00C332F1">
        <w:rPr>
          <w:szCs w:val="20"/>
          <w:lang w:val="es-ES"/>
        </w:rPr>
        <w:t>. Gabriel González, periodista y miembro del equipo nacional de comunicaciones de Vente Venezuela, fue detenido el 17 de junio en Caracas, indicando una persecución también dirigida a controlar el discurso público y silenciar voces críticas</w:t>
      </w:r>
      <w:r w:rsidR="00A14F05">
        <w:rPr>
          <w:rFonts w:ascii="ZWAdobeF" w:hAnsi="ZWAdobeF" w:cs="ZWAdobeF"/>
          <w:color w:val="auto"/>
          <w:sz w:val="2"/>
          <w:szCs w:val="2"/>
          <w:lang w:val="es-ES"/>
        </w:rPr>
        <w:t>34F</w:t>
      </w:r>
      <w:r w:rsidR="006A3B11" w:rsidRPr="005C52BD">
        <w:rPr>
          <w:rStyle w:val="FootnoteReference"/>
          <w:sz w:val="20"/>
          <w:szCs w:val="20"/>
          <w:lang w:val="es-ES"/>
        </w:rPr>
        <w:footnoteReference w:id="36"/>
      </w:r>
      <w:r w:rsidRPr="00C332F1">
        <w:rPr>
          <w:szCs w:val="20"/>
          <w:lang w:val="es-ES"/>
        </w:rPr>
        <w:t>.</w:t>
      </w:r>
    </w:p>
    <w:p w14:paraId="39E86CF8" w14:textId="3935B865" w:rsidR="000B7F27" w:rsidRPr="00C332F1" w:rsidRDefault="000B7F27" w:rsidP="00514879">
      <w:pPr>
        <w:pStyle w:val="IAPrrafo"/>
        <w:rPr>
          <w:lang w:val="es-ES"/>
        </w:rPr>
      </w:pPr>
      <w:r w:rsidRPr="00C332F1">
        <w:rPr>
          <w:lang w:val="es-ES"/>
        </w:rPr>
        <w:t xml:space="preserve">En julio de 2024, las dirigentes </w:t>
      </w:r>
      <w:r w:rsidR="00711D99" w:rsidRPr="00C332F1">
        <w:rPr>
          <w:lang w:val="es-ES"/>
        </w:rPr>
        <w:t>del partido Vente Venezuela en Guanare, estado Portuguesa</w:t>
      </w:r>
      <w:r w:rsidR="008F2358" w:rsidRPr="00C332F1">
        <w:rPr>
          <w:lang w:val="es-ES"/>
        </w:rPr>
        <w:t xml:space="preserve">, </w:t>
      </w:r>
      <w:r w:rsidRPr="00C332F1">
        <w:rPr>
          <w:lang w:val="es-ES"/>
        </w:rPr>
        <w:t>Mary Rodríguez y Mayra Montilla, fueron detenidas por fuerzas de seguridad del Estado venezolano. La madrugada del 14 de julio, sus viviendas en el barrio El Progreso fueron allanadas sin orden judicial por funcionarios de la DGCIM, la Policía Nacional Bolivariana (PNB), la Policía Estatal y la Guardia Nacional Bolivariana (GNB). Posteriormente, el Ministerio Público las acusó de conspiración, asociación para delinquir y obstaculización de vías públicas, delitos que podrían conllevar penas de hasta 30 años de prisión</w:t>
      </w:r>
      <w:r w:rsidR="00A14F05">
        <w:rPr>
          <w:rFonts w:ascii="ZWAdobeF" w:hAnsi="ZWAdobeF" w:cs="ZWAdobeF"/>
          <w:color w:val="auto"/>
          <w:sz w:val="2"/>
          <w:szCs w:val="2"/>
          <w:lang w:val="es-ES"/>
        </w:rPr>
        <w:t>35F</w:t>
      </w:r>
      <w:r w:rsidRPr="00B82604">
        <w:rPr>
          <w:rStyle w:val="FootnoteReference"/>
          <w:sz w:val="20"/>
          <w:szCs w:val="20"/>
          <w:lang w:val="es-ES"/>
        </w:rPr>
        <w:footnoteReference w:id="37"/>
      </w:r>
      <w:r w:rsidRPr="00C332F1">
        <w:rPr>
          <w:lang w:val="es-ES"/>
        </w:rPr>
        <w:t>.</w:t>
      </w:r>
    </w:p>
    <w:p w14:paraId="022A5FE0" w14:textId="740FA76F" w:rsidR="00F90388" w:rsidRPr="00AD50CD" w:rsidRDefault="00745847" w:rsidP="00AD50CD">
      <w:pPr>
        <w:pStyle w:val="IAPrrafo"/>
      </w:pPr>
      <w:r w:rsidRPr="00AD50CD">
        <w:t>Aunado a lo anterior, l</w:t>
      </w:r>
      <w:r w:rsidR="00CE5110" w:rsidRPr="00AD50CD">
        <w:t>a</w:t>
      </w:r>
      <w:r w:rsidR="00496353" w:rsidRPr="00AD50CD">
        <w:t xml:space="preserve"> oposición denunció </w:t>
      </w:r>
      <w:r w:rsidR="41F5B8A9" w:rsidRPr="00AD50CD">
        <w:t>que</w:t>
      </w:r>
      <w:r w:rsidR="00B403C0" w:rsidRPr="00AD50CD">
        <w:t xml:space="preserve"> a</w:t>
      </w:r>
      <w:r w:rsidR="00E06522" w:rsidRPr="00AD50CD">
        <w:t>l menos d</w:t>
      </w:r>
      <w:r w:rsidR="00B92DEC" w:rsidRPr="00AD50CD">
        <w:t>iez locales comerciales utilizados para reuniones de campañas opositoras fueron clausurados</w:t>
      </w:r>
      <w:r w:rsidR="1D823C6F" w:rsidRPr="00AD50CD">
        <w:t>, en tanto que varias</w:t>
      </w:r>
      <w:r w:rsidR="00B92DEC" w:rsidRPr="00AD50CD">
        <w:t xml:space="preserve"> comitivas de la oposición fueron retenidas</w:t>
      </w:r>
      <w:r w:rsidR="008441E8" w:rsidRPr="00AD50CD">
        <w:t xml:space="preserve"> </w:t>
      </w:r>
      <w:r w:rsidR="00A00019" w:rsidRPr="00AD50CD">
        <w:t xml:space="preserve">de modo reiterado </w:t>
      </w:r>
      <w:r w:rsidR="00B92DEC" w:rsidRPr="00AD50CD">
        <w:t>en controles viales. Adicionalmente, dirigentes de oposición denunciaron la falta de espacios en radio y televisión pública para candidaturas no oficialistas</w:t>
      </w:r>
      <w:r w:rsidR="00A14F05">
        <w:rPr>
          <w:rFonts w:ascii="ZWAdobeF" w:hAnsi="ZWAdobeF" w:cs="ZWAdobeF"/>
          <w:color w:val="auto"/>
          <w:sz w:val="2"/>
          <w:szCs w:val="2"/>
        </w:rPr>
        <w:t>36F</w:t>
      </w:r>
      <w:r w:rsidR="00F74750" w:rsidRPr="00AD50CD">
        <w:rPr>
          <w:rStyle w:val="FootnoteReference"/>
          <w:sz w:val="20"/>
        </w:rPr>
        <w:footnoteReference w:id="38"/>
      </w:r>
      <w:r w:rsidR="00B92DEC" w:rsidRPr="00AD50CD">
        <w:t>.</w:t>
      </w:r>
      <w:r w:rsidR="00F74750" w:rsidRPr="00AD50CD">
        <w:t xml:space="preserve"> </w:t>
      </w:r>
      <w:r w:rsidR="006C19B8" w:rsidRPr="00AD50CD">
        <w:t xml:space="preserve">Un caso destacado ocurrió </w:t>
      </w:r>
      <w:r w:rsidR="00893604" w:rsidRPr="00AD50CD">
        <w:t>e</w:t>
      </w:r>
      <w:r w:rsidR="0079099D" w:rsidRPr="00AD50CD">
        <w:t>n</w:t>
      </w:r>
      <w:r w:rsidR="006C19B8" w:rsidRPr="00AD50CD">
        <w:t xml:space="preserve"> junio, cuando un restaurante en Corozopando, estado Guárico, fue clausurado tras la visita de la líder opositora María Corina Machado</w:t>
      </w:r>
      <w:r w:rsidR="00A14F05">
        <w:rPr>
          <w:rFonts w:ascii="ZWAdobeF" w:hAnsi="ZWAdobeF" w:cs="ZWAdobeF"/>
          <w:color w:val="auto"/>
          <w:sz w:val="2"/>
          <w:szCs w:val="2"/>
        </w:rPr>
        <w:t>37F</w:t>
      </w:r>
      <w:r w:rsidR="006C19B8" w:rsidRPr="00AD50CD">
        <w:rPr>
          <w:rStyle w:val="FootnoteReference"/>
          <w:sz w:val="20"/>
        </w:rPr>
        <w:footnoteReference w:id="39"/>
      </w:r>
      <w:r w:rsidR="006C19B8" w:rsidRPr="00AD50CD">
        <w:t xml:space="preserve">. Asimismo, en </w:t>
      </w:r>
      <w:r w:rsidR="00290793" w:rsidRPr="00AD50CD">
        <w:t>el mes siguiente</w:t>
      </w:r>
      <w:r w:rsidR="006C19B8" w:rsidRPr="00AD50CD">
        <w:t>, el restaurante Asados Taguanes, ubicado en el estado Cojedes, también fue clausurado por el Servicio Nacional Integrado de Administración Aduanera y Tributaria (SENIAT) después de la visita del candidato opositor Edmundo González y su familia</w:t>
      </w:r>
      <w:r w:rsidR="00A14F05">
        <w:rPr>
          <w:rFonts w:ascii="ZWAdobeF" w:hAnsi="ZWAdobeF" w:cs="ZWAdobeF"/>
          <w:color w:val="auto"/>
          <w:sz w:val="2"/>
          <w:szCs w:val="2"/>
        </w:rPr>
        <w:t>38F</w:t>
      </w:r>
      <w:r w:rsidR="0001128B" w:rsidRPr="00AD50CD">
        <w:rPr>
          <w:rStyle w:val="FootnoteReference"/>
          <w:sz w:val="20"/>
        </w:rPr>
        <w:footnoteReference w:id="40"/>
      </w:r>
      <w:r w:rsidR="00F90388" w:rsidRPr="00AD50CD">
        <w:t>.</w:t>
      </w:r>
    </w:p>
    <w:p w14:paraId="08F9223B" w14:textId="6B2F6598" w:rsidR="00C24D62" w:rsidRPr="00C332F1" w:rsidRDefault="0066477D" w:rsidP="00514879">
      <w:pPr>
        <w:pStyle w:val="IAPrrafo"/>
        <w:rPr>
          <w:lang w:val="es-ES_tradnl"/>
        </w:rPr>
      </w:pPr>
      <w:r w:rsidRPr="00C332F1">
        <w:rPr>
          <w:lang w:val="es-ES_tradnl"/>
        </w:rPr>
        <w:t xml:space="preserve">Las detenciones arbitrarias de personas líderes opositoras o percibidas como tales y personas defensoras de derechos humanos y con liderazgo social </w:t>
      </w:r>
      <w:r w:rsidR="00A35C58" w:rsidRPr="00C332F1">
        <w:rPr>
          <w:lang w:val="es-ES_tradnl"/>
        </w:rPr>
        <w:t>antes de la elección</w:t>
      </w:r>
      <w:r w:rsidRPr="00C332F1">
        <w:rPr>
          <w:lang w:val="es-ES_tradnl"/>
        </w:rPr>
        <w:t xml:space="preserve"> evidencia</w:t>
      </w:r>
      <w:r w:rsidR="009B49E8" w:rsidRPr="00C332F1">
        <w:rPr>
          <w:lang w:val="es-ES_tradnl"/>
        </w:rPr>
        <w:t>ro</w:t>
      </w:r>
      <w:r w:rsidRPr="00C332F1">
        <w:rPr>
          <w:lang w:val="es-ES_tradnl"/>
        </w:rPr>
        <w:t xml:space="preserve">n un patrón sistemático de </w:t>
      </w:r>
      <w:r w:rsidR="005228A4" w:rsidRPr="00C332F1">
        <w:rPr>
          <w:lang w:val="es-ES_tradnl"/>
        </w:rPr>
        <w:t>persecución</w:t>
      </w:r>
      <w:r w:rsidRPr="00C332F1">
        <w:rPr>
          <w:lang w:val="es-ES_tradnl"/>
        </w:rPr>
        <w:t xml:space="preserve"> política en el país. Las acciones del gobierno busca</w:t>
      </w:r>
      <w:r w:rsidR="009B49E8" w:rsidRPr="00C332F1">
        <w:rPr>
          <w:lang w:val="es-ES_tradnl"/>
        </w:rPr>
        <w:t>ro</w:t>
      </w:r>
      <w:r w:rsidRPr="00C332F1">
        <w:rPr>
          <w:lang w:val="es-ES_tradnl"/>
        </w:rPr>
        <w:t>n silenciar voces críticas, desmantelar la oposición organizada y mantener un control absoluto sobre el panorama político y social. La omisión de procedimientos judiciales, el secretismo en torno a l</w:t>
      </w:r>
      <w:r w:rsidR="00313F56" w:rsidRPr="00C332F1">
        <w:rPr>
          <w:lang w:val="es-ES_tradnl"/>
        </w:rPr>
        <w:t>a situación de personas detenidas</w:t>
      </w:r>
      <w:r w:rsidRPr="00C332F1">
        <w:rPr>
          <w:lang w:val="es-ES_tradnl"/>
        </w:rPr>
        <w:t xml:space="preserve"> y la intimidación a sus familiares</w:t>
      </w:r>
      <w:r w:rsidR="0053148C" w:rsidRPr="00C332F1">
        <w:rPr>
          <w:lang w:val="es-ES_tradnl"/>
        </w:rPr>
        <w:t>, en particular,</w:t>
      </w:r>
      <w:r w:rsidRPr="00C332F1">
        <w:rPr>
          <w:lang w:val="es-ES_tradnl"/>
        </w:rPr>
        <w:t xml:space="preserve"> subrayan </w:t>
      </w:r>
      <w:r w:rsidR="005C1CE7" w:rsidRPr="00C332F1">
        <w:rPr>
          <w:lang w:val="es-ES_tradnl"/>
        </w:rPr>
        <w:t>un carácter deliberado</w:t>
      </w:r>
      <w:r w:rsidR="0053148C" w:rsidRPr="00C332F1">
        <w:rPr>
          <w:lang w:val="es-ES_tradnl"/>
        </w:rPr>
        <w:t>, planificado y coordinador de distintas instituciones</w:t>
      </w:r>
      <w:r w:rsidRPr="00C332F1">
        <w:rPr>
          <w:lang w:val="es-ES_tradnl"/>
        </w:rPr>
        <w:t>.</w:t>
      </w:r>
    </w:p>
    <w:p w14:paraId="31D8DC06" w14:textId="179742BD" w:rsidR="00883739" w:rsidRPr="00C332F1" w:rsidRDefault="00883739">
      <w:pPr>
        <w:pStyle w:val="IAPrrafo"/>
        <w:rPr>
          <w:lang w:val="es-ES_tradnl"/>
        </w:rPr>
      </w:pPr>
      <w:r w:rsidRPr="00C332F1">
        <w:rPr>
          <w:lang w:val="es-ES_tradnl"/>
        </w:rPr>
        <w:t>A lo anterior se suma</w:t>
      </w:r>
      <w:r w:rsidR="00B907BF" w:rsidRPr="00C332F1">
        <w:rPr>
          <w:lang w:val="es-ES_tradnl"/>
        </w:rPr>
        <w:t>n</w:t>
      </w:r>
      <w:r w:rsidRPr="00C332F1">
        <w:rPr>
          <w:lang w:val="es-ES_tradnl"/>
        </w:rPr>
        <w:t xml:space="preserve"> las amenazas emitidas por las más altas autoridades del Estado ante una eventual derrota.</w:t>
      </w:r>
      <w:r w:rsidR="00D02C5C" w:rsidRPr="00C332F1">
        <w:rPr>
          <w:lang w:val="es-ES_tradnl"/>
        </w:rPr>
        <w:t xml:space="preserve"> </w:t>
      </w:r>
      <w:r w:rsidRPr="00C332F1">
        <w:rPr>
          <w:lang w:val="es-ES_tradnl"/>
        </w:rPr>
        <w:t>En efecto, e</w:t>
      </w:r>
      <w:r w:rsidRPr="00C332F1">
        <w:rPr>
          <w:szCs w:val="20"/>
          <w:lang w:val="es-US"/>
        </w:rPr>
        <w:t>l 17 de julio, durante un acto proselitista, Nicolás Maduro advirtió sobre un “baño de sangre y una guerra civil en el país” en caso de que la oposición lograra una victoria electoral</w:t>
      </w:r>
      <w:r w:rsidR="00A14F05">
        <w:rPr>
          <w:rFonts w:ascii="ZWAdobeF" w:hAnsi="ZWAdobeF" w:cs="ZWAdobeF"/>
          <w:color w:val="auto"/>
          <w:sz w:val="2"/>
          <w:szCs w:val="2"/>
          <w:lang w:val="es-US"/>
        </w:rPr>
        <w:t>39F</w:t>
      </w:r>
      <w:r w:rsidRPr="005C52BD">
        <w:rPr>
          <w:rStyle w:val="FootnoteReference"/>
          <w:sz w:val="20"/>
          <w:szCs w:val="20"/>
          <w:shd w:val="clear" w:color="auto" w:fill="FFFFFF"/>
          <w:lang w:val="es-US"/>
        </w:rPr>
        <w:footnoteReference w:id="41"/>
      </w:r>
      <w:r w:rsidRPr="00C332F1">
        <w:rPr>
          <w:szCs w:val="20"/>
          <w:lang w:val="es-US"/>
        </w:rPr>
        <w:t>.</w:t>
      </w:r>
    </w:p>
    <w:p w14:paraId="2EBB70DE" w14:textId="772AC1BB" w:rsidR="00B91972" w:rsidRPr="00C332F1" w:rsidRDefault="007D061F">
      <w:pPr>
        <w:pStyle w:val="IAPrrafo"/>
        <w:spacing w:after="160" w:line="259" w:lineRule="auto"/>
        <w:rPr>
          <w:lang w:val="es-ES_tradnl"/>
        </w:rPr>
      </w:pPr>
      <w:r w:rsidRPr="00C332F1">
        <w:rPr>
          <w:lang w:val="es-ES_tradnl"/>
        </w:rPr>
        <w:t xml:space="preserve">En conclusión, la </w:t>
      </w:r>
      <w:r w:rsidR="00F93A87" w:rsidRPr="00C332F1">
        <w:rPr>
          <w:lang w:val="es-ES_tradnl"/>
        </w:rPr>
        <w:t xml:space="preserve">Comisión Interamericana </w:t>
      </w:r>
      <w:r w:rsidR="002329F7" w:rsidRPr="00C332F1">
        <w:rPr>
          <w:lang w:val="es-ES_tradnl"/>
        </w:rPr>
        <w:t>destaca la implementación de</w:t>
      </w:r>
      <w:r w:rsidRPr="00C332F1">
        <w:rPr>
          <w:lang w:val="es-ES_tradnl"/>
        </w:rPr>
        <w:t xml:space="preserve"> un patrón sistemático de </w:t>
      </w:r>
      <w:r w:rsidR="0053148C" w:rsidRPr="00C332F1">
        <w:rPr>
          <w:lang w:val="es-ES_tradnl"/>
        </w:rPr>
        <w:t xml:space="preserve">persecución y </w:t>
      </w:r>
      <w:r w:rsidRPr="00C332F1">
        <w:rPr>
          <w:lang w:val="es-ES_tradnl"/>
        </w:rPr>
        <w:t>represión política en Venezuela en los meses previos a las elecciones de 2024. Las detenciones arbitrarias de dirigentes opositores, defensores de derechos humanos y simpatizantes de la oposición, junto con el uso de fuerzas de seguridad estatales para silenciar a críticos y obstaculizar actividades políticas, constituyen un abuso de poder. Estas acciones socavan los principios básicos del estado de derecho</w:t>
      </w:r>
      <w:r w:rsidR="00D209F7" w:rsidRPr="00C332F1">
        <w:rPr>
          <w:lang w:val="es-ES_tradnl"/>
        </w:rPr>
        <w:t xml:space="preserve"> y la democracia,</w:t>
      </w:r>
      <w:r w:rsidRPr="00C332F1">
        <w:rPr>
          <w:lang w:val="es-ES_tradnl"/>
        </w:rPr>
        <w:t xml:space="preserve"> y vulneran los derechos civiles y políticos de los ciudadanos venezolanos</w:t>
      </w:r>
      <w:r w:rsidR="00180EAF">
        <w:rPr>
          <w:lang w:val="es-ES_tradnl"/>
        </w:rPr>
        <w:t>.</w:t>
      </w:r>
    </w:p>
    <w:p w14:paraId="34DFE7E0" w14:textId="4AAED909" w:rsidR="00B00792" w:rsidRPr="00180EAF" w:rsidRDefault="00180EAF" w:rsidP="00180EAF">
      <w:pPr>
        <w:pStyle w:val="IASubttulo2"/>
      </w:pPr>
      <w:bookmarkStart w:id="12" w:name="_Toc195617458"/>
      <w:r w:rsidRPr="00180EAF">
        <w:t xml:space="preserve">Etapa </w:t>
      </w:r>
      <w:r>
        <w:t>II</w:t>
      </w:r>
      <w:r w:rsidRPr="00180EAF">
        <w:t>: opacidad informativa y manipulación electoral</w:t>
      </w:r>
      <w:bookmarkEnd w:id="12"/>
    </w:p>
    <w:p w14:paraId="4DF2D74C" w14:textId="134BAE19" w:rsidR="571B825A" w:rsidRPr="00C332F1" w:rsidRDefault="5A3FD767" w:rsidP="00C27B1B">
      <w:pPr>
        <w:pStyle w:val="IAPrrafo"/>
        <w:rPr>
          <w:lang w:val="es-ES"/>
        </w:rPr>
      </w:pPr>
      <w:r w:rsidRPr="00C332F1">
        <w:rPr>
          <w:rFonts w:eastAsia="Cambria"/>
          <w:lang w:val="es-ES"/>
        </w:rPr>
        <w:t>La segunda etapa del proceso electoral se caracterizó por la falta de transparencia en relación con la información electoral y la denegación de acceso a la información pública por parte de las autoridades electorales. Además, se observó la instrumentalización del Poder Judicial y del Poder Electoral para evitar que los resultados anunciados por el Consejo Nacional Electoral (CNE) fueran controvertidos mediante recursos legales. Este conjunto de factores, sumado a las acciones de censura contra medios de comunicación y voces críticas tras las elecciones presidenciales, contribuyó a la consolidación de un cerco informativo que favorec</w:t>
      </w:r>
      <w:r w:rsidR="002357CC" w:rsidRPr="00C332F1">
        <w:rPr>
          <w:rFonts w:eastAsia="Cambria"/>
          <w:lang w:val="es-ES"/>
        </w:rPr>
        <w:t>ió</w:t>
      </w:r>
      <w:r w:rsidRPr="00C332F1">
        <w:rPr>
          <w:rFonts w:eastAsia="Cambria"/>
          <w:lang w:val="es-ES"/>
        </w:rPr>
        <w:t xml:space="preserve"> la narrativa oficial sobre los resultados electorales. En esta sección se abordan </w:t>
      </w:r>
      <w:r w:rsidR="001B4867" w:rsidRPr="00C332F1">
        <w:rPr>
          <w:rFonts w:eastAsia="Cambria"/>
          <w:lang w:val="es-ES"/>
        </w:rPr>
        <w:t>tres</w:t>
      </w:r>
      <w:r w:rsidRPr="00C332F1">
        <w:rPr>
          <w:rFonts w:eastAsia="Cambria"/>
          <w:lang w:val="es-ES"/>
        </w:rPr>
        <w:t xml:space="preserve"> aspectos clave: la elección presidencial del 28 de julio, la </w:t>
      </w:r>
      <w:r w:rsidR="399DA61F" w:rsidRPr="00C332F1">
        <w:rPr>
          <w:rFonts w:eastAsia="Cambria"/>
          <w:lang w:val="es-ES"/>
        </w:rPr>
        <w:t>denunci</w:t>
      </w:r>
      <w:r w:rsidRPr="00C332F1">
        <w:rPr>
          <w:rFonts w:eastAsia="Cambria"/>
          <w:lang w:val="es-ES"/>
        </w:rPr>
        <w:t>a de la oposición frente a un posible fraude electoral, y los recursos legales interpuestos ante la controversia sobre los resultados.</w:t>
      </w:r>
    </w:p>
    <w:p w14:paraId="0459B6D7" w14:textId="27139101" w:rsidR="0001260D" w:rsidRPr="00C332F1" w:rsidRDefault="0001260D" w:rsidP="00C27B1B">
      <w:pPr>
        <w:pStyle w:val="IASubttulo3"/>
        <w:numPr>
          <w:ilvl w:val="0"/>
          <w:numId w:val="18"/>
        </w:numPr>
        <w:rPr>
          <w:lang w:val="es-CO"/>
        </w:rPr>
      </w:pPr>
      <w:bookmarkStart w:id="13" w:name="_Toc195617459"/>
      <w:r w:rsidRPr="00C332F1">
        <w:rPr>
          <w:lang w:val="es-CO"/>
        </w:rPr>
        <w:t>Elección presidencial del 28 de julio</w:t>
      </w:r>
      <w:r w:rsidR="008601AC" w:rsidRPr="00C332F1">
        <w:rPr>
          <w:lang w:val="es-CO"/>
        </w:rPr>
        <w:t>,</w:t>
      </w:r>
      <w:r w:rsidRPr="00C332F1">
        <w:rPr>
          <w:lang w:val="es-CO"/>
        </w:rPr>
        <w:t xml:space="preserve"> anuncio de los resultados electorales</w:t>
      </w:r>
      <w:r w:rsidR="005F4E2B" w:rsidRPr="00C332F1">
        <w:rPr>
          <w:lang w:val="es-CO"/>
        </w:rPr>
        <w:t xml:space="preserve"> por parte del CNE</w:t>
      </w:r>
      <w:r w:rsidR="008601AC" w:rsidRPr="00C332F1">
        <w:rPr>
          <w:lang w:val="es-CO"/>
        </w:rPr>
        <w:t xml:space="preserve"> y denuncias de fraude electoral</w:t>
      </w:r>
      <w:bookmarkEnd w:id="13"/>
    </w:p>
    <w:p w14:paraId="46157B41" w14:textId="20E8186A" w:rsidR="00260A56" w:rsidRPr="00C332F1" w:rsidRDefault="004129CD" w:rsidP="00A703B7">
      <w:pPr>
        <w:pStyle w:val="IAPrrafo"/>
        <w:rPr>
          <w:color w:val="auto"/>
          <w:szCs w:val="20"/>
        </w:rPr>
      </w:pPr>
      <w:r w:rsidRPr="00C332F1">
        <w:rPr>
          <w:color w:val="auto"/>
        </w:rPr>
        <w:t>E</w:t>
      </w:r>
      <w:r w:rsidR="00815AC1" w:rsidRPr="00C332F1">
        <w:rPr>
          <w:color w:val="auto"/>
        </w:rPr>
        <w:t>l 28 de julio se llevó a cabo la elección presidencial. S</w:t>
      </w:r>
      <w:r w:rsidR="00AD3F16" w:rsidRPr="00C332F1">
        <w:rPr>
          <w:color w:val="auto"/>
        </w:rPr>
        <w:t xml:space="preserve">egún el </w:t>
      </w:r>
      <w:r w:rsidR="006F3331" w:rsidRPr="00C332F1">
        <w:rPr>
          <w:color w:val="auto"/>
        </w:rPr>
        <w:t>“</w:t>
      </w:r>
      <w:r w:rsidR="00AD3F16" w:rsidRPr="00C332F1">
        <w:rPr>
          <w:color w:val="auto"/>
        </w:rPr>
        <w:t>Panel de Expertos de la ONU para la Elección presidencial de Venezuela del</w:t>
      </w:r>
      <w:r w:rsidR="00F343B7" w:rsidRPr="00C332F1">
        <w:rPr>
          <w:color w:val="auto"/>
        </w:rPr>
        <w:t xml:space="preserve"> 28 de </w:t>
      </w:r>
      <w:r w:rsidR="00897043" w:rsidRPr="00C332F1">
        <w:rPr>
          <w:color w:val="auto"/>
        </w:rPr>
        <w:t>J</w:t>
      </w:r>
      <w:r w:rsidR="00F343B7" w:rsidRPr="00C332F1">
        <w:rPr>
          <w:color w:val="auto"/>
        </w:rPr>
        <w:t>ulio</w:t>
      </w:r>
      <w:r w:rsidR="006F3331" w:rsidRPr="00C332F1">
        <w:rPr>
          <w:color w:val="auto"/>
        </w:rPr>
        <w:t>”</w:t>
      </w:r>
      <w:r w:rsidR="00897043" w:rsidRPr="00C332F1">
        <w:rPr>
          <w:color w:val="auto"/>
        </w:rPr>
        <w:t xml:space="preserve">, </w:t>
      </w:r>
      <w:r w:rsidR="00815AC1" w:rsidRPr="00C332F1">
        <w:rPr>
          <w:color w:val="auto"/>
        </w:rPr>
        <w:t xml:space="preserve">el día de </w:t>
      </w:r>
      <w:r w:rsidR="006C65DE" w:rsidRPr="00C332F1">
        <w:rPr>
          <w:color w:val="auto"/>
        </w:rPr>
        <w:t>la</w:t>
      </w:r>
      <w:r w:rsidR="00897043" w:rsidRPr="00C332F1">
        <w:rPr>
          <w:color w:val="auto"/>
        </w:rPr>
        <w:t xml:space="preserve"> contienda e</w:t>
      </w:r>
      <w:r w:rsidR="001D01CC" w:rsidRPr="00C332F1">
        <w:rPr>
          <w:color w:val="auto"/>
        </w:rPr>
        <w:t xml:space="preserve">lectoral </w:t>
      </w:r>
      <w:r w:rsidR="00897043" w:rsidRPr="00C332F1">
        <w:rPr>
          <w:color w:val="auto"/>
        </w:rPr>
        <w:t xml:space="preserve">se llevó a cabo </w:t>
      </w:r>
      <w:r w:rsidR="001D01CC" w:rsidRPr="00C332F1">
        <w:rPr>
          <w:color w:val="auto"/>
        </w:rPr>
        <w:t>en un ambiente predominantemente pacífico</w:t>
      </w:r>
      <w:r w:rsidR="00897043" w:rsidRPr="00C332F1">
        <w:rPr>
          <w:color w:val="auto"/>
        </w:rPr>
        <w:t xml:space="preserve"> y</w:t>
      </w:r>
      <w:r w:rsidR="001D01CC" w:rsidRPr="00C332F1">
        <w:rPr>
          <w:color w:val="auto"/>
        </w:rPr>
        <w:t xml:space="preserve"> </w:t>
      </w:r>
      <w:r w:rsidR="0087301A" w:rsidRPr="00C332F1">
        <w:rPr>
          <w:color w:val="auto"/>
        </w:rPr>
        <w:t>con una buena organización logística.</w:t>
      </w:r>
      <w:r w:rsidR="00897043" w:rsidRPr="00C332F1">
        <w:rPr>
          <w:color w:val="auto"/>
        </w:rPr>
        <w:t xml:space="preserve"> </w:t>
      </w:r>
      <w:r w:rsidR="00FB13C5" w:rsidRPr="00C332F1">
        <w:rPr>
          <w:color w:val="auto"/>
          <w:lang w:val="es-US"/>
        </w:rPr>
        <w:t>El CNE reportó una participación del 59,97% de</w:t>
      </w:r>
      <w:r w:rsidR="00897043" w:rsidRPr="00C332F1">
        <w:rPr>
          <w:color w:val="auto"/>
          <w:lang w:val="es-US"/>
        </w:rPr>
        <w:t>l</w:t>
      </w:r>
      <w:r w:rsidR="00356120" w:rsidRPr="00C332F1">
        <w:rPr>
          <w:color w:val="auto"/>
          <w:lang w:val="es-US"/>
        </w:rPr>
        <w:t xml:space="preserve"> total</w:t>
      </w:r>
      <w:r w:rsidR="00897043" w:rsidRPr="00C332F1">
        <w:rPr>
          <w:color w:val="auto"/>
          <w:lang w:val="es-US"/>
        </w:rPr>
        <w:t xml:space="preserve"> </w:t>
      </w:r>
      <w:r w:rsidR="00C20052" w:rsidRPr="00C332F1">
        <w:rPr>
          <w:color w:val="auto"/>
          <w:lang w:val="es-US"/>
        </w:rPr>
        <w:t xml:space="preserve">del </w:t>
      </w:r>
      <w:r w:rsidR="00897043" w:rsidRPr="00C332F1">
        <w:rPr>
          <w:color w:val="auto"/>
          <w:lang w:val="es-US"/>
        </w:rPr>
        <w:t>padrón electoral</w:t>
      </w:r>
      <w:r w:rsidR="00D748CC" w:rsidRPr="00C332F1">
        <w:rPr>
          <w:color w:val="auto"/>
          <w:lang w:val="es-US"/>
        </w:rPr>
        <w:t xml:space="preserve">, es decir, un </w:t>
      </w:r>
      <w:r w:rsidR="00297C11" w:rsidRPr="00C332F1">
        <w:rPr>
          <w:color w:val="auto"/>
          <w:lang w:val="es-US"/>
        </w:rPr>
        <w:t xml:space="preserve">45,74% </w:t>
      </w:r>
      <w:r w:rsidR="00F6151B" w:rsidRPr="00C332F1">
        <w:rPr>
          <w:color w:val="auto"/>
        </w:rPr>
        <w:t xml:space="preserve">más que durante </w:t>
      </w:r>
      <w:r w:rsidR="00297C11" w:rsidRPr="00C332F1">
        <w:rPr>
          <w:color w:val="auto"/>
          <w:lang w:val="es-US"/>
        </w:rPr>
        <w:t>la elección presidencial de 2018</w:t>
      </w:r>
      <w:r w:rsidR="00A14F05">
        <w:rPr>
          <w:rFonts w:ascii="ZWAdobeF" w:hAnsi="ZWAdobeF" w:cs="ZWAdobeF"/>
          <w:color w:val="auto"/>
          <w:sz w:val="2"/>
          <w:szCs w:val="2"/>
          <w:lang w:val="es-US"/>
        </w:rPr>
        <w:t>40F</w:t>
      </w:r>
      <w:r w:rsidR="006F3331" w:rsidRPr="005C52BD">
        <w:rPr>
          <w:rStyle w:val="FootnoteReference"/>
          <w:color w:val="auto"/>
          <w:sz w:val="20"/>
          <w:szCs w:val="20"/>
          <w:lang w:val="es-US"/>
        </w:rPr>
        <w:footnoteReference w:id="42"/>
      </w:r>
      <w:r w:rsidR="00297C11" w:rsidRPr="00C332F1">
        <w:rPr>
          <w:color w:val="auto"/>
          <w:lang w:val="es-US"/>
        </w:rPr>
        <w:t>.</w:t>
      </w:r>
      <w:r w:rsidR="005F3A51" w:rsidRPr="00C332F1">
        <w:rPr>
          <w:color w:val="auto"/>
          <w:lang w:val="es-US"/>
        </w:rPr>
        <w:t xml:space="preserve"> </w:t>
      </w:r>
      <w:r w:rsidR="00815AC1" w:rsidRPr="00C332F1">
        <w:rPr>
          <w:color w:val="auto"/>
          <w:lang w:val="es-US"/>
        </w:rPr>
        <w:t xml:space="preserve">La Comisión Interamericana destaca la </w:t>
      </w:r>
      <w:r w:rsidR="002C1EFF" w:rsidRPr="00C332F1">
        <w:rPr>
          <w:color w:val="auto"/>
          <w:lang w:val="es-US"/>
        </w:rPr>
        <w:t xml:space="preserve">amplia </w:t>
      </w:r>
      <w:r w:rsidR="00815AC1" w:rsidRPr="00C332F1">
        <w:rPr>
          <w:color w:val="auto"/>
          <w:lang w:val="es-US"/>
        </w:rPr>
        <w:t>participación de la ciudadanía pese</w:t>
      </w:r>
      <w:r w:rsidR="00CA7AD4" w:rsidRPr="00C332F1">
        <w:rPr>
          <w:color w:val="auto"/>
          <w:lang w:val="es-US"/>
        </w:rPr>
        <w:t xml:space="preserve"> </w:t>
      </w:r>
      <w:r w:rsidR="00E7051F" w:rsidRPr="00C332F1">
        <w:rPr>
          <w:color w:val="auto"/>
          <w:lang w:val="es-US"/>
        </w:rPr>
        <w:t>a</w:t>
      </w:r>
      <w:r w:rsidR="00DF1E4F" w:rsidRPr="00C332F1">
        <w:rPr>
          <w:color w:val="auto"/>
          <w:lang w:val="es-US"/>
        </w:rPr>
        <w:t xml:space="preserve"> los esfuerzos del régimen por desmantelar a la oposición</w:t>
      </w:r>
      <w:r w:rsidR="00633A0A" w:rsidRPr="00C332F1">
        <w:rPr>
          <w:color w:val="auto"/>
          <w:lang w:val="es-US"/>
        </w:rPr>
        <w:t xml:space="preserve"> e impedir que la principal candidata opositora, Mar</w:t>
      </w:r>
      <w:r w:rsidR="00E448D9" w:rsidRPr="00C332F1">
        <w:rPr>
          <w:color w:val="auto"/>
          <w:lang w:val="es-US"/>
        </w:rPr>
        <w:t>í</w:t>
      </w:r>
      <w:r w:rsidR="00633A0A" w:rsidRPr="00C332F1">
        <w:rPr>
          <w:color w:val="auto"/>
          <w:lang w:val="es-US"/>
        </w:rPr>
        <w:t>a Corina Machado, concurriera como candidata.</w:t>
      </w:r>
    </w:p>
    <w:p w14:paraId="76B7A6D3" w14:textId="283F15FC" w:rsidR="004A0668" w:rsidRPr="00C332F1" w:rsidRDefault="006C1DA2" w:rsidP="00C27B1B">
      <w:pPr>
        <w:pStyle w:val="IAPrrafo"/>
        <w:rPr>
          <w:color w:val="auto"/>
          <w:szCs w:val="20"/>
        </w:rPr>
      </w:pPr>
      <w:r w:rsidRPr="00C332F1">
        <w:rPr>
          <w:color w:val="auto"/>
          <w:lang w:val="es-US"/>
        </w:rPr>
        <w:t>Venezuela cuenta con un sistema de votación electrónica</w:t>
      </w:r>
      <w:r w:rsidR="00573339" w:rsidRPr="00C332F1">
        <w:rPr>
          <w:color w:val="auto"/>
          <w:lang w:val="es-US"/>
        </w:rPr>
        <w:t xml:space="preserve"> </w:t>
      </w:r>
      <w:r w:rsidR="00C049E8" w:rsidRPr="00C332F1">
        <w:rPr>
          <w:color w:val="auto"/>
          <w:lang w:val="es-US"/>
        </w:rPr>
        <w:t>que emite</w:t>
      </w:r>
      <w:r w:rsidR="00573339" w:rsidRPr="00C332F1">
        <w:rPr>
          <w:color w:val="auto"/>
          <w:lang w:val="es-US"/>
        </w:rPr>
        <w:t xml:space="preserve"> </w:t>
      </w:r>
      <w:r w:rsidR="00773455" w:rsidRPr="00C332F1">
        <w:rPr>
          <w:color w:val="auto"/>
          <w:lang w:val="es-US"/>
        </w:rPr>
        <w:t xml:space="preserve">dos </w:t>
      </w:r>
      <w:r w:rsidR="00573339" w:rsidRPr="00C332F1">
        <w:rPr>
          <w:color w:val="auto"/>
          <w:lang w:val="es-US"/>
        </w:rPr>
        <w:t>comprobantes físicos de respaldo</w:t>
      </w:r>
      <w:r w:rsidR="00773455" w:rsidRPr="00C332F1">
        <w:rPr>
          <w:color w:val="auto"/>
          <w:lang w:val="es-US"/>
        </w:rPr>
        <w:t xml:space="preserve">: un acta que reúne los votos </w:t>
      </w:r>
      <w:r w:rsidR="00507084" w:rsidRPr="00C332F1">
        <w:rPr>
          <w:color w:val="auto"/>
          <w:lang w:val="es-US"/>
        </w:rPr>
        <w:t xml:space="preserve">de cada mesa de votación; </w:t>
      </w:r>
      <w:r w:rsidR="2911E545" w:rsidRPr="00C332F1">
        <w:rPr>
          <w:color w:val="auto"/>
          <w:lang w:val="es-US"/>
        </w:rPr>
        <w:t>y</w:t>
      </w:r>
      <w:r w:rsidR="00507084" w:rsidRPr="00C332F1">
        <w:rPr>
          <w:color w:val="auto"/>
          <w:lang w:val="es-US"/>
        </w:rPr>
        <w:t xml:space="preserve"> un comprobante que recibe cada persona que efectivamente votó. </w:t>
      </w:r>
      <w:r w:rsidR="00E21C5E" w:rsidRPr="00C332F1">
        <w:rPr>
          <w:color w:val="auto"/>
          <w:lang w:val="es-US"/>
        </w:rPr>
        <w:t>Según el p</w:t>
      </w:r>
      <w:r w:rsidR="005F3A51" w:rsidRPr="00C332F1">
        <w:rPr>
          <w:color w:val="auto"/>
          <w:lang w:val="es-US"/>
        </w:rPr>
        <w:t xml:space="preserve">anel de las Naciones Unidas </w:t>
      </w:r>
      <w:r w:rsidR="00604E58" w:rsidRPr="00C332F1">
        <w:rPr>
          <w:color w:val="auto"/>
          <w:lang w:val="es-US"/>
        </w:rPr>
        <w:t xml:space="preserve">y </w:t>
      </w:r>
      <w:r w:rsidR="005F3A51" w:rsidRPr="00C332F1">
        <w:rPr>
          <w:color w:val="auto"/>
          <w:lang w:val="es-US"/>
        </w:rPr>
        <w:t>el Centro Carter</w:t>
      </w:r>
      <w:r w:rsidR="00A14F05">
        <w:rPr>
          <w:rFonts w:ascii="ZWAdobeF" w:hAnsi="ZWAdobeF" w:cs="ZWAdobeF"/>
          <w:color w:val="auto"/>
          <w:sz w:val="2"/>
          <w:szCs w:val="2"/>
          <w:lang w:val="es-US"/>
        </w:rPr>
        <w:t>41F</w:t>
      </w:r>
      <w:r w:rsidR="00566449" w:rsidRPr="005C52BD">
        <w:rPr>
          <w:rStyle w:val="FootnoteReference"/>
          <w:color w:val="auto"/>
          <w:sz w:val="20"/>
          <w:szCs w:val="20"/>
          <w:lang w:val="es-US"/>
        </w:rPr>
        <w:footnoteReference w:id="43"/>
      </w:r>
      <w:r w:rsidR="00C01B4E" w:rsidRPr="00C332F1">
        <w:rPr>
          <w:color w:val="auto"/>
          <w:lang w:val="es-US"/>
        </w:rPr>
        <w:t>, instituciones con presencia en el terreno</w:t>
      </w:r>
      <w:r w:rsidR="0048636B" w:rsidRPr="00C332F1">
        <w:rPr>
          <w:color w:val="auto"/>
          <w:lang w:val="es-US"/>
        </w:rPr>
        <w:t xml:space="preserve"> durante la elección</w:t>
      </w:r>
      <w:r w:rsidR="00C01B4E" w:rsidRPr="00C332F1">
        <w:rPr>
          <w:color w:val="auto"/>
          <w:lang w:val="es-US"/>
        </w:rPr>
        <w:t>,</w:t>
      </w:r>
      <w:r w:rsidR="005F3A51" w:rsidRPr="00C332F1">
        <w:rPr>
          <w:color w:val="auto"/>
          <w:lang w:val="es-US"/>
        </w:rPr>
        <w:t xml:space="preserve"> </w:t>
      </w:r>
      <w:r w:rsidR="00E21C5E" w:rsidRPr="00C332F1">
        <w:rPr>
          <w:color w:val="auto"/>
          <w:lang w:val="es-US"/>
        </w:rPr>
        <w:t>dicho</w:t>
      </w:r>
      <w:r w:rsidR="005B13DB" w:rsidRPr="00C332F1">
        <w:rPr>
          <w:color w:val="auto"/>
          <w:lang w:val="es-US"/>
        </w:rPr>
        <w:t xml:space="preserve"> sistema es seguro y confiable</w:t>
      </w:r>
      <w:r w:rsidR="00A14F05">
        <w:rPr>
          <w:rFonts w:ascii="ZWAdobeF" w:hAnsi="ZWAdobeF" w:cs="ZWAdobeF"/>
          <w:color w:val="auto"/>
          <w:sz w:val="2"/>
          <w:szCs w:val="2"/>
          <w:lang w:val="es-US"/>
        </w:rPr>
        <w:t>42F</w:t>
      </w:r>
      <w:r w:rsidR="00604E58" w:rsidRPr="005C52BD">
        <w:rPr>
          <w:rStyle w:val="FootnoteReference"/>
          <w:color w:val="auto"/>
          <w:sz w:val="20"/>
          <w:szCs w:val="20"/>
          <w:lang w:val="es-US"/>
        </w:rPr>
        <w:footnoteReference w:id="44"/>
      </w:r>
      <w:r w:rsidR="005B13DB" w:rsidRPr="00C332F1">
        <w:rPr>
          <w:color w:val="auto"/>
          <w:lang w:val="es-US"/>
        </w:rPr>
        <w:t>.</w:t>
      </w:r>
      <w:r w:rsidR="00E43ADC" w:rsidRPr="00C332F1">
        <w:rPr>
          <w:color w:val="auto"/>
          <w:lang w:val="es-US"/>
        </w:rPr>
        <w:t xml:space="preserve"> En palabras del Centro Carter: </w:t>
      </w:r>
      <w:r w:rsidR="005A05C6" w:rsidRPr="00C332F1">
        <w:rPr>
          <w:color w:val="auto"/>
          <w:lang w:val="es-US"/>
        </w:rPr>
        <w:t xml:space="preserve">“El </w:t>
      </w:r>
      <w:r w:rsidR="00983BEC" w:rsidRPr="00C332F1">
        <w:rPr>
          <w:color w:val="auto"/>
          <w:lang w:val="es-US"/>
        </w:rPr>
        <w:t>sistema de votación electrónica es excelente”</w:t>
      </w:r>
      <w:r w:rsidR="00A14F05">
        <w:rPr>
          <w:rFonts w:ascii="ZWAdobeF" w:hAnsi="ZWAdobeF" w:cs="ZWAdobeF"/>
          <w:color w:val="auto"/>
          <w:sz w:val="2"/>
          <w:szCs w:val="2"/>
          <w:lang w:val="es-US"/>
        </w:rPr>
        <w:t>43F</w:t>
      </w:r>
      <w:r w:rsidR="00983BEC" w:rsidRPr="005C52BD">
        <w:rPr>
          <w:rStyle w:val="FootnoteReference"/>
          <w:color w:val="auto"/>
          <w:sz w:val="20"/>
          <w:szCs w:val="20"/>
          <w:lang w:val="es-US"/>
        </w:rPr>
        <w:footnoteReference w:id="45"/>
      </w:r>
      <w:r w:rsidR="00983BEC" w:rsidRPr="00C332F1">
        <w:rPr>
          <w:color w:val="auto"/>
          <w:lang w:val="es-US"/>
        </w:rPr>
        <w:t>.</w:t>
      </w:r>
    </w:p>
    <w:p w14:paraId="0CAC4213" w14:textId="173B2AD5" w:rsidR="004A0668" w:rsidRPr="00C332F1" w:rsidRDefault="74D0571E" w:rsidP="571B825A">
      <w:pPr>
        <w:pStyle w:val="IAPrrafo"/>
        <w:rPr>
          <w:rFonts w:eastAsia="Cambria" w:cs="Cambria"/>
          <w:color w:val="000000" w:themeColor="text1"/>
          <w:szCs w:val="20"/>
          <w:lang w:val="es-US"/>
        </w:rPr>
      </w:pPr>
      <w:r w:rsidRPr="00C332F1">
        <w:rPr>
          <w:rFonts w:eastAsia="Cambria" w:cs="Cambria"/>
          <w:color w:val="000000" w:themeColor="text1"/>
          <w:szCs w:val="20"/>
          <w:lang w:val="es-US"/>
        </w:rPr>
        <w:t xml:space="preserve">En ese contexto, la </w:t>
      </w:r>
      <w:r w:rsidR="7D94A446" w:rsidRPr="00C332F1">
        <w:rPr>
          <w:rFonts w:eastAsia="Cambria" w:cs="Cambria"/>
          <w:color w:val="000000" w:themeColor="text1"/>
          <w:szCs w:val="20"/>
          <w:lang w:val="es-US"/>
        </w:rPr>
        <w:t>C</w:t>
      </w:r>
      <w:r w:rsidR="5BA7EC7E" w:rsidRPr="00C332F1">
        <w:rPr>
          <w:rFonts w:eastAsia="Cambria" w:cs="Cambria"/>
          <w:color w:val="000000" w:themeColor="text1"/>
          <w:szCs w:val="20"/>
          <w:lang w:val="es-US"/>
        </w:rPr>
        <w:t>IDH</w:t>
      </w:r>
      <w:r w:rsidR="7D94A446" w:rsidRPr="00C332F1">
        <w:rPr>
          <w:rFonts w:eastAsia="Cambria" w:cs="Cambria"/>
          <w:color w:val="000000" w:themeColor="text1"/>
          <w:szCs w:val="20"/>
          <w:lang w:val="es-US"/>
        </w:rPr>
        <w:t xml:space="preserve"> recibió reportes sobre restricciones a la verificación de resultados en varios centros de votación, así como la negación de acceso a los testigos del candidato González en la sede del CNE. Además, aunque inicialmente la transmisión electrónica de resultados funcionó con normalidad, fue suspendida repentinamente y sin una explicación clara en las horas posteriores al cierre de las mesas de votación</w:t>
      </w:r>
      <w:r w:rsidR="00A14F05">
        <w:rPr>
          <w:rFonts w:ascii="ZWAdobeF" w:eastAsia="Cambria" w:hAnsi="ZWAdobeF" w:cs="ZWAdobeF"/>
          <w:color w:val="auto"/>
          <w:sz w:val="2"/>
          <w:szCs w:val="2"/>
          <w:lang w:val="es-US"/>
        </w:rPr>
        <w:t>44F</w:t>
      </w:r>
      <w:r w:rsidR="00CD50DA" w:rsidRPr="005C52BD">
        <w:rPr>
          <w:rFonts w:eastAsia="Cambria" w:cs="Cambria"/>
          <w:color w:val="000000" w:themeColor="text1"/>
          <w:szCs w:val="20"/>
          <w:vertAlign w:val="superscript"/>
          <w:lang w:val="es-US"/>
        </w:rPr>
        <w:footnoteReference w:id="46"/>
      </w:r>
      <w:r w:rsidR="7D94A446" w:rsidRPr="00C332F1">
        <w:rPr>
          <w:rFonts w:eastAsia="Cambria" w:cs="Cambria"/>
          <w:color w:val="000000" w:themeColor="text1"/>
          <w:szCs w:val="20"/>
          <w:lang w:val="es-US"/>
        </w:rPr>
        <w:t>.</w:t>
      </w:r>
    </w:p>
    <w:p w14:paraId="0A372483" w14:textId="45DE069D" w:rsidR="004A0668" w:rsidRPr="00C332F1" w:rsidRDefault="339E6DC9" w:rsidP="571B825A">
      <w:pPr>
        <w:pStyle w:val="IAPrrafo"/>
        <w:rPr>
          <w:color w:val="auto"/>
        </w:rPr>
      </w:pPr>
      <w:r w:rsidRPr="00C332F1">
        <w:rPr>
          <w:color w:val="auto"/>
          <w:lang w:val="es-US"/>
        </w:rPr>
        <w:t xml:space="preserve">Por su parte, el </w:t>
      </w:r>
      <w:r w:rsidR="00DE54B3" w:rsidRPr="00C332F1">
        <w:rPr>
          <w:color w:val="auto"/>
          <w:lang w:val="es-US"/>
        </w:rPr>
        <w:t>Presidente del CNE</w:t>
      </w:r>
      <w:r w:rsidR="00481866" w:rsidRPr="00C332F1">
        <w:rPr>
          <w:color w:val="auto"/>
          <w:lang w:val="es-US"/>
        </w:rPr>
        <w:t>, Elvis Amoroso,</w:t>
      </w:r>
      <w:r w:rsidR="00DE54B3" w:rsidRPr="00C332F1">
        <w:rPr>
          <w:color w:val="auto"/>
          <w:lang w:val="es-US"/>
        </w:rPr>
        <w:t xml:space="preserve"> anunció en televisión que </w:t>
      </w:r>
      <w:r w:rsidR="00264076" w:rsidRPr="00C332F1">
        <w:rPr>
          <w:color w:val="auto"/>
          <w:lang w:val="es-US"/>
        </w:rPr>
        <w:t xml:space="preserve">hubo un </w:t>
      </w:r>
      <w:r w:rsidR="0064017E" w:rsidRPr="00C332F1">
        <w:rPr>
          <w:color w:val="auto"/>
          <w:lang w:val="es-US"/>
        </w:rPr>
        <w:t>“</w:t>
      </w:r>
      <w:r w:rsidR="00264076" w:rsidRPr="00C332F1">
        <w:rPr>
          <w:color w:val="auto"/>
          <w:lang w:val="es-US"/>
        </w:rPr>
        <w:t>ciberataque terrorista</w:t>
      </w:r>
      <w:r w:rsidR="0064017E" w:rsidRPr="00C332F1">
        <w:rPr>
          <w:color w:val="auto"/>
          <w:lang w:val="es-US"/>
        </w:rPr>
        <w:t>”</w:t>
      </w:r>
      <w:r w:rsidR="00264076" w:rsidRPr="00C332F1">
        <w:rPr>
          <w:color w:val="auto"/>
          <w:lang w:val="es-US"/>
        </w:rPr>
        <w:t xml:space="preserve"> que había afectado la transmisión de votos. Según la </w:t>
      </w:r>
      <w:r w:rsidR="007B5CE6" w:rsidRPr="00C332F1">
        <w:rPr>
          <w:color w:val="auto"/>
          <w:lang w:val="es-US"/>
        </w:rPr>
        <w:t xml:space="preserve">Misión de la ONU, el propio CNE canceló </w:t>
      </w:r>
      <w:r w:rsidR="00516C8D" w:rsidRPr="00C332F1">
        <w:rPr>
          <w:color w:val="auto"/>
          <w:lang w:val="es-US"/>
        </w:rPr>
        <w:t>tres</w:t>
      </w:r>
      <w:r w:rsidR="007B5CE6" w:rsidRPr="00C332F1">
        <w:rPr>
          <w:color w:val="auto"/>
          <w:lang w:val="es-US"/>
        </w:rPr>
        <w:t xml:space="preserve"> auditorías que pudieron haber determinado la veracidad del supuesto </w:t>
      </w:r>
      <w:r w:rsidR="00DA1144" w:rsidRPr="00C332F1">
        <w:rPr>
          <w:color w:val="auto"/>
          <w:lang w:val="es-US"/>
        </w:rPr>
        <w:t>ciberataque</w:t>
      </w:r>
      <w:r w:rsidR="00A14F05">
        <w:rPr>
          <w:rFonts w:ascii="ZWAdobeF" w:hAnsi="ZWAdobeF" w:cs="ZWAdobeF"/>
          <w:color w:val="auto"/>
          <w:sz w:val="2"/>
          <w:szCs w:val="2"/>
          <w:lang w:val="es-US"/>
        </w:rPr>
        <w:t>45F</w:t>
      </w:r>
      <w:r w:rsidR="00DA1144" w:rsidRPr="005C52BD">
        <w:rPr>
          <w:rStyle w:val="FootnoteReference"/>
          <w:color w:val="auto"/>
          <w:sz w:val="20"/>
          <w:szCs w:val="20"/>
          <w:lang w:val="es-US"/>
        </w:rPr>
        <w:footnoteReference w:id="47"/>
      </w:r>
      <w:r w:rsidR="00DA1144" w:rsidRPr="00C332F1">
        <w:rPr>
          <w:color w:val="auto"/>
          <w:lang w:val="es-US"/>
        </w:rPr>
        <w:t>.</w:t>
      </w:r>
      <w:r w:rsidR="007A3DDF" w:rsidRPr="00C332F1">
        <w:rPr>
          <w:color w:val="auto"/>
          <w:lang w:val="es-US"/>
        </w:rPr>
        <w:t xml:space="preserve"> </w:t>
      </w:r>
      <w:r w:rsidR="004A0668" w:rsidRPr="00C332F1">
        <w:rPr>
          <w:color w:val="auto"/>
          <w:lang w:val="es-US"/>
        </w:rPr>
        <w:t>El Fiscal General de la Nación, Tarek William Saab, anunció que el ataque cibernético fue ejecutado desde Macedonia del Norte y que tenía como objetivo alterar los resultados de la elección. Sin embargo, Saab aclaró que los resultados no habían sido alterados sino ralentizados, y responsabilizó del hecho a L</w:t>
      </w:r>
      <w:r w:rsidR="004A0668" w:rsidRPr="00C332F1">
        <w:rPr>
          <w:lang w:val="es-US"/>
        </w:rPr>
        <w:t>ester Toledo, Leopoldo López y María Corina Machado</w:t>
      </w:r>
      <w:r w:rsidR="00A14F05">
        <w:rPr>
          <w:rFonts w:ascii="ZWAdobeF" w:hAnsi="ZWAdobeF" w:cs="ZWAdobeF"/>
          <w:color w:val="auto"/>
          <w:sz w:val="2"/>
          <w:szCs w:val="2"/>
          <w:lang w:val="es-US"/>
        </w:rPr>
        <w:t>46F</w:t>
      </w:r>
      <w:r w:rsidR="004A0668" w:rsidRPr="005C52BD">
        <w:rPr>
          <w:rStyle w:val="FootnoteReference"/>
          <w:sz w:val="20"/>
          <w:szCs w:val="20"/>
          <w:lang w:val="es-US"/>
        </w:rPr>
        <w:footnoteReference w:id="48"/>
      </w:r>
      <w:r w:rsidR="004A0668" w:rsidRPr="00C332F1">
        <w:rPr>
          <w:lang w:val="es-US"/>
        </w:rPr>
        <w:t xml:space="preserve">. </w:t>
      </w:r>
      <w:r w:rsidR="004A0668" w:rsidRPr="00C332F1">
        <w:t>En respuesta</w:t>
      </w:r>
      <w:r w:rsidR="00FB3C32" w:rsidRPr="00C332F1">
        <w:t xml:space="preserve"> a estas afirmaciones</w:t>
      </w:r>
      <w:r w:rsidR="004A0668" w:rsidRPr="00C332F1">
        <w:t xml:space="preserve">, Macedonia del Norte informó </w:t>
      </w:r>
      <w:r w:rsidR="004A0668" w:rsidRPr="00C332F1">
        <w:rPr>
          <w:lang w:val="es-US"/>
        </w:rPr>
        <w:t>que las autoridades venezolanas no habían solicitado</w:t>
      </w:r>
      <w:r w:rsidR="00FB3C32" w:rsidRPr="00C332F1">
        <w:rPr>
          <w:lang w:val="es-US"/>
        </w:rPr>
        <w:t xml:space="preserve"> o suministrado</w:t>
      </w:r>
      <w:r w:rsidR="004A0668" w:rsidRPr="00C332F1">
        <w:rPr>
          <w:lang w:val="es-US"/>
        </w:rPr>
        <w:t xml:space="preserve"> información de los hechos para ejercer los controles correspondientes</w:t>
      </w:r>
      <w:r w:rsidR="00A14F05">
        <w:rPr>
          <w:rFonts w:ascii="ZWAdobeF" w:hAnsi="ZWAdobeF" w:cs="ZWAdobeF"/>
          <w:color w:val="auto"/>
          <w:sz w:val="2"/>
          <w:szCs w:val="2"/>
          <w:lang w:val="es-US"/>
        </w:rPr>
        <w:t>47F</w:t>
      </w:r>
      <w:r w:rsidR="004A0668" w:rsidRPr="005C52BD">
        <w:rPr>
          <w:rStyle w:val="FootnoteReference"/>
          <w:sz w:val="20"/>
          <w:szCs w:val="20"/>
          <w:lang w:val="es-US"/>
        </w:rPr>
        <w:footnoteReference w:id="49"/>
      </w:r>
      <w:r w:rsidR="004A0668" w:rsidRPr="00C332F1">
        <w:rPr>
          <w:lang w:val="es-US"/>
        </w:rPr>
        <w:t>.</w:t>
      </w:r>
    </w:p>
    <w:p w14:paraId="2B981886" w14:textId="71B07F36" w:rsidR="002B034F" w:rsidRPr="00C332F1" w:rsidRDefault="00FE60C2" w:rsidP="00A703B7">
      <w:pPr>
        <w:pStyle w:val="IAPrrafo"/>
        <w:rPr>
          <w:color w:val="auto"/>
          <w:szCs w:val="20"/>
        </w:rPr>
      </w:pPr>
      <w:r w:rsidRPr="00C332F1">
        <w:rPr>
          <w:color w:val="auto"/>
        </w:rPr>
        <w:t>El día 2</w:t>
      </w:r>
      <w:r w:rsidR="009212AC" w:rsidRPr="00C332F1">
        <w:rPr>
          <w:color w:val="auto"/>
        </w:rPr>
        <w:t>8</w:t>
      </w:r>
      <w:r w:rsidRPr="00C332F1">
        <w:rPr>
          <w:color w:val="auto"/>
        </w:rPr>
        <w:t xml:space="preserve"> de julio, e</w:t>
      </w:r>
      <w:r w:rsidR="00E77EF2" w:rsidRPr="00C332F1">
        <w:rPr>
          <w:color w:val="auto"/>
        </w:rPr>
        <w:t xml:space="preserve">n horas </w:t>
      </w:r>
      <w:r w:rsidR="009212AC" w:rsidRPr="00C332F1">
        <w:rPr>
          <w:color w:val="auto"/>
        </w:rPr>
        <w:t>cercanas a la media noche</w:t>
      </w:r>
      <w:r w:rsidR="00E77EF2" w:rsidRPr="00C332F1">
        <w:rPr>
          <w:color w:val="auto"/>
        </w:rPr>
        <w:t xml:space="preserve">, </w:t>
      </w:r>
      <w:r w:rsidR="00AC0E55" w:rsidRPr="00C332F1">
        <w:rPr>
          <w:color w:val="auto"/>
        </w:rPr>
        <w:t>Elvis Amoroso,</w:t>
      </w:r>
      <w:r w:rsidRPr="00C332F1">
        <w:rPr>
          <w:color w:val="auto"/>
        </w:rPr>
        <w:t xml:space="preserve"> </w:t>
      </w:r>
      <w:r w:rsidR="00AC0E55" w:rsidRPr="00C332F1">
        <w:rPr>
          <w:color w:val="auto"/>
        </w:rPr>
        <w:t xml:space="preserve">sin la presencia de los otros rectores del CNE, </w:t>
      </w:r>
      <w:r w:rsidRPr="00C332F1">
        <w:rPr>
          <w:color w:val="auto"/>
        </w:rPr>
        <w:t xml:space="preserve">anunció </w:t>
      </w:r>
      <w:r w:rsidR="005C1F3B" w:rsidRPr="00C332F1">
        <w:rPr>
          <w:color w:val="auto"/>
          <w:lang w:val="es-US"/>
        </w:rPr>
        <w:t>q</w:t>
      </w:r>
      <w:r w:rsidR="00AC2CB0" w:rsidRPr="00C332F1">
        <w:rPr>
          <w:color w:val="auto"/>
          <w:lang w:val="es-US"/>
        </w:rPr>
        <w:t>ue el Presidente Nicolás Maduro había ganado la elección con 5.150.092 votos</w:t>
      </w:r>
      <w:r w:rsidR="005C1F3B" w:rsidRPr="00C332F1">
        <w:rPr>
          <w:color w:val="auto"/>
          <w:lang w:val="es-US"/>
        </w:rPr>
        <w:t xml:space="preserve">, es decir, </w:t>
      </w:r>
      <w:r w:rsidR="00AC2CB0" w:rsidRPr="00C332F1">
        <w:rPr>
          <w:color w:val="auto"/>
          <w:lang w:val="es-US"/>
        </w:rPr>
        <w:t>51,2%</w:t>
      </w:r>
      <w:r w:rsidR="00050786" w:rsidRPr="00C332F1">
        <w:rPr>
          <w:color w:val="auto"/>
          <w:lang w:val="es-US"/>
        </w:rPr>
        <w:t xml:space="preserve"> del total de votos</w:t>
      </w:r>
      <w:r w:rsidR="005C1F3B" w:rsidRPr="00C332F1">
        <w:rPr>
          <w:color w:val="auto"/>
          <w:lang w:val="es-US"/>
        </w:rPr>
        <w:t xml:space="preserve">; </w:t>
      </w:r>
      <w:r w:rsidR="00AC2CB0" w:rsidRPr="00C332F1">
        <w:rPr>
          <w:color w:val="auto"/>
          <w:lang w:val="es-US"/>
        </w:rPr>
        <w:t>seguido por Edmundo González</w:t>
      </w:r>
      <w:r w:rsidR="005C1F3B" w:rsidRPr="00C332F1">
        <w:rPr>
          <w:color w:val="auto"/>
          <w:lang w:val="es-US"/>
        </w:rPr>
        <w:t xml:space="preserve">, </w:t>
      </w:r>
      <w:r w:rsidR="3FCC91D6" w:rsidRPr="00C332F1">
        <w:rPr>
          <w:color w:val="auto"/>
          <w:lang w:val="es-US"/>
        </w:rPr>
        <w:t>con</w:t>
      </w:r>
      <w:r w:rsidR="005C1F3B" w:rsidRPr="00C332F1">
        <w:rPr>
          <w:color w:val="auto"/>
          <w:lang w:val="es-US"/>
        </w:rPr>
        <w:t xml:space="preserve"> </w:t>
      </w:r>
      <w:r w:rsidR="00AC2CB0" w:rsidRPr="00C332F1">
        <w:rPr>
          <w:color w:val="auto"/>
          <w:lang w:val="es-US"/>
        </w:rPr>
        <w:t>4.445.978 votos</w:t>
      </w:r>
      <w:r w:rsidR="005905B6" w:rsidRPr="00C332F1">
        <w:rPr>
          <w:color w:val="auto"/>
          <w:lang w:val="es-US"/>
        </w:rPr>
        <w:t xml:space="preserve">, equivalente al </w:t>
      </w:r>
      <w:r w:rsidR="00AC2CB0" w:rsidRPr="00C332F1">
        <w:rPr>
          <w:color w:val="auto"/>
          <w:lang w:val="es-US"/>
        </w:rPr>
        <w:t>44,2%</w:t>
      </w:r>
      <w:r w:rsidR="005C1F3B" w:rsidRPr="00C332F1">
        <w:rPr>
          <w:color w:val="auto"/>
          <w:lang w:val="es-US"/>
        </w:rPr>
        <w:t>.</w:t>
      </w:r>
      <w:r w:rsidR="00A4760E" w:rsidRPr="00C332F1">
        <w:rPr>
          <w:color w:val="auto"/>
          <w:lang w:val="es-US"/>
        </w:rPr>
        <w:t xml:space="preserve"> Amoroso </w:t>
      </w:r>
      <w:r w:rsidR="00C80C60" w:rsidRPr="00C332F1">
        <w:rPr>
          <w:color w:val="auto"/>
          <w:lang w:val="es-US"/>
        </w:rPr>
        <w:t xml:space="preserve">sostuvo </w:t>
      </w:r>
      <w:r w:rsidR="00A4760E" w:rsidRPr="00C332F1">
        <w:rPr>
          <w:color w:val="auto"/>
          <w:lang w:val="es-US"/>
        </w:rPr>
        <w:t xml:space="preserve">que estos resultados </w:t>
      </w:r>
      <w:r w:rsidR="002F309C" w:rsidRPr="00C332F1">
        <w:rPr>
          <w:color w:val="auto"/>
          <w:lang w:val="es-US"/>
        </w:rPr>
        <w:t>reflejaban los votos trasmitidos del</w:t>
      </w:r>
      <w:r w:rsidR="00CE6905" w:rsidRPr="00C332F1">
        <w:rPr>
          <w:color w:val="auto"/>
          <w:lang w:val="es-US"/>
        </w:rPr>
        <w:t xml:space="preserve"> 80% de las mesas de votación</w:t>
      </w:r>
      <w:r w:rsidR="0041357E" w:rsidRPr="00C332F1">
        <w:rPr>
          <w:color w:val="auto"/>
          <w:lang w:val="es-US"/>
        </w:rPr>
        <w:t xml:space="preserve"> </w:t>
      </w:r>
      <w:r w:rsidR="00085BE8" w:rsidRPr="00C332F1">
        <w:rPr>
          <w:color w:val="auto"/>
          <w:lang w:val="es-US"/>
        </w:rPr>
        <w:t xml:space="preserve">y </w:t>
      </w:r>
      <w:r w:rsidR="00EB1623" w:rsidRPr="00C332F1">
        <w:rPr>
          <w:color w:val="auto"/>
          <w:lang w:val="es-US"/>
        </w:rPr>
        <w:t xml:space="preserve">que eran </w:t>
      </w:r>
      <w:r w:rsidR="00085BE8" w:rsidRPr="00C332F1">
        <w:rPr>
          <w:color w:val="auto"/>
          <w:lang w:val="es-US"/>
        </w:rPr>
        <w:t>irreversible</w:t>
      </w:r>
      <w:r w:rsidR="00EB1623" w:rsidRPr="00C332F1">
        <w:rPr>
          <w:color w:val="auto"/>
          <w:lang w:val="es-US"/>
        </w:rPr>
        <w:t>s</w:t>
      </w:r>
      <w:r w:rsidR="00055645" w:rsidRPr="00C332F1">
        <w:rPr>
          <w:color w:val="auto"/>
          <w:lang w:val="es-US"/>
        </w:rPr>
        <w:t xml:space="preserve">, pese a que matemáticamente </w:t>
      </w:r>
      <w:r w:rsidR="00E24ED6" w:rsidRPr="00C332F1">
        <w:rPr>
          <w:color w:val="auto"/>
          <w:lang w:val="es-US"/>
        </w:rPr>
        <w:t>sí podían ser revertidos</w:t>
      </w:r>
      <w:r w:rsidR="006D5485" w:rsidRPr="00C332F1">
        <w:rPr>
          <w:color w:val="auto"/>
          <w:lang w:val="es-US"/>
        </w:rPr>
        <w:t xml:space="preserve"> con los votos no trasmitidos</w:t>
      </w:r>
      <w:r w:rsidR="00E24ED6" w:rsidRPr="00C332F1">
        <w:rPr>
          <w:color w:val="auto"/>
          <w:lang w:val="es-US"/>
        </w:rPr>
        <w:t xml:space="preserve">. </w:t>
      </w:r>
      <w:r w:rsidR="002B034F" w:rsidRPr="00C332F1">
        <w:rPr>
          <w:color w:val="auto"/>
          <w:lang w:val="es-US"/>
        </w:rPr>
        <w:t>Posteriormente, e</w:t>
      </w:r>
      <w:r w:rsidR="00CE6905" w:rsidRPr="00C332F1">
        <w:rPr>
          <w:color w:val="auto"/>
          <w:lang w:val="es-US"/>
        </w:rPr>
        <w:t>l 2 de agosto, el CNE confirmó</w:t>
      </w:r>
      <w:r w:rsidR="00AA5F28" w:rsidRPr="00C332F1">
        <w:rPr>
          <w:color w:val="auto"/>
          <w:lang w:val="es-US"/>
        </w:rPr>
        <w:t xml:space="preserve">, con los supuestos resultados trasmitidos del </w:t>
      </w:r>
      <w:r w:rsidR="005905B6" w:rsidRPr="00C332F1">
        <w:rPr>
          <w:color w:val="auto"/>
          <w:lang w:val="es-US"/>
        </w:rPr>
        <w:t>96,97%</w:t>
      </w:r>
      <w:r w:rsidR="00AA5F28" w:rsidRPr="00C332F1">
        <w:rPr>
          <w:color w:val="auto"/>
          <w:lang w:val="es-US"/>
        </w:rPr>
        <w:t xml:space="preserve"> </w:t>
      </w:r>
      <w:r w:rsidR="005905B6" w:rsidRPr="00C332F1">
        <w:rPr>
          <w:color w:val="auto"/>
          <w:lang w:val="es-US"/>
        </w:rPr>
        <w:t>de las mesas</w:t>
      </w:r>
      <w:r w:rsidR="00AA5F28" w:rsidRPr="00C332F1">
        <w:rPr>
          <w:color w:val="auto"/>
          <w:lang w:val="es-US"/>
        </w:rPr>
        <w:t>, que el</w:t>
      </w:r>
      <w:r w:rsidR="00CE6905" w:rsidRPr="00C332F1">
        <w:rPr>
          <w:color w:val="auto"/>
          <w:lang w:val="es-US"/>
        </w:rPr>
        <w:t xml:space="preserve"> Presidente Maduro</w:t>
      </w:r>
      <w:r w:rsidR="0074041B" w:rsidRPr="00C332F1">
        <w:rPr>
          <w:color w:val="auto"/>
          <w:lang w:val="es-US"/>
        </w:rPr>
        <w:t xml:space="preserve"> había ganado la elección </w:t>
      </w:r>
      <w:r w:rsidR="00CE6905" w:rsidRPr="00C332F1">
        <w:rPr>
          <w:color w:val="auto"/>
          <w:lang w:val="es-US"/>
        </w:rPr>
        <w:t xml:space="preserve">con </w:t>
      </w:r>
      <w:r w:rsidR="004E4870" w:rsidRPr="00C332F1">
        <w:rPr>
          <w:color w:val="auto"/>
          <w:lang w:val="es-US"/>
        </w:rPr>
        <w:t xml:space="preserve">el 51,95% </w:t>
      </w:r>
      <w:r w:rsidR="00CE6905" w:rsidRPr="00C332F1">
        <w:rPr>
          <w:color w:val="auto"/>
          <w:lang w:val="es-US"/>
        </w:rPr>
        <w:t>(</w:t>
      </w:r>
      <w:r w:rsidR="004E4870" w:rsidRPr="00C332F1">
        <w:rPr>
          <w:color w:val="auto"/>
          <w:lang w:val="es-US"/>
        </w:rPr>
        <w:t>6.408.844 votos</w:t>
      </w:r>
      <w:r w:rsidR="00CE6905" w:rsidRPr="00C332F1">
        <w:rPr>
          <w:color w:val="auto"/>
          <w:lang w:val="es-US"/>
        </w:rPr>
        <w:t>)</w:t>
      </w:r>
      <w:r w:rsidR="00E05791" w:rsidRPr="00C332F1">
        <w:rPr>
          <w:color w:val="auto"/>
          <w:lang w:val="es-US"/>
        </w:rPr>
        <w:t>,</w:t>
      </w:r>
      <w:r w:rsidR="00CE6905" w:rsidRPr="00C332F1">
        <w:rPr>
          <w:color w:val="auto"/>
          <w:lang w:val="es-US"/>
        </w:rPr>
        <w:t xml:space="preserve"> </w:t>
      </w:r>
      <w:r w:rsidR="004E4870" w:rsidRPr="00C332F1">
        <w:rPr>
          <w:color w:val="auto"/>
          <w:lang w:val="es-US"/>
        </w:rPr>
        <w:t>mientras que Edmundo</w:t>
      </w:r>
      <w:r w:rsidR="00CE6905" w:rsidRPr="00C332F1">
        <w:rPr>
          <w:color w:val="auto"/>
          <w:lang w:val="es-US"/>
        </w:rPr>
        <w:t xml:space="preserve"> González </w:t>
      </w:r>
      <w:r w:rsidR="00E05791" w:rsidRPr="00C332F1">
        <w:rPr>
          <w:color w:val="auto"/>
          <w:lang w:val="es-US"/>
        </w:rPr>
        <w:t xml:space="preserve">obtuvo el 43,18% </w:t>
      </w:r>
      <w:r w:rsidR="00CE6905" w:rsidRPr="00C332F1">
        <w:rPr>
          <w:color w:val="auto"/>
          <w:lang w:val="es-US"/>
        </w:rPr>
        <w:t>(</w:t>
      </w:r>
      <w:r w:rsidR="00E05791" w:rsidRPr="00C332F1">
        <w:rPr>
          <w:color w:val="auto"/>
          <w:lang w:val="es-US"/>
        </w:rPr>
        <w:t>5.326.104 votos</w:t>
      </w:r>
      <w:r w:rsidR="00CE6905" w:rsidRPr="00C332F1">
        <w:rPr>
          <w:color w:val="auto"/>
          <w:lang w:val="es-US"/>
        </w:rPr>
        <w:t>)</w:t>
      </w:r>
      <w:r w:rsidR="00A14F05">
        <w:rPr>
          <w:rFonts w:ascii="ZWAdobeF" w:hAnsi="ZWAdobeF" w:cs="ZWAdobeF"/>
          <w:color w:val="auto"/>
          <w:sz w:val="2"/>
          <w:szCs w:val="2"/>
          <w:lang w:val="es-US"/>
        </w:rPr>
        <w:t>48F</w:t>
      </w:r>
      <w:r w:rsidR="002B034F" w:rsidRPr="005C52BD">
        <w:rPr>
          <w:rStyle w:val="FootnoteReference"/>
          <w:color w:val="auto"/>
          <w:sz w:val="20"/>
          <w:szCs w:val="20"/>
          <w:lang w:val="es-US"/>
        </w:rPr>
        <w:footnoteReference w:id="50"/>
      </w:r>
      <w:r w:rsidR="00CE6905" w:rsidRPr="00C332F1">
        <w:rPr>
          <w:color w:val="auto"/>
          <w:lang w:val="es-US"/>
        </w:rPr>
        <w:t>.</w:t>
      </w:r>
    </w:p>
    <w:p w14:paraId="5224007C" w14:textId="6493A7AC" w:rsidR="30B8394F" w:rsidRPr="00C332F1" w:rsidRDefault="30B8394F" w:rsidP="571B825A">
      <w:pPr>
        <w:pStyle w:val="IAPrrafo"/>
        <w:rPr>
          <w:rFonts w:eastAsia="Cambria" w:cs="Cambria"/>
          <w:color w:val="000000" w:themeColor="text1"/>
          <w:szCs w:val="20"/>
          <w:lang w:val="es-US"/>
        </w:rPr>
      </w:pPr>
      <w:r w:rsidRPr="00C332F1">
        <w:rPr>
          <w:rFonts w:eastAsia="Cambria" w:cs="Cambria"/>
          <w:color w:val="000000" w:themeColor="text1"/>
          <w:szCs w:val="20"/>
        </w:rPr>
        <w:t>Los anuncios realizados por el CNE no estuvieron respaldados por infografías ni de datos desglosados por mesa de votación, ciudad o estado, tal como establece la normativa electoral venezolana</w:t>
      </w:r>
      <w:r w:rsidR="00A14F05">
        <w:rPr>
          <w:rFonts w:ascii="ZWAdobeF" w:eastAsia="Cambria" w:hAnsi="ZWAdobeF" w:cs="ZWAdobeF"/>
          <w:color w:val="auto"/>
          <w:sz w:val="2"/>
          <w:szCs w:val="2"/>
        </w:rPr>
        <w:t>49F</w:t>
      </w:r>
      <w:r w:rsidRPr="005C52BD">
        <w:rPr>
          <w:rFonts w:eastAsia="Cambria" w:cs="Cambria"/>
          <w:color w:val="000000" w:themeColor="text1"/>
          <w:szCs w:val="20"/>
          <w:vertAlign w:val="superscript"/>
        </w:rPr>
        <w:footnoteReference w:id="51"/>
      </w:r>
      <w:r w:rsidRPr="00C332F1">
        <w:rPr>
          <w:rFonts w:eastAsia="Cambria" w:cs="Cambria"/>
          <w:color w:val="000000" w:themeColor="text1"/>
          <w:szCs w:val="20"/>
        </w:rPr>
        <w:t>.</w:t>
      </w:r>
      <w:r w:rsidRPr="00C332F1">
        <w:rPr>
          <w:rFonts w:ascii="Calibri" w:eastAsia="Calibri" w:hAnsi="Calibri" w:cs="Calibri"/>
          <w:color w:val="000000" w:themeColor="text1"/>
          <w:sz w:val="24"/>
        </w:rPr>
        <w:t xml:space="preserve"> </w:t>
      </w:r>
      <w:r w:rsidRPr="00C332F1">
        <w:rPr>
          <w:rFonts w:eastAsia="Cambria" w:cs="Cambria"/>
          <w:color w:val="000000" w:themeColor="text1"/>
          <w:szCs w:val="20"/>
        </w:rPr>
        <w:t>Tras el anuncio de los resultados por el presidente del CNE, el acceso al sitio web del organismo fue restringido, y según análisis técnicos, la página no es accesible desde algunas redes ni fuera de Venezuela</w:t>
      </w:r>
      <w:r w:rsidR="00A14F05">
        <w:rPr>
          <w:rFonts w:ascii="ZWAdobeF" w:eastAsia="Cambria" w:hAnsi="ZWAdobeF" w:cs="ZWAdobeF"/>
          <w:color w:val="auto"/>
          <w:sz w:val="2"/>
          <w:szCs w:val="2"/>
        </w:rPr>
        <w:t>50F</w:t>
      </w:r>
      <w:r w:rsidRPr="005C52BD">
        <w:rPr>
          <w:rFonts w:eastAsia="Cambria" w:cs="Cambria"/>
          <w:color w:val="000000" w:themeColor="text1"/>
          <w:szCs w:val="20"/>
          <w:vertAlign w:val="superscript"/>
        </w:rPr>
        <w:footnoteReference w:id="52"/>
      </w:r>
      <w:r w:rsidRPr="00C332F1">
        <w:rPr>
          <w:rFonts w:eastAsia="Cambria" w:cs="Cambria"/>
          <w:color w:val="000000" w:themeColor="text1"/>
          <w:szCs w:val="20"/>
        </w:rPr>
        <w:t xml:space="preserve">. A la fecha de la elaboración de este informe, el CNE </w:t>
      </w:r>
      <w:r w:rsidRPr="00C332F1">
        <w:rPr>
          <w:rFonts w:eastAsia="Cambria" w:cs="Cambria"/>
          <w:color w:val="000000" w:themeColor="text1"/>
          <w:szCs w:val="20"/>
          <w:lang w:val="es-US"/>
        </w:rPr>
        <w:t>continúa sin publicar las actas de votación, ni permitir su escrutinio por mesa, a pesar de que están en resguardo del Estado.</w:t>
      </w:r>
    </w:p>
    <w:p w14:paraId="19481150" w14:textId="0F946B79" w:rsidR="00E85EFD" w:rsidRPr="00C332F1" w:rsidRDefault="00DA03E1" w:rsidP="00A703B7">
      <w:pPr>
        <w:pStyle w:val="IAPrrafo"/>
        <w:rPr>
          <w:rFonts w:cstheme="minorBidi"/>
          <w:color w:val="auto"/>
          <w:szCs w:val="20"/>
        </w:rPr>
      </w:pPr>
      <w:r w:rsidRPr="00C332F1">
        <w:rPr>
          <w:color w:val="auto"/>
        </w:rPr>
        <w:t>El Panel de las Naciones Unidas</w:t>
      </w:r>
      <w:r w:rsidR="00007B52" w:rsidRPr="00C332F1">
        <w:rPr>
          <w:color w:val="auto"/>
        </w:rPr>
        <w:t xml:space="preserve"> concluyó que “</w:t>
      </w:r>
      <w:r w:rsidR="00E85EFD" w:rsidRPr="00C332F1">
        <w:rPr>
          <w:rFonts w:cs="Arial"/>
          <w:color w:val="auto"/>
          <w:shd w:val="clear" w:color="auto" w:fill="FFFFFF"/>
          <w:lang w:val="es-US"/>
        </w:rPr>
        <w:t>el proceso de gestión de resultados del CNE no cumplió con las medidas básicas de transparencia e integridad que son esenciales para celebrar elecciones creíbles. No siguió las disposiciones legales y reglamentarias nacionales y no se cumplieron todos los plazos estipulados. En la experiencia del Panel, el anuncio de un resultado electoral sin la publicación de sus detalles o la entrega de los resultados tabulados a los candidatos no tiene precedentes en las elecciones democráticas contemporáneas. Esto tuvo un impacto negativo en la confianza en el resultado anunciado por el CNE entre una gran parte del electorado venezolano</w:t>
      </w:r>
      <w:r w:rsidR="00C20052" w:rsidRPr="00C332F1">
        <w:rPr>
          <w:rFonts w:cs="Arial"/>
          <w:color w:val="auto"/>
          <w:shd w:val="clear" w:color="auto" w:fill="FFFFFF"/>
          <w:lang w:val="es-US"/>
        </w:rPr>
        <w:t>”</w:t>
      </w:r>
      <w:r w:rsidR="00A14F05">
        <w:rPr>
          <w:rFonts w:ascii="ZWAdobeF" w:hAnsi="ZWAdobeF" w:cs="ZWAdobeF"/>
          <w:color w:val="auto"/>
          <w:sz w:val="2"/>
          <w:szCs w:val="2"/>
          <w:shd w:val="clear" w:color="auto" w:fill="FFFFFF"/>
          <w:lang w:val="es-US"/>
        </w:rPr>
        <w:t>51F</w:t>
      </w:r>
      <w:r w:rsidR="00007B52" w:rsidRPr="005C52BD">
        <w:rPr>
          <w:rStyle w:val="FootnoteReference"/>
          <w:rFonts w:cs="Arial"/>
          <w:color w:val="auto"/>
          <w:sz w:val="20"/>
          <w:szCs w:val="20"/>
          <w:shd w:val="clear" w:color="auto" w:fill="FFFFFF"/>
          <w:lang w:val="es-US"/>
        </w:rPr>
        <w:footnoteReference w:id="53"/>
      </w:r>
      <w:r w:rsidR="00E85EFD" w:rsidRPr="00C332F1">
        <w:rPr>
          <w:rFonts w:cs="Arial"/>
          <w:color w:val="auto"/>
          <w:shd w:val="clear" w:color="auto" w:fill="FFFFFF"/>
          <w:lang w:val="es-US"/>
        </w:rPr>
        <w:t>.</w:t>
      </w:r>
    </w:p>
    <w:p w14:paraId="4733F1E0" w14:textId="4BEBA958" w:rsidR="00080B6E" w:rsidRPr="00C332F1" w:rsidRDefault="007759EA" w:rsidP="00A703B7">
      <w:pPr>
        <w:pStyle w:val="IAPrrafo"/>
        <w:rPr>
          <w:color w:val="auto"/>
          <w:szCs w:val="20"/>
        </w:rPr>
      </w:pPr>
      <w:r w:rsidRPr="00C332F1">
        <w:rPr>
          <w:color w:val="auto"/>
        </w:rPr>
        <w:t>El</w:t>
      </w:r>
      <w:r w:rsidR="00080B6E" w:rsidRPr="00C332F1">
        <w:rPr>
          <w:color w:val="auto"/>
        </w:rPr>
        <w:t xml:space="preserve"> Centro Carter concluyó que la elección presidencial del día 28 de julio “</w:t>
      </w:r>
      <w:r w:rsidR="00080B6E" w:rsidRPr="00C332F1">
        <w:rPr>
          <w:color w:val="auto"/>
          <w:lang w:val="es-US"/>
        </w:rPr>
        <w:t>no se adecuó a parámetros y estándares internacionales de integridad electoral y no puede ser considerada como democrática. (…) El hecho que la autoridad electoral no haya anunciado resultados desglosados por mesa electoral constituye una grave violación de los principios electorales”</w:t>
      </w:r>
      <w:r w:rsidR="00A14F05">
        <w:rPr>
          <w:rFonts w:ascii="ZWAdobeF" w:hAnsi="ZWAdobeF" w:cs="ZWAdobeF"/>
          <w:color w:val="auto"/>
          <w:sz w:val="2"/>
          <w:szCs w:val="2"/>
          <w:lang w:val="es-US"/>
        </w:rPr>
        <w:t>52F</w:t>
      </w:r>
      <w:r w:rsidR="00080B6E" w:rsidRPr="005C52BD">
        <w:rPr>
          <w:rStyle w:val="FootnoteReference"/>
          <w:color w:val="auto"/>
          <w:sz w:val="20"/>
          <w:szCs w:val="20"/>
          <w:lang w:val="es-US"/>
        </w:rPr>
        <w:footnoteReference w:id="54"/>
      </w:r>
      <w:r w:rsidR="00080B6E" w:rsidRPr="00C332F1">
        <w:rPr>
          <w:color w:val="auto"/>
          <w:lang w:val="es-US"/>
        </w:rPr>
        <w:t>.</w:t>
      </w:r>
    </w:p>
    <w:p w14:paraId="7B650DEF" w14:textId="47B5927A" w:rsidR="00081C4B" w:rsidRPr="00C332F1" w:rsidRDefault="006D14AA" w:rsidP="003E09D5">
      <w:pPr>
        <w:pStyle w:val="IASubttulo3"/>
        <w:rPr>
          <w:lang w:val="es-ES"/>
        </w:rPr>
      </w:pPr>
      <w:bookmarkStart w:id="14" w:name="_Toc195617460"/>
      <w:r w:rsidRPr="00C332F1">
        <w:rPr>
          <w:lang w:val="es-ES"/>
        </w:rPr>
        <w:t xml:space="preserve">Estrategia de la oposición </w:t>
      </w:r>
      <w:r w:rsidR="009313D1" w:rsidRPr="00C332F1">
        <w:rPr>
          <w:lang w:val="es-ES"/>
        </w:rPr>
        <w:t>frente a</w:t>
      </w:r>
      <w:r w:rsidR="00505C8E" w:rsidRPr="00C332F1">
        <w:rPr>
          <w:lang w:val="es-ES"/>
        </w:rPr>
        <w:t xml:space="preserve"> un</w:t>
      </w:r>
      <w:r w:rsidR="009313D1" w:rsidRPr="00C332F1">
        <w:rPr>
          <w:lang w:val="es-ES"/>
        </w:rPr>
        <w:t xml:space="preserve"> posible fraude electoral</w:t>
      </w:r>
      <w:bookmarkEnd w:id="14"/>
    </w:p>
    <w:p w14:paraId="014DAC7F" w14:textId="7F36F334" w:rsidR="00D6730A" w:rsidRDefault="00027073" w:rsidP="005E268C">
      <w:pPr>
        <w:pStyle w:val="IAPrrafo"/>
        <w:spacing w:after="0"/>
      </w:pPr>
      <w:r w:rsidRPr="007B7EEA">
        <w:t>El día de la contienda</w:t>
      </w:r>
      <w:r w:rsidR="00E9137B" w:rsidRPr="007B7EEA">
        <w:t xml:space="preserve"> electoral</w:t>
      </w:r>
      <w:r w:rsidRPr="007B7EEA">
        <w:t>, l</w:t>
      </w:r>
      <w:r w:rsidR="00F63EA6" w:rsidRPr="007B7EEA">
        <w:t xml:space="preserve">a oposición en Venezuela recolectó </w:t>
      </w:r>
      <w:r w:rsidR="006735CC" w:rsidRPr="007B7EEA">
        <w:t>el 83</w:t>
      </w:r>
      <w:r w:rsidR="00A71DAF" w:rsidRPr="007B7EEA">
        <w:t>,</w:t>
      </w:r>
      <w:r w:rsidR="006735CC" w:rsidRPr="007B7EEA">
        <w:t>5%</w:t>
      </w:r>
      <w:r w:rsidR="00F63EA6" w:rsidRPr="007B7EEA">
        <w:t xml:space="preserve"> de las actas a nivel nacional</w:t>
      </w:r>
      <w:r w:rsidR="00B37D5F" w:rsidRPr="007B7EEA">
        <w:t>,</w:t>
      </w:r>
      <w:r w:rsidR="00F63EA6" w:rsidRPr="007B7EEA">
        <w:t xml:space="preserve"> sosteniendo su autenticidad por contar con los correspondientes sellos, firmas y códigos de seguridad. La totalización de esas actas muestra que Edmundo González Urrutia ganó la elección</w:t>
      </w:r>
      <w:r w:rsidR="00A14F05">
        <w:rPr>
          <w:rFonts w:ascii="ZWAdobeF" w:hAnsi="ZWAdobeF" w:cs="ZWAdobeF"/>
          <w:color w:val="auto"/>
          <w:sz w:val="2"/>
          <w:szCs w:val="2"/>
        </w:rPr>
        <w:t>53F</w:t>
      </w:r>
      <w:r w:rsidR="00F63EA6" w:rsidRPr="000A5D4C">
        <w:rPr>
          <w:rStyle w:val="FootnoteReference"/>
          <w:sz w:val="20"/>
        </w:rPr>
        <w:footnoteReference w:id="55"/>
      </w:r>
      <w:r w:rsidR="00F63EA6" w:rsidRPr="007B7EEA">
        <w:t xml:space="preserve">. </w:t>
      </w:r>
      <w:r w:rsidR="00D6730A" w:rsidRPr="007B7EEA">
        <w:t>Adicionalmente</w:t>
      </w:r>
      <w:r w:rsidR="00B71EA7" w:rsidRPr="007B7EEA">
        <w:t xml:space="preserve">, la oposición </w:t>
      </w:r>
      <w:r w:rsidR="00F63EA6" w:rsidRPr="007B7EEA">
        <w:t>recopiló y centralizó las actas en una base independiente</w:t>
      </w:r>
      <w:r w:rsidR="67434EE4" w:rsidRPr="007B7EEA">
        <w:t xml:space="preserve"> (“</w:t>
      </w:r>
      <w:bookmarkStart w:id="15" w:name="_Int_zPKb6GDl"/>
      <w:r w:rsidR="67434EE4" w:rsidRPr="007B7EEA">
        <w:t>resultadosconvzla.com“</w:t>
      </w:r>
      <w:bookmarkEnd w:id="15"/>
      <w:r w:rsidR="67434EE4" w:rsidRPr="007B7EEA">
        <w:t>)</w:t>
      </w:r>
      <w:r w:rsidR="00F63EA6" w:rsidRPr="007B7EEA">
        <w:t xml:space="preserve"> y verificable de los resultados reales obtenidos en cada mesa electoral</w:t>
      </w:r>
      <w:r w:rsidR="00A14F05">
        <w:rPr>
          <w:rFonts w:ascii="ZWAdobeF" w:hAnsi="ZWAdobeF" w:cs="ZWAdobeF"/>
          <w:color w:val="auto"/>
          <w:sz w:val="2"/>
          <w:szCs w:val="2"/>
        </w:rPr>
        <w:t>54F</w:t>
      </w:r>
      <w:r w:rsidR="00F63EA6" w:rsidRPr="00324920">
        <w:rPr>
          <w:rStyle w:val="FootnoteReference"/>
          <w:sz w:val="20"/>
        </w:rPr>
        <w:footnoteReference w:id="56"/>
      </w:r>
      <w:r w:rsidR="00F63EA6" w:rsidRPr="007B7EEA">
        <w:t xml:space="preserve">. Al comparar estos datos con los resultados oficiales, </w:t>
      </w:r>
      <w:r w:rsidR="00C84AF2" w:rsidRPr="007B7EEA">
        <w:t xml:space="preserve">la oposición </w:t>
      </w:r>
      <w:r w:rsidR="00F63EA6" w:rsidRPr="007B7EEA">
        <w:t>señaló inconsistencias y posibles manipulaciones que podrían evidenciar un fraude electoral.</w:t>
      </w:r>
    </w:p>
    <w:p w14:paraId="5A75D7B9" w14:textId="77777777" w:rsidR="005E268C" w:rsidRPr="007B7EEA" w:rsidRDefault="005E268C" w:rsidP="005E268C">
      <w:pPr>
        <w:pStyle w:val="IAPrrafo"/>
        <w:numPr>
          <w:ilvl w:val="0"/>
          <w:numId w:val="0"/>
        </w:numPr>
        <w:spacing w:after="0"/>
        <w:ind w:left="720"/>
      </w:pPr>
    </w:p>
    <w:p w14:paraId="641A4E4A" w14:textId="3739B90F" w:rsidR="00685DB0" w:rsidRPr="00C332F1" w:rsidRDefault="00F63EA6" w:rsidP="00A703B7">
      <w:pPr>
        <w:pStyle w:val="IAPrrafo"/>
        <w:rPr>
          <w:color w:val="auto"/>
          <w:lang w:val="es-ES"/>
        </w:rPr>
      </w:pPr>
      <w:r w:rsidRPr="00C332F1">
        <w:rPr>
          <w:color w:val="auto"/>
          <w:lang w:val="es-ES"/>
        </w:rPr>
        <w:t xml:space="preserve">Esta </w:t>
      </w:r>
      <w:r w:rsidR="00685DB0" w:rsidRPr="00C332F1">
        <w:rPr>
          <w:color w:val="auto"/>
          <w:shd w:val="clear" w:color="auto" w:fill="FFFFFF"/>
          <w:lang w:val="es-ES"/>
        </w:rPr>
        <w:t xml:space="preserve">estrategia </w:t>
      </w:r>
      <w:r w:rsidR="008A10AD" w:rsidRPr="00C332F1">
        <w:rPr>
          <w:color w:val="auto"/>
          <w:shd w:val="clear" w:color="auto" w:fill="FFFFFF"/>
          <w:lang w:val="es-ES"/>
        </w:rPr>
        <w:t>permitió</w:t>
      </w:r>
      <w:r w:rsidR="00685DB0" w:rsidRPr="00C332F1">
        <w:rPr>
          <w:color w:val="auto"/>
          <w:shd w:val="clear" w:color="auto" w:fill="FFFFFF"/>
          <w:lang w:val="es-ES"/>
        </w:rPr>
        <w:t xml:space="preserve"> a la oposición presentar ante la ciudadanía venezolana</w:t>
      </w:r>
      <w:r w:rsidR="00B71EA7" w:rsidRPr="00C332F1">
        <w:rPr>
          <w:color w:val="auto"/>
          <w:shd w:val="clear" w:color="auto" w:fill="FFFFFF"/>
          <w:lang w:val="es-ES"/>
        </w:rPr>
        <w:t xml:space="preserve"> y la comunidad internacional</w:t>
      </w:r>
      <w:r w:rsidR="00685DB0" w:rsidRPr="00C332F1">
        <w:rPr>
          <w:color w:val="auto"/>
          <w:shd w:val="clear" w:color="auto" w:fill="FFFFFF"/>
          <w:lang w:val="es-ES"/>
        </w:rPr>
        <w:t xml:space="preserve"> pruebas concretas que cuestionan la legitimidad del proceso, fortaleciendo sus </w:t>
      </w:r>
      <w:r w:rsidR="004E2D18" w:rsidRPr="00C332F1">
        <w:rPr>
          <w:color w:val="auto"/>
          <w:shd w:val="clear" w:color="auto" w:fill="FFFFFF"/>
          <w:lang w:val="es-ES"/>
        </w:rPr>
        <w:t xml:space="preserve">denuncias de posible fraude </w:t>
      </w:r>
      <w:r w:rsidR="00685DB0" w:rsidRPr="00C332F1">
        <w:rPr>
          <w:color w:val="auto"/>
          <w:shd w:val="clear" w:color="auto" w:fill="FFFFFF"/>
          <w:lang w:val="es-ES"/>
        </w:rPr>
        <w:t>y reforzando el llamado a una revisión imparcial de los resultados.</w:t>
      </w:r>
    </w:p>
    <w:p w14:paraId="3C04DA7F" w14:textId="49BEC3B5" w:rsidR="58186DE0" w:rsidRPr="00C332F1" w:rsidRDefault="00B12D53" w:rsidP="571B825A">
      <w:pPr>
        <w:pStyle w:val="IAPrrafo"/>
        <w:rPr>
          <w:rFonts w:eastAsia="Cambria" w:cs="Cambria"/>
          <w:color w:val="000000" w:themeColor="text1"/>
          <w:szCs w:val="20"/>
        </w:rPr>
      </w:pPr>
      <w:r w:rsidRPr="00C332F1">
        <w:rPr>
          <w:rFonts w:eastAsia="Cambria" w:cs="Cambria"/>
          <w:color w:val="000000" w:themeColor="text1"/>
          <w:szCs w:val="20"/>
          <w:lang w:val="es-ES"/>
        </w:rPr>
        <w:t>En los días siguientes a la elección</w:t>
      </w:r>
      <w:r w:rsidR="58186DE0" w:rsidRPr="00C332F1">
        <w:rPr>
          <w:rFonts w:eastAsia="Cambria" w:cs="Cambria"/>
          <w:color w:val="000000" w:themeColor="text1"/>
          <w:szCs w:val="20"/>
        </w:rPr>
        <w:t xml:space="preserve">, se registró el bloqueo del portal </w:t>
      </w:r>
      <w:r w:rsidR="707D84D3" w:rsidRPr="00C332F1">
        <w:rPr>
          <w:rFonts w:eastAsia="Cambria" w:cs="Cambria"/>
          <w:color w:val="000000" w:themeColor="text1"/>
          <w:szCs w:val="20"/>
        </w:rPr>
        <w:t>“</w:t>
      </w:r>
      <w:r w:rsidR="58186DE0" w:rsidRPr="00C332F1">
        <w:rPr>
          <w:rFonts w:eastAsia="Cambria" w:cs="Cambria"/>
          <w:color w:val="000000" w:themeColor="text1"/>
          <w:szCs w:val="20"/>
        </w:rPr>
        <w:t>resultadosconvzla.com</w:t>
      </w:r>
      <w:r w:rsidR="7845FFA5" w:rsidRPr="00C332F1">
        <w:rPr>
          <w:rFonts w:eastAsia="Cambria" w:cs="Cambria"/>
          <w:color w:val="000000" w:themeColor="text1"/>
          <w:szCs w:val="20"/>
        </w:rPr>
        <w:t>”.</w:t>
      </w:r>
      <w:r w:rsidR="58186DE0" w:rsidRPr="00C332F1">
        <w:rPr>
          <w:rFonts w:eastAsia="Cambria" w:cs="Cambria"/>
          <w:color w:val="000000" w:themeColor="text1"/>
          <w:szCs w:val="20"/>
        </w:rPr>
        <w:t xml:space="preserve"> </w:t>
      </w:r>
      <w:r w:rsidR="79E21921" w:rsidRPr="00C332F1">
        <w:rPr>
          <w:rFonts w:eastAsia="Cambria" w:cs="Cambria"/>
          <w:color w:val="000000" w:themeColor="text1"/>
          <w:szCs w:val="20"/>
        </w:rPr>
        <w:t>Además, s</w:t>
      </w:r>
      <w:r w:rsidR="58186DE0" w:rsidRPr="00C332F1">
        <w:rPr>
          <w:rFonts w:eastAsia="Cambria" w:cs="Cambria"/>
          <w:color w:val="000000" w:themeColor="text1"/>
          <w:szCs w:val="20"/>
        </w:rPr>
        <w:t>egún anunció el Fiscal General, los responsables de la publicación y mantenimiento de dicho portal est</w:t>
      </w:r>
      <w:r w:rsidR="7992B048" w:rsidRPr="00C332F1">
        <w:rPr>
          <w:rFonts w:eastAsia="Cambria" w:cs="Cambria"/>
          <w:color w:val="000000" w:themeColor="text1"/>
          <w:szCs w:val="20"/>
        </w:rPr>
        <w:t>arían</w:t>
      </w:r>
      <w:r w:rsidR="58186DE0" w:rsidRPr="00C332F1">
        <w:rPr>
          <w:rFonts w:eastAsia="Cambria" w:cs="Cambria"/>
          <w:color w:val="000000" w:themeColor="text1"/>
          <w:szCs w:val="20"/>
        </w:rPr>
        <w:t xml:space="preserve"> siendo objeto de una investigación penal por los delitos de usurpación de funciones, falsificación de documentos públicos, incitación a la desobediencia de las leyes, delitos informáticos, asociación y conspiración</w:t>
      </w:r>
      <w:r w:rsidR="00A14F05">
        <w:rPr>
          <w:rFonts w:ascii="ZWAdobeF" w:eastAsia="Cambria" w:hAnsi="ZWAdobeF" w:cs="ZWAdobeF"/>
          <w:color w:val="auto"/>
          <w:sz w:val="2"/>
          <w:szCs w:val="2"/>
        </w:rPr>
        <w:t>55F</w:t>
      </w:r>
      <w:r w:rsidR="58186DE0" w:rsidRPr="005C52BD">
        <w:rPr>
          <w:rFonts w:eastAsia="Cambria" w:cs="Cambria"/>
          <w:color w:val="000000" w:themeColor="text1"/>
          <w:szCs w:val="20"/>
          <w:vertAlign w:val="superscript"/>
        </w:rPr>
        <w:footnoteReference w:id="57"/>
      </w:r>
      <w:r w:rsidR="58186DE0" w:rsidRPr="00C332F1">
        <w:rPr>
          <w:rFonts w:eastAsia="Cambria" w:cs="Cambria"/>
          <w:color w:val="000000" w:themeColor="text1"/>
          <w:szCs w:val="20"/>
        </w:rPr>
        <w:t>. La CIDH y su Relatoría Especial advirtieron que la información allí contenida reviste un alto interés público y adquiere una protección reforzada, dada su relevancia para la transparencia y rendición de cuentas</w:t>
      </w:r>
      <w:r w:rsidR="00A14F05">
        <w:rPr>
          <w:rFonts w:ascii="ZWAdobeF" w:eastAsia="Cambria" w:hAnsi="ZWAdobeF" w:cs="ZWAdobeF"/>
          <w:color w:val="auto"/>
          <w:sz w:val="2"/>
          <w:szCs w:val="2"/>
        </w:rPr>
        <w:t>56F</w:t>
      </w:r>
      <w:r w:rsidR="58186DE0" w:rsidRPr="005C52BD">
        <w:rPr>
          <w:rFonts w:eastAsia="Cambria" w:cs="Cambria"/>
          <w:color w:val="000000" w:themeColor="text1"/>
          <w:szCs w:val="20"/>
          <w:vertAlign w:val="superscript"/>
        </w:rPr>
        <w:footnoteReference w:id="58"/>
      </w:r>
      <w:r w:rsidR="58186DE0" w:rsidRPr="00C332F1">
        <w:rPr>
          <w:rFonts w:eastAsia="Cambria" w:cs="Cambria"/>
          <w:color w:val="000000" w:themeColor="text1"/>
          <w:szCs w:val="20"/>
        </w:rPr>
        <w:t xml:space="preserve">. </w:t>
      </w:r>
    </w:p>
    <w:p w14:paraId="5821C925" w14:textId="3666D5B0" w:rsidR="00E41541" w:rsidRPr="00C332F1" w:rsidRDefault="0053470D" w:rsidP="00A703B7">
      <w:pPr>
        <w:pStyle w:val="IAPrrafo"/>
        <w:rPr>
          <w:rFonts w:cstheme="minorHAnsi"/>
          <w:color w:val="auto"/>
          <w:szCs w:val="20"/>
        </w:rPr>
      </w:pPr>
      <w:r w:rsidRPr="00C332F1">
        <w:rPr>
          <w:rFonts w:cstheme="minorBidi"/>
          <w:color w:val="auto"/>
        </w:rPr>
        <w:t xml:space="preserve">El anuncio de los resultados sin la publicación de las actas de respaldo, junto con la renuencia a permitir auditorías </w:t>
      </w:r>
      <w:r w:rsidR="00B9059B" w:rsidRPr="00C332F1">
        <w:rPr>
          <w:rFonts w:cstheme="minorBidi"/>
          <w:color w:val="auto"/>
        </w:rPr>
        <w:t>que verificaran la veracidad del supuesto ciberataque</w:t>
      </w:r>
      <w:r w:rsidR="00A62AEF" w:rsidRPr="00C332F1">
        <w:rPr>
          <w:rFonts w:cstheme="minorBidi"/>
          <w:color w:val="auto"/>
        </w:rPr>
        <w:t>,</w:t>
      </w:r>
      <w:r w:rsidR="00B9059B" w:rsidRPr="00C332F1">
        <w:rPr>
          <w:rFonts w:cstheme="minorBidi"/>
          <w:color w:val="auto"/>
        </w:rPr>
        <w:t xml:space="preserve"> </w:t>
      </w:r>
      <w:r w:rsidR="00E926E8" w:rsidRPr="00C332F1">
        <w:rPr>
          <w:rFonts w:cstheme="minorBidi"/>
          <w:color w:val="auto"/>
        </w:rPr>
        <w:t>generó des</w:t>
      </w:r>
      <w:r w:rsidR="00452AC4" w:rsidRPr="00C332F1">
        <w:rPr>
          <w:rFonts w:cstheme="minorBidi"/>
          <w:color w:val="auto"/>
        </w:rPr>
        <w:t xml:space="preserve">confianza </w:t>
      </w:r>
      <w:r w:rsidR="00E9137B" w:rsidRPr="00C332F1">
        <w:rPr>
          <w:rFonts w:cstheme="minorBidi"/>
          <w:color w:val="auto"/>
        </w:rPr>
        <w:t xml:space="preserve">de la ciudadanía </w:t>
      </w:r>
      <w:r w:rsidR="00452AC4" w:rsidRPr="00C332F1">
        <w:rPr>
          <w:rFonts w:cstheme="minorBidi"/>
          <w:color w:val="auto"/>
        </w:rPr>
        <w:t xml:space="preserve">en los resultados anunciados por el CNE </w:t>
      </w:r>
      <w:r w:rsidR="00B9059B" w:rsidRPr="00C332F1">
        <w:rPr>
          <w:rFonts w:cstheme="minorBidi"/>
          <w:color w:val="auto"/>
        </w:rPr>
        <w:t>y dio lugar a numerosas denuncias de fraude electoral</w:t>
      </w:r>
      <w:r w:rsidR="00BD4193" w:rsidRPr="00C332F1">
        <w:rPr>
          <w:rFonts w:cstheme="minorBidi"/>
          <w:color w:val="auto"/>
        </w:rPr>
        <w:t xml:space="preserve"> a nivel nacional e internacional. </w:t>
      </w:r>
      <w:r w:rsidR="00A26533" w:rsidRPr="00C332F1">
        <w:rPr>
          <w:rFonts w:cstheme="minorBidi"/>
          <w:color w:val="auto"/>
        </w:rPr>
        <w:t>La Comisión Interamericana</w:t>
      </w:r>
      <w:r w:rsidR="007C3DAC" w:rsidRPr="00C332F1">
        <w:rPr>
          <w:rFonts w:cstheme="minorBidi"/>
          <w:color w:val="auto"/>
        </w:rPr>
        <w:t xml:space="preserve"> llamó oportunamente a </w:t>
      </w:r>
      <w:r w:rsidR="004E7F3B" w:rsidRPr="00C332F1">
        <w:rPr>
          <w:rFonts w:cstheme="minorBidi"/>
          <w:color w:val="auto"/>
        </w:rPr>
        <w:t xml:space="preserve">velar por la protección de la información electoral </w:t>
      </w:r>
      <w:r w:rsidR="007C3DAC" w:rsidRPr="00C332F1">
        <w:rPr>
          <w:rFonts w:cstheme="minorBidi"/>
          <w:color w:val="auto"/>
        </w:rPr>
        <w:t>mediante la publicación de la totalidad de las actas de votación; permitir su escrutinio independiente y respetar la voluntad popular expresada en el voto, de conformidad con los estándares de derechos humanos</w:t>
      </w:r>
      <w:r w:rsidR="00A14F05">
        <w:rPr>
          <w:rFonts w:ascii="ZWAdobeF" w:hAnsi="ZWAdobeF" w:cs="ZWAdobeF"/>
          <w:color w:val="auto"/>
          <w:sz w:val="2"/>
          <w:szCs w:val="2"/>
        </w:rPr>
        <w:t>57F</w:t>
      </w:r>
      <w:r w:rsidR="007D3C7B" w:rsidRPr="005C52BD">
        <w:rPr>
          <w:rStyle w:val="FootnoteReference"/>
          <w:rFonts w:cstheme="minorBidi"/>
          <w:color w:val="auto"/>
          <w:sz w:val="20"/>
          <w:szCs w:val="20"/>
        </w:rPr>
        <w:footnoteReference w:id="59"/>
      </w:r>
      <w:r w:rsidR="007C3DAC" w:rsidRPr="00C332F1">
        <w:rPr>
          <w:rFonts w:cstheme="minorBidi"/>
          <w:color w:val="auto"/>
        </w:rPr>
        <w:t>.</w:t>
      </w:r>
    </w:p>
    <w:p w14:paraId="576870F2" w14:textId="6E9ACB7E" w:rsidR="00A00DB6" w:rsidRPr="00C332F1" w:rsidRDefault="00A00DB6" w:rsidP="002346CF">
      <w:pPr>
        <w:pStyle w:val="IASubttulo3"/>
        <w:rPr>
          <w:lang w:val="es-CO"/>
        </w:rPr>
      </w:pPr>
      <w:bookmarkStart w:id="16" w:name="_Toc195617461"/>
      <w:r w:rsidRPr="00C332F1">
        <w:rPr>
          <w:lang w:val="es-CO"/>
        </w:rPr>
        <w:t>Los recursos legales interpuestos tras la controversia de resultados</w:t>
      </w:r>
      <w:bookmarkEnd w:id="16"/>
    </w:p>
    <w:p w14:paraId="197AB2CC" w14:textId="58AAACC8" w:rsidR="00213182" w:rsidRPr="00C332F1" w:rsidRDefault="00213182" w:rsidP="00A703B7">
      <w:pPr>
        <w:pStyle w:val="IAPrrafo"/>
        <w:rPr>
          <w:rFonts w:cstheme="majorBidi"/>
          <w:color w:val="auto"/>
          <w:szCs w:val="20"/>
        </w:rPr>
      </w:pPr>
      <w:r w:rsidRPr="00C332F1">
        <w:rPr>
          <w:rFonts w:cstheme="majorBidi"/>
          <w:color w:val="auto"/>
          <w:shd w:val="clear" w:color="auto" w:fill="FFFFFF"/>
          <w:lang w:val="es-US"/>
        </w:rPr>
        <w:t>Ante la opacidad electoral y las graves denuncias de fraude electoral presentadas por la oposición, las misiones internacionales invitadas al terreno y la comunidad internacional, el 31 de julio Nicolás Maduro interpuso un recurso contencioso electoral ante el Tribunal Supremo de Justicia (TSJ)</w:t>
      </w:r>
      <w:r w:rsidR="00A14F05">
        <w:rPr>
          <w:rFonts w:ascii="ZWAdobeF" w:hAnsi="ZWAdobeF" w:cs="ZWAdobeF"/>
          <w:color w:val="auto"/>
          <w:sz w:val="2"/>
          <w:szCs w:val="2"/>
          <w:shd w:val="clear" w:color="auto" w:fill="FFFFFF"/>
          <w:lang w:val="es-US"/>
        </w:rPr>
        <w:t>58F</w:t>
      </w:r>
      <w:r w:rsidRPr="005C52BD">
        <w:rPr>
          <w:rStyle w:val="FootnoteReference"/>
          <w:color w:val="auto"/>
          <w:sz w:val="20"/>
          <w:szCs w:val="20"/>
          <w:lang w:val="es-US"/>
        </w:rPr>
        <w:footnoteReference w:id="60"/>
      </w:r>
      <w:r w:rsidRPr="00C332F1">
        <w:rPr>
          <w:rFonts w:cstheme="majorBidi"/>
          <w:color w:val="auto"/>
          <w:shd w:val="clear" w:color="auto" w:fill="FFFFFF"/>
          <w:lang w:val="es-US"/>
        </w:rPr>
        <w:t>. El 22 de agosto de 2024, la Sala Electoral publicó en redes sociales únicamente la parte resolutiva de la decisión sobre dicho recurso, convalidando el anuncio del Consejo Nacional Electoral (CNE)</w:t>
      </w:r>
      <w:r w:rsidR="00A14F05">
        <w:rPr>
          <w:rFonts w:ascii="ZWAdobeF" w:hAnsi="ZWAdobeF" w:cs="ZWAdobeF"/>
          <w:color w:val="auto"/>
          <w:sz w:val="2"/>
          <w:szCs w:val="2"/>
          <w:shd w:val="clear" w:color="auto" w:fill="FFFFFF"/>
          <w:lang w:val="es-US"/>
        </w:rPr>
        <w:t>59F</w:t>
      </w:r>
      <w:r w:rsidRPr="005C52BD">
        <w:rPr>
          <w:rStyle w:val="FootnoteReference"/>
          <w:color w:val="auto"/>
          <w:sz w:val="20"/>
          <w:szCs w:val="20"/>
          <w:lang w:val="es-US"/>
        </w:rPr>
        <w:footnoteReference w:id="61"/>
      </w:r>
      <w:r w:rsidRPr="00C332F1">
        <w:rPr>
          <w:rFonts w:cstheme="majorBidi"/>
          <w:color w:val="auto"/>
          <w:shd w:val="clear" w:color="auto" w:fill="FFFFFF"/>
          <w:lang w:val="es-US"/>
        </w:rPr>
        <w:t xml:space="preserve">. Asimismo, indicó que se trataba de un fallo con carácter definitivo y, por lo tanto, no susceptible de recurso alguno. La CIDH señala que, hasta la fecha de elaboración de este informe, el TSJ no ha publicado </w:t>
      </w:r>
      <w:r w:rsidR="003F61A1" w:rsidRPr="00C332F1">
        <w:rPr>
          <w:rFonts w:cstheme="majorBidi"/>
          <w:color w:val="auto"/>
          <w:shd w:val="clear" w:color="auto" w:fill="FFFFFF"/>
          <w:lang w:val="es-US"/>
        </w:rPr>
        <w:t xml:space="preserve">los fundamentos </w:t>
      </w:r>
      <w:r w:rsidRPr="00C332F1">
        <w:rPr>
          <w:rFonts w:cstheme="majorBidi"/>
          <w:color w:val="auto"/>
          <w:shd w:val="clear" w:color="auto" w:fill="FFFFFF"/>
          <w:lang w:val="es-US"/>
        </w:rPr>
        <w:t>de la decisión, lo que constituye una grave omisión de su deber de motivar sus fallos.</w:t>
      </w:r>
    </w:p>
    <w:p w14:paraId="4EE9EC48" w14:textId="49EAF7E2" w:rsidR="003F760F" w:rsidRPr="00C332F1" w:rsidRDefault="003F760F" w:rsidP="00A703B7">
      <w:pPr>
        <w:pStyle w:val="IAPrrafo"/>
        <w:rPr>
          <w:szCs w:val="20"/>
          <w:lang w:val="es-ES"/>
        </w:rPr>
      </w:pPr>
      <w:r w:rsidRPr="00C332F1">
        <w:rPr>
          <w:lang w:val="es-US"/>
        </w:rPr>
        <w:t>Contrario a lo anunciado por el TSJ en redes sociales, organizaciones de la sociedad civil señalaron que el fallo sí es susceptible de un recurso de revisión</w:t>
      </w:r>
      <w:r w:rsidR="00A14F05">
        <w:rPr>
          <w:rFonts w:ascii="ZWAdobeF" w:hAnsi="ZWAdobeF" w:cs="ZWAdobeF"/>
          <w:color w:val="auto"/>
          <w:sz w:val="2"/>
          <w:szCs w:val="2"/>
          <w:lang w:val="es-US"/>
        </w:rPr>
        <w:t>60F</w:t>
      </w:r>
      <w:r w:rsidRPr="005C52BD">
        <w:rPr>
          <w:rStyle w:val="FootnoteReference"/>
          <w:color w:val="auto"/>
          <w:sz w:val="20"/>
          <w:szCs w:val="20"/>
          <w:lang w:val="es-ES"/>
        </w:rPr>
        <w:footnoteReference w:id="62"/>
      </w:r>
      <w:r w:rsidRPr="00C332F1">
        <w:rPr>
          <w:lang w:val="es-US"/>
        </w:rPr>
        <w:t>. De hecho, se presentaron dos recursos de este tipo ante la Sala Constitucional: uno por el excandidato Enrique Márquez y otro por el también excandidato a la presidencia, Antonio Ecarri. Ambos recursos fueron rechazados por la Sala Constitucional del TSJ</w:t>
      </w:r>
      <w:r w:rsidR="00A14F05">
        <w:rPr>
          <w:rFonts w:ascii="ZWAdobeF" w:hAnsi="ZWAdobeF" w:cs="ZWAdobeF"/>
          <w:color w:val="auto"/>
          <w:sz w:val="2"/>
          <w:szCs w:val="2"/>
          <w:lang w:val="es-US"/>
        </w:rPr>
        <w:t>61F</w:t>
      </w:r>
      <w:r w:rsidRPr="005C52BD">
        <w:rPr>
          <w:color w:val="auto"/>
          <w:vertAlign w:val="superscript"/>
          <w:lang w:val="es-ES"/>
        </w:rPr>
        <w:footnoteReference w:id="63"/>
      </w:r>
      <w:r w:rsidRPr="00C332F1">
        <w:rPr>
          <w:lang w:val="es-US"/>
        </w:rPr>
        <w:t>.</w:t>
      </w:r>
    </w:p>
    <w:p w14:paraId="2E588872" w14:textId="5634775C" w:rsidR="00491DCB" w:rsidRPr="00C332F1" w:rsidRDefault="00491DCB" w:rsidP="00A703B7">
      <w:pPr>
        <w:pStyle w:val="IAPrrafo"/>
        <w:rPr>
          <w:szCs w:val="20"/>
          <w:lang w:val="es-ES_tradnl"/>
        </w:rPr>
      </w:pPr>
      <w:r w:rsidRPr="00C332F1">
        <w:rPr>
          <w:lang w:val="es-US"/>
        </w:rPr>
        <w:t>Organizaciones de la sociedad civil denunciaron varias irregularidades relacionadas con el recurso contencioso electoral presentado por Nicolás Maduro y la decisión del TSJ. En primer lugar, cuestionaron la naturaleza del recurso. El CNE define el recurso contencioso electoral como “un medio breve, sumario y eficaz para impugnar los actos, actuaciones y omisiones del Consejo Nacional Electoral (CNE) y para restablecer las situaciones jurídicas subjetivas lesionadas por este, en relación con la constitución, funcionamiento y cancelación de organizaciones con fines políticos”. Esto implica que el recurso está destinado a impugnar, no a certificar, una actuación del CNE</w:t>
      </w:r>
      <w:r w:rsidR="00A14F05">
        <w:rPr>
          <w:rFonts w:ascii="ZWAdobeF" w:hAnsi="ZWAdobeF" w:cs="ZWAdobeF"/>
          <w:color w:val="auto"/>
          <w:sz w:val="2"/>
          <w:szCs w:val="2"/>
          <w:lang w:val="es-US"/>
        </w:rPr>
        <w:t>62F</w:t>
      </w:r>
      <w:r w:rsidRPr="005C52BD">
        <w:rPr>
          <w:rStyle w:val="FootnoteReference"/>
          <w:color w:val="auto"/>
          <w:sz w:val="20"/>
          <w:szCs w:val="20"/>
          <w:lang w:val="es-ES"/>
        </w:rPr>
        <w:footnoteReference w:id="64"/>
      </w:r>
      <w:r w:rsidRPr="00C332F1">
        <w:rPr>
          <w:lang w:val="es-US"/>
        </w:rPr>
        <w:t>.</w:t>
      </w:r>
    </w:p>
    <w:p w14:paraId="3B2B1DC3" w14:textId="35D3F198" w:rsidR="00754F88" w:rsidRPr="00C332F1" w:rsidRDefault="00754F88" w:rsidP="00A703B7">
      <w:pPr>
        <w:pStyle w:val="IAPrrafo"/>
        <w:rPr>
          <w:rFonts w:cstheme="majorBidi"/>
          <w:color w:val="auto"/>
          <w:szCs w:val="20"/>
          <w:lang w:val="es-ES"/>
        </w:rPr>
      </w:pPr>
      <w:r w:rsidRPr="00C332F1">
        <w:rPr>
          <w:rFonts w:cstheme="majorBidi"/>
          <w:color w:val="auto"/>
          <w:shd w:val="clear" w:color="auto" w:fill="FFFFFF"/>
          <w:lang w:val="es-US"/>
        </w:rPr>
        <w:t xml:space="preserve">En segundo lugar, se plantearon interrogantes sobre la legitimidad procesal del recurso interpuesto. Al haber sido declarado ganador, Nicolás Maduro no poseía legitimidad procesal para presentar el recurso, por lo que </w:t>
      </w:r>
      <w:r w:rsidR="00335960" w:rsidRPr="00C332F1">
        <w:rPr>
          <w:rFonts w:cstheme="majorBidi"/>
          <w:color w:val="auto"/>
          <w:shd w:val="clear" w:color="auto" w:fill="FFFFFF"/>
          <w:lang w:val="es-US"/>
        </w:rPr>
        <w:t>é</w:t>
      </w:r>
      <w:r w:rsidRPr="00C332F1">
        <w:rPr>
          <w:rFonts w:cstheme="majorBidi"/>
          <w:color w:val="auto"/>
          <w:shd w:val="clear" w:color="auto" w:fill="FFFFFF"/>
          <w:lang w:val="es-US"/>
        </w:rPr>
        <w:t>ste no debió ser admitido. Dicha legitimidad habría correspondido a alguna parte que considerara que la actuación del CNE afectó sus derechos. A</w:t>
      </w:r>
      <w:r w:rsidR="00CF5F59" w:rsidRPr="00C332F1">
        <w:rPr>
          <w:rFonts w:cstheme="majorBidi"/>
          <w:color w:val="auto"/>
          <w:shd w:val="clear" w:color="auto" w:fill="FFFFFF"/>
          <w:lang w:val="es-US"/>
        </w:rPr>
        <w:t>unado a lo anterior</w:t>
      </w:r>
      <w:r w:rsidRPr="00C332F1">
        <w:rPr>
          <w:rFonts w:cstheme="majorBidi"/>
          <w:color w:val="auto"/>
          <w:shd w:val="clear" w:color="auto" w:fill="FFFFFF"/>
          <w:lang w:val="es-US"/>
        </w:rPr>
        <w:t xml:space="preserve">, </w:t>
      </w:r>
      <w:r w:rsidR="00795DA8" w:rsidRPr="00C332F1">
        <w:rPr>
          <w:rFonts w:cstheme="majorBidi"/>
          <w:color w:val="auto"/>
          <w:shd w:val="clear" w:color="auto" w:fill="FFFFFF"/>
          <w:lang w:val="es-US"/>
        </w:rPr>
        <w:t>Nicolás</w:t>
      </w:r>
      <w:r w:rsidRPr="00C332F1">
        <w:rPr>
          <w:rFonts w:cstheme="majorBidi"/>
          <w:color w:val="auto"/>
          <w:shd w:val="clear" w:color="auto" w:fill="FFFFFF"/>
          <w:lang w:val="es-US"/>
        </w:rPr>
        <w:t xml:space="preserve"> Maduro </w:t>
      </w:r>
      <w:r w:rsidR="0027129C" w:rsidRPr="00C332F1">
        <w:rPr>
          <w:rFonts w:cstheme="majorBidi"/>
          <w:color w:val="auto"/>
          <w:shd w:val="clear" w:color="auto" w:fill="FFFFFF"/>
          <w:lang w:val="es-US"/>
        </w:rPr>
        <w:t xml:space="preserve">interpuso </w:t>
      </w:r>
      <w:r w:rsidRPr="00C332F1">
        <w:rPr>
          <w:rFonts w:cstheme="majorBidi"/>
          <w:color w:val="auto"/>
          <w:shd w:val="clear" w:color="auto" w:fill="FFFFFF"/>
          <w:lang w:val="es-US"/>
        </w:rPr>
        <w:t>el recurso contencioso electoral junto con su abogado Reinaldo Muñoz, quien ha sido propuesto como candidato a Procurador General de la República</w:t>
      </w:r>
      <w:r w:rsidR="00826CFE" w:rsidRPr="00C332F1">
        <w:rPr>
          <w:rFonts w:cstheme="majorBidi"/>
          <w:color w:val="auto"/>
          <w:shd w:val="clear" w:color="auto" w:fill="FFFFFF"/>
          <w:lang w:val="es-US"/>
        </w:rPr>
        <w:t xml:space="preserve">. </w:t>
      </w:r>
      <w:r w:rsidR="009F4929" w:rsidRPr="00C332F1">
        <w:rPr>
          <w:rFonts w:cstheme="majorBidi"/>
          <w:color w:val="auto"/>
          <w:shd w:val="clear" w:color="auto" w:fill="FFFFFF"/>
          <w:lang w:val="es-US"/>
        </w:rPr>
        <w:t>R</w:t>
      </w:r>
      <w:r w:rsidR="00826CFE" w:rsidRPr="00C332F1">
        <w:rPr>
          <w:rFonts w:cstheme="majorBidi"/>
          <w:color w:val="auto"/>
          <w:shd w:val="clear" w:color="auto" w:fill="FFFFFF"/>
          <w:lang w:val="es-US"/>
        </w:rPr>
        <w:t xml:space="preserve">azón por la cual </w:t>
      </w:r>
      <w:r w:rsidRPr="00C332F1">
        <w:rPr>
          <w:rFonts w:cstheme="majorBidi"/>
          <w:color w:val="auto"/>
          <w:shd w:val="clear" w:color="auto" w:fill="FFFFFF"/>
          <w:lang w:val="es-US"/>
        </w:rPr>
        <w:t xml:space="preserve">no debería </w:t>
      </w:r>
      <w:r w:rsidR="00983820" w:rsidRPr="00C332F1">
        <w:rPr>
          <w:rFonts w:cstheme="majorBidi"/>
          <w:color w:val="auto"/>
          <w:shd w:val="clear" w:color="auto" w:fill="FFFFFF"/>
          <w:lang w:val="es-US"/>
        </w:rPr>
        <w:t xml:space="preserve">haber </w:t>
      </w:r>
      <w:r w:rsidRPr="00C332F1">
        <w:rPr>
          <w:rFonts w:cstheme="majorBidi"/>
          <w:color w:val="auto"/>
          <w:shd w:val="clear" w:color="auto" w:fill="FFFFFF"/>
          <w:lang w:val="es-US"/>
        </w:rPr>
        <w:t>actua</w:t>
      </w:r>
      <w:r w:rsidR="00983820" w:rsidRPr="00C332F1">
        <w:rPr>
          <w:rFonts w:cstheme="majorBidi"/>
          <w:color w:val="auto"/>
          <w:shd w:val="clear" w:color="auto" w:fill="FFFFFF"/>
          <w:lang w:val="es-US"/>
        </w:rPr>
        <w:t>do</w:t>
      </w:r>
      <w:r w:rsidRPr="00C332F1">
        <w:rPr>
          <w:rFonts w:cstheme="majorBidi"/>
          <w:color w:val="auto"/>
          <w:shd w:val="clear" w:color="auto" w:fill="FFFFFF"/>
          <w:lang w:val="es-US"/>
        </w:rPr>
        <w:t xml:space="preserve"> como apoderado judicial del Presidente de la República o de un candidato presidencial en este contexto</w:t>
      </w:r>
      <w:r w:rsidR="00A14F05">
        <w:rPr>
          <w:rFonts w:ascii="ZWAdobeF" w:hAnsi="ZWAdobeF" w:cs="ZWAdobeF"/>
          <w:color w:val="auto"/>
          <w:sz w:val="2"/>
          <w:szCs w:val="2"/>
          <w:shd w:val="clear" w:color="auto" w:fill="FFFFFF"/>
          <w:lang w:val="es-US"/>
        </w:rPr>
        <w:t>63F</w:t>
      </w:r>
      <w:r w:rsidRPr="005C52BD">
        <w:rPr>
          <w:rStyle w:val="FootnoteReference"/>
          <w:color w:val="auto"/>
          <w:sz w:val="20"/>
          <w:szCs w:val="20"/>
          <w:lang w:val="es-ES"/>
        </w:rPr>
        <w:footnoteReference w:id="65"/>
      </w:r>
      <w:r w:rsidRPr="00C332F1">
        <w:rPr>
          <w:rFonts w:cstheme="majorBidi"/>
          <w:color w:val="auto"/>
          <w:shd w:val="clear" w:color="auto" w:fill="FFFFFF"/>
          <w:lang w:val="es-US"/>
        </w:rPr>
        <w:t>.</w:t>
      </w:r>
    </w:p>
    <w:p w14:paraId="0C3E2AD8" w14:textId="1EE820A6" w:rsidR="00EA4607" w:rsidRPr="00C332F1" w:rsidRDefault="00EA4607" w:rsidP="3C28C854">
      <w:pPr>
        <w:pStyle w:val="IAPrrafo"/>
        <w:rPr>
          <w:lang w:val="es-ES"/>
        </w:rPr>
      </w:pPr>
      <w:r w:rsidRPr="00C332F1">
        <w:rPr>
          <w:lang w:val="es-ES"/>
        </w:rPr>
        <w:t xml:space="preserve">En tercer lugar, </w:t>
      </w:r>
      <w:r w:rsidR="00F75426" w:rsidRPr="00C332F1">
        <w:rPr>
          <w:lang w:val="es-ES"/>
        </w:rPr>
        <w:t>organizaciones de la sociedad civil s</w:t>
      </w:r>
      <w:r w:rsidRPr="00C332F1">
        <w:rPr>
          <w:lang w:val="es-ES"/>
        </w:rPr>
        <w:t xml:space="preserve">ostienen que el TSJ habría asumido funciones electorales al declarar a Nicolás Maduro como </w:t>
      </w:r>
      <w:r w:rsidR="00983820" w:rsidRPr="00C332F1">
        <w:rPr>
          <w:lang w:val="es-ES"/>
        </w:rPr>
        <w:t>P</w:t>
      </w:r>
      <w:r w:rsidRPr="00C332F1">
        <w:rPr>
          <w:lang w:val="es-ES"/>
        </w:rPr>
        <w:t>residente antes de que el CNE completara el proceso de totalización, adjudicación y proclamación del ganador. Según la normativa, la ley otorga hasta 30 días continuos, contados desde el día siguiente a la elección, para publicar la totalidad de los resultados desglosados y realizar las auditorías correspondientes. Sin embargo, el TSJ certificó la victoria de Nicolás Maduro con resultados parciales, antes de que el CNE cumpliera con este mandato</w:t>
      </w:r>
      <w:r w:rsidR="00A14F05">
        <w:rPr>
          <w:rFonts w:ascii="ZWAdobeF" w:hAnsi="ZWAdobeF" w:cs="ZWAdobeF"/>
          <w:color w:val="auto"/>
          <w:sz w:val="2"/>
          <w:szCs w:val="2"/>
          <w:lang w:val="es-ES"/>
        </w:rPr>
        <w:t>64F</w:t>
      </w:r>
      <w:r w:rsidRPr="005C52BD">
        <w:rPr>
          <w:rStyle w:val="FootnoteReference"/>
          <w:color w:val="auto"/>
          <w:sz w:val="20"/>
          <w:szCs w:val="20"/>
          <w:lang w:val="es-ES"/>
        </w:rPr>
        <w:footnoteReference w:id="66"/>
      </w:r>
      <w:r w:rsidRPr="00C332F1">
        <w:rPr>
          <w:lang w:val="es-ES"/>
        </w:rPr>
        <w:t>.</w:t>
      </w:r>
    </w:p>
    <w:p w14:paraId="0360DD02" w14:textId="2A3A58CA" w:rsidR="00846508" w:rsidRPr="00C332F1" w:rsidRDefault="00A86347" w:rsidP="002346CF">
      <w:pPr>
        <w:pStyle w:val="IASubttulo2"/>
      </w:pPr>
      <w:bookmarkStart w:id="17" w:name="_Toc195617462"/>
      <w:r w:rsidRPr="00C332F1">
        <w:t xml:space="preserve">Etapa </w:t>
      </w:r>
      <w:r>
        <w:t>III</w:t>
      </w:r>
      <w:r w:rsidRPr="00C332F1">
        <w:t xml:space="preserve">: prácticas de terrorismo de </w:t>
      </w:r>
      <w:r w:rsidR="00DF73BF">
        <w:t>E</w:t>
      </w:r>
      <w:r w:rsidRPr="00C332F1">
        <w:t>stado</w:t>
      </w:r>
      <w:bookmarkEnd w:id="17"/>
    </w:p>
    <w:p w14:paraId="7C096C22" w14:textId="5BD7DEFE" w:rsidR="009D4094" w:rsidRPr="00C332F1" w:rsidRDefault="003C0905">
      <w:pPr>
        <w:pStyle w:val="IAPrrafo"/>
      </w:pPr>
      <w:r w:rsidRPr="00C332F1">
        <w:t xml:space="preserve">En </w:t>
      </w:r>
      <w:r w:rsidR="114A3958" w:rsidRPr="00C332F1">
        <w:t>l</w:t>
      </w:r>
      <w:r w:rsidRPr="00C332F1">
        <w:t xml:space="preserve">a </w:t>
      </w:r>
      <w:r w:rsidR="00B618F5" w:rsidRPr="00C332F1">
        <w:t xml:space="preserve">tercera </w:t>
      </w:r>
      <w:r w:rsidRPr="00C332F1">
        <w:t xml:space="preserve">etapa se </w:t>
      </w:r>
      <w:r w:rsidR="00C6597B" w:rsidRPr="00C332F1">
        <w:t xml:space="preserve">documentaron </w:t>
      </w:r>
      <w:r w:rsidR="00B618F5" w:rsidRPr="00C332F1">
        <w:t>violaciones</w:t>
      </w:r>
      <w:r w:rsidR="00C6597B" w:rsidRPr="00C332F1">
        <w:t xml:space="preserve"> de derechos humanos y prácticas de terrorismo de </w:t>
      </w:r>
      <w:r w:rsidR="004E5CE4" w:rsidRPr="00C332F1">
        <w:t>E</w:t>
      </w:r>
      <w:r w:rsidR="00C6597B" w:rsidRPr="00C332F1">
        <w:t xml:space="preserve">stado </w:t>
      </w:r>
      <w:r w:rsidR="00B618F5" w:rsidRPr="00C332F1">
        <w:t>dirigid</w:t>
      </w:r>
      <w:r w:rsidR="00C6597B" w:rsidRPr="00C332F1">
        <w:t>a</w:t>
      </w:r>
      <w:r w:rsidR="00B618F5" w:rsidRPr="00C332F1">
        <w:t xml:space="preserve">s </w:t>
      </w:r>
      <w:r w:rsidR="00C6597B" w:rsidRPr="00C332F1">
        <w:t>a infundir miedo y r</w:t>
      </w:r>
      <w:r w:rsidR="00964109" w:rsidRPr="00C332F1">
        <w:t>eprimir las protestas sociales</w:t>
      </w:r>
      <w:r w:rsidR="00FC5509" w:rsidRPr="00C332F1">
        <w:t>, a fin de consolidar el poder del régimen,</w:t>
      </w:r>
      <w:r w:rsidR="00964109" w:rsidRPr="00C332F1">
        <w:t xml:space="preserve"> tras l</w:t>
      </w:r>
      <w:r w:rsidR="00C54850" w:rsidRPr="00C332F1">
        <w:t>a</w:t>
      </w:r>
      <w:r w:rsidR="00964109" w:rsidRPr="00C332F1">
        <w:t>s denuncias de fraude electoral</w:t>
      </w:r>
      <w:r w:rsidR="00FB7601" w:rsidRPr="00C332F1">
        <w:t xml:space="preserve">. </w:t>
      </w:r>
      <w:r w:rsidR="00C54C42" w:rsidRPr="00C332F1">
        <w:t>En</w:t>
      </w:r>
      <w:r w:rsidR="00B618F5" w:rsidRPr="00C332F1">
        <w:t xml:space="preserve"> esta sección se desarroll</w:t>
      </w:r>
      <w:r w:rsidR="3D6288C7" w:rsidRPr="00C332F1">
        <w:t xml:space="preserve">an </w:t>
      </w:r>
      <w:r w:rsidR="1BB33AF2" w:rsidRPr="00C332F1">
        <w:t xml:space="preserve">los siguientes </w:t>
      </w:r>
      <w:r w:rsidR="61E45E0A" w:rsidRPr="00C332F1">
        <w:t>patrones represivos</w:t>
      </w:r>
      <w:r w:rsidR="00B618F5" w:rsidRPr="00C332F1">
        <w:t xml:space="preserve">: </w:t>
      </w:r>
      <w:r w:rsidR="00C54C42" w:rsidRPr="00C332F1">
        <w:t>u</w:t>
      </w:r>
      <w:r w:rsidR="009D4094" w:rsidRPr="00C332F1">
        <w:t>so arbitrario de la fuerz</w:t>
      </w:r>
      <w:r w:rsidR="00FB7601" w:rsidRPr="00C332F1">
        <w:t>a</w:t>
      </w:r>
      <w:r w:rsidR="001A4F62" w:rsidRPr="00C332F1">
        <w:t xml:space="preserve"> y pérdida de vidas humanas</w:t>
      </w:r>
      <w:r w:rsidR="00FB7601" w:rsidRPr="00C332F1">
        <w:t>; detenciones arbitrarias en el contexto de las manifestaciones; anulación de pasaportes y otros actos de hostigamiento.</w:t>
      </w:r>
    </w:p>
    <w:p w14:paraId="4FFB43CD" w14:textId="1116BF3A" w:rsidR="00C53970" w:rsidRPr="00C332F1" w:rsidRDefault="000646EA" w:rsidP="00A703B7">
      <w:pPr>
        <w:pStyle w:val="IAPrrafo"/>
        <w:rPr>
          <w:color w:val="auto"/>
          <w:szCs w:val="20"/>
        </w:rPr>
      </w:pPr>
      <w:r w:rsidRPr="00C332F1">
        <w:rPr>
          <w:color w:val="auto"/>
          <w:lang w:val="es-US"/>
        </w:rPr>
        <w:t xml:space="preserve">Las serias denuncias de irregularidades y fraude electoral motivaron cerca de 300 protestas masivas y espontáneas en todo el país que movilizaron distintos sectores sociales, en particular, </w:t>
      </w:r>
      <w:r w:rsidR="008501A7" w:rsidRPr="00C332F1">
        <w:rPr>
          <w:color w:val="auto"/>
          <w:lang w:val="es-US"/>
        </w:rPr>
        <w:t>de barrios populares</w:t>
      </w:r>
      <w:r w:rsidR="00557044" w:rsidRPr="00C332F1">
        <w:rPr>
          <w:color w:val="auto"/>
          <w:lang w:val="es-US"/>
        </w:rPr>
        <w:t>.</w:t>
      </w:r>
      <w:r w:rsidR="000A5391" w:rsidRPr="00C332F1">
        <w:rPr>
          <w:color w:val="auto"/>
          <w:lang w:val="es-US"/>
        </w:rPr>
        <w:t xml:space="preserve"> </w:t>
      </w:r>
      <w:r w:rsidR="000A5391" w:rsidRPr="00C332F1">
        <w:rPr>
          <w:rFonts w:cs="Open Sans"/>
          <w:color w:val="auto"/>
          <w:shd w:val="clear" w:color="auto" w:fill="FFFFFF"/>
          <w:lang w:val="es-US"/>
        </w:rPr>
        <w:t>En respuesta,</w:t>
      </w:r>
      <w:r w:rsidR="00530574" w:rsidRPr="00C332F1">
        <w:rPr>
          <w:rFonts w:cs="Open Sans"/>
          <w:color w:val="auto"/>
          <w:shd w:val="clear" w:color="auto" w:fill="FFFFFF"/>
          <w:lang w:val="es-US"/>
        </w:rPr>
        <w:t xml:space="preserve"> el régimen pu</w:t>
      </w:r>
      <w:r w:rsidR="003142D2" w:rsidRPr="00C332F1">
        <w:rPr>
          <w:rFonts w:cs="Open Sans"/>
          <w:color w:val="auto"/>
          <w:shd w:val="clear" w:color="auto" w:fill="FFFFFF"/>
          <w:lang w:val="es-US"/>
        </w:rPr>
        <w:t>s</w:t>
      </w:r>
      <w:r w:rsidR="00530574" w:rsidRPr="00C332F1">
        <w:rPr>
          <w:rFonts w:cs="Open Sans"/>
          <w:color w:val="auto"/>
          <w:shd w:val="clear" w:color="auto" w:fill="FFFFFF"/>
          <w:lang w:val="es-US"/>
        </w:rPr>
        <w:t>o en marcha prácticas de terrorismo de Estado para infundir terror en la población, aplacar las protestas</w:t>
      </w:r>
      <w:r w:rsidR="003C0B6F" w:rsidRPr="00C332F1">
        <w:rPr>
          <w:rFonts w:cs="Open Sans"/>
          <w:color w:val="auto"/>
          <w:shd w:val="clear" w:color="auto" w:fill="FFFFFF"/>
          <w:lang w:val="es-US"/>
        </w:rPr>
        <w:t xml:space="preserve"> y silencia</w:t>
      </w:r>
      <w:r w:rsidR="001D7319" w:rsidRPr="00C332F1">
        <w:rPr>
          <w:rFonts w:cs="Open Sans"/>
          <w:color w:val="auto"/>
          <w:shd w:val="clear" w:color="auto" w:fill="FFFFFF"/>
          <w:lang w:val="es-US"/>
        </w:rPr>
        <w:t>r</w:t>
      </w:r>
      <w:r w:rsidR="003C0B6F" w:rsidRPr="00C332F1">
        <w:rPr>
          <w:rFonts w:cs="Open Sans"/>
          <w:color w:val="auto"/>
          <w:shd w:val="clear" w:color="auto" w:fill="FFFFFF"/>
          <w:lang w:val="es-US"/>
        </w:rPr>
        <w:t xml:space="preserve"> la ciudadanía</w:t>
      </w:r>
      <w:r w:rsidR="001D7319" w:rsidRPr="00C332F1">
        <w:rPr>
          <w:rFonts w:cs="Open Sans"/>
          <w:color w:val="auto"/>
          <w:shd w:val="clear" w:color="auto" w:fill="FFFFFF"/>
          <w:lang w:val="es-US"/>
        </w:rPr>
        <w:t xml:space="preserve"> inconforme</w:t>
      </w:r>
      <w:r w:rsidR="003C0B6F" w:rsidRPr="00C332F1">
        <w:rPr>
          <w:rFonts w:cs="Open Sans"/>
          <w:color w:val="auto"/>
          <w:shd w:val="clear" w:color="auto" w:fill="FFFFFF"/>
          <w:lang w:val="es-US"/>
        </w:rPr>
        <w:t xml:space="preserve">. Entre los principales perpetradores están las fuerzas de seguridad del Estado </w:t>
      </w:r>
      <w:r w:rsidR="000A5391" w:rsidRPr="00C332F1">
        <w:rPr>
          <w:rFonts w:cs="Open Sans"/>
          <w:color w:val="auto"/>
          <w:shd w:val="clear" w:color="auto" w:fill="FFFFFF"/>
          <w:lang w:val="es-US"/>
        </w:rPr>
        <w:t xml:space="preserve">y grupos armados no estatales afines al oficialismo, conocidos como </w:t>
      </w:r>
      <w:r w:rsidR="00FA0A00" w:rsidRPr="00C332F1">
        <w:rPr>
          <w:rFonts w:cs="Open Sans"/>
          <w:color w:val="auto"/>
          <w:shd w:val="clear" w:color="auto" w:fill="FFFFFF"/>
          <w:lang w:val="es-US"/>
        </w:rPr>
        <w:t>“</w:t>
      </w:r>
      <w:r w:rsidR="000A5391" w:rsidRPr="00C332F1">
        <w:rPr>
          <w:rFonts w:cs="Open Sans"/>
          <w:color w:val="auto"/>
          <w:shd w:val="clear" w:color="auto" w:fill="FFFFFF"/>
          <w:lang w:val="es-US"/>
        </w:rPr>
        <w:t>colectivos</w:t>
      </w:r>
      <w:r w:rsidR="00FA0A00" w:rsidRPr="00C332F1">
        <w:rPr>
          <w:rFonts w:cs="Open Sans"/>
          <w:color w:val="auto"/>
          <w:shd w:val="clear" w:color="auto" w:fill="FFFFFF"/>
          <w:lang w:val="es-US"/>
        </w:rPr>
        <w:t>”</w:t>
      </w:r>
      <w:r w:rsidR="00A14F05">
        <w:rPr>
          <w:rFonts w:ascii="ZWAdobeF" w:hAnsi="ZWAdobeF" w:cs="ZWAdobeF"/>
          <w:color w:val="auto"/>
          <w:sz w:val="2"/>
          <w:szCs w:val="2"/>
          <w:shd w:val="clear" w:color="auto" w:fill="FFFFFF"/>
          <w:lang w:val="es-US"/>
        </w:rPr>
        <w:t>65F</w:t>
      </w:r>
      <w:r w:rsidR="00C53970" w:rsidRPr="005C52BD">
        <w:rPr>
          <w:rStyle w:val="FootnoteReference"/>
          <w:rFonts w:cs="Open Sans"/>
          <w:color w:val="auto"/>
          <w:sz w:val="20"/>
          <w:szCs w:val="20"/>
          <w:shd w:val="clear" w:color="auto" w:fill="FFFFFF"/>
          <w:lang w:val="es-US"/>
        </w:rPr>
        <w:footnoteReference w:id="67"/>
      </w:r>
      <w:r w:rsidR="00FF1065" w:rsidRPr="00C332F1">
        <w:rPr>
          <w:color w:val="auto"/>
        </w:rPr>
        <w:t xml:space="preserve">, que </w:t>
      </w:r>
      <w:r w:rsidR="00FF1065" w:rsidRPr="00C332F1">
        <w:rPr>
          <w:rFonts w:cs="Open Sans"/>
          <w:color w:val="auto"/>
          <w:shd w:val="clear" w:color="auto" w:fill="FFFFFF"/>
          <w:lang w:val="es-US"/>
        </w:rPr>
        <w:t xml:space="preserve">están incorporados legalmente en el </w:t>
      </w:r>
      <w:r w:rsidR="00FA0A00" w:rsidRPr="00C332F1">
        <w:rPr>
          <w:rFonts w:cs="Open Sans"/>
          <w:color w:val="auto"/>
          <w:shd w:val="clear" w:color="auto" w:fill="FFFFFF"/>
          <w:lang w:val="es-US"/>
        </w:rPr>
        <w:t>“</w:t>
      </w:r>
      <w:r w:rsidR="00FF1065" w:rsidRPr="00C332F1">
        <w:rPr>
          <w:rFonts w:cs="Open Sans"/>
          <w:color w:val="auto"/>
          <w:shd w:val="clear" w:color="auto" w:fill="FFFFFF"/>
          <w:lang w:val="es-US"/>
        </w:rPr>
        <w:t>Sistema Popular de Protección para la Paz</w:t>
      </w:r>
      <w:r w:rsidR="00FA0A00" w:rsidRPr="00C332F1">
        <w:rPr>
          <w:rFonts w:cs="Open Sans"/>
          <w:color w:val="auto"/>
          <w:shd w:val="clear" w:color="auto" w:fill="FFFFFF"/>
          <w:lang w:val="es-US"/>
        </w:rPr>
        <w:t>”</w:t>
      </w:r>
      <w:r w:rsidR="00A14F05">
        <w:rPr>
          <w:rFonts w:ascii="ZWAdobeF" w:hAnsi="ZWAdobeF" w:cs="ZWAdobeF"/>
          <w:color w:val="auto"/>
          <w:sz w:val="2"/>
          <w:szCs w:val="2"/>
          <w:shd w:val="clear" w:color="auto" w:fill="FFFFFF"/>
          <w:lang w:val="es-US"/>
        </w:rPr>
        <w:t>66F</w:t>
      </w:r>
      <w:r w:rsidR="00FF1065" w:rsidRPr="005C52BD">
        <w:rPr>
          <w:rStyle w:val="FootnoteReference"/>
          <w:color w:val="auto"/>
          <w:sz w:val="20"/>
          <w:szCs w:val="20"/>
          <w:shd w:val="clear" w:color="auto" w:fill="FFFFFF"/>
          <w:lang w:val="es-US"/>
        </w:rPr>
        <w:footnoteReference w:id="68"/>
      </w:r>
      <w:r w:rsidR="00FF1065" w:rsidRPr="00C332F1">
        <w:rPr>
          <w:rFonts w:cs="Open Sans"/>
          <w:color w:val="auto"/>
          <w:shd w:val="clear" w:color="auto" w:fill="FFFFFF"/>
          <w:lang w:val="es-US"/>
        </w:rPr>
        <w:t>.</w:t>
      </w:r>
    </w:p>
    <w:p w14:paraId="56A1FA76" w14:textId="30B2C599" w:rsidR="000A5391" w:rsidRPr="00C332F1" w:rsidRDefault="000A5391" w:rsidP="00A703B7">
      <w:pPr>
        <w:pStyle w:val="IAPrrafo"/>
        <w:rPr>
          <w:color w:val="auto"/>
          <w:szCs w:val="20"/>
        </w:rPr>
      </w:pPr>
      <w:r w:rsidRPr="00C332F1">
        <w:rPr>
          <w:rFonts w:cs="Open Sans"/>
          <w:color w:val="auto"/>
          <w:shd w:val="clear" w:color="auto" w:fill="FFFFFF"/>
          <w:lang w:val="es-US"/>
        </w:rPr>
        <w:t>La represión reflejó patrones ya observados por la CIDH en las protestas de 2014 y 2017, como el</w:t>
      </w:r>
      <w:r w:rsidRPr="00C332F1">
        <w:rPr>
          <w:rFonts w:cs="Open Sans"/>
          <w:b/>
          <w:bCs/>
          <w:color w:val="auto"/>
          <w:shd w:val="clear" w:color="auto" w:fill="FFFFFF"/>
          <w:lang w:val="es-US"/>
        </w:rPr>
        <w:t xml:space="preserve"> </w:t>
      </w:r>
      <w:r w:rsidRPr="00C332F1">
        <w:rPr>
          <w:rFonts w:cs="Open Sans"/>
          <w:color w:val="auto"/>
          <w:shd w:val="clear" w:color="auto" w:fill="FFFFFF"/>
          <w:lang w:val="es-US"/>
        </w:rPr>
        <w:t xml:space="preserve">uso arbitrario de la fuerza, resultando en pérdidas de vidas humanas y personas heridas; detenciones arbitrarias y desapariciones forzadas de corta duración; persecución judicial y hostigamiento contra personas percibidas como opositoras y </w:t>
      </w:r>
      <w:r w:rsidR="00B17A65" w:rsidRPr="00C332F1">
        <w:rPr>
          <w:rFonts w:cs="Open Sans"/>
          <w:color w:val="auto"/>
          <w:shd w:val="clear" w:color="auto" w:fill="FFFFFF"/>
          <w:lang w:val="es-US"/>
        </w:rPr>
        <w:t>observadoras</w:t>
      </w:r>
      <w:r w:rsidRPr="00C332F1">
        <w:rPr>
          <w:rFonts w:cs="Open Sans"/>
          <w:color w:val="auto"/>
          <w:shd w:val="clear" w:color="auto" w:fill="FFFFFF"/>
          <w:lang w:val="es-US"/>
        </w:rPr>
        <w:t xml:space="preserve"> electorales; censura y restricciones a las libertades de expresión, asociación y reunión pacífica.</w:t>
      </w:r>
      <w:r w:rsidR="00D86979" w:rsidRPr="00C332F1">
        <w:rPr>
          <w:rFonts w:cs="Open Sans"/>
          <w:color w:val="auto"/>
          <w:shd w:val="clear" w:color="auto" w:fill="FFFFFF"/>
          <w:lang w:val="es-US"/>
        </w:rPr>
        <w:t xml:space="preserve"> </w:t>
      </w:r>
      <w:r w:rsidR="00FC0535" w:rsidRPr="00C332F1">
        <w:rPr>
          <w:rFonts w:cs="Open Sans"/>
          <w:color w:val="auto"/>
          <w:shd w:val="clear" w:color="auto" w:fill="FFFFFF"/>
          <w:lang w:val="es-US"/>
        </w:rPr>
        <w:t>Adicionalmente</w:t>
      </w:r>
      <w:r w:rsidR="005801DF" w:rsidRPr="00C332F1">
        <w:rPr>
          <w:rFonts w:cs="Open Sans"/>
          <w:color w:val="auto"/>
          <w:shd w:val="clear" w:color="auto" w:fill="FFFFFF"/>
          <w:lang w:val="es-US"/>
        </w:rPr>
        <w:t>, se observaron nuevos y graves patrones represivos dirigidos a</w:t>
      </w:r>
      <w:r w:rsidR="00FC0535" w:rsidRPr="00C332F1">
        <w:rPr>
          <w:rFonts w:cs="Open Sans"/>
          <w:color w:val="auto"/>
          <w:shd w:val="clear" w:color="auto" w:fill="FFFFFF"/>
          <w:lang w:val="es-US"/>
        </w:rPr>
        <w:t xml:space="preserve"> </w:t>
      </w:r>
      <w:r w:rsidR="00F13D2F" w:rsidRPr="00C332F1">
        <w:rPr>
          <w:rFonts w:cs="Open Sans"/>
          <w:color w:val="auto"/>
          <w:shd w:val="clear" w:color="auto" w:fill="FFFFFF"/>
          <w:lang w:val="es-US"/>
        </w:rPr>
        <w:t>amedrentar</w:t>
      </w:r>
      <w:r w:rsidR="00FC0535" w:rsidRPr="00C332F1">
        <w:rPr>
          <w:rFonts w:cs="Open Sans"/>
          <w:color w:val="auto"/>
          <w:shd w:val="clear" w:color="auto" w:fill="FFFFFF"/>
          <w:lang w:val="es-US"/>
        </w:rPr>
        <w:t>, como la cancelación abrupta y arbitraria de pasaportes de personas defensoras de derechos humanos y periodistas</w:t>
      </w:r>
      <w:r w:rsidR="006C467A" w:rsidRPr="00C332F1">
        <w:rPr>
          <w:rFonts w:cs="Open Sans"/>
          <w:color w:val="auto"/>
          <w:shd w:val="clear" w:color="auto" w:fill="FFFFFF"/>
          <w:lang w:val="es-US"/>
        </w:rPr>
        <w:t>, así como de sus familiares</w:t>
      </w:r>
      <w:r w:rsidR="00D92CEE" w:rsidRPr="00C332F1">
        <w:rPr>
          <w:rFonts w:cs="Open Sans"/>
          <w:color w:val="auto"/>
          <w:shd w:val="clear" w:color="auto" w:fill="FFFFFF"/>
          <w:lang w:val="es-US"/>
        </w:rPr>
        <w:t>. Ello</w:t>
      </w:r>
      <w:r w:rsidR="00BD6635" w:rsidRPr="00C332F1">
        <w:rPr>
          <w:rFonts w:cs="Open Sans"/>
          <w:color w:val="auto"/>
          <w:shd w:val="clear" w:color="auto" w:fill="FFFFFF"/>
          <w:lang w:val="es-US"/>
        </w:rPr>
        <w:t xml:space="preserve"> con el fin de </w:t>
      </w:r>
      <w:r w:rsidR="00BE3280" w:rsidRPr="00C332F1">
        <w:rPr>
          <w:rFonts w:cs="Open Sans"/>
          <w:color w:val="auto"/>
          <w:shd w:val="clear" w:color="auto" w:fill="FFFFFF"/>
          <w:lang w:val="es-US"/>
        </w:rPr>
        <w:t xml:space="preserve">impedir </w:t>
      </w:r>
      <w:r w:rsidR="00BD6635" w:rsidRPr="00C332F1">
        <w:rPr>
          <w:rFonts w:cs="Open Sans"/>
          <w:color w:val="auto"/>
          <w:shd w:val="clear" w:color="auto" w:fill="FFFFFF"/>
          <w:lang w:val="es-US"/>
        </w:rPr>
        <w:t>su salida del país</w:t>
      </w:r>
      <w:r w:rsidR="00BE3280" w:rsidRPr="00C332F1">
        <w:rPr>
          <w:rFonts w:cs="Open Sans"/>
          <w:color w:val="auto"/>
          <w:shd w:val="clear" w:color="auto" w:fill="FFFFFF"/>
          <w:lang w:val="es-US"/>
        </w:rPr>
        <w:t xml:space="preserve">, en </w:t>
      </w:r>
      <w:r w:rsidR="00D92CEE" w:rsidRPr="00C332F1">
        <w:rPr>
          <w:rFonts w:cs="Open Sans"/>
          <w:color w:val="auto"/>
          <w:shd w:val="clear" w:color="auto" w:fill="FFFFFF"/>
          <w:lang w:val="es-US"/>
        </w:rPr>
        <w:t xml:space="preserve">grave </w:t>
      </w:r>
      <w:r w:rsidR="00BE3280" w:rsidRPr="00C332F1">
        <w:rPr>
          <w:rFonts w:cs="Open Sans"/>
          <w:color w:val="auto"/>
          <w:shd w:val="clear" w:color="auto" w:fill="FFFFFF"/>
          <w:lang w:val="es-US"/>
        </w:rPr>
        <w:t>afectación de su derecho a la libre circulación</w:t>
      </w:r>
      <w:r w:rsidR="00A14F05">
        <w:rPr>
          <w:rFonts w:ascii="ZWAdobeF" w:hAnsi="ZWAdobeF" w:cs="ZWAdobeF"/>
          <w:color w:val="auto"/>
          <w:sz w:val="2"/>
          <w:szCs w:val="2"/>
          <w:shd w:val="clear" w:color="auto" w:fill="FFFFFF"/>
          <w:lang w:val="es-US"/>
        </w:rPr>
        <w:t>67F</w:t>
      </w:r>
      <w:r w:rsidR="00C53970" w:rsidRPr="005C52BD">
        <w:rPr>
          <w:rStyle w:val="FootnoteReference"/>
          <w:rFonts w:cs="Open Sans"/>
          <w:color w:val="auto"/>
          <w:sz w:val="20"/>
          <w:szCs w:val="20"/>
          <w:shd w:val="clear" w:color="auto" w:fill="FFFFFF"/>
          <w:lang w:val="es-US"/>
        </w:rPr>
        <w:footnoteReference w:id="69"/>
      </w:r>
      <w:r w:rsidR="00FC0535" w:rsidRPr="00C332F1">
        <w:rPr>
          <w:rFonts w:cs="Open Sans"/>
          <w:color w:val="auto"/>
          <w:shd w:val="clear" w:color="auto" w:fill="FFFFFF"/>
          <w:lang w:val="es-US"/>
        </w:rPr>
        <w:t>.</w:t>
      </w:r>
    </w:p>
    <w:p w14:paraId="466A7359" w14:textId="79D2D4A3" w:rsidR="00573CEF" w:rsidRPr="00C332F1" w:rsidRDefault="00573CEF" w:rsidP="00C27B1B">
      <w:pPr>
        <w:numPr>
          <w:ilvl w:val="0"/>
          <w:numId w:val="15"/>
        </w:numPr>
        <w:spacing w:after="240"/>
        <w:jc w:val="both"/>
        <w:rPr>
          <w:rFonts w:ascii="Cambria" w:hAnsi="Cambria"/>
          <w:sz w:val="20"/>
          <w:szCs w:val="20"/>
          <w:shd w:val="clear" w:color="auto" w:fill="FFFFFF"/>
          <w:lang w:val="es-US"/>
        </w:rPr>
      </w:pPr>
      <w:r w:rsidRPr="00C332F1">
        <w:rPr>
          <w:rFonts w:ascii="Cambria" w:hAnsi="Cambria"/>
          <w:sz w:val="20"/>
          <w:szCs w:val="20"/>
          <w:lang w:val="es-US"/>
        </w:rPr>
        <w:t xml:space="preserve">Una característica distintiva de este pico represivo es que las más altas autoridades del régimen y las fuerzas de seguridad contribuyeron a alimentar el clima de terror con sus declaraciones y publicaciones en redes sociales. </w:t>
      </w:r>
      <w:r w:rsidR="00883739" w:rsidRPr="00C332F1">
        <w:rPr>
          <w:rFonts w:ascii="Cambria" w:hAnsi="Cambria"/>
          <w:sz w:val="20"/>
          <w:szCs w:val="20"/>
          <w:lang w:val="es-US"/>
        </w:rPr>
        <w:t>Como fuera indicado, e</w:t>
      </w:r>
      <w:r w:rsidRPr="00C332F1">
        <w:rPr>
          <w:rFonts w:ascii="Cambria" w:hAnsi="Cambria"/>
          <w:sz w:val="20"/>
          <w:szCs w:val="20"/>
          <w:lang w:val="es-US"/>
        </w:rPr>
        <w:t xml:space="preserve">l 17 de julio, durante un acto proselitista, Nicolás Maduro advirtió sobre un </w:t>
      </w:r>
      <w:r w:rsidR="00E43BDC" w:rsidRPr="00C332F1">
        <w:rPr>
          <w:rFonts w:ascii="Cambria" w:hAnsi="Cambria"/>
          <w:sz w:val="20"/>
          <w:szCs w:val="20"/>
          <w:lang w:val="es-US"/>
        </w:rPr>
        <w:t>“</w:t>
      </w:r>
      <w:r w:rsidRPr="00C332F1">
        <w:rPr>
          <w:rFonts w:ascii="Cambria" w:hAnsi="Cambria"/>
          <w:sz w:val="20"/>
          <w:szCs w:val="20"/>
          <w:lang w:val="es-US"/>
        </w:rPr>
        <w:t>baño de sangre y una guerra civil en el país</w:t>
      </w:r>
      <w:r w:rsidR="00E43BDC" w:rsidRPr="00C332F1">
        <w:rPr>
          <w:rFonts w:ascii="Cambria" w:hAnsi="Cambria"/>
          <w:sz w:val="20"/>
          <w:szCs w:val="20"/>
          <w:lang w:val="es-US"/>
        </w:rPr>
        <w:t>”</w:t>
      </w:r>
      <w:r w:rsidRPr="00C332F1">
        <w:rPr>
          <w:rFonts w:ascii="Cambria" w:hAnsi="Cambria"/>
          <w:sz w:val="20"/>
          <w:szCs w:val="20"/>
          <w:lang w:val="es-US"/>
        </w:rPr>
        <w:t xml:space="preserve"> en caso de que la oposición lograra una victoria electoral</w:t>
      </w:r>
      <w:r w:rsidR="00A14F05">
        <w:rPr>
          <w:rFonts w:ascii="ZWAdobeF" w:hAnsi="ZWAdobeF" w:cs="ZWAdobeF"/>
          <w:sz w:val="2"/>
          <w:szCs w:val="2"/>
          <w:lang w:val="es-US"/>
        </w:rPr>
        <w:t>68F</w:t>
      </w:r>
      <w:r w:rsidRPr="005C52BD">
        <w:rPr>
          <w:rStyle w:val="FootnoteReference"/>
          <w:rFonts w:ascii="Cambria" w:hAnsi="Cambria"/>
          <w:sz w:val="20"/>
          <w:szCs w:val="20"/>
          <w:shd w:val="clear" w:color="auto" w:fill="FFFFFF"/>
          <w:lang w:val="es-US"/>
        </w:rPr>
        <w:footnoteReference w:id="70"/>
      </w:r>
      <w:r w:rsidRPr="00C332F1">
        <w:rPr>
          <w:rFonts w:ascii="Cambria" w:hAnsi="Cambria"/>
          <w:sz w:val="20"/>
          <w:szCs w:val="20"/>
          <w:lang w:val="es-US"/>
        </w:rPr>
        <w:t xml:space="preserve">. El </w:t>
      </w:r>
      <w:r w:rsidR="005E4EB1" w:rsidRPr="00C332F1">
        <w:rPr>
          <w:rFonts w:ascii="Cambria" w:hAnsi="Cambria"/>
          <w:sz w:val="20"/>
          <w:szCs w:val="20"/>
          <w:lang w:val="es-US"/>
        </w:rPr>
        <w:t>5</w:t>
      </w:r>
      <w:r w:rsidRPr="00C332F1">
        <w:rPr>
          <w:rFonts w:ascii="Cambria" w:hAnsi="Cambria"/>
          <w:sz w:val="20"/>
          <w:szCs w:val="20"/>
          <w:lang w:val="es-US"/>
        </w:rPr>
        <w:t xml:space="preserve"> de agosto, también en un acto público, el presidente Nicolás Maduro hizo referencia a la “Operación Tun Tun”, cuyo nombre alude a</w:t>
      </w:r>
      <w:r w:rsidR="000B3E7D" w:rsidRPr="00C332F1">
        <w:rPr>
          <w:rFonts w:ascii="Cambria" w:hAnsi="Cambria"/>
          <w:sz w:val="20"/>
          <w:szCs w:val="20"/>
          <w:lang w:val="es-US"/>
        </w:rPr>
        <w:t xml:space="preserve"> </w:t>
      </w:r>
      <w:r w:rsidRPr="00C332F1">
        <w:rPr>
          <w:rFonts w:ascii="Cambria" w:hAnsi="Cambria"/>
          <w:sz w:val="20"/>
          <w:szCs w:val="20"/>
          <w:lang w:val="es-US"/>
        </w:rPr>
        <w:t>l</w:t>
      </w:r>
      <w:r w:rsidR="000B3E7D" w:rsidRPr="00C332F1">
        <w:rPr>
          <w:rFonts w:ascii="Cambria" w:hAnsi="Cambria"/>
          <w:sz w:val="20"/>
          <w:szCs w:val="20"/>
          <w:lang w:val="es-US"/>
        </w:rPr>
        <w:t>os golpes</w:t>
      </w:r>
      <w:r w:rsidR="0055307A" w:rsidRPr="00C332F1">
        <w:rPr>
          <w:rFonts w:ascii="Cambria" w:hAnsi="Cambria"/>
          <w:sz w:val="20"/>
          <w:szCs w:val="20"/>
          <w:lang w:val="es-US"/>
        </w:rPr>
        <w:t xml:space="preserve"> a las puertas de las residenc</w:t>
      </w:r>
      <w:r w:rsidR="008E3540" w:rsidRPr="00C332F1">
        <w:rPr>
          <w:rFonts w:ascii="Cambria" w:hAnsi="Cambria"/>
          <w:sz w:val="20"/>
          <w:szCs w:val="20"/>
          <w:lang w:val="es-US"/>
        </w:rPr>
        <w:t>i</w:t>
      </w:r>
      <w:r w:rsidR="0055307A" w:rsidRPr="00C332F1">
        <w:rPr>
          <w:rFonts w:ascii="Cambria" w:hAnsi="Cambria"/>
          <w:sz w:val="20"/>
          <w:szCs w:val="20"/>
          <w:lang w:val="es-US"/>
        </w:rPr>
        <w:t xml:space="preserve">as de personas </w:t>
      </w:r>
      <w:r w:rsidR="009D266F" w:rsidRPr="00C332F1">
        <w:rPr>
          <w:rFonts w:ascii="Cambria" w:hAnsi="Cambria"/>
          <w:sz w:val="20"/>
          <w:szCs w:val="20"/>
          <w:lang w:val="es-US"/>
        </w:rPr>
        <w:t>sospechosas de haber participado en las protestas, por parte de fuerzas de seguridad</w:t>
      </w:r>
      <w:r w:rsidR="00B4590F" w:rsidRPr="00C332F1">
        <w:rPr>
          <w:rFonts w:ascii="Cambria" w:hAnsi="Cambria"/>
          <w:sz w:val="20"/>
          <w:szCs w:val="20"/>
          <w:lang w:val="es-US"/>
        </w:rPr>
        <w:t xml:space="preserve">, </w:t>
      </w:r>
      <w:r w:rsidR="00023E34" w:rsidRPr="00C332F1">
        <w:rPr>
          <w:rFonts w:ascii="Cambria" w:hAnsi="Cambria"/>
          <w:sz w:val="20"/>
          <w:szCs w:val="20"/>
          <w:lang w:val="es-US"/>
        </w:rPr>
        <w:t>para su ubicación y</w:t>
      </w:r>
      <w:r w:rsidR="00B4590F" w:rsidRPr="00C332F1">
        <w:rPr>
          <w:rFonts w:ascii="Cambria" w:hAnsi="Cambria"/>
          <w:sz w:val="20"/>
          <w:szCs w:val="20"/>
          <w:lang w:val="es-US"/>
        </w:rPr>
        <w:t xml:space="preserve"> detención</w:t>
      </w:r>
      <w:r w:rsidRPr="00C332F1">
        <w:rPr>
          <w:rFonts w:ascii="Cambria" w:hAnsi="Cambria"/>
          <w:sz w:val="20"/>
          <w:szCs w:val="20"/>
          <w:lang w:val="es-US"/>
        </w:rPr>
        <w:t xml:space="preserve">. En este contexto, el mandatario </w:t>
      </w:r>
      <w:r w:rsidR="000C41E7" w:rsidRPr="00C332F1">
        <w:rPr>
          <w:rFonts w:ascii="Cambria" w:hAnsi="Cambria"/>
          <w:sz w:val="20"/>
          <w:szCs w:val="20"/>
          <w:lang w:val="es-US"/>
        </w:rPr>
        <w:t>cantó</w:t>
      </w:r>
      <w:r w:rsidR="003C7B89" w:rsidRPr="00C332F1">
        <w:rPr>
          <w:rFonts w:ascii="Cambria" w:hAnsi="Cambria"/>
          <w:sz w:val="20"/>
          <w:szCs w:val="20"/>
          <w:lang w:val="es-US"/>
        </w:rPr>
        <w:t xml:space="preserve"> </w:t>
      </w:r>
      <w:r w:rsidR="00575112" w:rsidRPr="00C332F1">
        <w:rPr>
          <w:rFonts w:ascii="Cambria" w:hAnsi="Cambria"/>
          <w:sz w:val="20"/>
          <w:szCs w:val="20"/>
          <w:lang w:val="es-US"/>
        </w:rPr>
        <w:t>una melodía tradicional navideña con la letr</w:t>
      </w:r>
      <w:r w:rsidRPr="00C332F1">
        <w:rPr>
          <w:rFonts w:ascii="Cambria" w:hAnsi="Cambria"/>
          <w:sz w:val="20"/>
          <w:szCs w:val="20"/>
          <w:lang w:val="es-US"/>
        </w:rPr>
        <w:t>a “no seas llorón, vas pa’ Tocorón”, en alusión a un centro penitenciario ubicado en el estado Aragua</w:t>
      </w:r>
      <w:r w:rsidR="00A14F05">
        <w:rPr>
          <w:rFonts w:ascii="ZWAdobeF" w:hAnsi="ZWAdobeF" w:cs="ZWAdobeF"/>
          <w:sz w:val="2"/>
          <w:szCs w:val="2"/>
          <w:lang w:val="es-US"/>
        </w:rPr>
        <w:t>69F</w:t>
      </w:r>
      <w:r w:rsidRPr="005C52BD">
        <w:rPr>
          <w:rStyle w:val="FootnoteReference"/>
          <w:rFonts w:ascii="Cambria" w:hAnsi="Cambria"/>
          <w:sz w:val="20"/>
          <w:szCs w:val="20"/>
          <w:lang w:val="es-US"/>
        </w:rPr>
        <w:footnoteReference w:id="71"/>
      </w:r>
      <w:r w:rsidRPr="00C332F1">
        <w:rPr>
          <w:rFonts w:ascii="Cambria" w:hAnsi="Cambria"/>
          <w:sz w:val="20"/>
          <w:szCs w:val="20"/>
          <w:lang w:val="es-US"/>
        </w:rPr>
        <w:t>.</w:t>
      </w:r>
    </w:p>
    <w:p w14:paraId="77061D3F" w14:textId="7BBCAC8C" w:rsidR="007B44FD" w:rsidRPr="00C332F1" w:rsidRDefault="009303D3" w:rsidP="00C27B1B">
      <w:pPr>
        <w:numPr>
          <w:ilvl w:val="0"/>
          <w:numId w:val="15"/>
        </w:numPr>
        <w:spacing w:after="240"/>
        <w:jc w:val="both"/>
        <w:rPr>
          <w:rFonts w:ascii="Cambria" w:hAnsi="Cambria"/>
          <w:sz w:val="20"/>
          <w:szCs w:val="20"/>
          <w:shd w:val="clear" w:color="auto" w:fill="FFFFFF"/>
          <w:lang w:val="es-US"/>
        </w:rPr>
      </w:pPr>
      <w:r w:rsidRPr="00C332F1">
        <w:rPr>
          <w:rFonts w:ascii="Cambria" w:hAnsi="Cambria"/>
          <w:sz w:val="20"/>
          <w:szCs w:val="20"/>
          <w:shd w:val="clear" w:color="auto" w:fill="FFFFFF"/>
          <w:lang w:val="es-US"/>
        </w:rPr>
        <w:t xml:space="preserve">El 7 de agosto, el entonces diputado Diosdado Cabello, y quien sería posteriormente designado como </w:t>
      </w:r>
      <w:r w:rsidR="00D013FB" w:rsidRPr="00C332F1">
        <w:rPr>
          <w:rFonts w:ascii="Cambria" w:hAnsi="Cambria"/>
          <w:sz w:val="20"/>
          <w:szCs w:val="20"/>
          <w:shd w:val="clear" w:color="auto" w:fill="FFFFFF"/>
          <w:lang w:val="es-US"/>
        </w:rPr>
        <w:t>Ministro del Interior</w:t>
      </w:r>
      <w:r w:rsidR="000B36A0" w:rsidRPr="00C332F1">
        <w:rPr>
          <w:rFonts w:ascii="Cambria" w:hAnsi="Cambria"/>
          <w:sz w:val="20"/>
          <w:szCs w:val="20"/>
          <w:shd w:val="clear" w:color="auto" w:fill="FFFFFF"/>
          <w:lang w:val="es-US"/>
        </w:rPr>
        <w:t xml:space="preserve">, </w:t>
      </w:r>
      <w:r w:rsidR="00917C06" w:rsidRPr="00C332F1">
        <w:rPr>
          <w:rFonts w:ascii="Cambria" w:hAnsi="Cambria"/>
          <w:sz w:val="20"/>
          <w:szCs w:val="20"/>
          <w:shd w:val="clear" w:color="auto" w:fill="FFFFFF"/>
          <w:lang w:val="es-US"/>
        </w:rPr>
        <w:t xml:space="preserve">dijo </w:t>
      </w:r>
      <w:r w:rsidR="00BE0B86" w:rsidRPr="00C332F1">
        <w:rPr>
          <w:rFonts w:ascii="Cambria" w:hAnsi="Cambria"/>
          <w:sz w:val="20"/>
          <w:szCs w:val="20"/>
          <w:shd w:val="clear" w:color="auto" w:fill="FFFFFF"/>
          <w:lang w:val="es-US"/>
        </w:rPr>
        <w:t xml:space="preserve">durante </w:t>
      </w:r>
      <w:r w:rsidR="00151D6E" w:rsidRPr="00C332F1">
        <w:rPr>
          <w:rFonts w:ascii="Cambria" w:hAnsi="Cambria"/>
          <w:sz w:val="20"/>
          <w:szCs w:val="20"/>
          <w:shd w:val="clear" w:color="auto" w:fill="FFFFFF"/>
          <w:lang w:val="es-US"/>
        </w:rPr>
        <w:t xml:space="preserve">un </w:t>
      </w:r>
      <w:r w:rsidR="00BE0B86" w:rsidRPr="00C332F1">
        <w:rPr>
          <w:rFonts w:ascii="Cambria" w:hAnsi="Cambria"/>
          <w:sz w:val="20"/>
          <w:szCs w:val="20"/>
          <w:shd w:val="clear" w:color="auto" w:fill="FFFFFF"/>
          <w:lang w:val="es-US"/>
        </w:rPr>
        <w:t>programa de televisión que,</w:t>
      </w:r>
      <w:r w:rsidR="00917C06" w:rsidRPr="00C332F1">
        <w:rPr>
          <w:rFonts w:ascii="Cambria" w:hAnsi="Cambria"/>
          <w:sz w:val="20"/>
          <w:szCs w:val="20"/>
          <w:shd w:val="clear" w:color="auto" w:fill="FFFFFF"/>
          <w:lang w:val="es-US"/>
        </w:rPr>
        <w:t xml:space="preserve"> en el marco de la “Operación Tun</w:t>
      </w:r>
      <w:r w:rsidR="00B31875" w:rsidRPr="00C332F1">
        <w:rPr>
          <w:rFonts w:ascii="Cambria" w:hAnsi="Cambria"/>
          <w:sz w:val="20"/>
          <w:szCs w:val="20"/>
          <w:shd w:val="clear" w:color="auto" w:fill="FFFFFF"/>
          <w:lang w:val="es-US"/>
        </w:rPr>
        <w:t xml:space="preserve"> Tun”</w:t>
      </w:r>
      <w:r w:rsidR="00A14F05">
        <w:rPr>
          <w:rFonts w:ascii="ZWAdobeF" w:hAnsi="ZWAdobeF" w:cs="ZWAdobeF"/>
          <w:sz w:val="2"/>
          <w:szCs w:val="2"/>
          <w:shd w:val="clear" w:color="auto" w:fill="FFFFFF"/>
          <w:lang w:val="es-US"/>
        </w:rPr>
        <w:t>70F</w:t>
      </w:r>
      <w:r w:rsidR="009F0B8C" w:rsidRPr="005C52BD">
        <w:rPr>
          <w:rStyle w:val="FootnoteReference"/>
          <w:rFonts w:ascii="Cambria" w:hAnsi="Cambria"/>
          <w:sz w:val="20"/>
          <w:szCs w:val="20"/>
          <w:shd w:val="clear" w:color="auto" w:fill="FFFFFF"/>
          <w:lang w:val="es-US"/>
        </w:rPr>
        <w:footnoteReference w:id="72"/>
      </w:r>
      <w:r w:rsidR="00BE0B86" w:rsidRPr="00C332F1">
        <w:rPr>
          <w:rFonts w:ascii="Cambria" w:hAnsi="Cambria"/>
          <w:sz w:val="20"/>
          <w:szCs w:val="20"/>
          <w:shd w:val="clear" w:color="auto" w:fill="FFFFFF"/>
          <w:lang w:val="es-US"/>
        </w:rPr>
        <w:t>,</w:t>
      </w:r>
      <w:r w:rsidR="00B31875" w:rsidRPr="00C332F1">
        <w:rPr>
          <w:rFonts w:ascii="Cambria" w:hAnsi="Cambria"/>
          <w:sz w:val="20"/>
          <w:szCs w:val="20"/>
          <w:shd w:val="clear" w:color="auto" w:fill="FFFFFF"/>
          <w:lang w:val="es-US"/>
        </w:rPr>
        <w:t xml:space="preserve"> serían arrestad</w:t>
      </w:r>
      <w:r w:rsidR="00DA6449" w:rsidRPr="00C332F1">
        <w:rPr>
          <w:rFonts w:ascii="Cambria" w:hAnsi="Cambria"/>
          <w:sz w:val="20"/>
          <w:szCs w:val="20"/>
          <w:shd w:val="clear" w:color="auto" w:fill="FFFFFF"/>
          <w:lang w:val="es-US"/>
        </w:rPr>
        <w:t xml:space="preserve">as las personas </w:t>
      </w:r>
      <w:r w:rsidR="00B31875" w:rsidRPr="00C332F1">
        <w:rPr>
          <w:rFonts w:ascii="Cambria" w:hAnsi="Cambria"/>
          <w:sz w:val="20"/>
          <w:szCs w:val="20"/>
          <w:shd w:val="clear" w:color="auto" w:fill="FFFFFF"/>
          <w:lang w:val="es-US"/>
        </w:rPr>
        <w:t xml:space="preserve">periodistas que publicaran información sobre la controversia </w:t>
      </w:r>
      <w:r w:rsidR="00DA6449" w:rsidRPr="00C332F1">
        <w:rPr>
          <w:rFonts w:ascii="Cambria" w:hAnsi="Cambria"/>
          <w:sz w:val="20"/>
          <w:szCs w:val="20"/>
          <w:shd w:val="clear" w:color="auto" w:fill="FFFFFF"/>
          <w:lang w:val="es-US"/>
        </w:rPr>
        <w:t>electoral</w:t>
      </w:r>
      <w:r w:rsidR="00B31875" w:rsidRPr="00C332F1">
        <w:rPr>
          <w:rFonts w:ascii="Cambria" w:hAnsi="Cambria"/>
          <w:sz w:val="20"/>
          <w:szCs w:val="20"/>
          <w:shd w:val="clear" w:color="auto" w:fill="FFFFFF"/>
          <w:lang w:val="es-US"/>
        </w:rPr>
        <w:t xml:space="preserve">. </w:t>
      </w:r>
      <w:r w:rsidR="001311BB" w:rsidRPr="00C332F1">
        <w:rPr>
          <w:rFonts w:ascii="Cambria" w:hAnsi="Cambria"/>
          <w:sz w:val="20"/>
          <w:szCs w:val="20"/>
          <w:shd w:val="clear" w:color="auto" w:fill="FFFFFF"/>
          <w:lang w:val="es-US"/>
        </w:rPr>
        <w:t>E</w:t>
      </w:r>
      <w:r w:rsidR="000651DB" w:rsidRPr="00C332F1">
        <w:rPr>
          <w:rFonts w:ascii="Cambria" w:hAnsi="Cambria"/>
          <w:sz w:val="20"/>
          <w:szCs w:val="20"/>
          <w:shd w:val="clear" w:color="auto" w:fill="FFFFFF"/>
          <w:lang w:val="es-US"/>
        </w:rPr>
        <w:t xml:space="preserve">l 8 de agosto, la DGCIM publicó en sus redes sociales un video </w:t>
      </w:r>
      <w:r w:rsidR="00DA6449" w:rsidRPr="00C332F1">
        <w:rPr>
          <w:rFonts w:ascii="Cambria" w:hAnsi="Cambria"/>
          <w:sz w:val="20"/>
          <w:szCs w:val="20"/>
          <w:shd w:val="clear" w:color="auto" w:fill="FFFFFF"/>
          <w:lang w:val="es-US"/>
        </w:rPr>
        <w:t>aludiendo a</w:t>
      </w:r>
      <w:r w:rsidR="000651DB" w:rsidRPr="00C332F1">
        <w:rPr>
          <w:rFonts w:ascii="Cambria" w:hAnsi="Cambria"/>
          <w:sz w:val="20"/>
          <w:szCs w:val="20"/>
          <w:shd w:val="clear" w:color="auto" w:fill="FFFFFF"/>
          <w:lang w:val="es-US"/>
        </w:rPr>
        <w:t xml:space="preserve"> </w:t>
      </w:r>
      <w:r w:rsidR="00770F8D" w:rsidRPr="00C332F1">
        <w:rPr>
          <w:rFonts w:ascii="Cambria" w:hAnsi="Cambria"/>
          <w:sz w:val="20"/>
          <w:szCs w:val="20"/>
          <w:shd w:val="clear" w:color="auto" w:fill="FFFFFF"/>
          <w:lang w:val="es-US"/>
        </w:rPr>
        <w:t>dicha o</w:t>
      </w:r>
      <w:r w:rsidR="000651DB" w:rsidRPr="00C332F1">
        <w:rPr>
          <w:rFonts w:ascii="Cambria" w:hAnsi="Cambria"/>
          <w:sz w:val="20"/>
          <w:szCs w:val="20"/>
          <w:shd w:val="clear" w:color="auto" w:fill="FFFFFF"/>
          <w:lang w:val="es-US"/>
        </w:rPr>
        <w:t>peración</w:t>
      </w:r>
      <w:r w:rsidR="00A14F05">
        <w:rPr>
          <w:rFonts w:ascii="ZWAdobeF" w:hAnsi="ZWAdobeF" w:cs="ZWAdobeF"/>
          <w:sz w:val="2"/>
          <w:szCs w:val="2"/>
          <w:shd w:val="clear" w:color="auto" w:fill="FFFFFF"/>
          <w:lang w:val="es-US"/>
        </w:rPr>
        <w:t>71F</w:t>
      </w:r>
      <w:r w:rsidR="009B0F75" w:rsidRPr="005C52BD">
        <w:rPr>
          <w:rStyle w:val="FootnoteReference"/>
          <w:rFonts w:ascii="Cambria" w:hAnsi="Cambria"/>
          <w:sz w:val="20"/>
          <w:szCs w:val="20"/>
          <w:shd w:val="clear" w:color="auto" w:fill="FFFFFF"/>
          <w:lang w:val="es-US"/>
        </w:rPr>
        <w:footnoteReference w:id="73"/>
      </w:r>
      <w:r w:rsidR="001E2FC0" w:rsidRPr="00C332F1">
        <w:rPr>
          <w:rFonts w:ascii="Cambria" w:hAnsi="Cambria"/>
          <w:sz w:val="20"/>
          <w:szCs w:val="20"/>
          <w:shd w:val="clear" w:color="auto" w:fill="FFFFFF"/>
          <w:lang w:val="es-US"/>
        </w:rPr>
        <w:t>.</w:t>
      </w:r>
      <w:r w:rsidR="00710ADD" w:rsidRPr="00C332F1">
        <w:rPr>
          <w:rFonts w:ascii="Cambria" w:hAnsi="Cambria"/>
          <w:sz w:val="20"/>
          <w:szCs w:val="20"/>
          <w:shd w:val="clear" w:color="auto" w:fill="FFFFFF"/>
          <w:lang w:val="es-US"/>
        </w:rPr>
        <w:t xml:space="preserve"> </w:t>
      </w:r>
    </w:p>
    <w:p w14:paraId="4EB547C8" w14:textId="103475CB" w:rsidR="001311BB" w:rsidRPr="00C332F1" w:rsidRDefault="00550295" w:rsidP="00557BA0">
      <w:pPr>
        <w:numPr>
          <w:ilvl w:val="0"/>
          <w:numId w:val="15"/>
        </w:numPr>
        <w:spacing w:after="240"/>
        <w:jc w:val="both"/>
        <w:rPr>
          <w:rFonts w:ascii="Cambria" w:hAnsi="Cambria"/>
          <w:sz w:val="20"/>
          <w:szCs w:val="20"/>
          <w:shd w:val="clear" w:color="auto" w:fill="FFFFFF"/>
          <w:lang w:val="es-US"/>
        </w:rPr>
      </w:pPr>
      <w:r w:rsidRPr="00C332F1">
        <w:rPr>
          <w:rFonts w:ascii="Cambria" w:hAnsi="Cambria"/>
          <w:sz w:val="20"/>
          <w:szCs w:val="20"/>
          <w:shd w:val="clear" w:color="auto" w:fill="FFFFFF"/>
          <w:lang w:val="es-US"/>
        </w:rPr>
        <w:t>Por lo general, e</w:t>
      </w:r>
      <w:r w:rsidR="0065352C" w:rsidRPr="00C332F1">
        <w:rPr>
          <w:rFonts w:ascii="Cambria" w:hAnsi="Cambria"/>
          <w:sz w:val="20"/>
          <w:szCs w:val="20"/>
          <w:shd w:val="clear" w:color="auto" w:fill="FFFFFF"/>
          <w:lang w:val="es-US"/>
        </w:rPr>
        <w:t xml:space="preserve">n </w:t>
      </w:r>
      <w:r w:rsidR="004616C3" w:rsidRPr="00C332F1">
        <w:rPr>
          <w:rFonts w:ascii="Cambria" w:hAnsi="Cambria"/>
          <w:sz w:val="20"/>
          <w:szCs w:val="20"/>
          <w:shd w:val="clear" w:color="auto" w:fill="FFFFFF"/>
          <w:lang w:val="es-US"/>
        </w:rPr>
        <w:t>regímenes</w:t>
      </w:r>
      <w:r w:rsidR="0065352C" w:rsidRPr="00C332F1">
        <w:rPr>
          <w:rFonts w:ascii="Cambria" w:hAnsi="Cambria"/>
          <w:sz w:val="20"/>
          <w:szCs w:val="20"/>
          <w:shd w:val="clear" w:color="auto" w:fill="FFFFFF"/>
          <w:lang w:val="es-US"/>
        </w:rPr>
        <w:t xml:space="preserve"> autocráticos</w:t>
      </w:r>
      <w:r w:rsidR="005C6ABC" w:rsidRPr="00C332F1">
        <w:rPr>
          <w:rFonts w:ascii="Cambria" w:hAnsi="Cambria"/>
          <w:sz w:val="20"/>
          <w:szCs w:val="20"/>
          <w:shd w:val="clear" w:color="auto" w:fill="FFFFFF"/>
          <w:lang w:val="es-US"/>
        </w:rPr>
        <w:t xml:space="preserve"> como el venezolano</w:t>
      </w:r>
      <w:r w:rsidR="006E692D" w:rsidRPr="00C332F1">
        <w:rPr>
          <w:rFonts w:ascii="Cambria" w:hAnsi="Cambria"/>
          <w:sz w:val="20"/>
          <w:szCs w:val="20"/>
          <w:shd w:val="clear" w:color="auto" w:fill="FFFFFF"/>
          <w:lang w:val="es-US"/>
        </w:rPr>
        <w:t xml:space="preserve">, el proceso de adopción de </w:t>
      </w:r>
      <w:r w:rsidR="00517AF4" w:rsidRPr="00C332F1">
        <w:rPr>
          <w:rFonts w:ascii="Cambria" w:hAnsi="Cambria"/>
          <w:sz w:val="20"/>
          <w:szCs w:val="20"/>
          <w:shd w:val="clear" w:color="auto" w:fill="FFFFFF"/>
          <w:lang w:val="es-US"/>
        </w:rPr>
        <w:t>medidas de seguridad</w:t>
      </w:r>
      <w:r w:rsidRPr="00C332F1">
        <w:rPr>
          <w:rFonts w:ascii="Cambria" w:hAnsi="Cambria"/>
          <w:sz w:val="20"/>
          <w:szCs w:val="20"/>
          <w:shd w:val="clear" w:color="auto" w:fill="FFFFFF"/>
          <w:lang w:val="es-US"/>
        </w:rPr>
        <w:t xml:space="preserve"> no sigue procedimientos preestablecidos</w:t>
      </w:r>
      <w:r w:rsidR="002D26E9" w:rsidRPr="00C332F1">
        <w:rPr>
          <w:rFonts w:ascii="Cambria" w:hAnsi="Cambria"/>
          <w:sz w:val="20"/>
          <w:szCs w:val="20"/>
          <w:shd w:val="clear" w:color="auto" w:fill="FFFFFF"/>
          <w:lang w:val="es-US"/>
        </w:rPr>
        <w:t>,</w:t>
      </w:r>
      <w:r w:rsidR="00892D72" w:rsidRPr="00C332F1">
        <w:rPr>
          <w:rFonts w:ascii="Cambria" w:hAnsi="Cambria"/>
          <w:sz w:val="20"/>
          <w:szCs w:val="20"/>
          <w:shd w:val="clear" w:color="auto" w:fill="FFFFFF"/>
          <w:lang w:val="es-US"/>
        </w:rPr>
        <w:t xml:space="preserve"> </w:t>
      </w:r>
      <w:r w:rsidR="004616C3" w:rsidRPr="00C332F1">
        <w:rPr>
          <w:rFonts w:ascii="Cambria" w:hAnsi="Cambria"/>
          <w:sz w:val="20"/>
          <w:szCs w:val="20"/>
          <w:shd w:val="clear" w:color="auto" w:fill="FFFFFF"/>
          <w:lang w:val="es-US"/>
        </w:rPr>
        <w:t>ni es comunicado por canales oficiales</w:t>
      </w:r>
      <w:r w:rsidR="00B821DA" w:rsidRPr="00C332F1">
        <w:rPr>
          <w:rFonts w:ascii="Cambria" w:hAnsi="Cambria"/>
          <w:sz w:val="20"/>
          <w:szCs w:val="20"/>
          <w:shd w:val="clear" w:color="auto" w:fill="FFFFFF"/>
          <w:lang w:val="es-US"/>
        </w:rPr>
        <w:t xml:space="preserve">, sino por mensajes </w:t>
      </w:r>
      <w:r w:rsidR="00C93089" w:rsidRPr="00C332F1">
        <w:rPr>
          <w:rFonts w:ascii="Cambria" w:hAnsi="Cambria"/>
          <w:sz w:val="20"/>
          <w:szCs w:val="20"/>
          <w:shd w:val="clear" w:color="auto" w:fill="FFFFFF"/>
          <w:lang w:val="es-US"/>
        </w:rPr>
        <w:t>directos de altas autoridades</w:t>
      </w:r>
      <w:r w:rsidR="007B4DEC" w:rsidRPr="00C332F1">
        <w:rPr>
          <w:rFonts w:ascii="Cambria" w:hAnsi="Cambria"/>
          <w:sz w:val="20"/>
          <w:szCs w:val="20"/>
          <w:shd w:val="clear" w:color="auto" w:fill="FFFFFF"/>
          <w:lang w:val="es-US"/>
        </w:rPr>
        <w:t xml:space="preserve"> a través de entrevistas o pronunciamientos en redes sociales, entre otros</w:t>
      </w:r>
      <w:r w:rsidR="002141FA" w:rsidRPr="00C332F1">
        <w:rPr>
          <w:rFonts w:ascii="Cambria" w:hAnsi="Cambria"/>
          <w:sz w:val="20"/>
          <w:szCs w:val="20"/>
          <w:shd w:val="clear" w:color="auto" w:fill="FFFFFF"/>
          <w:lang w:val="es-US"/>
        </w:rPr>
        <w:t xml:space="preserve">. </w:t>
      </w:r>
      <w:r w:rsidR="007B4DEC" w:rsidRPr="00C332F1">
        <w:rPr>
          <w:rFonts w:ascii="Cambria" w:hAnsi="Cambria"/>
          <w:sz w:val="20"/>
          <w:szCs w:val="20"/>
          <w:shd w:val="clear" w:color="auto" w:fill="FFFFFF"/>
          <w:lang w:val="es-US"/>
        </w:rPr>
        <w:t>La</w:t>
      </w:r>
      <w:r w:rsidR="006B0061" w:rsidRPr="00C332F1">
        <w:rPr>
          <w:rFonts w:ascii="Cambria" w:hAnsi="Cambria"/>
          <w:sz w:val="20"/>
          <w:szCs w:val="20"/>
          <w:shd w:val="clear" w:color="auto" w:fill="FFFFFF"/>
          <w:lang w:val="es-US"/>
        </w:rPr>
        <w:t xml:space="preserve"> CIDH </w:t>
      </w:r>
      <w:r w:rsidR="00DC4051" w:rsidRPr="00C332F1">
        <w:rPr>
          <w:rFonts w:ascii="Cambria" w:hAnsi="Cambria"/>
          <w:sz w:val="20"/>
          <w:szCs w:val="20"/>
          <w:shd w:val="clear" w:color="auto" w:fill="FFFFFF"/>
          <w:lang w:val="es-US"/>
        </w:rPr>
        <w:t>consider</w:t>
      </w:r>
      <w:r w:rsidR="00643D20" w:rsidRPr="00C332F1">
        <w:rPr>
          <w:rFonts w:ascii="Cambria" w:hAnsi="Cambria"/>
          <w:sz w:val="20"/>
          <w:szCs w:val="20"/>
          <w:shd w:val="clear" w:color="auto" w:fill="FFFFFF"/>
          <w:lang w:val="es-US"/>
        </w:rPr>
        <w:t>a</w:t>
      </w:r>
      <w:r w:rsidR="00615005" w:rsidRPr="00C332F1">
        <w:rPr>
          <w:rFonts w:ascii="Cambria" w:hAnsi="Cambria"/>
          <w:sz w:val="20"/>
          <w:szCs w:val="20"/>
          <w:shd w:val="clear" w:color="auto" w:fill="FFFFFF"/>
          <w:lang w:val="es-US"/>
        </w:rPr>
        <w:t xml:space="preserve"> que</w:t>
      </w:r>
      <w:r w:rsidR="00EB21EA" w:rsidRPr="00C332F1">
        <w:rPr>
          <w:rFonts w:ascii="Cambria" w:hAnsi="Cambria"/>
          <w:sz w:val="20"/>
          <w:szCs w:val="20"/>
          <w:shd w:val="clear" w:color="auto" w:fill="FFFFFF"/>
          <w:lang w:val="es-US"/>
        </w:rPr>
        <w:t xml:space="preserve"> las amenazas proferidas </w:t>
      </w:r>
      <w:r w:rsidR="00356F8D" w:rsidRPr="00C332F1">
        <w:rPr>
          <w:rFonts w:ascii="Cambria" w:hAnsi="Cambria"/>
          <w:sz w:val="20"/>
          <w:szCs w:val="20"/>
          <w:shd w:val="clear" w:color="auto" w:fill="FFFFFF"/>
          <w:lang w:val="es-US"/>
        </w:rPr>
        <w:t>por las más altas autoridades</w:t>
      </w:r>
      <w:r w:rsidR="00283F81" w:rsidRPr="00C332F1">
        <w:rPr>
          <w:rFonts w:ascii="Cambria" w:hAnsi="Cambria"/>
          <w:sz w:val="20"/>
          <w:szCs w:val="20"/>
          <w:shd w:val="clear" w:color="auto" w:fill="FFFFFF"/>
          <w:lang w:val="es-US"/>
        </w:rPr>
        <w:t>, j</w:t>
      </w:r>
      <w:r w:rsidR="00615005" w:rsidRPr="00C332F1">
        <w:rPr>
          <w:rFonts w:ascii="Cambria" w:hAnsi="Cambria"/>
          <w:sz w:val="20"/>
          <w:szCs w:val="20"/>
          <w:shd w:val="clear" w:color="auto" w:fill="FFFFFF"/>
          <w:lang w:val="es-US"/>
        </w:rPr>
        <w:t>unto con las graves</w:t>
      </w:r>
      <w:r w:rsidR="3CD83B20" w:rsidRPr="00C332F1">
        <w:rPr>
          <w:rFonts w:ascii="Cambria" w:hAnsi="Cambria"/>
          <w:sz w:val="20"/>
          <w:szCs w:val="20"/>
          <w:shd w:val="clear" w:color="auto" w:fill="FFFFFF"/>
          <w:lang w:val="es-US"/>
        </w:rPr>
        <w:t>,</w:t>
      </w:r>
      <w:r w:rsidR="00615005" w:rsidRPr="00C332F1">
        <w:rPr>
          <w:rFonts w:ascii="Cambria" w:hAnsi="Cambria"/>
          <w:sz w:val="20"/>
          <w:szCs w:val="20"/>
          <w:shd w:val="clear" w:color="auto" w:fill="FFFFFF"/>
          <w:lang w:val="es-US"/>
        </w:rPr>
        <w:t xml:space="preserve"> sistemáticas </w:t>
      </w:r>
      <w:r w:rsidR="6ED5654F" w:rsidRPr="00C332F1">
        <w:rPr>
          <w:rFonts w:ascii="Cambria" w:hAnsi="Cambria"/>
          <w:sz w:val="20"/>
          <w:szCs w:val="20"/>
          <w:shd w:val="clear" w:color="auto" w:fill="FFFFFF"/>
          <w:lang w:val="es-US"/>
        </w:rPr>
        <w:t>y generalizadas</w:t>
      </w:r>
      <w:r w:rsidR="00615005" w:rsidRPr="00C332F1">
        <w:rPr>
          <w:rFonts w:ascii="Cambria" w:hAnsi="Cambria"/>
          <w:sz w:val="20"/>
          <w:szCs w:val="20"/>
          <w:shd w:val="clear" w:color="auto" w:fill="FFFFFF"/>
          <w:lang w:val="es-US"/>
        </w:rPr>
        <w:t xml:space="preserve"> violaciones de derechos humanos </w:t>
      </w:r>
      <w:r w:rsidR="00F85C97" w:rsidRPr="00C332F1">
        <w:rPr>
          <w:rFonts w:ascii="Cambria" w:hAnsi="Cambria"/>
          <w:sz w:val="20"/>
          <w:szCs w:val="20"/>
          <w:shd w:val="clear" w:color="auto" w:fill="FFFFFF"/>
          <w:lang w:val="es-US"/>
        </w:rPr>
        <w:t xml:space="preserve">registradas tras la elección, </w:t>
      </w:r>
      <w:r w:rsidR="3E8D78E1" w:rsidRPr="00C332F1">
        <w:rPr>
          <w:rFonts w:ascii="Cambria" w:hAnsi="Cambria"/>
          <w:sz w:val="20"/>
          <w:szCs w:val="20"/>
          <w:shd w:val="clear" w:color="auto" w:fill="FFFFFF"/>
          <w:lang w:val="es-US"/>
        </w:rPr>
        <w:t>evidencian</w:t>
      </w:r>
      <w:r w:rsidR="00F85C97" w:rsidRPr="00C332F1">
        <w:rPr>
          <w:rFonts w:ascii="Cambria" w:hAnsi="Cambria"/>
          <w:sz w:val="20"/>
          <w:szCs w:val="20"/>
          <w:shd w:val="clear" w:color="auto" w:fill="FFFFFF"/>
          <w:lang w:val="es-US"/>
        </w:rPr>
        <w:t xml:space="preserve"> la intención de infundir terror en la ciudadanía</w:t>
      </w:r>
      <w:r w:rsidR="00264CBC" w:rsidRPr="00C332F1">
        <w:rPr>
          <w:rFonts w:ascii="Cambria" w:hAnsi="Cambria"/>
          <w:sz w:val="20"/>
          <w:szCs w:val="20"/>
          <w:shd w:val="clear" w:color="auto" w:fill="FFFFFF"/>
          <w:lang w:val="es-US"/>
        </w:rPr>
        <w:t xml:space="preserve"> </w:t>
      </w:r>
      <w:r w:rsidR="006B6895" w:rsidRPr="00C332F1">
        <w:rPr>
          <w:rFonts w:ascii="Cambria" w:hAnsi="Cambria"/>
          <w:sz w:val="20"/>
          <w:szCs w:val="20"/>
          <w:shd w:val="clear" w:color="auto" w:fill="FFFFFF"/>
          <w:lang w:val="es-US"/>
        </w:rPr>
        <w:t>mediante la articulación de los diferentes poderes del Estado</w:t>
      </w:r>
      <w:r w:rsidR="00A73E04" w:rsidRPr="00C332F1">
        <w:rPr>
          <w:rFonts w:ascii="Cambria" w:hAnsi="Cambria"/>
          <w:sz w:val="20"/>
          <w:szCs w:val="20"/>
          <w:shd w:val="clear" w:color="auto" w:fill="FFFFFF"/>
          <w:lang w:val="es-US"/>
        </w:rPr>
        <w:t xml:space="preserve"> y el uso recursos públicos</w:t>
      </w:r>
      <w:r w:rsidR="00A14F05">
        <w:rPr>
          <w:rFonts w:ascii="ZWAdobeF" w:hAnsi="ZWAdobeF" w:cs="ZWAdobeF"/>
          <w:sz w:val="2"/>
          <w:szCs w:val="2"/>
          <w:shd w:val="clear" w:color="auto" w:fill="FFFFFF"/>
          <w:lang w:val="es-US"/>
        </w:rPr>
        <w:t>72F</w:t>
      </w:r>
      <w:r w:rsidR="007B796F" w:rsidRPr="005C52BD">
        <w:rPr>
          <w:rStyle w:val="FootnoteReference"/>
          <w:rFonts w:ascii="Cambria" w:hAnsi="Cambria"/>
          <w:sz w:val="20"/>
          <w:szCs w:val="20"/>
          <w:shd w:val="clear" w:color="auto" w:fill="FFFFFF"/>
          <w:lang w:val="es-US"/>
        </w:rPr>
        <w:footnoteReference w:id="74"/>
      </w:r>
      <w:r w:rsidR="007B796F" w:rsidRPr="00C332F1">
        <w:rPr>
          <w:rFonts w:ascii="Cambria" w:hAnsi="Cambria"/>
          <w:sz w:val="20"/>
          <w:szCs w:val="20"/>
          <w:shd w:val="clear" w:color="auto" w:fill="FFFFFF"/>
          <w:lang w:val="es-US"/>
        </w:rPr>
        <w:t>.</w:t>
      </w:r>
    </w:p>
    <w:p w14:paraId="01CEBABB" w14:textId="2AE38F40" w:rsidR="001A0E82" w:rsidRPr="00C332F1" w:rsidRDefault="00FA0D2E" w:rsidP="00AF4C25">
      <w:pPr>
        <w:numPr>
          <w:ilvl w:val="0"/>
          <w:numId w:val="15"/>
        </w:numPr>
        <w:spacing w:after="240"/>
        <w:jc w:val="both"/>
        <w:rPr>
          <w:rFonts w:ascii="Cambria" w:hAnsi="Cambria"/>
          <w:sz w:val="20"/>
          <w:szCs w:val="20"/>
          <w:shd w:val="clear" w:color="auto" w:fill="FFFFFF"/>
          <w:lang w:val="es-US"/>
        </w:rPr>
      </w:pPr>
      <w:r w:rsidRPr="00C332F1">
        <w:rPr>
          <w:rFonts w:ascii="Cambria" w:hAnsi="Cambria"/>
          <w:sz w:val="20"/>
          <w:szCs w:val="20"/>
          <w:shd w:val="clear" w:color="auto" w:fill="FFFFFF"/>
          <w:lang w:val="es-US"/>
        </w:rPr>
        <w:t>E</w:t>
      </w:r>
      <w:r w:rsidR="004B0FA8" w:rsidRPr="00C332F1">
        <w:rPr>
          <w:rFonts w:ascii="Cambria" w:hAnsi="Cambria"/>
          <w:sz w:val="20"/>
          <w:szCs w:val="20"/>
          <w:shd w:val="clear" w:color="auto" w:fill="FFFFFF"/>
          <w:lang w:val="es-US"/>
        </w:rPr>
        <w:t>n distintos pronunciamientos del</w:t>
      </w:r>
      <w:r w:rsidRPr="00C332F1">
        <w:rPr>
          <w:rFonts w:ascii="Cambria" w:hAnsi="Cambria"/>
          <w:sz w:val="20"/>
          <w:szCs w:val="20"/>
          <w:shd w:val="clear" w:color="auto" w:fill="FFFFFF"/>
          <w:lang w:val="es-US"/>
        </w:rPr>
        <w:t xml:space="preserve"> sistema interamericano</w:t>
      </w:r>
      <w:r w:rsidR="004B0FA8" w:rsidRPr="00C332F1">
        <w:rPr>
          <w:rFonts w:ascii="Cambria" w:hAnsi="Cambria"/>
          <w:sz w:val="20"/>
          <w:szCs w:val="20"/>
          <w:shd w:val="clear" w:color="auto" w:fill="FFFFFF"/>
          <w:lang w:val="es-US"/>
        </w:rPr>
        <w:t xml:space="preserve">, se ha concluido que los Estados incurren en prácticas de terrorismo cuando ejecutan </w:t>
      </w:r>
      <w:r w:rsidR="00AB128C" w:rsidRPr="00C332F1">
        <w:rPr>
          <w:rFonts w:ascii="Cambria" w:hAnsi="Cambria"/>
          <w:sz w:val="20"/>
          <w:szCs w:val="20"/>
          <w:shd w:val="clear" w:color="auto" w:fill="FFFFFF"/>
          <w:lang w:val="es-US"/>
        </w:rPr>
        <w:t>política</w:t>
      </w:r>
      <w:r w:rsidR="00A60B4F" w:rsidRPr="00C332F1">
        <w:rPr>
          <w:rFonts w:ascii="Cambria" w:hAnsi="Cambria"/>
          <w:sz w:val="20"/>
          <w:szCs w:val="20"/>
          <w:shd w:val="clear" w:color="auto" w:fill="FFFFFF"/>
          <w:lang w:val="es-US"/>
        </w:rPr>
        <w:t xml:space="preserve">s </w:t>
      </w:r>
      <w:r w:rsidR="00533816" w:rsidRPr="00C332F1">
        <w:rPr>
          <w:rFonts w:ascii="Cambria" w:hAnsi="Cambria"/>
          <w:sz w:val="20"/>
          <w:szCs w:val="20"/>
          <w:shd w:val="clear" w:color="auto" w:fill="FFFFFF"/>
          <w:lang w:val="es-US"/>
        </w:rPr>
        <w:t>de violaciones de derechos humanos</w:t>
      </w:r>
      <w:r w:rsidR="00BA6A2A" w:rsidRPr="00C332F1">
        <w:rPr>
          <w:rFonts w:ascii="Cambria" w:hAnsi="Cambria"/>
          <w:sz w:val="20"/>
          <w:szCs w:val="20"/>
          <w:shd w:val="clear" w:color="auto" w:fill="FFFFFF"/>
          <w:lang w:val="es-US"/>
        </w:rPr>
        <w:t xml:space="preserve">, haciendo un uso perverso de </w:t>
      </w:r>
      <w:r w:rsidR="008A3802" w:rsidRPr="00C332F1">
        <w:rPr>
          <w:rFonts w:ascii="Cambria" w:hAnsi="Cambria"/>
          <w:sz w:val="20"/>
          <w:szCs w:val="20"/>
          <w:shd w:val="clear" w:color="auto" w:fill="FFFFFF"/>
          <w:lang w:val="es-US"/>
        </w:rPr>
        <w:t>recursos estatales</w:t>
      </w:r>
      <w:r w:rsidR="00A52959" w:rsidRPr="00C332F1">
        <w:rPr>
          <w:rFonts w:ascii="Cambria" w:hAnsi="Cambria"/>
          <w:sz w:val="20"/>
          <w:szCs w:val="20"/>
          <w:shd w:val="clear" w:color="auto" w:fill="FFFFFF"/>
          <w:lang w:val="es-US"/>
        </w:rPr>
        <w:t xml:space="preserve"> para </w:t>
      </w:r>
      <w:r w:rsidR="001A199B" w:rsidRPr="00C332F1">
        <w:rPr>
          <w:rFonts w:ascii="Cambria" w:hAnsi="Cambria"/>
          <w:sz w:val="20"/>
          <w:szCs w:val="20"/>
          <w:shd w:val="clear" w:color="auto" w:fill="FFFFFF"/>
          <w:lang w:val="es-US"/>
        </w:rPr>
        <w:t xml:space="preserve">generar </w:t>
      </w:r>
      <w:r w:rsidR="00742E16" w:rsidRPr="00C332F1">
        <w:rPr>
          <w:rFonts w:ascii="Cambria" w:hAnsi="Cambria"/>
          <w:sz w:val="20"/>
          <w:szCs w:val="20"/>
          <w:shd w:val="clear" w:color="auto" w:fill="FFFFFF"/>
          <w:lang w:val="es-US"/>
        </w:rPr>
        <w:t xml:space="preserve">miedo en la población, </w:t>
      </w:r>
      <w:r w:rsidR="00CC5366" w:rsidRPr="00C332F1">
        <w:rPr>
          <w:rFonts w:ascii="Cambria" w:hAnsi="Cambria"/>
          <w:sz w:val="20"/>
          <w:szCs w:val="20"/>
          <w:shd w:val="clear" w:color="auto" w:fill="FFFFFF"/>
          <w:lang w:val="es-US"/>
        </w:rPr>
        <w:t>especialmente, en</w:t>
      </w:r>
      <w:r w:rsidR="00742E16" w:rsidRPr="00C332F1">
        <w:rPr>
          <w:rFonts w:ascii="Cambria" w:hAnsi="Cambria"/>
          <w:sz w:val="20"/>
          <w:szCs w:val="20"/>
          <w:shd w:val="clear" w:color="auto" w:fill="FFFFFF"/>
          <w:lang w:val="es-US"/>
        </w:rPr>
        <w:t xml:space="preserve"> las personas opositoras políticas</w:t>
      </w:r>
      <w:r w:rsidR="00A14F05">
        <w:rPr>
          <w:rFonts w:ascii="ZWAdobeF" w:hAnsi="ZWAdobeF" w:cs="ZWAdobeF"/>
          <w:sz w:val="2"/>
          <w:szCs w:val="2"/>
          <w:shd w:val="clear" w:color="auto" w:fill="FFFFFF"/>
          <w:lang w:val="es-US"/>
        </w:rPr>
        <w:t>73F</w:t>
      </w:r>
      <w:r w:rsidR="00150C67" w:rsidRPr="005C52BD">
        <w:rPr>
          <w:rStyle w:val="FootnoteReference"/>
          <w:rFonts w:ascii="Cambria" w:hAnsi="Cambria"/>
          <w:sz w:val="20"/>
          <w:szCs w:val="20"/>
          <w:shd w:val="clear" w:color="auto" w:fill="FFFFFF"/>
          <w:lang w:val="es-US"/>
        </w:rPr>
        <w:footnoteReference w:id="75"/>
      </w:r>
      <w:r w:rsidR="00150C67" w:rsidRPr="00C332F1">
        <w:rPr>
          <w:rFonts w:ascii="Cambria" w:hAnsi="Cambria"/>
          <w:sz w:val="20"/>
          <w:szCs w:val="20"/>
          <w:shd w:val="clear" w:color="auto" w:fill="FFFFFF"/>
          <w:lang w:val="es-US"/>
        </w:rPr>
        <w:t xml:space="preserve">. </w:t>
      </w:r>
      <w:r w:rsidR="00130C1B" w:rsidRPr="00C332F1">
        <w:rPr>
          <w:rFonts w:ascii="Cambria" w:hAnsi="Cambria"/>
          <w:sz w:val="20"/>
          <w:szCs w:val="20"/>
          <w:shd w:val="clear" w:color="auto" w:fill="FFFFFF"/>
          <w:lang w:val="es-US"/>
        </w:rPr>
        <w:t>Históricamente, e</w:t>
      </w:r>
      <w:r w:rsidR="007E05F4" w:rsidRPr="00C332F1">
        <w:rPr>
          <w:rFonts w:ascii="Cambria" w:hAnsi="Cambria"/>
          <w:sz w:val="20"/>
          <w:szCs w:val="20"/>
          <w:shd w:val="clear" w:color="auto" w:fill="FFFFFF"/>
          <w:lang w:val="es-US"/>
        </w:rPr>
        <w:t xml:space="preserve">n la región, </w:t>
      </w:r>
      <w:r w:rsidR="00130C1B" w:rsidRPr="00C332F1">
        <w:rPr>
          <w:rFonts w:ascii="Cambria" w:hAnsi="Cambria"/>
          <w:sz w:val="20"/>
          <w:szCs w:val="20"/>
          <w:shd w:val="clear" w:color="auto" w:fill="FFFFFF"/>
          <w:lang w:val="es-US"/>
        </w:rPr>
        <w:t>dichas</w:t>
      </w:r>
      <w:r w:rsidR="007E05F4" w:rsidRPr="00C332F1">
        <w:rPr>
          <w:rFonts w:ascii="Cambria" w:hAnsi="Cambria"/>
          <w:sz w:val="20"/>
          <w:szCs w:val="20"/>
          <w:shd w:val="clear" w:color="auto" w:fill="FFFFFF"/>
          <w:lang w:val="es-US"/>
        </w:rPr>
        <w:t xml:space="preserve"> prácticas han sido ejecutadas directamente por los Estados</w:t>
      </w:r>
      <w:r w:rsidR="001059D3" w:rsidRPr="00C332F1">
        <w:rPr>
          <w:rFonts w:ascii="Cambria" w:hAnsi="Cambria"/>
          <w:sz w:val="20"/>
          <w:szCs w:val="20"/>
          <w:shd w:val="clear" w:color="auto" w:fill="FFFFFF"/>
          <w:lang w:val="es-US"/>
        </w:rPr>
        <w:t xml:space="preserve">, </w:t>
      </w:r>
      <w:r w:rsidR="007E05F4" w:rsidRPr="00C332F1">
        <w:rPr>
          <w:rFonts w:ascii="Cambria" w:hAnsi="Cambria"/>
          <w:sz w:val="20"/>
          <w:szCs w:val="20"/>
          <w:shd w:val="clear" w:color="auto" w:fill="FFFFFF"/>
          <w:lang w:val="es-US"/>
        </w:rPr>
        <w:t>o</w:t>
      </w:r>
      <w:r w:rsidR="001059D3" w:rsidRPr="00C332F1">
        <w:rPr>
          <w:rFonts w:ascii="Cambria" w:hAnsi="Cambria"/>
          <w:sz w:val="20"/>
          <w:szCs w:val="20"/>
          <w:shd w:val="clear" w:color="auto" w:fill="FFFFFF"/>
          <w:lang w:val="es-US"/>
        </w:rPr>
        <w:t xml:space="preserve"> bien,</w:t>
      </w:r>
      <w:r w:rsidR="007E05F4" w:rsidRPr="00C332F1">
        <w:rPr>
          <w:rFonts w:ascii="Cambria" w:hAnsi="Cambria"/>
          <w:sz w:val="20"/>
          <w:szCs w:val="20"/>
          <w:shd w:val="clear" w:color="auto" w:fill="FFFFFF"/>
          <w:lang w:val="es-US"/>
        </w:rPr>
        <w:t xml:space="preserve"> por grupos no</w:t>
      </w:r>
      <w:r w:rsidR="00B44444" w:rsidRPr="00C332F1">
        <w:rPr>
          <w:rFonts w:ascii="Cambria" w:hAnsi="Cambria"/>
          <w:sz w:val="20"/>
          <w:szCs w:val="20"/>
          <w:shd w:val="clear" w:color="auto" w:fill="FFFFFF"/>
          <w:lang w:val="es-US"/>
        </w:rPr>
        <w:t xml:space="preserve"> </w:t>
      </w:r>
      <w:r w:rsidR="007E05F4" w:rsidRPr="00C332F1">
        <w:rPr>
          <w:rFonts w:ascii="Cambria" w:hAnsi="Cambria"/>
          <w:sz w:val="20"/>
          <w:szCs w:val="20"/>
          <w:shd w:val="clear" w:color="auto" w:fill="FFFFFF"/>
          <w:lang w:val="es-US"/>
        </w:rPr>
        <w:t>estatales que cuentan con su aquiescencia, tolerancia o colaboración</w:t>
      </w:r>
      <w:r w:rsidR="00A14F05">
        <w:rPr>
          <w:rFonts w:ascii="ZWAdobeF" w:hAnsi="ZWAdobeF" w:cs="ZWAdobeF"/>
          <w:sz w:val="2"/>
          <w:szCs w:val="2"/>
          <w:shd w:val="clear" w:color="auto" w:fill="FFFFFF"/>
          <w:lang w:val="es-US"/>
        </w:rPr>
        <w:t>74F</w:t>
      </w:r>
      <w:r w:rsidR="007E05F4" w:rsidRPr="005C52BD">
        <w:rPr>
          <w:rStyle w:val="FootnoteReference"/>
          <w:rFonts w:ascii="Cambria" w:hAnsi="Cambria"/>
          <w:sz w:val="20"/>
          <w:szCs w:val="20"/>
          <w:shd w:val="clear" w:color="auto" w:fill="FFFFFF"/>
          <w:lang w:val="es-US"/>
        </w:rPr>
        <w:footnoteReference w:id="76"/>
      </w:r>
      <w:r w:rsidR="00130C1B" w:rsidRPr="00C332F1">
        <w:rPr>
          <w:rFonts w:ascii="Cambria" w:hAnsi="Cambria"/>
          <w:sz w:val="20"/>
          <w:szCs w:val="20"/>
          <w:shd w:val="clear" w:color="auto" w:fill="FFFFFF"/>
          <w:lang w:val="es-US"/>
        </w:rPr>
        <w:t>; incluyen</w:t>
      </w:r>
      <w:r w:rsidR="008F6D90" w:rsidRPr="00C332F1">
        <w:rPr>
          <w:rFonts w:ascii="Cambria" w:hAnsi="Cambria"/>
          <w:sz w:val="20"/>
          <w:szCs w:val="20"/>
          <w:shd w:val="clear" w:color="auto" w:fill="FFFFFF"/>
          <w:lang w:val="es-US"/>
        </w:rPr>
        <w:t xml:space="preserve"> desapariciones forzadas y ejecuciones extrajudiciales</w:t>
      </w:r>
      <w:r w:rsidR="00A14F05">
        <w:rPr>
          <w:rFonts w:ascii="ZWAdobeF" w:hAnsi="ZWAdobeF" w:cs="ZWAdobeF"/>
          <w:sz w:val="2"/>
          <w:szCs w:val="2"/>
          <w:shd w:val="clear" w:color="auto" w:fill="FFFFFF"/>
          <w:lang w:val="es-US"/>
        </w:rPr>
        <w:t>75F</w:t>
      </w:r>
      <w:r w:rsidR="00A52959" w:rsidRPr="005C52BD">
        <w:rPr>
          <w:rStyle w:val="FootnoteReference"/>
          <w:rFonts w:ascii="Cambria" w:hAnsi="Cambria"/>
          <w:sz w:val="20"/>
          <w:szCs w:val="20"/>
          <w:shd w:val="clear" w:color="auto" w:fill="FFFFFF"/>
          <w:lang w:val="es-US"/>
        </w:rPr>
        <w:footnoteReference w:id="77"/>
      </w:r>
      <w:r w:rsidR="008F6D90" w:rsidRPr="00C332F1">
        <w:rPr>
          <w:rFonts w:ascii="Cambria" w:hAnsi="Cambria"/>
          <w:sz w:val="20"/>
          <w:szCs w:val="20"/>
          <w:shd w:val="clear" w:color="auto" w:fill="FFFFFF"/>
          <w:lang w:val="es-US"/>
        </w:rPr>
        <w:t>.</w:t>
      </w:r>
      <w:r w:rsidR="00B60AC5" w:rsidRPr="00C332F1">
        <w:rPr>
          <w:rFonts w:ascii="Cambria" w:hAnsi="Cambria"/>
          <w:sz w:val="20"/>
          <w:szCs w:val="20"/>
          <w:shd w:val="clear" w:color="auto" w:fill="FFFFFF"/>
          <w:lang w:val="es-US"/>
        </w:rPr>
        <w:t xml:space="preserve"> E</w:t>
      </w:r>
      <w:r w:rsidR="006F14C9" w:rsidRPr="00C332F1">
        <w:rPr>
          <w:rFonts w:ascii="Cambria" w:hAnsi="Cambria"/>
          <w:sz w:val="20"/>
          <w:szCs w:val="20"/>
          <w:shd w:val="clear" w:color="auto" w:fill="FFFFFF"/>
          <w:lang w:val="es-US"/>
        </w:rPr>
        <w:t xml:space="preserve">stas prácticas </w:t>
      </w:r>
      <w:r w:rsidR="00AF4C25" w:rsidRPr="00C332F1">
        <w:rPr>
          <w:rFonts w:ascii="Cambria" w:hAnsi="Cambria"/>
          <w:sz w:val="20"/>
          <w:szCs w:val="20"/>
          <w:shd w:val="clear" w:color="auto" w:fill="FFFFFF"/>
          <w:lang w:val="es-US"/>
        </w:rPr>
        <w:t xml:space="preserve">gozan de impunidad, toda </w:t>
      </w:r>
      <w:r w:rsidR="00080BD5" w:rsidRPr="00C332F1">
        <w:rPr>
          <w:rFonts w:ascii="Cambria" w:hAnsi="Cambria"/>
          <w:sz w:val="20"/>
          <w:szCs w:val="20"/>
          <w:shd w:val="clear" w:color="auto" w:fill="FFFFFF"/>
          <w:lang w:val="es-US"/>
        </w:rPr>
        <w:t xml:space="preserve">vez que </w:t>
      </w:r>
      <w:r w:rsidR="00AF4C25" w:rsidRPr="00C332F1">
        <w:rPr>
          <w:rFonts w:ascii="Cambria" w:hAnsi="Cambria"/>
          <w:sz w:val="20"/>
          <w:szCs w:val="20"/>
          <w:shd w:val="clear" w:color="auto" w:fill="FFFFFF"/>
          <w:lang w:val="es-US"/>
        </w:rPr>
        <w:t xml:space="preserve">no existen recursos de tutela, </w:t>
      </w:r>
      <w:r w:rsidR="00247407" w:rsidRPr="00C332F1">
        <w:rPr>
          <w:rFonts w:ascii="Cambria" w:hAnsi="Cambria"/>
          <w:sz w:val="20"/>
          <w:szCs w:val="20"/>
          <w:shd w:val="clear" w:color="auto" w:fill="FFFFFF"/>
          <w:lang w:val="es-US"/>
        </w:rPr>
        <w:t xml:space="preserve">debido a que </w:t>
      </w:r>
      <w:r w:rsidR="00AF4C25" w:rsidRPr="00C332F1">
        <w:rPr>
          <w:rFonts w:ascii="Cambria" w:hAnsi="Cambria"/>
          <w:sz w:val="20"/>
          <w:szCs w:val="20"/>
          <w:shd w:val="clear" w:color="auto" w:fill="FFFFFF"/>
          <w:lang w:val="es-US"/>
        </w:rPr>
        <w:t>los organismos de control responden al régimen y hacen parte de la estrategia represiva del Estado</w:t>
      </w:r>
      <w:r w:rsidR="00557DAF" w:rsidRPr="00C332F1">
        <w:rPr>
          <w:rFonts w:ascii="Cambria" w:hAnsi="Cambria"/>
          <w:sz w:val="20"/>
          <w:szCs w:val="20"/>
          <w:shd w:val="clear" w:color="auto" w:fill="FFFFFF"/>
          <w:lang w:val="es-US"/>
        </w:rPr>
        <w:t>.</w:t>
      </w:r>
      <w:r w:rsidR="00BF7014" w:rsidRPr="00C332F1">
        <w:rPr>
          <w:rFonts w:ascii="Cambria" w:hAnsi="Cambria"/>
          <w:sz w:val="20"/>
          <w:szCs w:val="20"/>
          <w:shd w:val="clear" w:color="auto" w:fill="FFFFFF"/>
          <w:lang w:val="es-US"/>
        </w:rPr>
        <w:t xml:space="preserve"> </w:t>
      </w:r>
      <w:r w:rsidR="00B63BD9" w:rsidRPr="00C332F1">
        <w:rPr>
          <w:rFonts w:ascii="Cambria" w:hAnsi="Cambria"/>
          <w:sz w:val="20"/>
          <w:szCs w:val="20"/>
          <w:shd w:val="clear" w:color="auto" w:fill="FFFFFF"/>
          <w:lang w:val="es-US"/>
        </w:rPr>
        <w:t xml:space="preserve">Teniendo en cuenta </w:t>
      </w:r>
      <w:r w:rsidR="00BF7014" w:rsidRPr="00C332F1">
        <w:rPr>
          <w:rFonts w:ascii="Cambria" w:hAnsi="Cambria"/>
          <w:sz w:val="20"/>
          <w:szCs w:val="20"/>
          <w:shd w:val="clear" w:color="auto" w:fill="FFFFFF"/>
          <w:lang w:val="es-US"/>
        </w:rPr>
        <w:t>es</w:t>
      </w:r>
      <w:r w:rsidR="004B6694" w:rsidRPr="00C332F1">
        <w:rPr>
          <w:rFonts w:ascii="Cambria" w:hAnsi="Cambria"/>
          <w:sz w:val="20"/>
          <w:szCs w:val="20"/>
          <w:shd w:val="clear" w:color="auto" w:fill="FFFFFF"/>
          <w:lang w:val="es-US"/>
        </w:rPr>
        <w:t>t</w:t>
      </w:r>
      <w:r w:rsidR="00BF7014" w:rsidRPr="00C332F1">
        <w:rPr>
          <w:rFonts w:ascii="Cambria" w:hAnsi="Cambria"/>
          <w:sz w:val="20"/>
          <w:szCs w:val="20"/>
          <w:shd w:val="clear" w:color="auto" w:fill="FFFFFF"/>
          <w:lang w:val="es-US"/>
        </w:rPr>
        <w:t xml:space="preserve">os elementos de análisis, se reafirma que las prácticas del Estado venezolano durante 2024 cruzaron el umbral necesario para </w:t>
      </w:r>
      <w:r w:rsidR="005D3D38" w:rsidRPr="00C332F1">
        <w:rPr>
          <w:rFonts w:ascii="Cambria" w:hAnsi="Cambria"/>
          <w:sz w:val="20"/>
          <w:szCs w:val="20"/>
          <w:shd w:val="clear" w:color="auto" w:fill="FFFFFF"/>
          <w:lang w:val="es-US"/>
        </w:rPr>
        <w:t>ser calificadas como</w:t>
      </w:r>
      <w:r w:rsidR="00BF7014" w:rsidRPr="00C332F1">
        <w:rPr>
          <w:rFonts w:ascii="Cambria" w:hAnsi="Cambria"/>
          <w:sz w:val="20"/>
          <w:szCs w:val="20"/>
          <w:shd w:val="clear" w:color="auto" w:fill="FFFFFF"/>
          <w:lang w:val="es-US"/>
        </w:rPr>
        <w:t xml:space="preserve"> prácticas de terrorismo de Estado.</w:t>
      </w:r>
    </w:p>
    <w:p w14:paraId="36E2422B" w14:textId="0F3F203C" w:rsidR="00503F1C" w:rsidRPr="00C332F1" w:rsidRDefault="00EB4FAB" w:rsidP="00C27B1B">
      <w:pPr>
        <w:pStyle w:val="IASubttulo3"/>
        <w:numPr>
          <w:ilvl w:val="0"/>
          <w:numId w:val="19"/>
        </w:numPr>
        <w:rPr>
          <w:lang w:val="es-CO"/>
        </w:rPr>
      </w:pPr>
      <w:bookmarkStart w:id="18" w:name="_Toc195617463"/>
      <w:r w:rsidRPr="00C332F1">
        <w:rPr>
          <w:lang w:val="es-CO"/>
        </w:rPr>
        <w:t>Uso arbitrario de la fuerza y pérdida de vidas humanas</w:t>
      </w:r>
      <w:bookmarkEnd w:id="18"/>
      <w:r w:rsidR="008F6C01" w:rsidRPr="00C332F1">
        <w:rPr>
          <w:lang w:val="es-CO"/>
        </w:rPr>
        <w:t xml:space="preserve"> </w:t>
      </w:r>
    </w:p>
    <w:p w14:paraId="25A6CE46" w14:textId="20B52C26" w:rsidR="00DD04CE" w:rsidRPr="00C332F1" w:rsidRDefault="00112461" w:rsidP="00A703B7">
      <w:pPr>
        <w:pStyle w:val="IAPrrafo"/>
        <w:rPr>
          <w:color w:val="auto"/>
          <w:szCs w:val="20"/>
        </w:rPr>
      </w:pPr>
      <w:r w:rsidRPr="00C332F1">
        <w:rPr>
          <w:rFonts w:cs="Open Sans"/>
          <w:color w:val="auto"/>
          <w:shd w:val="clear" w:color="auto" w:fill="FFFFFF"/>
          <w:lang w:val="es-US"/>
        </w:rPr>
        <w:t>Entre el 28 y el 30 de julio se registraron</w:t>
      </w:r>
      <w:r w:rsidR="006B3D0F" w:rsidRPr="00C332F1">
        <w:rPr>
          <w:rFonts w:cs="Open Sans"/>
          <w:color w:val="auto"/>
          <w:shd w:val="clear" w:color="auto" w:fill="FFFFFF"/>
          <w:lang w:val="es-US"/>
        </w:rPr>
        <w:t xml:space="preserve"> graves</w:t>
      </w:r>
      <w:r w:rsidRPr="00C332F1">
        <w:rPr>
          <w:rFonts w:cs="Open Sans"/>
          <w:color w:val="auto"/>
          <w:shd w:val="clear" w:color="auto" w:fill="FFFFFF"/>
          <w:lang w:val="es-US"/>
        </w:rPr>
        <w:t xml:space="preserve"> denuncias de abuso de la fuerza pública contra las manifestaciones. La violencia resultó en la muerte de al menos 2</w:t>
      </w:r>
      <w:r w:rsidR="0091641B" w:rsidRPr="00C332F1">
        <w:rPr>
          <w:rFonts w:cs="Open Sans"/>
          <w:color w:val="auto"/>
          <w:shd w:val="clear" w:color="auto" w:fill="FFFFFF"/>
          <w:lang w:val="es-US"/>
        </w:rPr>
        <w:t>5</w:t>
      </w:r>
      <w:r w:rsidRPr="00C332F1">
        <w:rPr>
          <w:rFonts w:cs="Open Sans"/>
          <w:color w:val="auto"/>
          <w:shd w:val="clear" w:color="auto" w:fill="FFFFFF"/>
          <w:lang w:val="es-US"/>
        </w:rPr>
        <w:t xml:space="preserve"> personas</w:t>
      </w:r>
      <w:r w:rsidR="005562C5" w:rsidRPr="00C332F1">
        <w:rPr>
          <w:rFonts w:cs="Open Sans"/>
          <w:color w:val="auto"/>
          <w:shd w:val="clear" w:color="auto" w:fill="FFFFFF"/>
          <w:lang w:val="es-US"/>
        </w:rPr>
        <w:t>, todos hombres entre 1</w:t>
      </w:r>
      <w:r w:rsidR="005733B9" w:rsidRPr="00C332F1">
        <w:rPr>
          <w:rFonts w:cs="Open Sans"/>
          <w:color w:val="auto"/>
          <w:shd w:val="clear" w:color="auto" w:fill="FFFFFF"/>
          <w:lang w:val="es-US"/>
        </w:rPr>
        <w:t xml:space="preserve">5 y </w:t>
      </w:r>
      <w:r w:rsidR="000430C9" w:rsidRPr="00C332F1">
        <w:rPr>
          <w:rFonts w:cs="Open Sans"/>
          <w:color w:val="auto"/>
          <w:shd w:val="clear" w:color="auto" w:fill="FFFFFF"/>
          <w:lang w:val="es-US"/>
        </w:rPr>
        <w:t>5</w:t>
      </w:r>
      <w:r w:rsidR="005733B9" w:rsidRPr="00C332F1">
        <w:rPr>
          <w:rFonts w:cs="Open Sans"/>
          <w:color w:val="auto"/>
          <w:shd w:val="clear" w:color="auto" w:fill="FFFFFF"/>
          <w:lang w:val="es-US"/>
        </w:rPr>
        <w:t>6 años</w:t>
      </w:r>
      <w:r w:rsidR="00A14F05">
        <w:rPr>
          <w:rFonts w:ascii="ZWAdobeF" w:hAnsi="ZWAdobeF" w:cs="ZWAdobeF"/>
          <w:color w:val="auto"/>
          <w:sz w:val="2"/>
          <w:szCs w:val="2"/>
          <w:shd w:val="clear" w:color="auto" w:fill="FFFFFF"/>
          <w:lang w:val="es-US"/>
        </w:rPr>
        <w:t>76F</w:t>
      </w:r>
      <w:r w:rsidR="00891420" w:rsidRPr="005C52BD">
        <w:rPr>
          <w:rStyle w:val="FootnoteReference"/>
          <w:color w:val="auto"/>
          <w:sz w:val="20"/>
          <w:szCs w:val="20"/>
          <w:shd w:val="clear" w:color="auto" w:fill="FFFFFF"/>
          <w:lang w:val="es-US"/>
        </w:rPr>
        <w:footnoteReference w:id="78"/>
      </w:r>
      <w:r w:rsidR="005733B9" w:rsidRPr="00C332F1">
        <w:rPr>
          <w:rFonts w:cs="Open Sans"/>
          <w:color w:val="auto"/>
          <w:shd w:val="clear" w:color="auto" w:fill="FFFFFF"/>
          <w:lang w:val="es-US"/>
        </w:rPr>
        <w:t>.</w:t>
      </w:r>
      <w:r w:rsidRPr="00C332F1">
        <w:rPr>
          <w:rFonts w:cs="Open Sans"/>
          <w:color w:val="auto"/>
          <w:shd w:val="clear" w:color="auto" w:fill="FFFFFF"/>
          <w:lang w:val="es-US"/>
        </w:rPr>
        <w:t xml:space="preserve"> </w:t>
      </w:r>
      <w:r w:rsidR="00E114F6" w:rsidRPr="00C332F1">
        <w:rPr>
          <w:rFonts w:cs="Open Sans"/>
          <w:color w:val="auto"/>
          <w:shd w:val="clear" w:color="auto" w:fill="FFFFFF"/>
          <w:lang w:val="es-US"/>
        </w:rPr>
        <w:t>L</w:t>
      </w:r>
      <w:r w:rsidR="0051026E" w:rsidRPr="00C332F1">
        <w:rPr>
          <w:rFonts w:cs="Open Sans"/>
          <w:color w:val="auto"/>
          <w:shd w:val="clear" w:color="auto" w:fill="FFFFFF"/>
          <w:lang w:val="es-US"/>
        </w:rPr>
        <w:t>os nombres de las personas fallecidas</w:t>
      </w:r>
      <w:r w:rsidR="00BB21DA" w:rsidRPr="00C332F1">
        <w:rPr>
          <w:rFonts w:cs="Open Sans"/>
          <w:color w:val="auto"/>
          <w:shd w:val="clear" w:color="auto" w:fill="FFFFFF"/>
          <w:lang w:val="es-US"/>
        </w:rPr>
        <w:t xml:space="preserve"> registradas por la CIDH</w:t>
      </w:r>
      <w:r w:rsidR="000E09E8" w:rsidRPr="00C332F1">
        <w:rPr>
          <w:rFonts w:cs="Open Sans"/>
          <w:color w:val="auto"/>
          <w:shd w:val="clear" w:color="auto" w:fill="FFFFFF"/>
          <w:lang w:val="es-US"/>
        </w:rPr>
        <w:t>, en su mayoría</w:t>
      </w:r>
      <w:r w:rsidR="0051026E" w:rsidRPr="00C332F1">
        <w:rPr>
          <w:rFonts w:cs="Open Sans"/>
          <w:color w:val="auto"/>
          <w:shd w:val="clear" w:color="auto" w:fill="FFFFFF"/>
          <w:lang w:val="es-US"/>
        </w:rPr>
        <w:t xml:space="preserve"> </w:t>
      </w:r>
      <w:r w:rsidR="00D53C00" w:rsidRPr="00C332F1">
        <w:rPr>
          <w:rFonts w:cs="Open Sans"/>
          <w:color w:val="auto"/>
          <w:shd w:val="clear" w:color="auto" w:fill="FFFFFF"/>
          <w:lang w:val="es-US"/>
        </w:rPr>
        <w:t>como consecuencia del uso arbitrario de la fuerza por parte del Estado</w:t>
      </w:r>
      <w:r w:rsidR="00C3155C" w:rsidRPr="00C332F1">
        <w:rPr>
          <w:rFonts w:cs="Open Sans"/>
          <w:color w:val="auto"/>
          <w:shd w:val="clear" w:color="auto" w:fill="FFFFFF"/>
          <w:lang w:val="es-US"/>
        </w:rPr>
        <w:t xml:space="preserve"> o de grupos paraestatales</w:t>
      </w:r>
      <w:r w:rsidR="00D53C00" w:rsidRPr="00C332F1">
        <w:rPr>
          <w:rFonts w:cs="Open Sans"/>
          <w:color w:val="auto"/>
          <w:shd w:val="clear" w:color="auto" w:fill="FFFFFF"/>
          <w:lang w:val="es-US"/>
        </w:rPr>
        <w:t xml:space="preserve"> </w:t>
      </w:r>
      <w:r w:rsidR="00E114F6" w:rsidRPr="00C332F1">
        <w:rPr>
          <w:rFonts w:cs="Open Sans"/>
          <w:color w:val="auto"/>
          <w:shd w:val="clear" w:color="auto" w:fill="FFFFFF"/>
          <w:lang w:val="es-US"/>
        </w:rPr>
        <w:t xml:space="preserve">son: </w:t>
      </w:r>
      <w:r w:rsidR="000A3A11" w:rsidRPr="00C332F1">
        <w:rPr>
          <w:rFonts w:cstheme="majorBidi"/>
          <w:color w:val="auto"/>
          <w:shd w:val="clear" w:color="auto" w:fill="FFFFFF"/>
        </w:rPr>
        <w:t>Isaías Jacob Fuenmayor González (15); Ángel David Mora Masculino (17); Jeison Gabriel España Guillén Masculino (18); Anthony Enrique Cañizales Gareta (19); Luis Eduardo Roberto Hernández</w:t>
      </w:r>
      <w:r w:rsidR="00D02C5C" w:rsidRPr="00C332F1">
        <w:rPr>
          <w:rFonts w:cstheme="majorBidi"/>
          <w:color w:val="auto"/>
          <w:shd w:val="clear" w:color="auto" w:fill="FFFFFF"/>
        </w:rPr>
        <w:t xml:space="preserve"> </w:t>
      </w:r>
      <w:r w:rsidR="000A3A11" w:rsidRPr="00C332F1">
        <w:rPr>
          <w:rFonts w:cstheme="majorBidi"/>
          <w:color w:val="auto"/>
          <w:shd w:val="clear" w:color="auto" w:fill="FFFFFF"/>
        </w:rPr>
        <w:t>(19); Jhon Alejandro Graterol Mendoza (19); Anthony David Moya Mantia (20</w:t>
      </w:r>
      <w:r w:rsidR="009060F8" w:rsidRPr="00C332F1">
        <w:rPr>
          <w:rFonts w:cstheme="majorBidi"/>
          <w:color w:val="auto"/>
          <w:shd w:val="clear" w:color="auto" w:fill="FFFFFF"/>
        </w:rPr>
        <w:t>)</w:t>
      </w:r>
      <w:r w:rsidR="000A3A11" w:rsidRPr="00C332F1">
        <w:rPr>
          <w:rFonts w:cstheme="majorBidi"/>
          <w:color w:val="auto"/>
          <w:shd w:val="clear" w:color="auto" w:fill="FFFFFF"/>
        </w:rPr>
        <w:t>; Jesús Gregorio Tovar Perdomo (21); Dorian Rair Rondón (22); Jeison Javier Bracho Martínez (22); Olinger Johan Montaño López</w:t>
      </w:r>
      <w:r w:rsidR="00D02C5C" w:rsidRPr="00C332F1">
        <w:rPr>
          <w:rFonts w:cstheme="majorBidi"/>
          <w:color w:val="auto"/>
          <w:shd w:val="clear" w:color="auto" w:fill="FFFFFF"/>
        </w:rPr>
        <w:t xml:space="preserve"> </w:t>
      </w:r>
      <w:r w:rsidR="00E1279B" w:rsidRPr="00C332F1">
        <w:rPr>
          <w:rFonts w:cstheme="majorBidi"/>
          <w:color w:val="auto"/>
          <w:shd w:val="clear" w:color="auto" w:fill="FFFFFF"/>
        </w:rPr>
        <w:t>(</w:t>
      </w:r>
      <w:r w:rsidR="000A3A11" w:rsidRPr="00C332F1">
        <w:rPr>
          <w:rFonts w:cstheme="majorBidi"/>
          <w:color w:val="auto"/>
          <w:shd w:val="clear" w:color="auto" w:fill="FFFFFF"/>
        </w:rPr>
        <w:t>23</w:t>
      </w:r>
      <w:r w:rsidR="00E1279B" w:rsidRPr="00C332F1">
        <w:rPr>
          <w:rFonts w:cstheme="majorBidi"/>
          <w:color w:val="auto"/>
          <w:shd w:val="clear" w:color="auto" w:fill="FFFFFF"/>
        </w:rPr>
        <w:t>)</w:t>
      </w:r>
      <w:r w:rsidR="000A3A11" w:rsidRPr="00C332F1">
        <w:rPr>
          <w:rFonts w:cstheme="majorBidi"/>
          <w:color w:val="auto"/>
          <w:shd w:val="clear" w:color="auto" w:fill="FFFFFF"/>
        </w:rPr>
        <w:t xml:space="preserve"> Euris Junior José Mendoza Royé </w:t>
      </w:r>
      <w:r w:rsidR="00E1279B" w:rsidRPr="00C332F1">
        <w:rPr>
          <w:rFonts w:cstheme="majorBidi"/>
          <w:color w:val="auto"/>
          <w:shd w:val="clear" w:color="auto" w:fill="FFFFFF"/>
        </w:rPr>
        <w:t>(</w:t>
      </w:r>
      <w:r w:rsidR="000A3A11" w:rsidRPr="00C332F1">
        <w:rPr>
          <w:rFonts w:cstheme="majorBidi"/>
          <w:color w:val="auto"/>
          <w:shd w:val="clear" w:color="auto" w:fill="FFFFFF"/>
        </w:rPr>
        <w:t>24</w:t>
      </w:r>
      <w:r w:rsidR="00E1279B" w:rsidRPr="00C332F1">
        <w:rPr>
          <w:rFonts w:cstheme="majorBidi"/>
          <w:color w:val="auto"/>
          <w:shd w:val="clear" w:color="auto" w:fill="FFFFFF"/>
        </w:rPr>
        <w:t>)</w:t>
      </w:r>
      <w:r w:rsidR="000A3A11" w:rsidRPr="00C332F1">
        <w:rPr>
          <w:rFonts w:cstheme="majorBidi"/>
          <w:color w:val="auto"/>
          <w:shd w:val="clear" w:color="auto" w:fill="FFFFFF"/>
        </w:rPr>
        <w:t xml:space="preserve"> José Antonio Torrents Blanca</w:t>
      </w:r>
      <w:r w:rsidR="00E1279B" w:rsidRPr="00C332F1">
        <w:rPr>
          <w:rFonts w:cstheme="majorBidi"/>
          <w:color w:val="auto"/>
          <w:shd w:val="clear" w:color="auto" w:fill="FFFFFF"/>
        </w:rPr>
        <w:t>; y</w:t>
      </w:r>
      <w:r w:rsidR="000A3A11" w:rsidRPr="00C332F1">
        <w:rPr>
          <w:rFonts w:cstheme="majorBidi"/>
          <w:color w:val="auto"/>
          <w:shd w:val="clear" w:color="auto" w:fill="FFFFFF"/>
        </w:rPr>
        <w:t xml:space="preserve"> </w:t>
      </w:r>
      <w:r w:rsidR="00E1279B" w:rsidRPr="00C332F1">
        <w:rPr>
          <w:rFonts w:cstheme="majorBidi"/>
          <w:color w:val="auto"/>
          <w:shd w:val="clear" w:color="auto" w:fill="FFFFFF"/>
        </w:rPr>
        <w:t>(</w:t>
      </w:r>
      <w:r w:rsidR="000A3A11" w:rsidRPr="00C332F1">
        <w:rPr>
          <w:rFonts w:cstheme="majorBidi"/>
          <w:color w:val="auto"/>
          <w:shd w:val="clear" w:color="auto" w:fill="FFFFFF"/>
        </w:rPr>
        <w:t>26</w:t>
      </w:r>
      <w:r w:rsidR="00E1279B" w:rsidRPr="00C332F1">
        <w:rPr>
          <w:rFonts w:cstheme="majorBidi"/>
          <w:color w:val="auto"/>
          <w:shd w:val="clear" w:color="auto" w:fill="FFFFFF"/>
        </w:rPr>
        <w:t>)</w:t>
      </w:r>
      <w:r w:rsidR="000A3A11" w:rsidRPr="00C332F1">
        <w:rPr>
          <w:rFonts w:cstheme="majorBidi"/>
          <w:color w:val="auto"/>
          <w:shd w:val="clear" w:color="auto" w:fill="FFFFFF"/>
        </w:rPr>
        <w:t xml:space="preserve"> Aníbal José Romero Salazar</w:t>
      </w:r>
      <w:r w:rsidR="00207E22" w:rsidRPr="00C332F1">
        <w:rPr>
          <w:rFonts w:cstheme="majorBidi"/>
          <w:color w:val="auto"/>
          <w:shd w:val="clear" w:color="auto" w:fill="FFFFFF"/>
        </w:rPr>
        <w:t xml:space="preserve">; </w:t>
      </w:r>
      <w:r w:rsidR="007E2741" w:rsidRPr="00C332F1">
        <w:rPr>
          <w:rFonts w:cstheme="majorBidi"/>
          <w:color w:val="auto"/>
        </w:rPr>
        <w:t xml:space="preserve">Carlos Oscar Porras </w:t>
      </w:r>
      <w:r w:rsidR="00207E22" w:rsidRPr="00C332F1">
        <w:rPr>
          <w:rFonts w:cstheme="majorBidi"/>
          <w:color w:val="auto"/>
        </w:rPr>
        <w:t>(</w:t>
      </w:r>
      <w:r w:rsidR="007E2741" w:rsidRPr="00C332F1">
        <w:rPr>
          <w:rFonts w:cstheme="majorBidi"/>
          <w:color w:val="auto"/>
        </w:rPr>
        <w:t>26</w:t>
      </w:r>
      <w:r w:rsidR="00207E22" w:rsidRPr="00C332F1">
        <w:rPr>
          <w:rFonts w:cstheme="majorBidi"/>
          <w:color w:val="auto"/>
        </w:rPr>
        <w:t>);</w:t>
      </w:r>
      <w:r w:rsidR="007E2741" w:rsidRPr="00C332F1">
        <w:rPr>
          <w:rFonts w:cstheme="majorBidi"/>
          <w:color w:val="auto"/>
        </w:rPr>
        <w:t xml:space="preserve"> Gustavo Rojas </w:t>
      </w:r>
      <w:r w:rsidR="00207E22" w:rsidRPr="00C332F1">
        <w:rPr>
          <w:rFonts w:cstheme="majorBidi"/>
          <w:color w:val="auto"/>
        </w:rPr>
        <w:t>(</w:t>
      </w:r>
      <w:r w:rsidR="007E2741" w:rsidRPr="00C332F1">
        <w:rPr>
          <w:rFonts w:cstheme="majorBidi"/>
          <w:color w:val="auto"/>
        </w:rPr>
        <w:t>29</w:t>
      </w:r>
      <w:r w:rsidR="00207E22" w:rsidRPr="00C332F1">
        <w:rPr>
          <w:rFonts w:cstheme="majorBidi"/>
          <w:color w:val="auto"/>
        </w:rPr>
        <w:t>);</w:t>
      </w:r>
      <w:r w:rsidR="007E2741" w:rsidRPr="00C332F1">
        <w:rPr>
          <w:rFonts w:cstheme="majorBidi"/>
          <w:color w:val="auto"/>
        </w:rPr>
        <w:t xml:space="preserve"> Walter Páez Lucena </w:t>
      </w:r>
      <w:r w:rsidR="00207E22" w:rsidRPr="00C332F1">
        <w:rPr>
          <w:rFonts w:cstheme="majorBidi"/>
          <w:color w:val="auto"/>
        </w:rPr>
        <w:t>(</w:t>
      </w:r>
      <w:r w:rsidR="007E2741" w:rsidRPr="00C332F1">
        <w:rPr>
          <w:rFonts w:cstheme="majorBidi"/>
          <w:color w:val="auto"/>
        </w:rPr>
        <w:t>29</w:t>
      </w:r>
      <w:r w:rsidR="00207E22" w:rsidRPr="00C332F1">
        <w:rPr>
          <w:rFonts w:cstheme="majorBidi"/>
          <w:color w:val="auto"/>
        </w:rPr>
        <w:t>);</w:t>
      </w:r>
      <w:r w:rsidR="007E2741" w:rsidRPr="00C332F1">
        <w:rPr>
          <w:rFonts w:cstheme="majorBidi"/>
          <w:color w:val="auto"/>
        </w:rPr>
        <w:t xml:space="preserve"> Rancés Daniel Yzarra Bolívar </w:t>
      </w:r>
      <w:r w:rsidR="00207E22" w:rsidRPr="00C332F1">
        <w:rPr>
          <w:rFonts w:cstheme="majorBidi"/>
          <w:color w:val="auto"/>
        </w:rPr>
        <w:t>(</w:t>
      </w:r>
      <w:r w:rsidR="007E2741" w:rsidRPr="00C332F1">
        <w:rPr>
          <w:rFonts w:cstheme="majorBidi"/>
          <w:color w:val="auto"/>
        </w:rPr>
        <w:t>30</w:t>
      </w:r>
      <w:r w:rsidR="00207E22" w:rsidRPr="00C332F1">
        <w:rPr>
          <w:rFonts w:cstheme="majorBidi"/>
          <w:color w:val="auto"/>
        </w:rPr>
        <w:t>)</w:t>
      </w:r>
      <w:r w:rsidR="007E2741" w:rsidRPr="00C332F1">
        <w:rPr>
          <w:rFonts w:cstheme="majorBidi"/>
          <w:color w:val="auto"/>
        </w:rPr>
        <w:t xml:space="preserve"> Gabriel Ramos </w:t>
      </w:r>
      <w:r w:rsidR="00207E22" w:rsidRPr="00C332F1">
        <w:rPr>
          <w:rFonts w:cstheme="majorBidi"/>
          <w:color w:val="auto"/>
        </w:rPr>
        <w:t>(</w:t>
      </w:r>
      <w:r w:rsidR="007E2741" w:rsidRPr="00C332F1">
        <w:rPr>
          <w:rFonts w:cstheme="majorBidi"/>
          <w:color w:val="auto"/>
        </w:rPr>
        <w:t>33</w:t>
      </w:r>
      <w:r w:rsidR="00207E22" w:rsidRPr="00C332F1">
        <w:rPr>
          <w:rFonts w:cstheme="majorBidi"/>
          <w:color w:val="auto"/>
        </w:rPr>
        <w:t>);</w:t>
      </w:r>
      <w:r w:rsidR="007E2741" w:rsidRPr="00C332F1">
        <w:rPr>
          <w:rFonts w:cstheme="majorBidi"/>
          <w:color w:val="auto"/>
        </w:rPr>
        <w:t xml:space="preserve"> Víctor Alfonzo Bustos </w:t>
      </w:r>
      <w:r w:rsidR="00207E22" w:rsidRPr="00C332F1">
        <w:rPr>
          <w:rFonts w:cstheme="majorBidi"/>
          <w:color w:val="auto"/>
        </w:rPr>
        <w:t>(</w:t>
      </w:r>
      <w:r w:rsidR="007E2741" w:rsidRPr="00C332F1">
        <w:rPr>
          <w:rFonts w:cstheme="majorBidi"/>
          <w:color w:val="auto"/>
        </w:rPr>
        <w:t>34</w:t>
      </w:r>
      <w:r w:rsidR="00207E22" w:rsidRPr="00C332F1">
        <w:rPr>
          <w:rFonts w:cstheme="majorBidi"/>
          <w:color w:val="auto"/>
        </w:rPr>
        <w:t>);</w:t>
      </w:r>
      <w:r w:rsidR="007E2741" w:rsidRPr="00C332F1">
        <w:rPr>
          <w:rFonts w:cstheme="majorBidi"/>
          <w:color w:val="auto"/>
        </w:rPr>
        <w:t xml:space="preserve"> Yorgenis Emiliano Leyva Méndez </w:t>
      </w:r>
      <w:r w:rsidR="00207E22" w:rsidRPr="00C332F1">
        <w:rPr>
          <w:rFonts w:cstheme="majorBidi"/>
          <w:color w:val="auto"/>
        </w:rPr>
        <w:t>(</w:t>
      </w:r>
      <w:r w:rsidR="007E2741" w:rsidRPr="00C332F1">
        <w:rPr>
          <w:rFonts w:cstheme="majorBidi"/>
          <w:color w:val="auto"/>
        </w:rPr>
        <w:t>35</w:t>
      </w:r>
      <w:r w:rsidR="00207E22" w:rsidRPr="00C332F1">
        <w:rPr>
          <w:rFonts w:cstheme="majorBidi"/>
          <w:color w:val="auto"/>
        </w:rPr>
        <w:t>);</w:t>
      </w:r>
      <w:r w:rsidR="007E2741" w:rsidRPr="00C332F1">
        <w:rPr>
          <w:rFonts w:cstheme="majorBidi"/>
          <w:color w:val="auto"/>
        </w:rPr>
        <w:t xml:space="preserve"> Andrés Alfonso Ramírez Castillo </w:t>
      </w:r>
      <w:r w:rsidR="00207E22" w:rsidRPr="00C332F1">
        <w:rPr>
          <w:rFonts w:cstheme="majorBidi"/>
          <w:color w:val="auto"/>
        </w:rPr>
        <w:t>(</w:t>
      </w:r>
      <w:r w:rsidR="007E2741" w:rsidRPr="00C332F1">
        <w:rPr>
          <w:rFonts w:cstheme="majorBidi"/>
          <w:color w:val="auto"/>
        </w:rPr>
        <w:t>36</w:t>
      </w:r>
      <w:r w:rsidR="008739C2" w:rsidRPr="00C332F1">
        <w:rPr>
          <w:rFonts w:cstheme="majorBidi"/>
          <w:color w:val="auto"/>
        </w:rPr>
        <w:t>);</w:t>
      </w:r>
      <w:r w:rsidR="007E2741" w:rsidRPr="00C332F1">
        <w:rPr>
          <w:rFonts w:cstheme="majorBidi"/>
          <w:color w:val="auto"/>
        </w:rPr>
        <w:t xml:space="preserve"> Julio Valerio García </w:t>
      </w:r>
      <w:r w:rsidR="008739C2" w:rsidRPr="00C332F1">
        <w:rPr>
          <w:rFonts w:cstheme="majorBidi"/>
          <w:color w:val="auto"/>
        </w:rPr>
        <w:t>(</w:t>
      </w:r>
      <w:r w:rsidR="007E2741" w:rsidRPr="00C332F1">
        <w:rPr>
          <w:rFonts w:cstheme="majorBidi"/>
          <w:color w:val="auto"/>
        </w:rPr>
        <w:t>40</w:t>
      </w:r>
      <w:r w:rsidR="008739C2" w:rsidRPr="00C332F1">
        <w:rPr>
          <w:rFonts w:cstheme="majorBidi"/>
          <w:color w:val="auto"/>
        </w:rPr>
        <w:t>);</w:t>
      </w:r>
      <w:r w:rsidR="007E2741" w:rsidRPr="00C332F1">
        <w:rPr>
          <w:rFonts w:cstheme="majorBidi"/>
          <w:color w:val="auto"/>
        </w:rPr>
        <w:t xml:space="preserve"> Edgar Alexander Aristeguieta </w:t>
      </w:r>
      <w:r w:rsidR="008739C2" w:rsidRPr="00C332F1">
        <w:rPr>
          <w:rFonts w:cstheme="majorBidi"/>
          <w:color w:val="auto"/>
        </w:rPr>
        <w:t>(</w:t>
      </w:r>
      <w:r w:rsidR="0051026E" w:rsidRPr="00C332F1">
        <w:rPr>
          <w:rFonts w:cstheme="majorBidi"/>
          <w:color w:val="auto"/>
        </w:rPr>
        <w:t>4</w:t>
      </w:r>
      <w:r w:rsidR="007E2741" w:rsidRPr="00C332F1">
        <w:rPr>
          <w:rFonts w:cstheme="majorBidi"/>
          <w:color w:val="auto"/>
        </w:rPr>
        <w:t>2</w:t>
      </w:r>
      <w:r w:rsidR="0051026E" w:rsidRPr="00C332F1">
        <w:rPr>
          <w:rFonts w:cstheme="majorBidi"/>
          <w:color w:val="auto"/>
        </w:rPr>
        <w:t>);</w:t>
      </w:r>
      <w:r w:rsidR="007E2741" w:rsidRPr="00C332F1">
        <w:rPr>
          <w:rFonts w:cstheme="majorBidi"/>
          <w:color w:val="auto"/>
        </w:rPr>
        <w:t xml:space="preserve"> Jesús Ramón Medina Perdomo </w:t>
      </w:r>
      <w:r w:rsidR="0051026E" w:rsidRPr="00C332F1">
        <w:rPr>
          <w:rFonts w:cstheme="majorBidi"/>
          <w:color w:val="auto"/>
        </w:rPr>
        <w:t>(</w:t>
      </w:r>
      <w:r w:rsidR="007E2741" w:rsidRPr="00C332F1">
        <w:rPr>
          <w:rFonts w:cstheme="majorBidi"/>
          <w:color w:val="auto"/>
        </w:rPr>
        <w:t>56</w:t>
      </w:r>
      <w:r w:rsidR="0051026E" w:rsidRPr="00C332F1">
        <w:rPr>
          <w:rFonts w:cstheme="majorBidi"/>
          <w:color w:val="auto"/>
        </w:rPr>
        <w:t>)</w:t>
      </w:r>
      <w:r w:rsidR="00A14F05">
        <w:rPr>
          <w:rFonts w:ascii="ZWAdobeF" w:hAnsi="ZWAdobeF" w:cs="ZWAdobeF"/>
          <w:color w:val="auto"/>
          <w:sz w:val="2"/>
          <w:szCs w:val="2"/>
        </w:rPr>
        <w:t>77F</w:t>
      </w:r>
      <w:r w:rsidR="005733B9" w:rsidRPr="005C52BD">
        <w:rPr>
          <w:rStyle w:val="FootnoteReference"/>
          <w:color w:val="auto"/>
          <w:sz w:val="20"/>
          <w:szCs w:val="20"/>
        </w:rPr>
        <w:footnoteReference w:id="79"/>
      </w:r>
      <w:r w:rsidR="0051026E" w:rsidRPr="00C332F1">
        <w:rPr>
          <w:rFonts w:cstheme="majorBidi"/>
          <w:color w:val="auto"/>
        </w:rPr>
        <w:t>.</w:t>
      </w:r>
    </w:p>
    <w:p w14:paraId="79D7FF50" w14:textId="711DC634" w:rsidR="00112461" w:rsidRPr="00C332F1" w:rsidRDefault="00112461" w:rsidP="00A703B7">
      <w:pPr>
        <w:pStyle w:val="IAPrrafo"/>
        <w:rPr>
          <w:color w:val="auto"/>
          <w:szCs w:val="20"/>
        </w:rPr>
      </w:pPr>
      <w:r w:rsidRPr="00C332F1">
        <w:rPr>
          <w:rFonts w:cs="Open Sans"/>
          <w:color w:val="auto"/>
          <w:shd w:val="clear" w:color="auto" w:fill="FFFFFF"/>
          <w:lang w:val="es-US"/>
        </w:rPr>
        <w:t>Según información pública</w:t>
      </w:r>
      <w:r w:rsidR="009B1E9A" w:rsidRPr="00C332F1">
        <w:rPr>
          <w:rFonts w:cs="Open Sans"/>
          <w:color w:val="auto"/>
          <w:shd w:val="clear" w:color="auto" w:fill="FFFFFF"/>
          <w:lang w:val="es-US"/>
        </w:rPr>
        <w:t>,</w:t>
      </w:r>
      <w:r w:rsidRPr="00C332F1">
        <w:rPr>
          <w:rFonts w:cs="Open Sans"/>
          <w:color w:val="auto"/>
          <w:shd w:val="clear" w:color="auto" w:fill="FFFFFF"/>
          <w:lang w:val="es-US"/>
        </w:rPr>
        <w:t xml:space="preserve"> 10 de las muertes serían atribuibles a fuerzas estatales</w:t>
      </w:r>
      <w:r w:rsidR="00562585" w:rsidRPr="00C332F1">
        <w:rPr>
          <w:rFonts w:cs="Open Sans"/>
          <w:color w:val="auto"/>
          <w:shd w:val="clear" w:color="auto" w:fill="FFFFFF"/>
          <w:lang w:val="es-US"/>
        </w:rPr>
        <w:t xml:space="preserve">. De estas, </w:t>
      </w:r>
      <w:r w:rsidRPr="00C332F1">
        <w:rPr>
          <w:rFonts w:cs="Open Sans"/>
          <w:color w:val="auto"/>
          <w:shd w:val="clear" w:color="auto" w:fill="FFFFFF"/>
          <w:lang w:val="es-US"/>
        </w:rPr>
        <w:t xml:space="preserve">ocho a fuerzas militares y dos a la policía. Seis de las muertes serían atribuibles a los </w:t>
      </w:r>
      <w:r w:rsidR="00CD2F40" w:rsidRPr="00C332F1">
        <w:rPr>
          <w:rFonts w:cs="Open Sans"/>
          <w:color w:val="auto"/>
          <w:shd w:val="clear" w:color="auto" w:fill="FFFFFF"/>
          <w:lang w:val="es-US"/>
        </w:rPr>
        <w:t>“</w:t>
      </w:r>
      <w:r w:rsidRPr="00C332F1">
        <w:rPr>
          <w:rFonts w:cs="Open Sans"/>
          <w:color w:val="auto"/>
          <w:shd w:val="clear" w:color="auto" w:fill="FFFFFF"/>
          <w:lang w:val="es-US"/>
        </w:rPr>
        <w:t>colectivos</w:t>
      </w:r>
      <w:r w:rsidR="00CD2F40" w:rsidRPr="00C332F1">
        <w:rPr>
          <w:rFonts w:cs="Open Sans"/>
          <w:color w:val="auto"/>
          <w:shd w:val="clear" w:color="auto" w:fill="FFFFFF"/>
          <w:lang w:val="es-US"/>
        </w:rPr>
        <w:t>”</w:t>
      </w:r>
      <w:r w:rsidRPr="00C332F1">
        <w:rPr>
          <w:rFonts w:cs="Open Sans"/>
          <w:color w:val="auto"/>
          <w:shd w:val="clear" w:color="auto" w:fill="FFFFFF"/>
          <w:lang w:val="es-US"/>
        </w:rPr>
        <w:t>, que actúan con el consentimiento, tolerancia o aquiescencia del Estado, e</w:t>
      </w:r>
      <w:r w:rsidR="000F2F0D" w:rsidRPr="00C332F1">
        <w:rPr>
          <w:rFonts w:cs="Open Sans"/>
          <w:color w:val="auto"/>
          <w:shd w:val="clear" w:color="auto" w:fill="FFFFFF"/>
          <w:lang w:val="es-US"/>
        </w:rPr>
        <w:t>,</w:t>
      </w:r>
      <w:r w:rsidRPr="00C332F1">
        <w:rPr>
          <w:rFonts w:cs="Open Sans"/>
          <w:color w:val="auto"/>
          <w:shd w:val="clear" w:color="auto" w:fill="FFFFFF"/>
          <w:lang w:val="es-US"/>
        </w:rPr>
        <w:t xml:space="preserve"> inclusive, están incorporados legalmente en el </w:t>
      </w:r>
      <w:r w:rsidR="00CD2F40" w:rsidRPr="00C332F1">
        <w:rPr>
          <w:rFonts w:cs="Open Sans"/>
          <w:color w:val="auto"/>
          <w:shd w:val="clear" w:color="auto" w:fill="FFFFFF"/>
          <w:lang w:val="es-US"/>
        </w:rPr>
        <w:t>“</w:t>
      </w:r>
      <w:r w:rsidRPr="00C332F1">
        <w:rPr>
          <w:rFonts w:cs="Open Sans"/>
          <w:color w:val="auto"/>
          <w:shd w:val="clear" w:color="auto" w:fill="FFFFFF"/>
          <w:lang w:val="es-US"/>
        </w:rPr>
        <w:t>Sistema Popular de Protección para la Paz</w:t>
      </w:r>
      <w:r w:rsidR="00CD2F40" w:rsidRPr="00C332F1">
        <w:rPr>
          <w:rFonts w:cs="Open Sans"/>
          <w:color w:val="auto"/>
          <w:shd w:val="clear" w:color="auto" w:fill="FFFFFF"/>
          <w:lang w:val="es-US"/>
        </w:rPr>
        <w:t>”</w:t>
      </w:r>
      <w:r w:rsidR="00A14F05">
        <w:rPr>
          <w:rFonts w:ascii="ZWAdobeF" w:hAnsi="ZWAdobeF" w:cs="ZWAdobeF"/>
          <w:color w:val="auto"/>
          <w:sz w:val="2"/>
          <w:szCs w:val="2"/>
          <w:shd w:val="clear" w:color="auto" w:fill="FFFFFF"/>
          <w:lang w:val="es-US"/>
        </w:rPr>
        <w:t>78F</w:t>
      </w:r>
      <w:r w:rsidR="00A1294F" w:rsidRPr="005C52BD">
        <w:rPr>
          <w:rStyle w:val="FootnoteReference"/>
          <w:color w:val="auto"/>
          <w:sz w:val="20"/>
          <w:szCs w:val="20"/>
          <w:shd w:val="clear" w:color="auto" w:fill="FFFFFF"/>
          <w:lang w:val="es-US"/>
        </w:rPr>
        <w:footnoteReference w:id="80"/>
      </w:r>
      <w:r w:rsidRPr="00C332F1">
        <w:rPr>
          <w:rFonts w:cs="Open Sans"/>
          <w:color w:val="auto"/>
          <w:shd w:val="clear" w:color="auto" w:fill="FFFFFF"/>
          <w:lang w:val="es-US"/>
        </w:rPr>
        <w:t>. Dos de los casos serían atribuibles a acciones mixtas entre fuerzas estatales y grupos no-estatales. En los</w:t>
      </w:r>
      <w:r w:rsidR="00C52952" w:rsidRPr="00C332F1">
        <w:rPr>
          <w:rFonts w:cs="Open Sans"/>
          <w:color w:val="auto"/>
          <w:shd w:val="clear" w:color="auto" w:fill="FFFFFF"/>
          <w:lang w:val="es-US"/>
        </w:rPr>
        <w:t xml:space="preserve"> otros</w:t>
      </w:r>
      <w:r w:rsidRPr="00C332F1">
        <w:rPr>
          <w:rFonts w:cs="Open Sans"/>
          <w:color w:val="auto"/>
          <w:shd w:val="clear" w:color="auto" w:fill="FFFFFF"/>
          <w:lang w:val="es-US"/>
        </w:rPr>
        <w:t xml:space="preserve"> casos no se cuenta con información sobre el perfil de los presuntos responsables</w:t>
      </w:r>
      <w:r w:rsidR="00A14F05">
        <w:rPr>
          <w:rFonts w:ascii="ZWAdobeF" w:hAnsi="ZWAdobeF" w:cs="ZWAdobeF"/>
          <w:color w:val="auto"/>
          <w:sz w:val="2"/>
          <w:szCs w:val="2"/>
          <w:shd w:val="clear" w:color="auto" w:fill="FFFFFF"/>
          <w:lang w:val="es-US"/>
        </w:rPr>
        <w:t>79F</w:t>
      </w:r>
      <w:r w:rsidR="009B1E9A" w:rsidRPr="005C52BD">
        <w:rPr>
          <w:rStyle w:val="FootnoteReference"/>
          <w:rFonts w:cs="Open Sans"/>
          <w:color w:val="auto"/>
          <w:sz w:val="20"/>
          <w:szCs w:val="20"/>
          <w:shd w:val="clear" w:color="auto" w:fill="FFFFFF"/>
          <w:lang w:val="es-US"/>
        </w:rPr>
        <w:footnoteReference w:id="81"/>
      </w:r>
      <w:r w:rsidRPr="00C332F1">
        <w:rPr>
          <w:rFonts w:cs="Open Sans"/>
          <w:color w:val="auto"/>
          <w:shd w:val="clear" w:color="auto" w:fill="FFFFFF"/>
          <w:lang w:val="es-US"/>
        </w:rPr>
        <w:t>.</w:t>
      </w:r>
    </w:p>
    <w:p w14:paraId="09C5E9BD" w14:textId="1E49A6AA" w:rsidR="00643931" w:rsidRPr="00C332F1" w:rsidRDefault="003160F6" w:rsidP="00A703B7">
      <w:pPr>
        <w:pStyle w:val="IAPrrafo"/>
        <w:rPr>
          <w:color w:val="auto"/>
          <w:szCs w:val="20"/>
        </w:rPr>
      </w:pPr>
      <w:r w:rsidRPr="00C332F1">
        <w:rPr>
          <w:rFonts w:cs="Open Sans"/>
          <w:color w:val="auto"/>
          <w:shd w:val="clear" w:color="auto" w:fill="FFFFFF"/>
          <w:lang w:val="es-US"/>
        </w:rPr>
        <w:t>En relación con las causas de muerte</w:t>
      </w:r>
      <w:r w:rsidR="007A3CA1" w:rsidRPr="00C332F1">
        <w:rPr>
          <w:rFonts w:cs="Open Sans"/>
          <w:color w:val="auto"/>
          <w:shd w:val="clear" w:color="auto" w:fill="FFFFFF"/>
          <w:lang w:val="es-US"/>
        </w:rPr>
        <w:t xml:space="preserve">, </w:t>
      </w:r>
      <w:r w:rsidR="00D96F3E" w:rsidRPr="00C332F1">
        <w:rPr>
          <w:rFonts w:cs="Open Sans"/>
          <w:color w:val="auto"/>
          <w:shd w:val="clear" w:color="auto" w:fill="FFFFFF"/>
          <w:lang w:val="es-US"/>
        </w:rPr>
        <w:t xml:space="preserve">la información documental y </w:t>
      </w:r>
      <w:r w:rsidR="00AA2AB3" w:rsidRPr="00C332F1">
        <w:rPr>
          <w:rFonts w:cs="Open Sans"/>
          <w:color w:val="auto"/>
          <w:shd w:val="clear" w:color="auto" w:fill="FFFFFF"/>
          <w:lang w:val="es-US"/>
        </w:rPr>
        <w:t xml:space="preserve">testimonial permite concluir que </w:t>
      </w:r>
      <w:r w:rsidR="00080EDF" w:rsidRPr="00C332F1">
        <w:rPr>
          <w:rFonts w:cs="Open Sans"/>
          <w:color w:val="auto"/>
          <w:shd w:val="clear" w:color="auto" w:fill="FFFFFF"/>
          <w:lang w:val="es-US"/>
        </w:rPr>
        <w:t xml:space="preserve">todas las víctimas murieron por arma de fuego: </w:t>
      </w:r>
      <w:r w:rsidR="00F84449" w:rsidRPr="00C332F1">
        <w:rPr>
          <w:rFonts w:cs="Open Sans"/>
          <w:color w:val="auto"/>
          <w:shd w:val="clear" w:color="auto" w:fill="FFFFFF"/>
          <w:lang w:val="es-US"/>
        </w:rPr>
        <w:t xml:space="preserve">siete con disparos en el cuello, </w:t>
      </w:r>
      <w:r w:rsidR="00FE6364" w:rsidRPr="00C332F1">
        <w:rPr>
          <w:rFonts w:cs="Open Sans"/>
          <w:color w:val="auto"/>
          <w:shd w:val="clear" w:color="auto" w:fill="FFFFFF"/>
          <w:lang w:val="es-US"/>
        </w:rPr>
        <w:t>cinco</w:t>
      </w:r>
      <w:r w:rsidR="00FD3023" w:rsidRPr="00C332F1">
        <w:rPr>
          <w:rFonts w:cs="Open Sans"/>
          <w:color w:val="auto"/>
          <w:shd w:val="clear" w:color="auto" w:fill="FFFFFF"/>
          <w:lang w:val="es-US"/>
        </w:rPr>
        <w:t xml:space="preserve"> en tórax, </w:t>
      </w:r>
      <w:r w:rsidR="00FE6364" w:rsidRPr="00C332F1">
        <w:rPr>
          <w:rFonts w:cs="Open Sans"/>
          <w:color w:val="auto"/>
          <w:shd w:val="clear" w:color="auto" w:fill="FFFFFF"/>
          <w:lang w:val="es-US"/>
        </w:rPr>
        <w:t>cuatro</w:t>
      </w:r>
      <w:r w:rsidR="00425B63" w:rsidRPr="00C332F1">
        <w:rPr>
          <w:rFonts w:cs="Open Sans"/>
          <w:color w:val="auto"/>
          <w:shd w:val="clear" w:color="auto" w:fill="FFFFFF"/>
          <w:lang w:val="es-US"/>
        </w:rPr>
        <w:t xml:space="preserve"> en la cabeza,</w:t>
      </w:r>
      <w:r w:rsidR="00FE6364" w:rsidRPr="00C332F1">
        <w:rPr>
          <w:rFonts w:cs="Open Sans"/>
          <w:color w:val="auto"/>
          <w:shd w:val="clear" w:color="auto" w:fill="FFFFFF"/>
          <w:lang w:val="es-US"/>
        </w:rPr>
        <w:t xml:space="preserve"> tres</w:t>
      </w:r>
      <w:r w:rsidR="00425B63" w:rsidRPr="00C332F1">
        <w:rPr>
          <w:rFonts w:cs="Open Sans"/>
          <w:color w:val="auto"/>
          <w:shd w:val="clear" w:color="auto" w:fill="FFFFFF"/>
          <w:lang w:val="es-US"/>
        </w:rPr>
        <w:t xml:space="preserve"> en la espalda, </w:t>
      </w:r>
      <w:r w:rsidR="00FE6364" w:rsidRPr="00C332F1">
        <w:rPr>
          <w:rFonts w:cs="Open Sans"/>
          <w:color w:val="auto"/>
          <w:shd w:val="clear" w:color="auto" w:fill="FFFFFF"/>
          <w:lang w:val="es-US"/>
        </w:rPr>
        <w:t>dos</w:t>
      </w:r>
      <w:r w:rsidR="00D23CAE" w:rsidRPr="00C332F1">
        <w:rPr>
          <w:rFonts w:cs="Open Sans"/>
          <w:color w:val="auto"/>
          <w:shd w:val="clear" w:color="auto" w:fill="FFFFFF"/>
          <w:lang w:val="es-US"/>
        </w:rPr>
        <w:t xml:space="preserve"> en el abdomen</w:t>
      </w:r>
      <w:r w:rsidR="00705147" w:rsidRPr="00C332F1">
        <w:rPr>
          <w:rFonts w:cs="Open Sans"/>
          <w:color w:val="auto"/>
          <w:shd w:val="clear" w:color="auto" w:fill="FFFFFF"/>
          <w:lang w:val="es-US"/>
        </w:rPr>
        <w:t xml:space="preserve">, </w:t>
      </w:r>
      <w:r w:rsidR="00FE6364" w:rsidRPr="00C332F1">
        <w:rPr>
          <w:rFonts w:cs="Open Sans"/>
          <w:color w:val="auto"/>
          <w:shd w:val="clear" w:color="auto" w:fill="FFFFFF"/>
          <w:lang w:val="es-US"/>
        </w:rPr>
        <w:t xml:space="preserve">y tres </w:t>
      </w:r>
      <w:r w:rsidR="00705147" w:rsidRPr="00C332F1">
        <w:rPr>
          <w:rFonts w:cs="Open Sans"/>
          <w:color w:val="auto"/>
          <w:shd w:val="clear" w:color="auto" w:fill="FFFFFF"/>
          <w:lang w:val="es-US"/>
        </w:rPr>
        <w:t>en otras partes del cuerpo</w:t>
      </w:r>
      <w:r w:rsidR="00A14F05">
        <w:rPr>
          <w:rFonts w:ascii="ZWAdobeF" w:hAnsi="ZWAdobeF" w:cs="ZWAdobeF"/>
          <w:color w:val="auto"/>
          <w:sz w:val="2"/>
          <w:szCs w:val="2"/>
          <w:shd w:val="clear" w:color="auto" w:fill="FFFFFF"/>
          <w:lang w:val="es-US"/>
        </w:rPr>
        <w:t>80F</w:t>
      </w:r>
      <w:r w:rsidR="00344FD6" w:rsidRPr="005C52BD">
        <w:rPr>
          <w:rStyle w:val="FootnoteReference"/>
          <w:color w:val="auto"/>
          <w:sz w:val="20"/>
          <w:szCs w:val="20"/>
          <w:shd w:val="clear" w:color="auto" w:fill="FFFFFF"/>
          <w:lang w:val="es-US"/>
        </w:rPr>
        <w:footnoteReference w:id="82"/>
      </w:r>
      <w:r w:rsidR="00FE6364" w:rsidRPr="001B6060">
        <w:rPr>
          <w:rFonts w:cs="Open Sans"/>
          <w:color w:val="auto"/>
          <w:szCs w:val="20"/>
          <w:shd w:val="clear" w:color="auto" w:fill="FFFFFF"/>
          <w:lang w:val="es-US"/>
        </w:rPr>
        <w:t>.</w:t>
      </w:r>
      <w:r w:rsidR="002E51B8" w:rsidRPr="00C332F1">
        <w:rPr>
          <w:rFonts w:cs="Open Sans"/>
          <w:color w:val="auto"/>
          <w:shd w:val="clear" w:color="auto" w:fill="FFFFFF"/>
          <w:lang w:val="es-US"/>
        </w:rPr>
        <w:t xml:space="preserve"> La trayectoria de los proyectiles </w:t>
      </w:r>
      <w:r w:rsidR="00344FD6" w:rsidRPr="00C332F1">
        <w:rPr>
          <w:rFonts w:cs="Open Sans"/>
          <w:color w:val="auto"/>
          <w:shd w:val="clear" w:color="auto" w:fill="FFFFFF"/>
          <w:lang w:val="es-US"/>
        </w:rPr>
        <w:t>permite concluir que las armas fueron disparadas con intenci</w:t>
      </w:r>
      <w:r w:rsidR="000E4AA3" w:rsidRPr="00C332F1">
        <w:rPr>
          <w:rFonts w:cs="Open Sans"/>
          <w:color w:val="auto"/>
          <w:shd w:val="clear" w:color="auto" w:fill="FFFFFF"/>
          <w:lang w:val="es-US"/>
        </w:rPr>
        <w:t>o</w:t>
      </w:r>
      <w:r w:rsidR="00344FD6" w:rsidRPr="00C332F1">
        <w:rPr>
          <w:rFonts w:cs="Open Sans"/>
          <w:color w:val="auto"/>
          <w:shd w:val="clear" w:color="auto" w:fill="FFFFFF"/>
          <w:lang w:val="es-US"/>
        </w:rPr>
        <w:t>n</w:t>
      </w:r>
      <w:r w:rsidR="000E4AA3" w:rsidRPr="00C332F1">
        <w:rPr>
          <w:rFonts w:cs="Open Sans"/>
          <w:color w:val="auto"/>
          <w:shd w:val="clear" w:color="auto" w:fill="FFFFFF"/>
          <w:lang w:val="es-US"/>
        </w:rPr>
        <w:t>alidad</w:t>
      </w:r>
      <w:r w:rsidR="008E5540" w:rsidRPr="00C332F1">
        <w:rPr>
          <w:rFonts w:cs="Open Sans"/>
          <w:color w:val="auto"/>
          <w:shd w:val="clear" w:color="auto" w:fill="FFFFFF"/>
          <w:lang w:val="es-US"/>
        </w:rPr>
        <w:t xml:space="preserve"> letal</w:t>
      </w:r>
      <w:r w:rsidR="00344FD6" w:rsidRPr="00C332F1">
        <w:rPr>
          <w:rFonts w:cs="Open Sans"/>
          <w:color w:val="auto"/>
          <w:shd w:val="clear" w:color="auto" w:fill="FFFFFF"/>
          <w:lang w:val="es-US"/>
        </w:rPr>
        <w:t>.</w:t>
      </w:r>
    </w:p>
    <w:p w14:paraId="4152ED02" w14:textId="77F1F113" w:rsidR="00030DEA" w:rsidRPr="00C332F1" w:rsidRDefault="00EC60C1" w:rsidP="00A703B7">
      <w:pPr>
        <w:pStyle w:val="IAPrrafo"/>
        <w:rPr>
          <w:color w:val="auto"/>
          <w:szCs w:val="20"/>
        </w:rPr>
      </w:pPr>
      <w:r w:rsidRPr="00C332F1">
        <w:rPr>
          <w:lang w:val="es-US"/>
        </w:rPr>
        <w:t xml:space="preserve">En </w:t>
      </w:r>
      <w:r w:rsidR="00E557C3" w:rsidRPr="00C332F1">
        <w:rPr>
          <w:lang w:val="es-US"/>
        </w:rPr>
        <w:t>periodos de alta conflictividad de años anteriores, como los de 2014 o 2017, las protestas</w:t>
      </w:r>
      <w:r w:rsidR="009A6891" w:rsidRPr="00C332F1">
        <w:rPr>
          <w:lang w:val="es-US"/>
        </w:rPr>
        <w:t xml:space="preserve"> estuvieron protagonizadas por </w:t>
      </w:r>
      <w:r w:rsidR="00786D78" w:rsidRPr="00C332F1">
        <w:rPr>
          <w:lang w:val="es-US"/>
        </w:rPr>
        <w:t>personas</w:t>
      </w:r>
      <w:r w:rsidR="000E4AA3" w:rsidRPr="00C332F1">
        <w:rPr>
          <w:lang w:val="es-US"/>
        </w:rPr>
        <w:t xml:space="preserve"> de</w:t>
      </w:r>
      <w:r w:rsidR="00786D78" w:rsidRPr="00C332F1">
        <w:rPr>
          <w:lang w:val="es-US"/>
        </w:rPr>
        <w:t xml:space="preserve"> </w:t>
      </w:r>
      <w:r w:rsidR="00E557C3" w:rsidRPr="00C332F1">
        <w:rPr>
          <w:lang w:val="es-US"/>
        </w:rPr>
        <w:t>clase media y clase media alta</w:t>
      </w:r>
      <w:r w:rsidR="000E069C" w:rsidRPr="00C332F1">
        <w:rPr>
          <w:lang w:val="es-US"/>
        </w:rPr>
        <w:t>,</w:t>
      </w:r>
      <w:r w:rsidR="0027493E" w:rsidRPr="00C332F1">
        <w:rPr>
          <w:lang w:val="es-US"/>
        </w:rPr>
        <w:t xml:space="preserve"> y tuvieron</w:t>
      </w:r>
      <w:r w:rsidR="00BE3FF9" w:rsidRPr="00C332F1">
        <w:rPr>
          <w:lang w:val="es-US"/>
        </w:rPr>
        <w:t xml:space="preserve"> lugar</w:t>
      </w:r>
      <w:r w:rsidR="00410DCD" w:rsidRPr="00C332F1">
        <w:rPr>
          <w:lang w:val="es-US"/>
        </w:rPr>
        <w:t xml:space="preserve">, </w:t>
      </w:r>
      <w:r w:rsidR="00BE3FF9" w:rsidRPr="00C332F1">
        <w:rPr>
          <w:lang w:val="es-US"/>
        </w:rPr>
        <w:t>mayoritariamente</w:t>
      </w:r>
      <w:r w:rsidR="00410DCD" w:rsidRPr="00C332F1">
        <w:rPr>
          <w:lang w:val="es-US"/>
        </w:rPr>
        <w:t>,</w:t>
      </w:r>
      <w:r w:rsidR="0027493E" w:rsidRPr="00C332F1">
        <w:rPr>
          <w:lang w:val="es-US"/>
        </w:rPr>
        <w:t xml:space="preserve"> en</w:t>
      </w:r>
      <w:r w:rsidR="00BE3FF9" w:rsidRPr="00C332F1">
        <w:rPr>
          <w:lang w:val="es-US"/>
        </w:rPr>
        <w:t xml:space="preserve"> avenidas centrales o barrios </w:t>
      </w:r>
      <w:r w:rsidR="005E1412" w:rsidRPr="00C332F1">
        <w:rPr>
          <w:lang w:val="es-US"/>
        </w:rPr>
        <w:t xml:space="preserve">comerciales o acomodados. </w:t>
      </w:r>
      <w:r w:rsidR="007113C7" w:rsidRPr="00C332F1">
        <w:rPr>
          <w:lang w:val="es-US"/>
        </w:rPr>
        <w:t>Las protestas</w:t>
      </w:r>
      <w:r w:rsidR="002B1B7C" w:rsidRPr="00C332F1">
        <w:rPr>
          <w:lang w:val="es-US"/>
        </w:rPr>
        <w:t xml:space="preserve"> registradas los días</w:t>
      </w:r>
      <w:r w:rsidR="00391B36" w:rsidRPr="00C332F1">
        <w:rPr>
          <w:lang w:val="es-US"/>
        </w:rPr>
        <w:t xml:space="preserve"> 28, 29 y 30 de julio se desarrollaron </w:t>
      </w:r>
      <w:r w:rsidR="005E1412" w:rsidRPr="00C332F1">
        <w:rPr>
          <w:lang w:val="es-US"/>
        </w:rPr>
        <w:t xml:space="preserve">principalmente </w:t>
      </w:r>
      <w:r w:rsidR="00391B36" w:rsidRPr="00C332F1">
        <w:rPr>
          <w:lang w:val="es-US"/>
        </w:rPr>
        <w:t>en barrios populares y estuvieron protagonizadas por hombres jóvenes en situación de pobreza</w:t>
      </w:r>
      <w:r w:rsidR="00A14F05">
        <w:rPr>
          <w:rFonts w:ascii="ZWAdobeF" w:hAnsi="ZWAdobeF" w:cs="ZWAdobeF"/>
          <w:color w:val="auto"/>
          <w:sz w:val="2"/>
          <w:szCs w:val="2"/>
          <w:lang w:val="es-US"/>
        </w:rPr>
        <w:t>81F</w:t>
      </w:r>
      <w:r w:rsidR="00391B36" w:rsidRPr="005C52BD">
        <w:rPr>
          <w:rStyle w:val="FootnoteReference"/>
          <w:rFonts w:cs="Open Sans"/>
          <w:color w:val="auto"/>
          <w:sz w:val="20"/>
          <w:szCs w:val="20"/>
          <w:shd w:val="clear" w:color="auto" w:fill="FFFFFF"/>
          <w:lang w:val="es-US"/>
        </w:rPr>
        <w:footnoteReference w:id="83"/>
      </w:r>
      <w:r w:rsidR="00391B36" w:rsidRPr="00C332F1">
        <w:rPr>
          <w:lang w:val="es-US"/>
        </w:rPr>
        <w:t xml:space="preserve">. </w:t>
      </w:r>
      <w:r w:rsidR="005E1412" w:rsidRPr="00C332F1">
        <w:rPr>
          <w:lang w:val="es-US"/>
        </w:rPr>
        <w:t>Información documentada por la Misión Internacional Independiente indica que varias de las personas que fallecieron durante estos días trabajaban de obreros, mototaxistas, barberos y pequeños comerciantes</w:t>
      </w:r>
      <w:r w:rsidR="00A14F05">
        <w:rPr>
          <w:rFonts w:ascii="ZWAdobeF" w:hAnsi="ZWAdobeF" w:cs="ZWAdobeF"/>
          <w:color w:val="auto"/>
          <w:sz w:val="2"/>
          <w:szCs w:val="2"/>
          <w:lang w:val="es-US"/>
        </w:rPr>
        <w:t>82F</w:t>
      </w:r>
      <w:r w:rsidR="005E1412" w:rsidRPr="005C52BD">
        <w:rPr>
          <w:rStyle w:val="FootnoteReference"/>
          <w:sz w:val="20"/>
          <w:szCs w:val="20"/>
          <w:lang w:val="es-US"/>
        </w:rPr>
        <w:footnoteReference w:id="84"/>
      </w:r>
      <w:r w:rsidR="005E1412" w:rsidRPr="00C332F1">
        <w:rPr>
          <w:lang w:val="es-US"/>
        </w:rPr>
        <w:t>.</w:t>
      </w:r>
      <w:r w:rsidR="00665AF8" w:rsidRPr="00C332F1">
        <w:rPr>
          <w:lang w:val="es-US"/>
        </w:rPr>
        <w:t xml:space="preserve"> De </w:t>
      </w:r>
      <w:r w:rsidR="0081538A" w:rsidRPr="00C332F1">
        <w:rPr>
          <w:lang w:val="es-US"/>
        </w:rPr>
        <w:t xml:space="preserve">otra parte, </w:t>
      </w:r>
      <w:r w:rsidR="00235D07" w:rsidRPr="00C332F1">
        <w:rPr>
          <w:lang w:val="es-US"/>
        </w:rPr>
        <w:t xml:space="preserve">los 8 incidentes mortales ocurridos en Caracas ocurrieron en </w:t>
      </w:r>
      <w:r w:rsidR="00ED43BE" w:rsidRPr="00C332F1">
        <w:rPr>
          <w:lang w:val="es-US"/>
        </w:rPr>
        <w:t xml:space="preserve">parroquias </w:t>
      </w:r>
      <w:r w:rsidR="0081538A" w:rsidRPr="00C332F1">
        <w:rPr>
          <w:lang w:val="es-US"/>
        </w:rPr>
        <w:t xml:space="preserve">periféricas </w:t>
      </w:r>
      <w:r w:rsidR="00ED43BE" w:rsidRPr="00C332F1">
        <w:rPr>
          <w:lang w:val="es-US"/>
        </w:rPr>
        <w:t>como el Valle; Sucre; San Juan; Antímano y Macarao</w:t>
      </w:r>
      <w:r w:rsidR="00A14F05">
        <w:rPr>
          <w:rFonts w:ascii="ZWAdobeF" w:hAnsi="ZWAdobeF" w:cs="ZWAdobeF"/>
          <w:color w:val="auto"/>
          <w:sz w:val="2"/>
          <w:szCs w:val="2"/>
          <w:lang w:val="es-US"/>
        </w:rPr>
        <w:t>83F</w:t>
      </w:r>
      <w:r w:rsidR="00ED43BE" w:rsidRPr="005C52BD">
        <w:rPr>
          <w:rStyle w:val="FootnoteReference"/>
          <w:sz w:val="20"/>
          <w:szCs w:val="20"/>
          <w:lang w:val="es-US"/>
        </w:rPr>
        <w:footnoteReference w:id="85"/>
      </w:r>
      <w:r w:rsidR="00ED43BE" w:rsidRPr="00C332F1">
        <w:rPr>
          <w:lang w:val="es-US"/>
        </w:rPr>
        <w:t>.</w:t>
      </w:r>
      <w:r w:rsidR="009A6891" w:rsidRPr="00C332F1">
        <w:rPr>
          <w:color w:val="auto"/>
        </w:rPr>
        <w:t xml:space="preserve"> </w:t>
      </w:r>
      <w:r w:rsidR="004D567A" w:rsidRPr="00C332F1">
        <w:rPr>
          <w:lang w:val="es-US"/>
        </w:rPr>
        <w:t>Este cambio</w:t>
      </w:r>
      <w:r w:rsidR="006D53F0" w:rsidRPr="00C332F1">
        <w:rPr>
          <w:lang w:val="es-US"/>
        </w:rPr>
        <w:t xml:space="preserve"> de perfil de lugar y de manifestantes </w:t>
      </w:r>
      <w:r w:rsidR="008E5540" w:rsidRPr="00C332F1">
        <w:rPr>
          <w:lang w:val="es-US"/>
        </w:rPr>
        <w:t xml:space="preserve">podría sugerir </w:t>
      </w:r>
      <w:r w:rsidR="006D53F0" w:rsidRPr="00C332F1">
        <w:rPr>
          <w:lang w:val="es-US"/>
        </w:rPr>
        <w:t>que el régimen</w:t>
      </w:r>
      <w:r w:rsidR="002708C4" w:rsidRPr="00C332F1">
        <w:rPr>
          <w:lang w:val="es-US"/>
        </w:rPr>
        <w:t xml:space="preserve"> perdió apoyo en bases sociales donde tradicionalmente lo tenía</w:t>
      </w:r>
      <w:r w:rsidR="0081538A" w:rsidRPr="00C332F1">
        <w:rPr>
          <w:lang w:val="es-US"/>
        </w:rPr>
        <w:t>.</w:t>
      </w:r>
    </w:p>
    <w:p w14:paraId="695B2416" w14:textId="66367CC1" w:rsidR="00F07E40" w:rsidRPr="00C332F1" w:rsidRDefault="00A25840" w:rsidP="00A703B7">
      <w:pPr>
        <w:pStyle w:val="IAPrrafo"/>
        <w:rPr>
          <w:color w:val="auto"/>
          <w:szCs w:val="20"/>
          <w:lang w:val="es-US"/>
        </w:rPr>
      </w:pPr>
      <w:r w:rsidRPr="00C332F1">
        <w:rPr>
          <w:color w:val="auto"/>
          <w:lang w:val="es-US"/>
        </w:rPr>
        <w:t xml:space="preserve">El 19 de agosto </w:t>
      </w:r>
      <w:r w:rsidR="00296965" w:rsidRPr="00C332F1">
        <w:rPr>
          <w:color w:val="auto"/>
          <w:lang w:val="es-US"/>
        </w:rPr>
        <w:t>Tarek William Saab</w:t>
      </w:r>
      <w:r w:rsidR="002C47A6" w:rsidRPr="00C332F1">
        <w:rPr>
          <w:color w:val="auto"/>
          <w:lang w:val="es-US"/>
        </w:rPr>
        <w:t xml:space="preserve">, Fiscal General de la Nación, </w:t>
      </w:r>
      <w:r w:rsidR="00BF2C12" w:rsidRPr="00C332F1">
        <w:rPr>
          <w:color w:val="auto"/>
          <w:lang w:val="es-US"/>
        </w:rPr>
        <w:t>comunic</w:t>
      </w:r>
      <w:r w:rsidR="00825588" w:rsidRPr="00C332F1">
        <w:rPr>
          <w:color w:val="auto"/>
          <w:lang w:val="es-US"/>
        </w:rPr>
        <w:t>ó</w:t>
      </w:r>
      <w:r w:rsidR="00BF2C12" w:rsidRPr="00C332F1">
        <w:rPr>
          <w:color w:val="auto"/>
          <w:lang w:val="es-US"/>
        </w:rPr>
        <w:t xml:space="preserve"> durante una entrevista que Mar</w:t>
      </w:r>
      <w:r w:rsidR="00825588" w:rsidRPr="00C332F1">
        <w:rPr>
          <w:color w:val="auto"/>
          <w:lang w:val="es-US"/>
        </w:rPr>
        <w:t>í</w:t>
      </w:r>
      <w:r w:rsidR="00BF2C12" w:rsidRPr="00C332F1">
        <w:rPr>
          <w:color w:val="auto"/>
          <w:lang w:val="es-US"/>
        </w:rPr>
        <w:t xml:space="preserve">a Corina Machado y Edmundo González Urritia serían llamados </w:t>
      </w:r>
      <w:r w:rsidR="0045467B" w:rsidRPr="00C332F1">
        <w:rPr>
          <w:lang w:val="es-US"/>
        </w:rPr>
        <w:t xml:space="preserve">“en cualquier momento”, </w:t>
      </w:r>
      <w:r w:rsidR="006135C3" w:rsidRPr="00C332F1">
        <w:rPr>
          <w:lang w:val="es-US"/>
        </w:rPr>
        <w:t xml:space="preserve">pues </w:t>
      </w:r>
      <w:r w:rsidR="0045467B" w:rsidRPr="00C332F1">
        <w:rPr>
          <w:lang w:val="es-US"/>
        </w:rPr>
        <w:t>podrían ser “responsabilizado[s] como autores intelectuales de todos estos hechos”</w:t>
      </w:r>
      <w:r w:rsidR="006135C3" w:rsidRPr="00C332F1">
        <w:rPr>
          <w:lang w:val="es-US"/>
        </w:rPr>
        <w:t>, refiriéndose a las muertes de los días 28, 29 y 30 de julio. E</w:t>
      </w:r>
      <w:r w:rsidR="003363C5" w:rsidRPr="00C332F1">
        <w:rPr>
          <w:color w:val="auto"/>
          <w:lang w:val="es-US"/>
        </w:rPr>
        <w:t>l 21 de agosto</w:t>
      </w:r>
      <w:r w:rsidR="006135C3" w:rsidRPr="00C332F1">
        <w:rPr>
          <w:color w:val="auto"/>
          <w:lang w:val="es-US"/>
        </w:rPr>
        <w:t xml:space="preserve">, Saab informó que </w:t>
      </w:r>
      <w:r w:rsidR="003363C5" w:rsidRPr="00C332F1">
        <w:rPr>
          <w:color w:val="auto"/>
          <w:lang w:val="es-US"/>
        </w:rPr>
        <w:t xml:space="preserve">todas las muertes eran atribuibles a </w:t>
      </w:r>
      <w:r w:rsidR="00296965" w:rsidRPr="00C332F1">
        <w:rPr>
          <w:lang w:val="es-US"/>
        </w:rPr>
        <w:t>“los grupos delincuenciales instrumentalizados</w:t>
      </w:r>
      <w:r w:rsidR="006C3029" w:rsidRPr="00C332F1">
        <w:rPr>
          <w:lang w:val="es-US"/>
        </w:rPr>
        <w:t>,</w:t>
      </w:r>
      <w:r w:rsidR="00296965" w:rsidRPr="00C332F1">
        <w:rPr>
          <w:lang w:val="es-US"/>
        </w:rPr>
        <w:t xml:space="preserve"> mal llamados ‘comanditos’”</w:t>
      </w:r>
      <w:r w:rsidR="00A85A3E" w:rsidRPr="00C332F1">
        <w:rPr>
          <w:lang w:val="es-US"/>
        </w:rPr>
        <w:t xml:space="preserve">, y agregó que el Ministerio Público no contaba con denuncias sobre uso </w:t>
      </w:r>
      <w:r w:rsidR="008A79C6" w:rsidRPr="00C332F1">
        <w:rPr>
          <w:lang w:val="es-US"/>
        </w:rPr>
        <w:t>excesivo</w:t>
      </w:r>
      <w:r w:rsidR="00A85A3E" w:rsidRPr="00C332F1">
        <w:rPr>
          <w:lang w:val="es-US"/>
        </w:rPr>
        <w:t xml:space="preserve"> de la fuerza</w:t>
      </w:r>
      <w:r w:rsidR="00A14F05">
        <w:rPr>
          <w:rFonts w:ascii="ZWAdobeF" w:hAnsi="ZWAdobeF" w:cs="ZWAdobeF"/>
          <w:color w:val="auto"/>
          <w:sz w:val="2"/>
          <w:szCs w:val="2"/>
          <w:lang w:val="es-US"/>
        </w:rPr>
        <w:t>84F</w:t>
      </w:r>
      <w:r w:rsidR="00A85A3E" w:rsidRPr="005C52BD">
        <w:rPr>
          <w:rStyle w:val="FootnoteReference"/>
          <w:sz w:val="20"/>
          <w:szCs w:val="20"/>
          <w:lang w:val="es-US"/>
        </w:rPr>
        <w:footnoteReference w:id="86"/>
      </w:r>
      <w:r w:rsidR="008A79C6" w:rsidRPr="00C332F1">
        <w:rPr>
          <w:lang w:val="es-US"/>
        </w:rPr>
        <w:t>.</w:t>
      </w:r>
      <w:r w:rsidR="00296965" w:rsidRPr="00C332F1">
        <w:rPr>
          <w:lang w:val="es-US"/>
        </w:rPr>
        <w:t xml:space="preserve"> </w:t>
      </w:r>
      <w:r w:rsidR="001A5E04" w:rsidRPr="00C332F1">
        <w:rPr>
          <w:lang w:val="es-US"/>
        </w:rPr>
        <w:t>En la sesión número 57</w:t>
      </w:r>
      <w:r w:rsidR="000B1EC5" w:rsidRPr="00C332F1">
        <w:rPr>
          <w:lang w:val="es-US"/>
        </w:rPr>
        <w:t xml:space="preserve"> del Consejo de Derechos Humanos de las Naciones Unidas</w:t>
      </w:r>
      <w:r w:rsidR="001A5E04" w:rsidRPr="00C332F1">
        <w:rPr>
          <w:lang w:val="es-US"/>
        </w:rPr>
        <w:t xml:space="preserve">, el embajador venezolano afirmó que la responsabilidad de las muertes </w:t>
      </w:r>
      <w:r w:rsidR="004771F1" w:rsidRPr="00C332F1">
        <w:rPr>
          <w:lang w:val="es-US"/>
        </w:rPr>
        <w:t>recaía en la derecha fascista</w:t>
      </w:r>
      <w:r w:rsidR="00A14F05">
        <w:rPr>
          <w:rFonts w:ascii="ZWAdobeF" w:hAnsi="ZWAdobeF" w:cs="ZWAdobeF"/>
          <w:color w:val="auto"/>
          <w:sz w:val="2"/>
          <w:szCs w:val="2"/>
          <w:lang w:val="es-US"/>
        </w:rPr>
        <w:t>85F</w:t>
      </w:r>
      <w:r w:rsidR="00B32109" w:rsidRPr="005C52BD">
        <w:rPr>
          <w:rStyle w:val="FootnoteReference"/>
          <w:sz w:val="20"/>
          <w:szCs w:val="20"/>
          <w:lang w:val="es-US"/>
        </w:rPr>
        <w:footnoteReference w:id="87"/>
      </w:r>
      <w:r w:rsidR="004771F1" w:rsidRPr="00C332F1">
        <w:rPr>
          <w:lang w:val="es-US"/>
        </w:rPr>
        <w:t>.</w:t>
      </w:r>
    </w:p>
    <w:p w14:paraId="7A0874D0" w14:textId="535CF83D" w:rsidR="00460C1B" w:rsidRPr="00A01A43" w:rsidRDefault="003B229C" w:rsidP="00A01A43">
      <w:pPr>
        <w:pStyle w:val="IAPrrafo"/>
      </w:pPr>
      <w:r w:rsidRPr="00A01A43">
        <w:t>La CIDH ha podido constatar que la respuesta del Estado se caracterizó por el uso excesivo y desproporcionado de la fuerza, en muchos casos, incluyendo la fuerza letal</w:t>
      </w:r>
      <w:r w:rsidR="0022207E" w:rsidRPr="00A01A43">
        <w:t xml:space="preserve"> por parte de grupos </w:t>
      </w:r>
      <w:r w:rsidR="000F339A" w:rsidRPr="00A01A43">
        <w:t>“</w:t>
      </w:r>
      <w:r w:rsidR="0022207E" w:rsidRPr="00A01A43">
        <w:t>colectivos</w:t>
      </w:r>
      <w:r w:rsidR="000F339A" w:rsidRPr="00A01A43">
        <w:t>”</w:t>
      </w:r>
      <w:r w:rsidR="003E02FD" w:rsidRPr="00A01A43">
        <w:t xml:space="preserve">, </w:t>
      </w:r>
      <w:r w:rsidR="00B146E6" w:rsidRPr="00A01A43">
        <w:t xml:space="preserve">incorporados legalmente en el </w:t>
      </w:r>
      <w:r w:rsidR="0023370C" w:rsidRPr="00A01A43">
        <w:t>“</w:t>
      </w:r>
      <w:r w:rsidR="00B146E6" w:rsidRPr="00A01A43">
        <w:t>Sistema Popular de Protección para la Paz</w:t>
      </w:r>
      <w:r w:rsidR="0023370C" w:rsidRPr="00A01A43">
        <w:t>”</w:t>
      </w:r>
      <w:r w:rsidR="00A14F05">
        <w:rPr>
          <w:rFonts w:ascii="ZWAdobeF" w:hAnsi="ZWAdobeF" w:cs="ZWAdobeF"/>
          <w:color w:val="auto"/>
          <w:sz w:val="2"/>
          <w:szCs w:val="2"/>
        </w:rPr>
        <w:t>86F</w:t>
      </w:r>
      <w:r w:rsidR="00B146E6" w:rsidRPr="004355A0">
        <w:rPr>
          <w:rStyle w:val="FootnoteReference"/>
          <w:sz w:val="20"/>
        </w:rPr>
        <w:footnoteReference w:id="88"/>
      </w:r>
      <w:r w:rsidR="0023370C" w:rsidRPr="00A01A43">
        <w:t xml:space="preserve">. </w:t>
      </w:r>
      <w:r w:rsidRPr="00A01A43">
        <w:t xml:space="preserve">Ello pudo ser cotejado con la información recibida a través </w:t>
      </w:r>
      <w:r w:rsidR="007F6390" w:rsidRPr="00A01A43">
        <w:t>audiencias públicas</w:t>
      </w:r>
      <w:r w:rsidR="00114D93" w:rsidRPr="00A01A43">
        <w:t>, r</w:t>
      </w:r>
      <w:r w:rsidRPr="00A01A43">
        <w:t xml:space="preserve">euniones con organizaciones sociales y testimonios individuales. </w:t>
      </w:r>
      <w:r w:rsidR="008E5540" w:rsidRPr="00A01A43">
        <w:t>Al respecto</w:t>
      </w:r>
      <w:r w:rsidR="00757E3D" w:rsidRPr="00A01A43">
        <w:t xml:space="preserve">, la Comisión </w:t>
      </w:r>
      <w:r w:rsidR="0022207E" w:rsidRPr="00A01A43">
        <w:t xml:space="preserve">reitera </w:t>
      </w:r>
      <w:r w:rsidRPr="00A01A43">
        <w:t>que los protocolos sobre uso de la fuerza pública deben responder a los criterios de legalidad, necesidad y proporcionalidad. Ante escenarios complejos</w:t>
      </w:r>
      <w:r w:rsidR="0023370C" w:rsidRPr="00A01A43">
        <w:t>,</w:t>
      </w:r>
      <w:r w:rsidRPr="00A01A43">
        <w:t xml:space="preserve"> el actuar de las autoridades no debe ser indiscriminado, sino que debe </w:t>
      </w:r>
      <w:r w:rsidR="0023370C" w:rsidRPr="00A01A43">
        <w:t xml:space="preserve">ser capaz de </w:t>
      </w:r>
      <w:r w:rsidRPr="00A01A43">
        <w:t>individualizar a los actores violentos y distinguirlos de aquellos que ejercen el legítimo derecho de manifestación.</w:t>
      </w:r>
    </w:p>
    <w:p w14:paraId="0B066C9C" w14:textId="534A21D3" w:rsidR="00133C88" w:rsidRPr="00C332F1" w:rsidRDefault="008735D5" w:rsidP="00A703B7">
      <w:pPr>
        <w:pStyle w:val="IAPrrafo"/>
        <w:rPr>
          <w:color w:val="auto"/>
          <w:lang w:val="es-US"/>
        </w:rPr>
      </w:pPr>
      <w:r w:rsidRPr="00C332F1">
        <w:rPr>
          <w:lang w:val="es-US"/>
        </w:rPr>
        <w:t>A</w:t>
      </w:r>
      <w:r w:rsidR="008D0BF6" w:rsidRPr="00C332F1">
        <w:rPr>
          <w:lang w:val="es-US"/>
        </w:rPr>
        <w:t xml:space="preserve"> la fecha de elaboración de este informe,</w:t>
      </w:r>
      <w:r w:rsidR="00133C88" w:rsidRPr="00C332F1">
        <w:rPr>
          <w:lang w:val="es-US"/>
        </w:rPr>
        <w:t xml:space="preserve"> las autoridades no ha</w:t>
      </w:r>
      <w:r w:rsidR="00F948D3" w:rsidRPr="00C332F1">
        <w:rPr>
          <w:lang w:val="es-US"/>
        </w:rPr>
        <w:t>n</w:t>
      </w:r>
      <w:r w:rsidR="00133C88" w:rsidRPr="00C332F1">
        <w:rPr>
          <w:lang w:val="es-US"/>
        </w:rPr>
        <w:t xml:space="preserve"> </w:t>
      </w:r>
      <w:r w:rsidR="1A302B8E" w:rsidRPr="00C332F1">
        <w:rPr>
          <w:lang w:val="es-US"/>
        </w:rPr>
        <w:t>publicado</w:t>
      </w:r>
      <w:r w:rsidR="00133C88" w:rsidRPr="00C332F1">
        <w:rPr>
          <w:lang w:val="es-US"/>
        </w:rPr>
        <w:t xml:space="preserve"> información sobre el contexto en el que ocurrieron las muertes</w:t>
      </w:r>
      <w:r w:rsidR="00EC0493" w:rsidRPr="00C332F1">
        <w:rPr>
          <w:lang w:val="es-US"/>
        </w:rPr>
        <w:t xml:space="preserve">, los avances en las investigaciones </w:t>
      </w:r>
      <w:r w:rsidR="00F948D3" w:rsidRPr="00C332F1">
        <w:rPr>
          <w:lang w:val="es-US"/>
        </w:rPr>
        <w:t>o</w:t>
      </w:r>
      <w:r w:rsidR="00EC0493" w:rsidRPr="00C332F1">
        <w:rPr>
          <w:lang w:val="es-US"/>
        </w:rPr>
        <w:t xml:space="preserve"> los elementos probatorios que </w:t>
      </w:r>
      <w:r w:rsidR="00940B8C" w:rsidRPr="00C332F1">
        <w:rPr>
          <w:lang w:val="es-US"/>
        </w:rPr>
        <w:t>permitirían responsabilizar de los hechos a dirigentes opositores</w:t>
      </w:r>
      <w:r w:rsidR="00101B56" w:rsidRPr="00C332F1">
        <w:rPr>
          <w:lang w:val="es-US"/>
        </w:rPr>
        <w:t xml:space="preserve">. </w:t>
      </w:r>
      <w:r w:rsidR="00631739" w:rsidRPr="00C332F1">
        <w:rPr>
          <w:lang w:val="es-US"/>
        </w:rPr>
        <w:t xml:space="preserve">La </w:t>
      </w:r>
      <w:r w:rsidR="00AB1ED0" w:rsidRPr="00C332F1">
        <w:rPr>
          <w:lang w:val="es-US"/>
        </w:rPr>
        <w:t xml:space="preserve">falta de </w:t>
      </w:r>
      <w:r w:rsidR="00C46CC3" w:rsidRPr="00C332F1">
        <w:rPr>
          <w:lang w:val="es-US"/>
        </w:rPr>
        <w:t xml:space="preserve">una investigación diligente por estos hechos </w:t>
      </w:r>
      <w:r w:rsidRPr="00C332F1">
        <w:rPr>
          <w:lang w:val="es-US"/>
        </w:rPr>
        <w:t>corrobora</w:t>
      </w:r>
      <w:r w:rsidR="0075382B" w:rsidRPr="00C332F1">
        <w:rPr>
          <w:lang w:val="es-US"/>
        </w:rPr>
        <w:t xml:space="preserve"> </w:t>
      </w:r>
      <w:r w:rsidR="00287809" w:rsidRPr="00C332F1">
        <w:rPr>
          <w:lang w:val="es-US"/>
        </w:rPr>
        <w:t>la</w:t>
      </w:r>
      <w:r w:rsidR="00037111" w:rsidRPr="00C332F1">
        <w:rPr>
          <w:lang w:val="es-US"/>
        </w:rPr>
        <w:t xml:space="preserve"> falta de independencia del Ministerio Público, así como </w:t>
      </w:r>
      <w:r w:rsidR="00C46CC3" w:rsidRPr="00C332F1">
        <w:rPr>
          <w:lang w:val="es-US"/>
        </w:rPr>
        <w:t xml:space="preserve">la </w:t>
      </w:r>
      <w:r w:rsidR="5409E9BA" w:rsidRPr="00C332F1">
        <w:rPr>
          <w:lang w:val="es-US"/>
        </w:rPr>
        <w:t>instrumentalización de</w:t>
      </w:r>
      <w:r w:rsidR="00AB4C80" w:rsidRPr="00C332F1">
        <w:rPr>
          <w:lang w:val="es-US"/>
        </w:rPr>
        <w:t xml:space="preserve"> </w:t>
      </w:r>
      <w:r w:rsidR="00737FB2" w:rsidRPr="00C332F1">
        <w:rPr>
          <w:lang w:val="es-US"/>
        </w:rPr>
        <w:t xml:space="preserve">los </w:t>
      </w:r>
      <w:r w:rsidR="00AB4C80" w:rsidRPr="00C332F1">
        <w:rPr>
          <w:lang w:val="es-US"/>
        </w:rPr>
        <w:t>grupos</w:t>
      </w:r>
      <w:r w:rsidR="0073498E" w:rsidRPr="00C332F1">
        <w:rPr>
          <w:lang w:val="es-US"/>
        </w:rPr>
        <w:t xml:space="preserve"> colectivos.</w:t>
      </w:r>
    </w:p>
    <w:p w14:paraId="0FA858C1" w14:textId="34E1448E" w:rsidR="000853B8" w:rsidRPr="00C332F1" w:rsidRDefault="000853B8" w:rsidP="002346CF">
      <w:pPr>
        <w:pStyle w:val="IASubttulo3"/>
        <w:rPr>
          <w:color w:val="auto"/>
          <w:lang w:val="es-CO"/>
        </w:rPr>
      </w:pPr>
      <w:bookmarkStart w:id="19" w:name="_Toc195617464"/>
      <w:r w:rsidRPr="00C332F1">
        <w:rPr>
          <w:lang w:val="es-CO"/>
        </w:rPr>
        <w:t>Detenciones arbitrarias</w:t>
      </w:r>
      <w:r w:rsidR="00EB4FAB" w:rsidRPr="00C332F1">
        <w:rPr>
          <w:lang w:val="es-CO"/>
        </w:rPr>
        <w:t xml:space="preserve"> </w:t>
      </w:r>
      <w:r w:rsidR="0021435C" w:rsidRPr="00C332F1">
        <w:rPr>
          <w:lang w:val="es-CO"/>
        </w:rPr>
        <w:t>en el contexto de las manifestaciones</w:t>
      </w:r>
      <w:bookmarkEnd w:id="19"/>
    </w:p>
    <w:p w14:paraId="781B0269" w14:textId="30AC2D3A" w:rsidR="008468FA" w:rsidRPr="00700664" w:rsidRDefault="000F2740" w:rsidP="00700664">
      <w:pPr>
        <w:pStyle w:val="IAPrrafo"/>
      </w:pPr>
      <w:r w:rsidRPr="00700664">
        <w:t>Tras las primeras manifestaciones d</w:t>
      </w:r>
      <w:r w:rsidR="00A7020B" w:rsidRPr="00700664">
        <w:t>el 28 de julio</w:t>
      </w:r>
      <w:r w:rsidRPr="00700664">
        <w:t xml:space="preserve">, el régimen </w:t>
      </w:r>
      <w:r w:rsidR="00A740DF" w:rsidRPr="00700664">
        <w:t>puso en marcha una serie de redadas barriales</w:t>
      </w:r>
      <w:r w:rsidR="00907147" w:rsidRPr="00700664">
        <w:t xml:space="preserve"> para detener </w:t>
      </w:r>
      <w:r w:rsidR="00DD454F" w:rsidRPr="00700664">
        <w:t xml:space="preserve">masiva e </w:t>
      </w:r>
      <w:r w:rsidR="00907147" w:rsidRPr="00700664">
        <w:t xml:space="preserve">indiscriminadamente personas. Si bien la mayoría de </w:t>
      </w:r>
      <w:r w:rsidR="00900B1C" w:rsidRPr="00700664">
        <w:t xml:space="preserve">las detenciones ocurrieron durante las manifestaciones en los puntos de reunión, también se registraron arrestos de personas que no participaban </w:t>
      </w:r>
      <w:r w:rsidR="00677D7F" w:rsidRPr="00700664">
        <w:t xml:space="preserve">de </w:t>
      </w:r>
      <w:r w:rsidR="008E5540" w:rsidRPr="00700664">
        <w:t>ést</w:t>
      </w:r>
      <w:r w:rsidR="00677D7F" w:rsidRPr="00700664">
        <w:t>as</w:t>
      </w:r>
      <w:r w:rsidR="00DD454F" w:rsidRPr="00700664">
        <w:t xml:space="preserve"> y</w:t>
      </w:r>
      <w:r w:rsidR="00677D7F" w:rsidRPr="00700664">
        <w:t xml:space="preserve"> en lugares apartados</w:t>
      </w:r>
      <w:r w:rsidR="00A14F05">
        <w:rPr>
          <w:rFonts w:ascii="ZWAdobeF" w:hAnsi="ZWAdobeF" w:cs="ZWAdobeF"/>
          <w:color w:val="auto"/>
          <w:sz w:val="2"/>
          <w:szCs w:val="2"/>
        </w:rPr>
        <w:t>87F</w:t>
      </w:r>
      <w:r w:rsidR="00D976B5" w:rsidRPr="00DA18B6">
        <w:rPr>
          <w:rStyle w:val="FootnoteReference"/>
          <w:sz w:val="20"/>
        </w:rPr>
        <w:footnoteReference w:id="89"/>
      </w:r>
      <w:r w:rsidR="00677D7F" w:rsidRPr="00700664">
        <w:t>.</w:t>
      </w:r>
    </w:p>
    <w:p w14:paraId="11C4442B" w14:textId="0C740CFC" w:rsidR="00F65D0F" w:rsidRPr="00C332F1" w:rsidRDefault="00EA0363" w:rsidP="00A703B7">
      <w:pPr>
        <w:pStyle w:val="IAPrrafo"/>
        <w:rPr>
          <w:color w:val="auto"/>
          <w:szCs w:val="20"/>
          <w:lang w:val="es-US"/>
        </w:rPr>
      </w:pPr>
      <w:r w:rsidRPr="00C332F1">
        <w:rPr>
          <w:rFonts w:cs="Open Sans"/>
          <w:color w:val="auto"/>
          <w:shd w:val="clear" w:color="auto" w:fill="FFFFFF"/>
          <w:lang w:val="es-US"/>
        </w:rPr>
        <w:t xml:space="preserve">Entre el 28 de julio y el </w:t>
      </w:r>
      <w:r w:rsidR="001F2C15" w:rsidRPr="00C332F1">
        <w:rPr>
          <w:rFonts w:cs="Open Sans"/>
          <w:color w:val="auto"/>
          <w:shd w:val="clear" w:color="auto" w:fill="FFFFFF"/>
          <w:lang w:val="es-US"/>
        </w:rPr>
        <w:t>24</w:t>
      </w:r>
      <w:r w:rsidRPr="00C332F1">
        <w:rPr>
          <w:rFonts w:cs="Open Sans"/>
          <w:color w:val="auto"/>
          <w:shd w:val="clear" w:color="auto" w:fill="FFFFFF"/>
          <w:lang w:val="es-US"/>
        </w:rPr>
        <w:t xml:space="preserve"> de agosto, </w:t>
      </w:r>
      <w:r w:rsidR="00A7020B" w:rsidRPr="00C332F1">
        <w:rPr>
          <w:rFonts w:cs="Open Sans"/>
          <w:color w:val="auto"/>
          <w:shd w:val="clear" w:color="auto" w:fill="FFFFFF"/>
          <w:lang w:val="es-US"/>
        </w:rPr>
        <w:t xml:space="preserve">organizaciones de sociedad civil </w:t>
      </w:r>
      <w:r w:rsidR="001F2C15" w:rsidRPr="00C332F1">
        <w:rPr>
          <w:rFonts w:cs="Open Sans"/>
          <w:color w:val="auto"/>
          <w:shd w:val="clear" w:color="auto" w:fill="FFFFFF"/>
          <w:lang w:val="es-US"/>
        </w:rPr>
        <w:t>registraron 1.542</w:t>
      </w:r>
      <w:r w:rsidR="006648A9" w:rsidRPr="00C332F1">
        <w:rPr>
          <w:rFonts w:cs="Open Sans"/>
          <w:color w:val="auto"/>
          <w:shd w:val="clear" w:color="auto" w:fill="FFFFFF"/>
          <w:lang w:val="es-US"/>
        </w:rPr>
        <w:t xml:space="preserve"> detenciones</w:t>
      </w:r>
      <w:r w:rsidR="001F2C15" w:rsidRPr="00C332F1">
        <w:rPr>
          <w:rFonts w:cs="Open Sans"/>
          <w:color w:val="auto"/>
          <w:shd w:val="clear" w:color="auto" w:fill="FFFFFF"/>
          <w:lang w:val="es-US"/>
        </w:rPr>
        <w:t xml:space="preserve">, </w:t>
      </w:r>
      <w:r w:rsidR="00A7020B" w:rsidRPr="00C332F1">
        <w:rPr>
          <w:rFonts w:cs="Open Sans"/>
          <w:color w:val="auto"/>
          <w:shd w:val="clear" w:color="auto" w:fill="FFFFFF"/>
          <w:lang w:val="es-US"/>
        </w:rPr>
        <w:t>incluyendo mujeres</w:t>
      </w:r>
      <w:r w:rsidR="00667385" w:rsidRPr="00C332F1">
        <w:rPr>
          <w:rFonts w:cs="Open Sans"/>
          <w:color w:val="auto"/>
          <w:shd w:val="clear" w:color="auto" w:fill="FFFFFF"/>
          <w:lang w:val="es-US"/>
        </w:rPr>
        <w:t xml:space="preserve"> y</w:t>
      </w:r>
      <w:r w:rsidR="00A7020B" w:rsidRPr="00C332F1">
        <w:rPr>
          <w:rFonts w:cs="Open Sans"/>
          <w:color w:val="auto"/>
          <w:shd w:val="clear" w:color="auto" w:fill="FFFFFF"/>
          <w:lang w:val="es-US"/>
        </w:rPr>
        <w:t xml:space="preserve"> </w:t>
      </w:r>
      <w:r w:rsidR="006B73BF" w:rsidRPr="00C332F1">
        <w:rPr>
          <w:rFonts w:cs="Open Sans"/>
          <w:color w:val="auto"/>
          <w:shd w:val="clear" w:color="auto" w:fill="FFFFFF"/>
          <w:lang w:val="es-US"/>
        </w:rPr>
        <w:t>a</w:t>
      </w:r>
      <w:r w:rsidR="00A7020B" w:rsidRPr="00C332F1">
        <w:rPr>
          <w:rFonts w:cs="Open Sans"/>
          <w:color w:val="auto"/>
          <w:shd w:val="clear" w:color="auto" w:fill="FFFFFF"/>
          <w:lang w:val="es-US"/>
        </w:rPr>
        <w:t xml:space="preserve">dolescentes; </w:t>
      </w:r>
      <w:r w:rsidR="00667385" w:rsidRPr="00C332F1">
        <w:rPr>
          <w:rFonts w:cs="Open Sans"/>
          <w:color w:val="auto"/>
          <w:shd w:val="clear" w:color="auto" w:fill="FFFFFF"/>
          <w:lang w:val="es-US"/>
        </w:rPr>
        <w:t xml:space="preserve">así como </w:t>
      </w:r>
      <w:r w:rsidR="00A7020B" w:rsidRPr="00C332F1">
        <w:rPr>
          <w:rFonts w:cs="Open Sans"/>
          <w:color w:val="auto"/>
          <w:shd w:val="clear" w:color="auto" w:fill="FFFFFF"/>
          <w:lang w:val="es-US"/>
        </w:rPr>
        <w:t>personas con discapacidad, personas indígenas y periodistas y trabajadores de la prensa</w:t>
      </w:r>
      <w:r w:rsidR="00A14F05">
        <w:rPr>
          <w:rFonts w:ascii="ZWAdobeF" w:hAnsi="ZWAdobeF" w:cs="ZWAdobeF"/>
          <w:color w:val="auto"/>
          <w:sz w:val="2"/>
          <w:szCs w:val="2"/>
          <w:shd w:val="clear" w:color="auto" w:fill="FFFFFF"/>
          <w:lang w:val="es-US"/>
        </w:rPr>
        <w:t>88F</w:t>
      </w:r>
      <w:r w:rsidR="001B6DA6" w:rsidRPr="005C52BD">
        <w:rPr>
          <w:rStyle w:val="FootnoteReference"/>
          <w:rFonts w:cs="Open Sans"/>
          <w:color w:val="auto"/>
          <w:sz w:val="20"/>
          <w:szCs w:val="20"/>
          <w:shd w:val="clear" w:color="auto" w:fill="FFFFFF"/>
          <w:lang w:val="es-US"/>
        </w:rPr>
        <w:footnoteReference w:id="90"/>
      </w:r>
      <w:r w:rsidR="00A7020B" w:rsidRPr="00C332F1">
        <w:rPr>
          <w:rFonts w:cs="Open Sans"/>
          <w:color w:val="auto"/>
          <w:shd w:val="clear" w:color="auto" w:fill="FFFFFF"/>
          <w:lang w:val="es-US"/>
        </w:rPr>
        <w:t xml:space="preserve">. </w:t>
      </w:r>
      <w:r w:rsidR="00FF3473" w:rsidRPr="00C332F1">
        <w:rPr>
          <w:rFonts w:cs="Open Sans"/>
          <w:color w:val="auto"/>
          <w:shd w:val="clear" w:color="auto" w:fill="FFFFFF"/>
          <w:lang w:val="es-US"/>
        </w:rPr>
        <w:t xml:space="preserve">La Comisión </w:t>
      </w:r>
      <w:r w:rsidR="00BF3FAF" w:rsidRPr="00C332F1">
        <w:rPr>
          <w:rFonts w:cs="Open Sans"/>
          <w:color w:val="auto"/>
          <w:shd w:val="clear" w:color="auto" w:fill="FFFFFF"/>
          <w:lang w:val="es-US"/>
        </w:rPr>
        <w:t xml:space="preserve">nota </w:t>
      </w:r>
      <w:r w:rsidR="00FF3473" w:rsidRPr="00C332F1">
        <w:rPr>
          <w:rFonts w:cs="Open Sans"/>
          <w:color w:val="auto"/>
          <w:shd w:val="clear" w:color="auto" w:fill="FFFFFF"/>
          <w:lang w:val="es-US"/>
        </w:rPr>
        <w:t>que</w:t>
      </w:r>
      <w:r w:rsidR="007D6762" w:rsidRPr="00C332F1">
        <w:rPr>
          <w:rFonts w:cs="Open Sans"/>
          <w:color w:val="auto"/>
          <w:shd w:val="clear" w:color="auto" w:fill="FFFFFF"/>
          <w:lang w:val="es-US"/>
        </w:rPr>
        <w:t xml:space="preserve">, en un hecho </w:t>
      </w:r>
      <w:r w:rsidR="009A19AF" w:rsidRPr="00C332F1">
        <w:rPr>
          <w:rFonts w:cs="Open Sans"/>
          <w:color w:val="auto"/>
          <w:shd w:val="clear" w:color="auto" w:fill="FFFFFF"/>
          <w:lang w:val="es-US"/>
        </w:rPr>
        <w:t>inusual,</w:t>
      </w:r>
      <w:r w:rsidR="00FF3473" w:rsidRPr="00C332F1">
        <w:rPr>
          <w:rFonts w:cs="Open Sans"/>
          <w:color w:val="auto"/>
          <w:shd w:val="clear" w:color="auto" w:fill="FFFFFF"/>
          <w:lang w:val="es-US"/>
        </w:rPr>
        <w:t xml:space="preserve"> e</w:t>
      </w:r>
      <w:r w:rsidR="0077548C" w:rsidRPr="00C332F1">
        <w:rPr>
          <w:rFonts w:cs="Open Sans"/>
          <w:color w:val="auto"/>
          <w:shd w:val="clear" w:color="auto" w:fill="FFFFFF"/>
          <w:lang w:val="es-US"/>
        </w:rPr>
        <w:t>l</w:t>
      </w:r>
      <w:r w:rsidR="00FF3473" w:rsidRPr="00C332F1">
        <w:rPr>
          <w:rFonts w:cs="Open Sans"/>
          <w:color w:val="auto"/>
          <w:shd w:val="clear" w:color="auto" w:fill="FFFFFF"/>
          <w:lang w:val="es-US"/>
        </w:rPr>
        <w:t xml:space="preserve"> número</w:t>
      </w:r>
      <w:r w:rsidR="00D06E5C" w:rsidRPr="00C332F1">
        <w:rPr>
          <w:rFonts w:cs="Open Sans"/>
          <w:color w:val="auto"/>
          <w:shd w:val="clear" w:color="auto" w:fill="FFFFFF"/>
          <w:lang w:val="es-US"/>
        </w:rPr>
        <w:t xml:space="preserve"> </w:t>
      </w:r>
      <w:r w:rsidR="0077548C" w:rsidRPr="00C332F1">
        <w:rPr>
          <w:rFonts w:cs="Open Sans"/>
          <w:color w:val="auto"/>
          <w:shd w:val="clear" w:color="auto" w:fill="FFFFFF"/>
          <w:lang w:val="es-US"/>
        </w:rPr>
        <w:t xml:space="preserve">documentado por las organizaciones </w:t>
      </w:r>
      <w:r w:rsidR="00D513C0" w:rsidRPr="00C332F1">
        <w:rPr>
          <w:rFonts w:cs="Open Sans"/>
          <w:color w:val="auto"/>
          <w:shd w:val="clear" w:color="auto" w:fill="FFFFFF"/>
          <w:lang w:val="es-US"/>
        </w:rPr>
        <w:t xml:space="preserve">sociales </w:t>
      </w:r>
      <w:r w:rsidR="00220D02" w:rsidRPr="00C332F1">
        <w:rPr>
          <w:rFonts w:cs="Open Sans"/>
          <w:color w:val="auto"/>
          <w:shd w:val="clear" w:color="auto" w:fill="FFFFFF"/>
          <w:lang w:val="es-US"/>
        </w:rPr>
        <w:t>fue</w:t>
      </w:r>
      <w:r w:rsidR="00D06E5C" w:rsidRPr="00C332F1">
        <w:rPr>
          <w:rFonts w:cs="Open Sans"/>
          <w:color w:val="auto"/>
          <w:shd w:val="clear" w:color="auto" w:fill="FFFFFF"/>
          <w:lang w:val="es-US"/>
        </w:rPr>
        <w:t xml:space="preserve"> inferior al anunciado</w:t>
      </w:r>
      <w:r w:rsidR="00BF3FAF" w:rsidRPr="00C332F1">
        <w:rPr>
          <w:rFonts w:cs="Open Sans"/>
          <w:color w:val="auto"/>
          <w:shd w:val="clear" w:color="auto" w:fill="FFFFFF"/>
          <w:lang w:val="es-US"/>
        </w:rPr>
        <w:t xml:space="preserve"> por </w:t>
      </w:r>
      <w:r w:rsidR="00F124F8" w:rsidRPr="00C332F1">
        <w:rPr>
          <w:rFonts w:cs="Open Sans"/>
          <w:color w:val="auto"/>
          <w:shd w:val="clear" w:color="auto" w:fill="FFFFFF"/>
          <w:lang w:val="es-US"/>
        </w:rPr>
        <w:t>el Presidente Nicolás Maduro</w:t>
      </w:r>
      <w:r w:rsidR="00BF3FAF" w:rsidRPr="00C332F1">
        <w:rPr>
          <w:rFonts w:cs="Open Sans"/>
          <w:color w:val="auto"/>
          <w:shd w:val="clear" w:color="auto" w:fill="FFFFFF"/>
          <w:lang w:val="es-US"/>
        </w:rPr>
        <w:t xml:space="preserve">, </w:t>
      </w:r>
      <w:r w:rsidR="00917A40" w:rsidRPr="00C332F1">
        <w:rPr>
          <w:rFonts w:cs="Open Sans"/>
          <w:color w:val="auto"/>
          <w:shd w:val="clear" w:color="auto" w:fill="FFFFFF"/>
          <w:lang w:val="es-US"/>
        </w:rPr>
        <w:t>quien</w:t>
      </w:r>
      <w:r w:rsidR="008932D8" w:rsidRPr="00C332F1">
        <w:rPr>
          <w:rFonts w:cs="Open Sans"/>
          <w:color w:val="auto"/>
          <w:shd w:val="clear" w:color="auto" w:fill="FFFFFF"/>
          <w:lang w:val="es-US"/>
        </w:rPr>
        <w:t xml:space="preserve"> dijo el </w:t>
      </w:r>
      <w:r w:rsidR="00846B67" w:rsidRPr="00C332F1">
        <w:rPr>
          <w:rFonts w:cs="Open Sans"/>
          <w:color w:val="auto"/>
          <w:shd w:val="clear" w:color="auto" w:fill="FFFFFF"/>
          <w:lang w:val="es-US"/>
        </w:rPr>
        <w:t xml:space="preserve">6 de agosto que el número de personas detenidas </w:t>
      </w:r>
      <w:r w:rsidR="00302F87" w:rsidRPr="00C332F1">
        <w:rPr>
          <w:rFonts w:cs="Open Sans"/>
          <w:color w:val="auto"/>
          <w:shd w:val="clear" w:color="auto" w:fill="FFFFFF"/>
          <w:lang w:val="es-US"/>
        </w:rPr>
        <w:t xml:space="preserve">había </w:t>
      </w:r>
      <w:r w:rsidR="00846B67" w:rsidRPr="00C332F1">
        <w:rPr>
          <w:rFonts w:cs="Open Sans"/>
          <w:color w:val="auto"/>
          <w:shd w:val="clear" w:color="auto" w:fill="FFFFFF"/>
          <w:lang w:val="es-US"/>
        </w:rPr>
        <w:t>ascendi</w:t>
      </w:r>
      <w:r w:rsidR="00302F87" w:rsidRPr="00C332F1">
        <w:rPr>
          <w:rFonts w:cs="Open Sans"/>
          <w:color w:val="auto"/>
          <w:shd w:val="clear" w:color="auto" w:fill="FFFFFF"/>
          <w:lang w:val="es-US"/>
        </w:rPr>
        <w:t>do</w:t>
      </w:r>
      <w:r w:rsidR="00846B67" w:rsidRPr="00C332F1">
        <w:rPr>
          <w:rFonts w:cs="Open Sans"/>
          <w:color w:val="auto"/>
          <w:shd w:val="clear" w:color="auto" w:fill="FFFFFF"/>
          <w:lang w:val="es-US"/>
        </w:rPr>
        <w:t xml:space="preserve"> a </w:t>
      </w:r>
      <w:r w:rsidR="00846B67" w:rsidRPr="00C332F1">
        <w:rPr>
          <w:lang w:val="es-US"/>
        </w:rPr>
        <w:t>2.229</w:t>
      </w:r>
      <w:r w:rsidR="00A14F05">
        <w:rPr>
          <w:rFonts w:ascii="ZWAdobeF" w:hAnsi="ZWAdobeF" w:cs="ZWAdobeF"/>
          <w:color w:val="auto"/>
          <w:sz w:val="2"/>
          <w:szCs w:val="2"/>
          <w:lang w:val="es-US"/>
        </w:rPr>
        <w:t>89F</w:t>
      </w:r>
      <w:r w:rsidR="00F9400A" w:rsidRPr="005C52BD">
        <w:rPr>
          <w:rStyle w:val="FootnoteReference"/>
          <w:rFonts w:cs="Open Sans"/>
          <w:color w:val="auto"/>
          <w:sz w:val="20"/>
          <w:szCs w:val="20"/>
          <w:shd w:val="clear" w:color="auto" w:fill="FFFFFF"/>
          <w:lang w:val="es-US"/>
        </w:rPr>
        <w:footnoteReference w:id="91"/>
      </w:r>
      <w:r w:rsidR="00C56540" w:rsidRPr="00C332F1">
        <w:rPr>
          <w:rFonts w:cs="Open Sans"/>
          <w:color w:val="auto"/>
          <w:shd w:val="clear" w:color="auto" w:fill="FFFFFF"/>
          <w:lang w:val="es-US"/>
        </w:rPr>
        <w:t>.</w:t>
      </w:r>
    </w:p>
    <w:p w14:paraId="260EDB0B" w14:textId="5B22C875" w:rsidR="00712200" w:rsidRPr="00C332F1" w:rsidRDefault="00712200" w:rsidP="6AAF9C0F">
      <w:pPr>
        <w:pStyle w:val="IAPrrafo"/>
        <w:rPr>
          <w:color w:val="auto"/>
          <w:lang w:val="es-US"/>
        </w:rPr>
      </w:pPr>
      <w:r w:rsidRPr="00C332F1">
        <w:rPr>
          <w:color w:val="auto"/>
          <w:lang w:val="es-US"/>
        </w:rPr>
        <w:t>En e</w:t>
      </w:r>
      <w:r w:rsidR="00FE42C3" w:rsidRPr="00C332F1">
        <w:rPr>
          <w:color w:val="auto"/>
          <w:lang w:val="es-US"/>
        </w:rPr>
        <w:t>ste contexto</w:t>
      </w:r>
      <w:r w:rsidR="004F1828" w:rsidRPr="00C332F1">
        <w:rPr>
          <w:color w:val="auto"/>
          <w:lang w:val="es-US"/>
        </w:rPr>
        <w:t>,</w:t>
      </w:r>
      <w:r w:rsidRPr="00C332F1">
        <w:rPr>
          <w:color w:val="auto"/>
          <w:lang w:val="es-US"/>
        </w:rPr>
        <w:t xml:space="preserve"> el Presidente Madur</w:t>
      </w:r>
      <w:r w:rsidR="00625F8A" w:rsidRPr="00C332F1">
        <w:rPr>
          <w:color w:val="auto"/>
          <w:lang w:val="es-US"/>
        </w:rPr>
        <w:t>o</w:t>
      </w:r>
      <w:r w:rsidRPr="00C332F1">
        <w:rPr>
          <w:color w:val="auto"/>
          <w:lang w:val="es-US"/>
        </w:rPr>
        <w:t xml:space="preserve"> dio declaraciones públicas prejuzgando y estigmatizando a las personas manifestantes. Entre estas están: “con la capacidad de respuesta y reacción de la unión cívico-militar-policial resolvimos, con la Constitución y en paz, el brote fascista”; o “esta vez no va a haber perdón, esta vez lo que va a haber es Tocorón”, refiriéndose a una cárcel en el estado Aragua</w:t>
      </w:r>
      <w:r w:rsidR="00A14F05">
        <w:rPr>
          <w:rFonts w:ascii="ZWAdobeF" w:hAnsi="ZWAdobeF" w:cs="ZWAdobeF"/>
          <w:color w:val="auto"/>
          <w:sz w:val="2"/>
          <w:szCs w:val="2"/>
          <w:lang w:val="es-US"/>
        </w:rPr>
        <w:t>90F</w:t>
      </w:r>
      <w:r w:rsidRPr="005C52BD">
        <w:rPr>
          <w:rStyle w:val="FootnoteReference"/>
          <w:color w:val="auto"/>
          <w:sz w:val="20"/>
          <w:szCs w:val="20"/>
          <w:lang w:val="es-US"/>
        </w:rPr>
        <w:footnoteReference w:id="92"/>
      </w:r>
      <w:r w:rsidRPr="00C332F1">
        <w:rPr>
          <w:color w:val="auto"/>
          <w:lang w:val="es-US"/>
        </w:rPr>
        <w:t>.</w:t>
      </w:r>
    </w:p>
    <w:p w14:paraId="172637EF" w14:textId="60711116" w:rsidR="00126A27" w:rsidRPr="00C332F1" w:rsidRDefault="00DA6B83" w:rsidP="00A703B7">
      <w:pPr>
        <w:pStyle w:val="IAPrrafo"/>
        <w:rPr>
          <w:color w:val="auto"/>
          <w:szCs w:val="20"/>
          <w:lang w:val="es-US"/>
        </w:rPr>
      </w:pPr>
      <w:r w:rsidRPr="00C332F1">
        <w:rPr>
          <w:color w:val="auto"/>
          <w:lang w:val="es-US"/>
        </w:rPr>
        <w:t>Testimonios</w:t>
      </w:r>
      <w:r w:rsidR="00126A27" w:rsidRPr="00C332F1">
        <w:rPr>
          <w:color w:val="auto"/>
          <w:lang w:val="es-US"/>
        </w:rPr>
        <w:t xml:space="preserve"> recabados por esta Comisión, así como por la Misión Internacional Independiente</w:t>
      </w:r>
      <w:r w:rsidRPr="00C332F1">
        <w:rPr>
          <w:color w:val="auto"/>
          <w:lang w:val="es-US"/>
        </w:rPr>
        <w:t xml:space="preserve">, indican que todas las detenciones ocurrieron sin órdenes </w:t>
      </w:r>
      <w:r w:rsidR="00CC170B" w:rsidRPr="00C332F1">
        <w:rPr>
          <w:color w:val="auto"/>
          <w:lang w:val="es-US"/>
        </w:rPr>
        <w:t xml:space="preserve">judiciales </w:t>
      </w:r>
      <w:r w:rsidRPr="00C332F1">
        <w:rPr>
          <w:color w:val="auto"/>
          <w:lang w:val="es-US"/>
        </w:rPr>
        <w:t xml:space="preserve">de captura, </w:t>
      </w:r>
      <w:r w:rsidR="003714F5" w:rsidRPr="00C332F1">
        <w:rPr>
          <w:color w:val="auto"/>
          <w:lang w:val="es-US"/>
        </w:rPr>
        <w:t xml:space="preserve">y sin informar a los familiares del lugar de la detención. Muchas de las detenciones </w:t>
      </w:r>
      <w:r w:rsidR="00CC170B" w:rsidRPr="00C332F1">
        <w:rPr>
          <w:color w:val="auto"/>
          <w:lang w:val="es-US"/>
        </w:rPr>
        <w:t xml:space="preserve">se perpetraron </w:t>
      </w:r>
      <w:r w:rsidR="005122E8" w:rsidRPr="00C332F1">
        <w:rPr>
          <w:color w:val="auto"/>
          <w:lang w:val="es-US"/>
        </w:rPr>
        <w:t xml:space="preserve">tras denuncias anónimas a través de </w:t>
      </w:r>
      <w:r w:rsidR="00EE61F9" w:rsidRPr="00C332F1">
        <w:rPr>
          <w:color w:val="auto"/>
          <w:lang w:val="es-US"/>
        </w:rPr>
        <w:t>aplicaciones como la VenApp. Esta aplicación, creada</w:t>
      </w:r>
      <w:r w:rsidR="00BF3159" w:rsidRPr="00C332F1">
        <w:rPr>
          <w:color w:val="auto"/>
          <w:lang w:val="es-US"/>
        </w:rPr>
        <w:t xml:space="preserve"> por el gobierno</w:t>
      </w:r>
      <w:r w:rsidR="00EE61F9" w:rsidRPr="00C332F1">
        <w:rPr>
          <w:color w:val="auto"/>
          <w:lang w:val="es-US"/>
        </w:rPr>
        <w:t xml:space="preserve"> para informar de fallas en servicios públicos, fue habilitada para denunciar a personas </w:t>
      </w:r>
      <w:r w:rsidR="00741202" w:rsidRPr="00C332F1">
        <w:rPr>
          <w:color w:val="auto"/>
          <w:lang w:val="es-US"/>
        </w:rPr>
        <w:t>sospechosas de participar en las manifestaciones</w:t>
      </w:r>
      <w:r w:rsidR="00A14F05">
        <w:rPr>
          <w:rFonts w:ascii="ZWAdobeF" w:hAnsi="ZWAdobeF" w:cs="ZWAdobeF"/>
          <w:color w:val="auto"/>
          <w:sz w:val="2"/>
          <w:szCs w:val="2"/>
          <w:lang w:val="es-US"/>
        </w:rPr>
        <w:t>91F</w:t>
      </w:r>
      <w:r w:rsidR="005D2866" w:rsidRPr="005C52BD">
        <w:rPr>
          <w:rStyle w:val="FootnoteReference"/>
          <w:color w:val="auto"/>
          <w:sz w:val="20"/>
          <w:szCs w:val="20"/>
          <w:lang w:val="es-US"/>
        </w:rPr>
        <w:footnoteReference w:id="93"/>
      </w:r>
      <w:r w:rsidR="00741202" w:rsidRPr="00C332F1">
        <w:rPr>
          <w:color w:val="auto"/>
          <w:lang w:val="es-US"/>
        </w:rPr>
        <w:t>.</w:t>
      </w:r>
    </w:p>
    <w:p w14:paraId="7926CD41" w14:textId="7DB8CB9F" w:rsidR="00E51A2D" w:rsidRPr="00C332F1" w:rsidRDefault="0014276F" w:rsidP="00A703B7">
      <w:pPr>
        <w:pStyle w:val="IAPrrafo"/>
        <w:rPr>
          <w:color w:val="auto"/>
          <w:szCs w:val="20"/>
          <w:lang w:val="es-US"/>
        </w:rPr>
      </w:pPr>
      <w:r w:rsidRPr="00C332F1">
        <w:rPr>
          <w:color w:val="auto"/>
          <w:szCs w:val="20"/>
          <w:lang w:val="es-US"/>
        </w:rPr>
        <w:t>Resulta</w:t>
      </w:r>
      <w:r w:rsidR="00BD22A5" w:rsidRPr="00C332F1">
        <w:rPr>
          <w:color w:val="auto"/>
          <w:szCs w:val="20"/>
          <w:lang w:val="es-US"/>
        </w:rPr>
        <w:t>n</w:t>
      </w:r>
      <w:r w:rsidRPr="00C332F1">
        <w:rPr>
          <w:color w:val="auto"/>
          <w:szCs w:val="20"/>
          <w:lang w:val="es-US"/>
        </w:rPr>
        <w:t xml:space="preserve"> extremadamente preocupante</w:t>
      </w:r>
      <w:r w:rsidR="00BD22A5" w:rsidRPr="00C332F1">
        <w:rPr>
          <w:color w:val="auto"/>
          <w:szCs w:val="20"/>
          <w:lang w:val="es-US"/>
        </w:rPr>
        <w:t>s</w:t>
      </w:r>
      <w:r w:rsidRPr="00C332F1">
        <w:rPr>
          <w:color w:val="auto"/>
          <w:szCs w:val="20"/>
          <w:lang w:val="es-US"/>
        </w:rPr>
        <w:t xml:space="preserve"> las detenciones de niños, niñas y adolescentes en el contexto de las manifestaciones. Conforme información suministrada por la organización Foro Penal, luego de las elecciones presidenciales en Venezuela, al menos 158 adolescentes fueron detenid</w:t>
      </w:r>
      <w:r w:rsidR="00FA4330" w:rsidRPr="00C332F1">
        <w:rPr>
          <w:color w:val="auto"/>
          <w:szCs w:val="20"/>
          <w:lang w:val="es-US"/>
        </w:rPr>
        <w:t>o</w:t>
      </w:r>
      <w:r w:rsidRPr="00C332F1">
        <w:rPr>
          <w:color w:val="auto"/>
          <w:szCs w:val="20"/>
          <w:lang w:val="es-US"/>
        </w:rPr>
        <w:t>s arbitraria e indiscriminadamente. A l</w:t>
      </w:r>
      <w:r w:rsidR="00FD6702" w:rsidRPr="00C332F1">
        <w:rPr>
          <w:color w:val="auto"/>
          <w:szCs w:val="20"/>
          <w:lang w:val="es-US"/>
        </w:rPr>
        <w:t>a</w:t>
      </w:r>
      <w:r w:rsidRPr="00C332F1">
        <w:rPr>
          <w:color w:val="auto"/>
          <w:szCs w:val="20"/>
          <w:lang w:val="es-US"/>
        </w:rPr>
        <w:t xml:space="preserve"> fecha de elaboración de este informe,</w:t>
      </w:r>
      <w:r w:rsidR="00FD75CE" w:rsidRPr="00C332F1">
        <w:rPr>
          <w:color w:val="auto"/>
          <w:szCs w:val="20"/>
          <w:lang w:val="es-US"/>
        </w:rPr>
        <w:t xml:space="preserve"> seis</w:t>
      </w:r>
      <w:r w:rsidR="00DF5DA5" w:rsidRPr="00C332F1">
        <w:rPr>
          <w:color w:val="auto"/>
          <w:szCs w:val="20"/>
          <w:lang w:val="es-US"/>
        </w:rPr>
        <w:t xml:space="preserve"> </w:t>
      </w:r>
      <w:r w:rsidR="00821367" w:rsidRPr="00C332F1">
        <w:rPr>
          <w:color w:val="auto"/>
          <w:szCs w:val="20"/>
          <w:lang w:val="es-US"/>
        </w:rPr>
        <w:t>adolescentes, es decir, personas menores de 18 años, continúan privadas</w:t>
      </w:r>
      <w:r w:rsidR="00FD6702" w:rsidRPr="00C332F1">
        <w:rPr>
          <w:color w:val="auto"/>
          <w:szCs w:val="20"/>
          <w:lang w:val="es-US"/>
        </w:rPr>
        <w:t xml:space="preserve"> de libertad.</w:t>
      </w:r>
    </w:p>
    <w:p w14:paraId="768B6F71" w14:textId="6CA95800" w:rsidR="0014276F" w:rsidRPr="00C332F1" w:rsidRDefault="00BA6368" w:rsidP="00A703B7">
      <w:pPr>
        <w:pStyle w:val="IAPrrafo"/>
        <w:rPr>
          <w:color w:val="auto"/>
          <w:szCs w:val="20"/>
          <w:lang w:val="es-US"/>
        </w:rPr>
      </w:pPr>
      <w:r w:rsidRPr="00C332F1">
        <w:rPr>
          <w:color w:val="auto"/>
          <w:lang w:val="es-US"/>
        </w:rPr>
        <w:t>Según relevó</w:t>
      </w:r>
      <w:r w:rsidR="00247AE2" w:rsidRPr="00C332F1">
        <w:rPr>
          <w:color w:val="auto"/>
          <w:lang w:val="es-US"/>
        </w:rPr>
        <w:t xml:space="preserve"> la sociedad civil, en muchos casos</w:t>
      </w:r>
      <w:r w:rsidR="00C92BB7" w:rsidRPr="00C332F1">
        <w:rPr>
          <w:color w:val="auto"/>
          <w:lang w:val="es-US"/>
        </w:rPr>
        <w:t>,</w:t>
      </w:r>
      <w:r w:rsidR="00247AE2" w:rsidRPr="00C332F1">
        <w:rPr>
          <w:color w:val="auto"/>
          <w:lang w:val="es-US"/>
        </w:rPr>
        <w:t xml:space="preserve"> los</w:t>
      </w:r>
      <w:r w:rsidR="0014276F" w:rsidRPr="00C332F1">
        <w:rPr>
          <w:color w:val="auto"/>
          <w:lang w:val="es-US"/>
        </w:rPr>
        <w:t xml:space="preserve"> adolescentes fueron precalificadas por autoridades como terroristas y privad</w:t>
      </w:r>
      <w:r w:rsidR="00C92BB7" w:rsidRPr="00C332F1">
        <w:rPr>
          <w:color w:val="auto"/>
          <w:lang w:val="es-US"/>
        </w:rPr>
        <w:t>o</w:t>
      </w:r>
      <w:r w:rsidR="0014276F" w:rsidRPr="00C332F1">
        <w:rPr>
          <w:color w:val="auto"/>
          <w:lang w:val="es-US"/>
        </w:rPr>
        <w:t>s de libertad en las mismas celdas que personas adultas</w:t>
      </w:r>
      <w:r w:rsidR="00C92BB7" w:rsidRPr="00C332F1">
        <w:rPr>
          <w:color w:val="auto"/>
          <w:lang w:val="es-US"/>
        </w:rPr>
        <w:t>;</w:t>
      </w:r>
      <w:r w:rsidR="0014276F" w:rsidRPr="00C332F1">
        <w:rPr>
          <w:color w:val="auto"/>
          <w:lang w:val="es-US"/>
        </w:rPr>
        <w:t xml:space="preserve"> y en algunos casos sin separación por género. Aunado a ello, a todas estas personas se les impuso un defensor público oficial, negándoles la posibilidad de contar con defensa de confianza, y varias de ellas fueron presentadas de manera virtual ante tribunales en materia de terrorismo, sin la presencia de sus familiares</w:t>
      </w:r>
      <w:r w:rsidR="004F79C8" w:rsidRPr="00C332F1">
        <w:rPr>
          <w:color w:val="auto"/>
          <w:lang w:val="es-US"/>
        </w:rPr>
        <w:t>,</w:t>
      </w:r>
      <w:r w:rsidR="0014276F" w:rsidRPr="00C332F1">
        <w:rPr>
          <w:color w:val="auto"/>
          <w:lang w:val="es-US"/>
        </w:rPr>
        <w:t xml:space="preserve"> acudientes</w:t>
      </w:r>
      <w:r w:rsidR="00D851D9" w:rsidRPr="00C332F1">
        <w:rPr>
          <w:color w:val="auto"/>
          <w:lang w:val="es-US"/>
        </w:rPr>
        <w:t xml:space="preserve"> </w:t>
      </w:r>
      <w:r w:rsidR="00AA02A1" w:rsidRPr="00C332F1">
        <w:rPr>
          <w:color w:val="auto"/>
          <w:lang w:val="es-US"/>
        </w:rPr>
        <w:t>o responsables</w:t>
      </w:r>
      <w:r w:rsidR="00A14F05">
        <w:rPr>
          <w:rFonts w:ascii="ZWAdobeF" w:hAnsi="ZWAdobeF" w:cs="ZWAdobeF"/>
          <w:color w:val="auto"/>
          <w:sz w:val="2"/>
          <w:szCs w:val="2"/>
          <w:lang w:val="es-US"/>
        </w:rPr>
        <w:t>92F</w:t>
      </w:r>
      <w:r w:rsidR="0014276F" w:rsidRPr="005C52BD">
        <w:rPr>
          <w:rStyle w:val="FootnoteReference"/>
          <w:color w:val="auto"/>
          <w:sz w:val="20"/>
          <w:szCs w:val="20"/>
          <w:lang w:val="es-US"/>
        </w:rPr>
        <w:footnoteReference w:id="94"/>
      </w:r>
      <w:r w:rsidR="0014276F" w:rsidRPr="00C332F1">
        <w:rPr>
          <w:color w:val="auto"/>
          <w:lang w:val="es-US"/>
        </w:rPr>
        <w:t>.</w:t>
      </w:r>
    </w:p>
    <w:p w14:paraId="2AD48B49" w14:textId="57D361A4" w:rsidR="00697B46" w:rsidRPr="00C332F1" w:rsidRDefault="00240B00" w:rsidP="00625F8A">
      <w:pPr>
        <w:pStyle w:val="IAPrrafo"/>
        <w:rPr>
          <w:color w:val="auto"/>
          <w:szCs w:val="20"/>
          <w:lang w:val="es-US"/>
        </w:rPr>
      </w:pPr>
      <w:r w:rsidRPr="00C332F1">
        <w:rPr>
          <w:color w:val="auto"/>
          <w:lang w:val="es-US"/>
        </w:rPr>
        <w:t>L</w:t>
      </w:r>
      <w:r w:rsidR="0014276F" w:rsidRPr="00C332F1">
        <w:rPr>
          <w:color w:val="auto"/>
          <w:lang w:val="es-US"/>
        </w:rPr>
        <w:t>a CIDH</w:t>
      </w:r>
      <w:r w:rsidR="00DB445C" w:rsidRPr="00C332F1">
        <w:rPr>
          <w:color w:val="auto"/>
          <w:lang w:val="es-US"/>
        </w:rPr>
        <w:t xml:space="preserve"> condena los</w:t>
      </w:r>
      <w:r w:rsidR="0014276F" w:rsidRPr="00C332F1">
        <w:rPr>
          <w:color w:val="auto"/>
          <w:lang w:val="es-US"/>
        </w:rPr>
        <w:t xml:space="preserve"> tratos crueles, inhumanos y degradantes</w:t>
      </w:r>
      <w:r w:rsidR="00DB445C" w:rsidRPr="00C332F1">
        <w:rPr>
          <w:color w:val="auto"/>
          <w:lang w:val="es-US"/>
        </w:rPr>
        <w:t xml:space="preserve"> </w:t>
      </w:r>
      <w:r w:rsidR="000F1F52" w:rsidRPr="00C332F1">
        <w:rPr>
          <w:color w:val="auto"/>
          <w:lang w:val="es-US"/>
        </w:rPr>
        <w:t xml:space="preserve">de </w:t>
      </w:r>
      <w:r w:rsidR="000B4E36" w:rsidRPr="00C332F1">
        <w:rPr>
          <w:color w:val="auto"/>
          <w:lang w:val="es-US"/>
        </w:rPr>
        <w:t>adolescentes</w:t>
      </w:r>
      <w:r w:rsidR="000F1F52" w:rsidRPr="00C332F1">
        <w:rPr>
          <w:color w:val="auto"/>
          <w:lang w:val="es-US"/>
        </w:rPr>
        <w:t xml:space="preserve"> privadas de libertad</w:t>
      </w:r>
      <w:r w:rsidR="0014276F" w:rsidRPr="00C332F1">
        <w:rPr>
          <w:color w:val="auto"/>
          <w:lang w:val="es-US"/>
        </w:rPr>
        <w:t>. Tal es el caso de una adolescente embarazada, que fue sujeta a violencia de género mientras se encontraba bajo custodia del Estado. Agentes le insinuaron que la harían abortar para no tener hijos terroristas</w:t>
      </w:r>
      <w:r w:rsidR="00A14F05">
        <w:rPr>
          <w:rFonts w:ascii="ZWAdobeF" w:hAnsi="ZWAdobeF" w:cs="ZWAdobeF"/>
          <w:color w:val="auto"/>
          <w:sz w:val="2"/>
          <w:szCs w:val="2"/>
          <w:lang w:val="es-US"/>
        </w:rPr>
        <w:t>93F</w:t>
      </w:r>
      <w:r w:rsidR="0014276F" w:rsidRPr="005C52BD">
        <w:rPr>
          <w:rStyle w:val="FootnoteReference"/>
          <w:color w:val="auto"/>
          <w:sz w:val="20"/>
          <w:szCs w:val="20"/>
          <w:lang w:val="es-US"/>
        </w:rPr>
        <w:footnoteReference w:id="95"/>
      </w:r>
      <w:r w:rsidR="0014276F" w:rsidRPr="00C332F1">
        <w:rPr>
          <w:color w:val="auto"/>
          <w:lang w:val="es-US"/>
        </w:rPr>
        <w:t xml:space="preserve">. </w:t>
      </w:r>
      <w:r w:rsidR="000F1F52" w:rsidRPr="00C332F1">
        <w:rPr>
          <w:color w:val="auto"/>
          <w:lang w:val="es-US"/>
        </w:rPr>
        <w:t>Además, f</w:t>
      </w:r>
      <w:r w:rsidR="0014276F" w:rsidRPr="00C332F1">
        <w:rPr>
          <w:color w:val="auto"/>
          <w:lang w:val="es-US"/>
        </w:rPr>
        <w:t>ue obligada a realizar ejercicios físicos y a ponerse en posiciones incómodas y humillantes. También se tiene registro del caso de un niño dentro del espectro autista que sigue privado de libertad sin ver a su familia ni recibir atención médica. Otro caso de particular preocupación es el de un niño que denunci</w:t>
      </w:r>
      <w:r w:rsidR="00E55372" w:rsidRPr="00C332F1">
        <w:rPr>
          <w:color w:val="auto"/>
          <w:lang w:val="es-US"/>
        </w:rPr>
        <w:t xml:space="preserve">ó haber recibido </w:t>
      </w:r>
      <w:r w:rsidR="0014276F" w:rsidRPr="00C332F1">
        <w:rPr>
          <w:color w:val="auto"/>
          <w:lang w:val="es-US"/>
        </w:rPr>
        <w:t>golpes durante la detención</w:t>
      </w:r>
      <w:r w:rsidR="00E55372" w:rsidRPr="00C332F1">
        <w:rPr>
          <w:color w:val="auto"/>
          <w:lang w:val="es-US"/>
        </w:rPr>
        <w:t>;</w:t>
      </w:r>
      <w:r w:rsidR="0014276F" w:rsidRPr="00C332F1">
        <w:rPr>
          <w:color w:val="auto"/>
          <w:lang w:val="es-US"/>
        </w:rPr>
        <w:t xml:space="preserve"> y que, como consecuencia de estos, </w:t>
      </w:r>
      <w:r w:rsidR="00294EBD" w:rsidRPr="00C332F1">
        <w:rPr>
          <w:color w:val="auto"/>
          <w:lang w:val="es-US"/>
        </w:rPr>
        <w:t xml:space="preserve">sufrió </w:t>
      </w:r>
      <w:r w:rsidR="0014276F" w:rsidRPr="00C332F1">
        <w:rPr>
          <w:color w:val="auto"/>
          <w:lang w:val="es-US"/>
        </w:rPr>
        <w:t>una parálisis facial</w:t>
      </w:r>
      <w:r w:rsidR="00A14F05">
        <w:rPr>
          <w:rFonts w:ascii="ZWAdobeF" w:hAnsi="ZWAdobeF" w:cs="ZWAdobeF"/>
          <w:color w:val="auto"/>
          <w:sz w:val="2"/>
          <w:szCs w:val="2"/>
          <w:lang w:val="es-US"/>
        </w:rPr>
        <w:t>94F</w:t>
      </w:r>
      <w:r w:rsidR="0014276F" w:rsidRPr="005C52BD">
        <w:rPr>
          <w:rStyle w:val="FootnoteReference"/>
          <w:color w:val="auto"/>
          <w:sz w:val="20"/>
          <w:szCs w:val="20"/>
          <w:lang w:val="es-US"/>
        </w:rPr>
        <w:footnoteReference w:id="96"/>
      </w:r>
      <w:r w:rsidR="005B6323" w:rsidRPr="00C332F1">
        <w:rPr>
          <w:color w:val="auto"/>
          <w:lang w:val="es-US"/>
        </w:rPr>
        <w:t>.</w:t>
      </w:r>
    </w:p>
    <w:p w14:paraId="1E962525" w14:textId="6355BF9F" w:rsidR="00E41E87" w:rsidRPr="00C332F1" w:rsidRDefault="00E41E87" w:rsidP="00E41E87">
      <w:pPr>
        <w:pStyle w:val="IAPrrafo"/>
        <w:rPr>
          <w:color w:val="auto"/>
          <w:szCs w:val="20"/>
          <w:lang w:val="es-US"/>
        </w:rPr>
      </w:pPr>
      <w:r w:rsidRPr="00C332F1">
        <w:rPr>
          <w:color w:val="auto"/>
          <w:szCs w:val="20"/>
          <w:lang w:val="es-US"/>
        </w:rPr>
        <w:t>Las madres de varios de los adolescentes privados de libertad han denunciado que las autoridades estarían incurriendo en torturas y malos tratos para que los adolescentes confiesen delitos que no cometieron. De acuerdo con testimonios recabados, agentes del Estado les han infringido golpizas para forzarlos a grabar vídeos declarando que participaron en las manifestaciones a cambio de dinero. También señalaron que sus hijos fueron amenazados con recibir penas desproporcionadas si se negaban a admitir su participación en actos violentos. Algunas madres han expresado públicamente su impotencia frente a los llamados de sus hijos para los saquen de los centros de detención. Medios de prensa han documentado que varios de los jóvenes presentan graves cuadros de depresión y rastros de golpizas; que están confinados en celdas con letrinas desbordadas de aguas negras y forzados a hacer necesidades fisiológicas en público</w:t>
      </w:r>
      <w:r w:rsidR="00A14F05">
        <w:rPr>
          <w:rFonts w:ascii="ZWAdobeF" w:hAnsi="ZWAdobeF" w:cs="ZWAdobeF"/>
          <w:color w:val="auto"/>
          <w:sz w:val="2"/>
          <w:szCs w:val="2"/>
          <w:lang w:val="es-US"/>
        </w:rPr>
        <w:t>95F</w:t>
      </w:r>
      <w:r w:rsidRPr="005C52BD">
        <w:rPr>
          <w:rStyle w:val="FootnoteReference"/>
          <w:color w:val="auto"/>
          <w:sz w:val="20"/>
          <w:szCs w:val="20"/>
          <w:lang w:val="es-US"/>
        </w:rPr>
        <w:footnoteReference w:id="97"/>
      </w:r>
      <w:r w:rsidRPr="00C332F1">
        <w:rPr>
          <w:color w:val="auto"/>
          <w:szCs w:val="20"/>
          <w:lang w:val="es-US"/>
        </w:rPr>
        <w:t xml:space="preserve">. </w:t>
      </w:r>
    </w:p>
    <w:p w14:paraId="38AD2E17" w14:textId="6BA517F1" w:rsidR="0014276F" w:rsidRPr="00C332F1" w:rsidRDefault="0014276F" w:rsidP="00A703B7">
      <w:pPr>
        <w:pStyle w:val="IAPrrafo"/>
        <w:rPr>
          <w:color w:val="auto"/>
          <w:szCs w:val="20"/>
          <w:lang w:val="es-US"/>
        </w:rPr>
      </w:pPr>
      <w:r w:rsidRPr="00C332F1">
        <w:rPr>
          <w:color w:val="auto"/>
          <w:lang w:val="es-US"/>
        </w:rPr>
        <w:t xml:space="preserve">Al respecto, </w:t>
      </w:r>
      <w:r w:rsidR="00891F9B" w:rsidRPr="00C332F1">
        <w:rPr>
          <w:color w:val="auto"/>
          <w:lang w:val="es-US"/>
        </w:rPr>
        <w:t>CIDH</w:t>
      </w:r>
      <w:r w:rsidRPr="00C332F1">
        <w:rPr>
          <w:color w:val="auto"/>
          <w:lang w:val="es-US"/>
        </w:rPr>
        <w:t xml:space="preserve"> recuerda que, conforme a obligaciones internacionales del Estado, deben ser anulados todos los actos procesales derivados de la tortura y tratos crueles, o cualquier tipo de coacción capaz de quebrantar la voluntad de una persona</w:t>
      </w:r>
      <w:r w:rsidR="00A14F05">
        <w:rPr>
          <w:rFonts w:ascii="ZWAdobeF" w:hAnsi="ZWAdobeF" w:cs="ZWAdobeF"/>
          <w:color w:val="auto"/>
          <w:sz w:val="2"/>
          <w:szCs w:val="2"/>
          <w:lang w:val="es-US"/>
        </w:rPr>
        <w:t>96F</w:t>
      </w:r>
      <w:r w:rsidRPr="005C52BD">
        <w:rPr>
          <w:rStyle w:val="FootnoteReference"/>
          <w:color w:val="auto"/>
          <w:sz w:val="20"/>
          <w:szCs w:val="20"/>
          <w:lang w:val="es-US"/>
        </w:rPr>
        <w:footnoteReference w:id="98"/>
      </w:r>
      <w:r w:rsidRPr="00C332F1">
        <w:rPr>
          <w:color w:val="auto"/>
          <w:lang w:val="es-US"/>
        </w:rPr>
        <w:t>.</w:t>
      </w:r>
    </w:p>
    <w:p w14:paraId="1A5E05DF" w14:textId="45974496" w:rsidR="007521E9" w:rsidRPr="00C332F1" w:rsidRDefault="00277A60" w:rsidP="00A703B7">
      <w:pPr>
        <w:pStyle w:val="IAPrrafo"/>
        <w:rPr>
          <w:color w:val="auto"/>
          <w:szCs w:val="20"/>
          <w:lang w:val="es-US"/>
        </w:rPr>
      </w:pPr>
      <w:r w:rsidRPr="00C332F1">
        <w:rPr>
          <w:color w:val="auto"/>
        </w:rPr>
        <w:t>En general, l</w:t>
      </w:r>
      <w:r w:rsidR="00565CE4" w:rsidRPr="00C332F1">
        <w:rPr>
          <w:color w:val="auto"/>
          <w:lang w:val="es-US"/>
        </w:rPr>
        <w:t xml:space="preserve">as personas detenidas </w:t>
      </w:r>
      <w:r w:rsidR="00546F44" w:rsidRPr="00C332F1">
        <w:rPr>
          <w:color w:val="auto"/>
          <w:lang w:val="es-US"/>
        </w:rPr>
        <w:t>tras las graves denuncias de fraude electoral</w:t>
      </w:r>
      <w:r w:rsidR="00A46ED9" w:rsidRPr="00C332F1">
        <w:rPr>
          <w:color w:val="auto"/>
          <w:lang w:val="es-US"/>
        </w:rPr>
        <w:t>, incluyendo dirigentes políticos</w:t>
      </w:r>
      <w:r w:rsidR="00E11E87" w:rsidRPr="00C332F1">
        <w:rPr>
          <w:color w:val="auto"/>
          <w:lang w:val="es-US"/>
        </w:rPr>
        <w:t xml:space="preserve"> como</w:t>
      </w:r>
      <w:r w:rsidR="00FF2A52" w:rsidRPr="00C332F1">
        <w:rPr>
          <w:color w:val="auto"/>
          <w:lang w:val="es-ES"/>
        </w:rPr>
        <w:t xml:space="preserve"> María Oropeza</w:t>
      </w:r>
      <w:r w:rsidR="00A14F05">
        <w:rPr>
          <w:rFonts w:ascii="ZWAdobeF" w:hAnsi="ZWAdobeF" w:cs="ZWAdobeF"/>
          <w:color w:val="auto"/>
          <w:sz w:val="2"/>
          <w:szCs w:val="2"/>
          <w:lang w:val="es-ES"/>
        </w:rPr>
        <w:t>97F</w:t>
      </w:r>
      <w:r w:rsidR="00FF2A52" w:rsidRPr="005C52BD">
        <w:rPr>
          <w:rStyle w:val="FootnoteReference"/>
          <w:rFonts w:cs="Open Sans"/>
          <w:color w:val="auto"/>
          <w:sz w:val="20"/>
          <w:szCs w:val="20"/>
          <w:shd w:val="clear" w:color="auto" w:fill="FFFFFF"/>
          <w:lang w:val="es-ES"/>
        </w:rPr>
        <w:footnoteReference w:id="99"/>
      </w:r>
      <w:r w:rsidR="00FF2A52" w:rsidRPr="00C332F1">
        <w:rPr>
          <w:color w:val="auto"/>
          <w:lang w:val="es-ES"/>
        </w:rPr>
        <w:t>, Williams Dávila</w:t>
      </w:r>
      <w:r w:rsidR="00A14F05">
        <w:rPr>
          <w:rFonts w:ascii="ZWAdobeF" w:hAnsi="ZWAdobeF" w:cs="ZWAdobeF"/>
          <w:color w:val="auto"/>
          <w:sz w:val="2"/>
          <w:szCs w:val="2"/>
          <w:lang w:val="es-ES"/>
        </w:rPr>
        <w:t>98F</w:t>
      </w:r>
      <w:r w:rsidR="00FF2A52" w:rsidRPr="005C52BD">
        <w:rPr>
          <w:rStyle w:val="FootnoteReference"/>
          <w:rFonts w:cs="Open Sans"/>
          <w:color w:val="auto"/>
          <w:sz w:val="20"/>
          <w:szCs w:val="20"/>
          <w:shd w:val="clear" w:color="auto" w:fill="FFFFFF"/>
          <w:lang w:val="es-ES"/>
        </w:rPr>
        <w:footnoteReference w:id="100"/>
      </w:r>
      <w:r w:rsidR="00FF2A52" w:rsidRPr="00C332F1">
        <w:rPr>
          <w:color w:val="auto"/>
          <w:lang w:val="es-ES"/>
        </w:rPr>
        <w:t>, Freddy Superlano</w:t>
      </w:r>
      <w:r w:rsidR="00A14F05">
        <w:rPr>
          <w:rFonts w:ascii="ZWAdobeF" w:hAnsi="ZWAdobeF" w:cs="ZWAdobeF"/>
          <w:color w:val="auto"/>
          <w:sz w:val="2"/>
          <w:szCs w:val="2"/>
          <w:lang w:val="es-ES"/>
        </w:rPr>
        <w:t>99F</w:t>
      </w:r>
      <w:r w:rsidR="00FF2A52" w:rsidRPr="005C52BD">
        <w:rPr>
          <w:rStyle w:val="FootnoteReference"/>
          <w:rFonts w:cs="Open Sans"/>
          <w:color w:val="auto"/>
          <w:sz w:val="20"/>
          <w:szCs w:val="20"/>
          <w:shd w:val="clear" w:color="auto" w:fill="FFFFFF"/>
          <w:lang w:val="es-ES"/>
        </w:rPr>
        <w:footnoteReference w:id="101"/>
      </w:r>
      <w:r w:rsidR="00FF2A52" w:rsidRPr="00C332F1">
        <w:rPr>
          <w:color w:val="auto"/>
          <w:lang w:val="es-ES"/>
        </w:rPr>
        <w:t xml:space="preserve"> y Biagio Pilieri</w:t>
      </w:r>
      <w:r w:rsidR="00A14F05">
        <w:rPr>
          <w:rFonts w:ascii="ZWAdobeF" w:hAnsi="ZWAdobeF" w:cs="ZWAdobeF"/>
          <w:color w:val="auto"/>
          <w:sz w:val="2"/>
          <w:szCs w:val="2"/>
          <w:lang w:val="es-ES"/>
        </w:rPr>
        <w:t>100F</w:t>
      </w:r>
      <w:r w:rsidR="00FF2A52" w:rsidRPr="005C52BD">
        <w:rPr>
          <w:rStyle w:val="FootnoteReference"/>
          <w:rFonts w:cs="Open Sans"/>
          <w:color w:val="auto"/>
          <w:sz w:val="20"/>
          <w:szCs w:val="20"/>
          <w:shd w:val="clear" w:color="auto" w:fill="FFFFFF"/>
          <w:lang w:val="es-ES"/>
        </w:rPr>
        <w:footnoteReference w:id="102"/>
      </w:r>
      <w:r w:rsidR="00A46ED9" w:rsidRPr="00C332F1">
        <w:rPr>
          <w:color w:val="auto"/>
          <w:lang w:val="es-US"/>
        </w:rPr>
        <w:t>,</w:t>
      </w:r>
      <w:r w:rsidR="00565CE4" w:rsidRPr="00C332F1">
        <w:rPr>
          <w:color w:val="auto"/>
          <w:lang w:val="es-US"/>
        </w:rPr>
        <w:t xml:space="preserve"> están siendo sometidas a procesos penales por delitos redactados de forma ambigua y amplia que, además de tener penas excesivamente altas, </w:t>
      </w:r>
      <w:r w:rsidR="00E47933" w:rsidRPr="00C332F1">
        <w:rPr>
          <w:color w:val="auto"/>
          <w:lang w:val="es-US"/>
        </w:rPr>
        <w:t>riñen con</w:t>
      </w:r>
      <w:r w:rsidR="00565CE4" w:rsidRPr="00C332F1">
        <w:rPr>
          <w:color w:val="auto"/>
          <w:lang w:val="es-US"/>
        </w:rPr>
        <w:t xml:space="preserve"> el ejercicio de la libertad de expresión y buscan generar un efecto paralizador por temor a la persecución judicial. Los cargos imputados por el Ministerio Público</w:t>
      </w:r>
      <w:r w:rsidR="004F79C8" w:rsidRPr="00C332F1">
        <w:rPr>
          <w:color w:val="auto"/>
          <w:lang w:val="es-US"/>
        </w:rPr>
        <w:t xml:space="preserve"> </w:t>
      </w:r>
      <w:r w:rsidR="00BA1EAA" w:rsidRPr="00C332F1">
        <w:rPr>
          <w:color w:val="auto"/>
          <w:lang w:val="es-US"/>
        </w:rPr>
        <w:t xml:space="preserve">abarcan </w:t>
      </w:r>
      <w:r w:rsidR="00565CE4" w:rsidRPr="00C332F1">
        <w:rPr>
          <w:color w:val="auto"/>
          <w:lang w:val="es-US"/>
        </w:rPr>
        <w:t>los delitos de incitación al odio, terrorismo, conspiración, traición a la patria, asociación para delinquir, resistencia a la autoridad, obstrucción de calles o vías y desobediencia de las leyes.</w:t>
      </w:r>
    </w:p>
    <w:p w14:paraId="51ED5883" w14:textId="4262566C" w:rsidR="00CA7FAA" w:rsidRPr="00C332F1" w:rsidRDefault="00390A1D" w:rsidP="00A703B7">
      <w:pPr>
        <w:pStyle w:val="IAPrrafo"/>
        <w:rPr>
          <w:color w:val="auto"/>
          <w:szCs w:val="20"/>
          <w:lang w:val="es-US"/>
        </w:rPr>
      </w:pPr>
      <w:r w:rsidRPr="00C332F1">
        <w:rPr>
          <w:color w:val="auto"/>
          <w:lang w:val="es-US"/>
        </w:rPr>
        <w:t>En</w:t>
      </w:r>
      <w:r w:rsidR="00565CE4" w:rsidRPr="00C332F1">
        <w:rPr>
          <w:color w:val="auto"/>
          <w:lang w:val="es-US"/>
        </w:rPr>
        <w:t xml:space="preserve"> los procesos penales</w:t>
      </w:r>
      <w:r w:rsidR="00657975" w:rsidRPr="00C332F1">
        <w:rPr>
          <w:color w:val="auto"/>
          <w:lang w:val="es-US"/>
        </w:rPr>
        <w:t xml:space="preserve"> que siguieron a las detenciones se reportaron numerosas </w:t>
      </w:r>
      <w:r w:rsidR="00331C09" w:rsidRPr="00C332F1">
        <w:rPr>
          <w:color w:val="auto"/>
          <w:lang w:val="es-US"/>
        </w:rPr>
        <w:t>violaciones</w:t>
      </w:r>
      <w:r w:rsidR="00657975" w:rsidRPr="00C332F1">
        <w:rPr>
          <w:color w:val="auto"/>
          <w:lang w:val="es-US"/>
        </w:rPr>
        <w:t xml:space="preserve"> de derechos humanos, e</w:t>
      </w:r>
      <w:r w:rsidR="00565CE4" w:rsidRPr="00C332F1">
        <w:rPr>
          <w:color w:val="auto"/>
          <w:lang w:val="es-US"/>
        </w:rPr>
        <w:t>n particular a las garantías judiciales</w:t>
      </w:r>
      <w:r w:rsidR="00657975" w:rsidRPr="00C332F1">
        <w:rPr>
          <w:color w:val="auto"/>
          <w:lang w:val="es-US"/>
        </w:rPr>
        <w:t xml:space="preserve">. </w:t>
      </w:r>
      <w:r w:rsidR="00331C09" w:rsidRPr="00C332F1">
        <w:rPr>
          <w:color w:val="auto"/>
          <w:lang w:val="es-US"/>
        </w:rPr>
        <w:t xml:space="preserve">Estas violaciones </w:t>
      </w:r>
      <w:r w:rsidR="004F79C8" w:rsidRPr="00C332F1">
        <w:rPr>
          <w:color w:val="auto"/>
          <w:lang w:val="es-US"/>
        </w:rPr>
        <w:t>comprenden</w:t>
      </w:r>
      <w:r w:rsidR="00331C09" w:rsidRPr="00C332F1">
        <w:rPr>
          <w:color w:val="auto"/>
          <w:lang w:val="es-US"/>
        </w:rPr>
        <w:t xml:space="preserve"> </w:t>
      </w:r>
      <w:r w:rsidR="003C65F1" w:rsidRPr="00C332F1">
        <w:rPr>
          <w:color w:val="auto"/>
          <w:lang w:val="es-US"/>
        </w:rPr>
        <w:t xml:space="preserve">la imposición de defensores públicos de oficio, con lo que se niega el acceso a una defensa técnica de confianza; </w:t>
      </w:r>
      <w:r w:rsidR="008F738E" w:rsidRPr="00C332F1">
        <w:rPr>
          <w:color w:val="auto"/>
          <w:lang w:val="es-US"/>
        </w:rPr>
        <w:t xml:space="preserve">y </w:t>
      </w:r>
      <w:r w:rsidR="002E1502" w:rsidRPr="00C332F1">
        <w:rPr>
          <w:color w:val="auto"/>
          <w:lang w:val="es-US"/>
        </w:rPr>
        <w:t>la violación al derecho a ser juzgado por un juez natural</w:t>
      </w:r>
      <w:r w:rsidR="00CD4489" w:rsidRPr="00C332F1">
        <w:rPr>
          <w:color w:val="auto"/>
          <w:lang w:val="es-US"/>
        </w:rPr>
        <w:t xml:space="preserve"> </w:t>
      </w:r>
      <w:r w:rsidR="002E1502" w:rsidRPr="00C332F1">
        <w:rPr>
          <w:color w:val="auto"/>
          <w:lang w:val="es-US"/>
        </w:rPr>
        <w:t>en el caso de adolescentes que son presentados ante tribunales con competencia antiterrorismo</w:t>
      </w:r>
      <w:r w:rsidR="00A14F05">
        <w:rPr>
          <w:rFonts w:ascii="ZWAdobeF" w:hAnsi="ZWAdobeF" w:cs="ZWAdobeF"/>
          <w:color w:val="auto"/>
          <w:sz w:val="2"/>
          <w:szCs w:val="2"/>
          <w:lang w:val="es-US"/>
        </w:rPr>
        <w:t>101F</w:t>
      </w:r>
      <w:r w:rsidR="00BF717C" w:rsidRPr="005C52BD">
        <w:rPr>
          <w:rStyle w:val="FootnoteReference"/>
          <w:color w:val="auto"/>
          <w:sz w:val="20"/>
          <w:szCs w:val="20"/>
          <w:lang w:val="es-US"/>
        </w:rPr>
        <w:footnoteReference w:id="103"/>
      </w:r>
      <w:r w:rsidR="00BF717C" w:rsidRPr="00C332F1">
        <w:rPr>
          <w:color w:val="auto"/>
          <w:lang w:val="es-US"/>
        </w:rPr>
        <w:t>.</w:t>
      </w:r>
      <w:r w:rsidR="000E264C" w:rsidRPr="00C332F1">
        <w:rPr>
          <w:color w:val="auto"/>
          <w:lang w:val="es-US"/>
        </w:rPr>
        <w:t xml:space="preserve"> </w:t>
      </w:r>
      <w:r w:rsidR="00AD12C3" w:rsidRPr="00C332F1">
        <w:rPr>
          <w:color w:val="auto"/>
          <w:lang w:val="es-US"/>
        </w:rPr>
        <w:t>Asimismo</w:t>
      </w:r>
      <w:r w:rsidR="005E45D3" w:rsidRPr="00C332F1">
        <w:rPr>
          <w:color w:val="auto"/>
          <w:lang w:val="es-US"/>
        </w:rPr>
        <w:t>, organizaciones de la sociedad civil informaron de otras violaciones, como</w:t>
      </w:r>
      <w:r w:rsidR="00763414" w:rsidRPr="00C332F1">
        <w:rPr>
          <w:color w:val="auto"/>
          <w:lang w:val="es-US"/>
        </w:rPr>
        <w:t xml:space="preserve"> la negatoria de brindar interpretación en el caso de personas indígenas privadas de libertad</w:t>
      </w:r>
      <w:r w:rsidR="00AC1F36" w:rsidRPr="00C332F1">
        <w:rPr>
          <w:color w:val="auto"/>
          <w:lang w:val="es-US"/>
        </w:rPr>
        <w:t>,</w:t>
      </w:r>
      <w:r w:rsidR="00763414" w:rsidRPr="00C332F1">
        <w:rPr>
          <w:color w:val="auto"/>
          <w:lang w:val="es-US"/>
        </w:rPr>
        <w:t xml:space="preserve"> y la ausencia de ajustes razonables </w:t>
      </w:r>
      <w:r w:rsidR="005C2CF1" w:rsidRPr="00C332F1">
        <w:rPr>
          <w:color w:val="auto"/>
          <w:lang w:val="es-US"/>
        </w:rPr>
        <w:t xml:space="preserve">para personas con discapacidad </w:t>
      </w:r>
      <w:r w:rsidR="00C767A3" w:rsidRPr="00C332F1">
        <w:rPr>
          <w:color w:val="auto"/>
          <w:lang w:val="es-US"/>
        </w:rPr>
        <w:t>en los procesos penales y en las cárceles</w:t>
      </w:r>
      <w:r w:rsidR="00A14F05">
        <w:rPr>
          <w:rFonts w:ascii="ZWAdobeF" w:hAnsi="ZWAdobeF" w:cs="ZWAdobeF"/>
          <w:color w:val="auto"/>
          <w:sz w:val="2"/>
          <w:szCs w:val="2"/>
          <w:lang w:val="es-US"/>
        </w:rPr>
        <w:t>102F</w:t>
      </w:r>
      <w:r w:rsidR="005C2CF1" w:rsidRPr="005C52BD">
        <w:rPr>
          <w:rStyle w:val="FootnoteReference"/>
          <w:color w:val="auto"/>
          <w:sz w:val="20"/>
          <w:szCs w:val="20"/>
          <w:lang w:val="es-US"/>
        </w:rPr>
        <w:footnoteReference w:id="104"/>
      </w:r>
      <w:r w:rsidR="00C767A3" w:rsidRPr="00C332F1">
        <w:rPr>
          <w:color w:val="auto"/>
          <w:lang w:val="es-US"/>
        </w:rPr>
        <w:t>.</w:t>
      </w:r>
    </w:p>
    <w:p w14:paraId="550FAC1F" w14:textId="2EB81726" w:rsidR="00F9085D" w:rsidRPr="00C332F1" w:rsidRDefault="00A74DDC" w:rsidP="002346CF">
      <w:pPr>
        <w:pStyle w:val="IASubttulo3"/>
        <w:rPr>
          <w:lang w:val="es-US"/>
        </w:rPr>
      </w:pPr>
      <w:bookmarkStart w:id="20" w:name="_Toc195617465"/>
      <w:r w:rsidRPr="00C332F1">
        <w:rPr>
          <w:lang w:val="es-US"/>
        </w:rPr>
        <w:t>Anulación de pasaportes y o</w:t>
      </w:r>
      <w:r w:rsidR="00007AB3" w:rsidRPr="00C332F1">
        <w:rPr>
          <w:lang w:val="es-US"/>
        </w:rPr>
        <w:t xml:space="preserve">tros actos de </w:t>
      </w:r>
      <w:r w:rsidR="00F9085D" w:rsidRPr="00C332F1">
        <w:rPr>
          <w:lang w:val="es-US"/>
        </w:rPr>
        <w:t>hostigamientos</w:t>
      </w:r>
      <w:bookmarkEnd w:id="20"/>
      <w:r w:rsidR="00F9085D" w:rsidRPr="00C332F1">
        <w:rPr>
          <w:lang w:val="es-US"/>
        </w:rPr>
        <w:t xml:space="preserve"> </w:t>
      </w:r>
    </w:p>
    <w:p w14:paraId="59488D8E" w14:textId="25F61D77" w:rsidR="000C6E9C" w:rsidRPr="00C332F1" w:rsidRDefault="0044526D" w:rsidP="00A703B7">
      <w:pPr>
        <w:pStyle w:val="IAPrrafo"/>
        <w:rPr>
          <w:rFonts w:cs="Segoe UI"/>
          <w:color w:val="auto"/>
          <w:szCs w:val="20"/>
          <w:lang w:val="es-US"/>
        </w:rPr>
      </w:pPr>
      <w:r w:rsidRPr="00C332F1">
        <w:rPr>
          <w:rFonts w:cs="Segoe UI"/>
          <w:color w:val="auto"/>
          <w:lang w:val="es-US"/>
        </w:rPr>
        <w:t>En el contexto de la represión poselectoral</w:t>
      </w:r>
      <w:r w:rsidR="0076338B" w:rsidRPr="00C332F1">
        <w:rPr>
          <w:rFonts w:cs="Segoe UI"/>
          <w:color w:val="auto"/>
          <w:lang w:val="es-US"/>
        </w:rPr>
        <w:t xml:space="preserve"> se observaron nuevos </w:t>
      </w:r>
      <w:r w:rsidR="00297FE7" w:rsidRPr="00C332F1">
        <w:rPr>
          <w:rFonts w:cs="Segoe UI"/>
          <w:color w:val="auto"/>
          <w:lang w:val="es-US"/>
        </w:rPr>
        <w:t>y viejo</w:t>
      </w:r>
      <w:r w:rsidR="008A0BDF" w:rsidRPr="00C332F1">
        <w:rPr>
          <w:rFonts w:cs="Segoe UI"/>
          <w:color w:val="auto"/>
          <w:lang w:val="es-US"/>
        </w:rPr>
        <w:t>s</w:t>
      </w:r>
      <w:r w:rsidR="00297FE7" w:rsidRPr="00C332F1">
        <w:rPr>
          <w:rFonts w:cs="Segoe UI"/>
          <w:color w:val="auto"/>
          <w:lang w:val="es-US"/>
        </w:rPr>
        <w:t xml:space="preserve"> </w:t>
      </w:r>
      <w:r w:rsidR="0076338B" w:rsidRPr="00C332F1">
        <w:rPr>
          <w:rFonts w:cs="Segoe UI"/>
          <w:color w:val="auto"/>
          <w:lang w:val="es-US"/>
        </w:rPr>
        <w:t>patrones represivos.</w:t>
      </w:r>
      <w:r w:rsidR="005D6222" w:rsidRPr="00C332F1">
        <w:rPr>
          <w:rFonts w:cs="Segoe UI"/>
          <w:color w:val="auto"/>
          <w:lang w:val="es-US"/>
        </w:rPr>
        <w:t xml:space="preserve"> </w:t>
      </w:r>
      <w:r w:rsidR="00DD7735" w:rsidRPr="00C332F1">
        <w:rPr>
          <w:rFonts w:cs="Segoe UI"/>
          <w:color w:val="auto"/>
          <w:lang w:val="es-US"/>
        </w:rPr>
        <w:t xml:space="preserve">Entre los nuevos patrones se encuentran la </w:t>
      </w:r>
      <w:r w:rsidR="00304C5E" w:rsidRPr="00C332F1">
        <w:rPr>
          <w:lang w:val="es-US"/>
        </w:rPr>
        <w:t>anulación abrupta, arbitraria, y no motivada de pasaportes. Al menos 40 personas defensoras de derechos humanos, con liderazgo social, periodistas, y sus familiares, han sido víctimas de esta práctica dirigida a limitar la libre circulación e infundir terror. En algunos casos, las autoridades confiscaron los pasaportes en el aeropuerto internacional Simón Bolívar de Maiquetía mientras las personas intentaban viajar al extranjero. En otros casos, las personas se enteraron de la anulación de sus pasaportes al consultar la página del Servicio Administrativo de Identificación, Migración y Extranjería (SAIME)</w:t>
      </w:r>
      <w:r w:rsidR="00A14F05">
        <w:rPr>
          <w:rFonts w:ascii="ZWAdobeF" w:hAnsi="ZWAdobeF" w:cs="ZWAdobeF"/>
          <w:color w:val="auto"/>
          <w:sz w:val="2"/>
          <w:szCs w:val="2"/>
          <w:lang w:val="es-US"/>
        </w:rPr>
        <w:t>103F</w:t>
      </w:r>
      <w:r w:rsidR="00304C5E" w:rsidRPr="005C52BD">
        <w:rPr>
          <w:rStyle w:val="FootnoteReference"/>
          <w:sz w:val="20"/>
          <w:szCs w:val="20"/>
          <w:lang w:val="es-US"/>
        </w:rPr>
        <w:footnoteReference w:id="105"/>
      </w:r>
      <w:r w:rsidR="00304C5E" w:rsidRPr="00C332F1">
        <w:rPr>
          <w:lang w:val="es-US"/>
        </w:rPr>
        <w:t xml:space="preserve">. </w:t>
      </w:r>
      <w:r w:rsidR="00BA6B58" w:rsidRPr="00C332F1">
        <w:rPr>
          <w:rFonts w:cs="Segoe UI"/>
          <w:color w:val="auto"/>
          <w:lang w:val="es-US"/>
        </w:rPr>
        <w:t>Otro patrón</w:t>
      </w:r>
      <w:r w:rsidR="00443C7E" w:rsidRPr="00C332F1">
        <w:rPr>
          <w:rFonts w:cs="Segoe UI"/>
          <w:color w:val="auto"/>
          <w:lang w:val="es-US"/>
        </w:rPr>
        <w:t xml:space="preserve"> inusual</w:t>
      </w:r>
      <w:r w:rsidR="00BA6B58" w:rsidRPr="00C332F1">
        <w:rPr>
          <w:rFonts w:cs="Segoe UI"/>
          <w:color w:val="auto"/>
          <w:lang w:val="es-US"/>
        </w:rPr>
        <w:t xml:space="preserve"> observado fue la persecución en contra de p</w:t>
      </w:r>
      <w:r w:rsidRPr="00C332F1">
        <w:rPr>
          <w:rFonts w:cs="Segoe UI"/>
          <w:color w:val="auto"/>
          <w:lang w:val="es-US"/>
        </w:rPr>
        <w:t xml:space="preserve">ersonas </w:t>
      </w:r>
      <w:r w:rsidR="00BA6B58" w:rsidRPr="00C332F1">
        <w:rPr>
          <w:rFonts w:cs="Segoe UI"/>
          <w:color w:val="auto"/>
          <w:lang w:val="es-US"/>
        </w:rPr>
        <w:t>testigos</w:t>
      </w:r>
      <w:r w:rsidRPr="00C332F1">
        <w:rPr>
          <w:rFonts w:cs="Segoe UI"/>
          <w:color w:val="auto"/>
          <w:lang w:val="es-US"/>
        </w:rPr>
        <w:t xml:space="preserve"> de mesa y observadores electorales. Conforme información de prensa, al menos </w:t>
      </w:r>
      <w:r w:rsidR="00646399">
        <w:rPr>
          <w:rFonts w:cs="Segoe UI"/>
          <w:color w:val="auto"/>
          <w:lang w:val="es-US"/>
        </w:rPr>
        <w:t>cinco</w:t>
      </w:r>
      <w:r w:rsidRPr="00C332F1">
        <w:rPr>
          <w:rFonts w:cs="Segoe UI"/>
          <w:color w:val="auto"/>
          <w:lang w:val="es-US"/>
        </w:rPr>
        <w:t xml:space="preserve"> de estas personas han tenido que desplazarse a Colombia debido a amenazas de muerte</w:t>
      </w:r>
      <w:r w:rsidR="00A14F05">
        <w:rPr>
          <w:rFonts w:ascii="ZWAdobeF" w:hAnsi="ZWAdobeF" w:cs="ZWAdobeF"/>
          <w:color w:val="auto"/>
          <w:sz w:val="2"/>
          <w:szCs w:val="2"/>
          <w:lang w:val="es-US"/>
        </w:rPr>
        <w:t>104F</w:t>
      </w:r>
      <w:r w:rsidRPr="005C52BD">
        <w:rPr>
          <w:rStyle w:val="FootnoteReference"/>
          <w:color w:val="auto"/>
          <w:sz w:val="20"/>
          <w:szCs w:val="20"/>
          <w:lang w:val="es-US"/>
        </w:rPr>
        <w:footnoteReference w:id="106"/>
      </w:r>
      <w:r w:rsidRPr="00C332F1">
        <w:rPr>
          <w:rFonts w:cs="Segoe UI"/>
          <w:color w:val="auto"/>
          <w:lang w:val="es-US"/>
        </w:rPr>
        <w:t xml:space="preserve">. </w:t>
      </w:r>
      <w:r w:rsidR="000C6E9C" w:rsidRPr="00C332F1">
        <w:rPr>
          <w:rFonts w:cs="Segoe UI"/>
          <w:color w:val="auto"/>
          <w:lang w:val="es-US"/>
        </w:rPr>
        <w:t xml:space="preserve">La Comisión considera que estos patrones responden a una represalia por la actividad de defensa y promoción de </w:t>
      </w:r>
      <w:r w:rsidR="00573CC0" w:rsidRPr="00C332F1">
        <w:rPr>
          <w:rFonts w:cs="Segoe UI"/>
          <w:color w:val="auto"/>
          <w:lang w:val="es-US"/>
        </w:rPr>
        <w:t xml:space="preserve">los </w:t>
      </w:r>
      <w:r w:rsidR="000C6E9C" w:rsidRPr="00C332F1">
        <w:rPr>
          <w:rFonts w:cs="Segoe UI"/>
          <w:color w:val="auto"/>
          <w:lang w:val="es-US"/>
        </w:rPr>
        <w:t>derechos humanos de la democracia.</w:t>
      </w:r>
    </w:p>
    <w:p w14:paraId="7F566881" w14:textId="25315A9B" w:rsidR="00BA6B58" w:rsidRPr="00C332F1" w:rsidRDefault="00DD2E76" w:rsidP="00A703B7">
      <w:pPr>
        <w:pStyle w:val="IAPrrafo"/>
        <w:rPr>
          <w:rFonts w:cs="Segoe UI"/>
          <w:color w:val="auto"/>
          <w:szCs w:val="20"/>
          <w:lang w:val="es-US"/>
        </w:rPr>
      </w:pPr>
      <w:r w:rsidRPr="00C332F1">
        <w:rPr>
          <w:rFonts w:cs="Segoe UI"/>
          <w:color w:val="auto"/>
          <w:lang w:val="es-US"/>
        </w:rPr>
        <w:t>De otra parte, en el contexto de la represión poselectoral</w:t>
      </w:r>
      <w:r w:rsidR="006D1E0E" w:rsidRPr="00C332F1">
        <w:rPr>
          <w:rFonts w:cs="Segoe UI"/>
          <w:color w:val="auto"/>
          <w:lang w:val="es-US"/>
        </w:rPr>
        <w:t xml:space="preserve"> </w:t>
      </w:r>
      <w:r w:rsidR="000C6E9C" w:rsidRPr="00C332F1">
        <w:rPr>
          <w:rFonts w:cs="Segoe UI"/>
          <w:color w:val="auto"/>
          <w:lang w:val="es-US"/>
        </w:rPr>
        <w:t>s</w:t>
      </w:r>
      <w:r w:rsidR="006D1E0E" w:rsidRPr="00C332F1">
        <w:rPr>
          <w:rFonts w:cs="Segoe UI"/>
          <w:color w:val="auto"/>
          <w:lang w:val="es-US"/>
        </w:rPr>
        <w:t xml:space="preserve">e registraron viejas prácticas </w:t>
      </w:r>
      <w:r w:rsidR="00332476" w:rsidRPr="00C332F1">
        <w:rPr>
          <w:rFonts w:cs="Segoe UI"/>
          <w:color w:val="auto"/>
          <w:lang w:val="es-US"/>
        </w:rPr>
        <w:t>intimidatorias</w:t>
      </w:r>
      <w:r w:rsidR="000C6E9C" w:rsidRPr="00C332F1">
        <w:rPr>
          <w:rFonts w:cs="Segoe UI"/>
          <w:color w:val="auto"/>
          <w:lang w:val="es-US"/>
        </w:rPr>
        <w:t>,</w:t>
      </w:r>
      <w:r w:rsidR="00332476" w:rsidRPr="00C332F1">
        <w:rPr>
          <w:rFonts w:cs="Segoe UI"/>
          <w:color w:val="auto"/>
          <w:lang w:val="es-US"/>
        </w:rPr>
        <w:t xml:space="preserve"> como la marcación de casas de personas opositoras o percibidas como tales</w:t>
      </w:r>
      <w:r w:rsidR="007B0130" w:rsidRPr="00C332F1">
        <w:rPr>
          <w:rFonts w:cs="Segoe UI"/>
          <w:color w:val="auto"/>
          <w:lang w:val="es-US"/>
        </w:rPr>
        <w:t xml:space="preserve"> con una </w:t>
      </w:r>
      <w:r w:rsidR="009C10FC" w:rsidRPr="00C332F1">
        <w:rPr>
          <w:rFonts w:cs="Segoe UI"/>
          <w:color w:val="auto"/>
          <w:lang w:val="es-US"/>
        </w:rPr>
        <w:t>“X”</w:t>
      </w:r>
      <w:r w:rsidR="00A14F05">
        <w:rPr>
          <w:rFonts w:ascii="ZWAdobeF" w:hAnsi="ZWAdobeF" w:cs="ZWAdobeF"/>
          <w:color w:val="auto"/>
          <w:sz w:val="2"/>
          <w:szCs w:val="2"/>
          <w:lang w:val="es-US"/>
        </w:rPr>
        <w:t>105F</w:t>
      </w:r>
      <w:r w:rsidR="00414B31" w:rsidRPr="005C52BD">
        <w:rPr>
          <w:rStyle w:val="FootnoteReference"/>
          <w:color w:val="auto"/>
          <w:sz w:val="20"/>
          <w:szCs w:val="20"/>
          <w:lang w:val="es-US"/>
        </w:rPr>
        <w:footnoteReference w:id="107"/>
      </w:r>
      <w:r w:rsidR="00332476" w:rsidRPr="00C332F1">
        <w:rPr>
          <w:rFonts w:cs="Segoe UI"/>
          <w:color w:val="auto"/>
          <w:lang w:val="es-US"/>
        </w:rPr>
        <w:t>.</w:t>
      </w:r>
      <w:r w:rsidR="00716198" w:rsidRPr="00C332F1">
        <w:rPr>
          <w:rFonts w:cs="Segoe UI"/>
          <w:color w:val="auto"/>
          <w:lang w:val="es-US"/>
        </w:rPr>
        <w:t xml:space="preserve"> </w:t>
      </w:r>
      <w:r w:rsidR="00973294" w:rsidRPr="00C332F1">
        <w:rPr>
          <w:rFonts w:cs="Segoe UI"/>
          <w:color w:val="auto"/>
          <w:lang w:val="es-US"/>
        </w:rPr>
        <w:t>E</w:t>
      </w:r>
      <w:r w:rsidR="00416F6A" w:rsidRPr="00C332F1">
        <w:rPr>
          <w:rFonts w:cs="Segoe UI"/>
          <w:color w:val="auto"/>
          <w:lang w:val="es-US"/>
        </w:rPr>
        <w:t>n 2020 la Comisión Interamericana</w:t>
      </w:r>
      <w:r w:rsidR="00716198" w:rsidRPr="00C332F1">
        <w:rPr>
          <w:rFonts w:cs="Segoe UI"/>
          <w:color w:val="auto"/>
          <w:lang w:val="es-US"/>
        </w:rPr>
        <w:t xml:space="preserve"> documentó también la marcación de casas bajo con la leyenda “furia bolivariana”</w:t>
      </w:r>
      <w:r w:rsidR="00A14F05">
        <w:rPr>
          <w:rFonts w:ascii="ZWAdobeF" w:hAnsi="ZWAdobeF" w:cs="ZWAdobeF"/>
          <w:color w:val="auto"/>
          <w:sz w:val="2"/>
          <w:szCs w:val="2"/>
          <w:lang w:val="es-US"/>
        </w:rPr>
        <w:t>106F</w:t>
      </w:r>
      <w:r w:rsidR="00416F6A" w:rsidRPr="005C52BD">
        <w:rPr>
          <w:rStyle w:val="FootnoteReference"/>
          <w:color w:val="auto"/>
          <w:sz w:val="20"/>
          <w:szCs w:val="20"/>
          <w:lang w:val="es-US"/>
        </w:rPr>
        <w:footnoteReference w:id="108"/>
      </w:r>
      <w:r w:rsidR="00716198" w:rsidRPr="00C332F1">
        <w:rPr>
          <w:rFonts w:cs="Segoe UI"/>
          <w:color w:val="auto"/>
          <w:lang w:val="es-US"/>
        </w:rPr>
        <w:t>.</w:t>
      </w:r>
    </w:p>
    <w:p w14:paraId="453A1A63" w14:textId="28D709B9" w:rsidR="00585F7F" w:rsidRPr="00C332F1" w:rsidRDefault="008401D2" w:rsidP="00A703B7">
      <w:pPr>
        <w:pStyle w:val="IAPrrafo"/>
        <w:rPr>
          <w:rFonts w:cs="Segoe UI"/>
          <w:color w:val="auto"/>
          <w:szCs w:val="20"/>
          <w:lang w:val="es-US"/>
        </w:rPr>
      </w:pPr>
      <w:r w:rsidRPr="00C332F1">
        <w:rPr>
          <w:color w:val="auto"/>
          <w:shd w:val="clear" w:color="auto" w:fill="FFFFFF"/>
          <w:lang w:val="es-US"/>
        </w:rPr>
        <w:t>E</w:t>
      </w:r>
      <w:r w:rsidR="00985A75" w:rsidRPr="00C332F1">
        <w:rPr>
          <w:color w:val="auto"/>
          <w:shd w:val="clear" w:color="auto" w:fill="FFFFFF"/>
          <w:lang w:val="es-US"/>
        </w:rPr>
        <w:t xml:space="preserve">n el contexto de la persecución política, </w:t>
      </w:r>
      <w:r w:rsidR="004127F4" w:rsidRPr="00C332F1">
        <w:rPr>
          <w:color w:val="auto"/>
          <w:lang w:val="es-ES"/>
        </w:rPr>
        <w:t xml:space="preserve">varios líderes opositores </w:t>
      </w:r>
      <w:r w:rsidR="00985A75" w:rsidRPr="00C332F1">
        <w:rPr>
          <w:color w:val="auto"/>
          <w:lang w:val="es-ES"/>
        </w:rPr>
        <w:t xml:space="preserve">buscaron protección </w:t>
      </w:r>
      <w:r w:rsidR="004127F4" w:rsidRPr="00C332F1">
        <w:rPr>
          <w:color w:val="auto"/>
          <w:lang w:val="es-ES"/>
        </w:rPr>
        <w:t xml:space="preserve">en la residencia del embajador de Argentina en Caracas. Entre ellos se encuentran Pedro Urruchurtu, coordinador de asuntos internacionales; Claudia Mancero, coordinadora de comunicaciones; Omar González, secretario político; Magalli Meda, coordinadora de planificación estratégica; y Humberto Villalobos, coordinador electoral. </w:t>
      </w:r>
      <w:r w:rsidR="006B54A1" w:rsidRPr="00C332F1">
        <w:rPr>
          <w:color w:val="auto"/>
          <w:lang w:val="es-ES"/>
        </w:rPr>
        <w:t>E</w:t>
      </w:r>
      <w:r w:rsidR="00030D8B" w:rsidRPr="00C332F1">
        <w:rPr>
          <w:color w:val="auto"/>
          <w:shd w:val="clear" w:color="auto" w:fill="FFFFFF"/>
          <w:lang w:val="es-US"/>
        </w:rPr>
        <w:t xml:space="preserve">l 6 de septiembre, la residencia oficial de la </w:t>
      </w:r>
      <w:r w:rsidR="008A0BDF" w:rsidRPr="00C332F1">
        <w:rPr>
          <w:color w:val="auto"/>
          <w:shd w:val="clear" w:color="auto" w:fill="FFFFFF"/>
          <w:lang w:val="es-US"/>
        </w:rPr>
        <w:t>E</w:t>
      </w:r>
      <w:r w:rsidR="00030D8B" w:rsidRPr="00C332F1">
        <w:rPr>
          <w:color w:val="auto"/>
          <w:shd w:val="clear" w:color="auto" w:fill="FFFFFF"/>
          <w:lang w:val="es-US"/>
        </w:rPr>
        <w:t>mbajada de Argentina en Caracas (bajo la custodia del Estado brasileño desde el 1 de agosto</w:t>
      </w:r>
      <w:r w:rsidR="00A14F05">
        <w:rPr>
          <w:rFonts w:ascii="ZWAdobeF" w:hAnsi="ZWAdobeF" w:cs="ZWAdobeF"/>
          <w:color w:val="auto"/>
          <w:sz w:val="2"/>
          <w:szCs w:val="2"/>
          <w:shd w:val="clear" w:color="auto" w:fill="FFFFFF"/>
          <w:lang w:val="es-US"/>
        </w:rPr>
        <w:t>107F</w:t>
      </w:r>
      <w:r w:rsidR="00030D8B" w:rsidRPr="005C52BD">
        <w:rPr>
          <w:color w:val="auto"/>
          <w:shd w:val="clear" w:color="auto" w:fill="FFFFFF"/>
          <w:vertAlign w:val="superscript"/>
          <w:lang w:val="es-US"/>
        </w:rPr>
        <w:footnoteReference w:id="109"/>
      </w:r>
      <w:r w:rsidR="00030D8B" w:rsidRPr="00C332F1">
        <w:rPr>
          <w:color w:val="auto"/>
          <w:shd w:val="clear" w:color="auto" w:fill="FFFFFF"/>
          <w:lang w:val="es-US"/>
        </w:rPr>
        <w:t>) fue hostigada por agentes del Estado</w:t>
      </w:r>
      <w:r w:rsidR="00042929" w:rsidRPr="00C332F1">
        <w:rPr>
          <w:color w:val="auto"/>
          <w:shd w:val="clear" w:color="auto" w:fill="FFFFFF"/>
          <w:lang w:val="es-US"/>
        </w:rPr>
        <w:t>.</w:t>
      </w:r>
      <w:r w:rsidR="001E2C30" w:rsidRPr="00C332F1">
        <w:rPr>
          <w:color w:val="auto"/>
          <w:shd w:val="clear" w:color="auto" w:fill="FFFFFF"/>
          <w:lang w:val="es-US"/>
        </w:rPr>
        <w:t xml:space="preserve"> Ello,</w:t>
      </w:r>
      <w:r w:rsidR="00030D8B" w:rsidRPr="00C332F1">
        <w:rPr>
          <w:color w:val="auto"/>
          <w:shd w:val="clear" w:color="auto" w:fill="FFFFFF"/>
          <w:lang w:val="es-US"/>
        </w:rPr>
        <w:t xml:space="preserve"> en una intervención integrada por al menos 20 funcionarios públicos armados, quienes se apersonaron en dicha sede y procedieron a cortar el suministro de electricidad y suspender el ingreso de alimentos por al menos 24 horas</w:t>
      </w:r>
      <w:r w:rsidR="00A14F05">
        <w:rPr>
          <w:rFonts w:ascii="ZWAdobeF" w:hAnsi="ZWAdobeF" w:cs="ZWAdobeF"/>
          <w:color w:val="auto"/>
          <w:sz w:val="2"/>
          <w:szCs w:val="2"/>
          <w:shd w:val="clear" w:color="auto" w:fill="FFFFFF"/>
          <w:lang w:val="es-US"/>
        </w:rPr>
        <w:t>108F</w:t>
      </w:r>
      <w:r w:rsidR="00030D8B" w:rsidRPr="005C52BD">
        <w:rPr>
          <w:color w:val="auto"/>
          <w:shd w:val="clear" w:color="auto" w:fill="FFFFFF"/>
          <w:vertAlign w:val="superscript"/>
          <w:lang w:val="es-US"/>
        </w:rPr>
        <w:footnoteReference w:id="110"/>
      </w:r>
      <w:r w:rsidR="00030D8B" w:rsidRPr="00C332F1">
        <w:rPr>
          <w:color w:val="auto"/>
          <w:shd w:val="clear" w:color="auto" w:fill="FFFFFF"/>
          <w:lang w:val="es-US"/>
        </w:rPr>
        <w:t>.</w:t>
      </w:r>
      <w:r w:rsidR="004A0478" w:rsidRPr="00C332F1">
        <w:rPr>
          <w:color w:val="auto"/>
          <w:shd w:val="clear" w:color="auto" w:fill="FFFFFF"/>
          <w:lang w:val="es-US"/>
        </w:rPr>
        <w:t xml:space="preserve"> Una situación similar se presentó </w:t>
      </w:r>
      <w:r w:rsidR="008A0BDF" w:rsidRPr="00C332F1">
        <w:rPr>
          <w:color w:val="auto"/>
          <w:shd w:val="clear" w:color="auto" w:fill="FFFFFF"/>
          <w:lang w:val="es-US"/>
        </w:rPr>
        <w:t xml:space="preserve">el </w:t>
      </w:r>
      <w:r w:rsidR="00842FC4" w:rsidRPr="00C332F1">
        <w:rPr>
          <w:color w:val="auto"/>
          <w:shd w:val="clear" w:color="auto" w:fill="FFFFFF"/>
          <w:lang w:val="es-US"/>
        </w:rPr>
        <w:t xml:space="preserve">24 de noviembre. Agentes de seguridad del Estado cerraron calles y rodearon la </w:t>
      </w:r>
      <w:r w:rsidR="00842FC4" w:rsidRPr="00C332F1">
        <w:rPr>
          <w:color w:val="auto"/>
          <w:lang w:val="es-ES"/>
        </w:rPr>
        <w:t>residencia del embajador de Argentina en Caracas en un acto de intimidación</w:t>
      </w:r>
      <w:r w:rsidR="00A14F05">
        <w:rPr>
          <w:rFonts w:ascii="ZWAdobeF" w:hAnsi="ZWAdobeF" w:cs="ZWAdobeF"/>
          <w:color w:val="auto"/>
          <w:sz w:val="2"/>
          <w:szCs w:val="2"/>
          <w:lang w:val="es-ES"/>
        </w:rPr>
        <w:t>109F</w:t>
      </w:r>
      <w:r w:rsidR="00842FC4" w:rsidRPr="005C52BD">
        <w:rPr>
          <w:rStyle w:val="FootnoteReference"/>
          <w:color w:val="auto"/>
          <w:sz w:val="20"/>
          <w:szCs w:val="20"/>
          <w:lang w:val="es-ES"/>
        </w:rPr>
        <w:footnoteReference w:id="111"/>
      </w:r>
      <w:r w:rsidR="00842FC4" w:rsidRPr="00C332F1">
        <w:rPr>
          <w:color w:val="auto"/>
          <w:lang w:val="es-ES"/>
        </w:rPr>
        <w:t>.</w:t>
      </w:r>
    </w:p>
    <w:p w14:paraId="17BDD8AD" w14:textId="4EF32D89" w:rsidR="00FB1506" w:rsidRPr="00C332F1" w:rsidRDefault="00AE2B32" w:rsidP="003B7616">
      <w:pPr>
        <w:pStyle w:val="IASubttulo2"/>
        <w:rPr>
          <w:lang w:val="es-US"/>
        </w:rPr>
      </w:pPr>
      <w:bookmarkStart w:id="21" w:name="_Toc195617466"/>
      <w:r w:rsidRPr="00C332F1">
        <w:rPr>
          <w:lang w:val="es-US"/>
        </w:rPr>
        <w:t>Situación de la libertad de expresión</w:t>
      </w:r>
      <w:bookmarkEnd w:id="21"/>
    </w:p>
    <w:p w14:paraId="230EF0F7" w14:textId="4E17A35D" w:rsidR="00A07D76" w:rsidRPr="00C332F1" w:rsidRDefault="4CA53040" w:rsidP="00A703B7">
      <w:pPr>
        <w:pStyle w:val="IAPrrafo"/>
        <w:rPr>
          <w:color w:val="auto"/>
        </w:rPr>
      </w:pPr>
      <w:r w:rsidRPr="00C332F1">
        <w:rPr>
          <w:color w:val="auto"/>
          <w:lang w:val="es-ES"/>
        </w:rPr>
        <w:t>La CIDH y su</w:t>
      </w:r>
      <w:r w:rsidR="00A07D76" w:rsidRPr="00C332F1">
        <w:rPr>
          <w:color w:val="auto"/>
          <w:lang w:val="es-ES"/>
        </w:rPr>
        <w:t xml:space="preserve"> Relatoría Especial para la Libertad de Expresión (RELE) contin</w:t>
      </w:r>
      <w:r w:rsidR="7EAAC879" w:rsidRPr="00C332F1">
        <w:rPr>
          <w:color w:val="auto"/>
          <w:lang w:val="es-ES"/>
        </w:rPr>
        <w:t>uaron</w:t>
      </w:r>
      <w:r w:rsidR="00A07D76" w:rsidRPr="00C332F1">
        <w:rPr>
          <w:color w:val="auto"/>
          <w:lang w:val="es-ES"/>
        </w:rPr>
        <w:t xml:space="preserve"> documenta</w:t>
      </w:r>
      <w:r w:rsidR="7BA74D8F" w:rsidRPr="00C332F1">
        <w:rPr>
          <w:color w:val="auto"/>
          <w:lang w:val="es-ES"/>
        </w:rPr>
        <w:t>n</w:t>
      </w:r>
      <w:r w:rsidR="00A07D76" w:rsidRPr="00C332F1">
        <w:rPr>
          <w:color w:val="auto"/>
          <w:lang w:val="es-ES"/>
        </w:rPr>
        <w:t xml:space="preserve">do severas restricciones a la libertad de expresión en Venezuela, especialmente en asuntos críticos al gobierno. El ejercicio periodístico enfrenta obstáculos significativos por el temor a la violencia, el hostigamiento y la posible criminalización de la labor informativa. Las organizaciones defensoras de derechos humanos también se ven afectadas por reformas legislativas que amenazan su financiación e independencia. La aplicación de legislación penal, incluidas </w:t>
      </w:r>
      <w:r w:rsidR="00A74D15" w:rsidRPr="00C332F1">
        <w:rPr>
          <w:color w:val="auto"/>
          <w:lang w:val="es-ES"/>
        </w:rPr>
        <w:t xml:space="preserve">las </w:t>
      </w:r>
      <w:r w:rsidR="00A07D76" w:rsidRPr="00C332F1">
        <w:rPr>
          <w:color w:val="auto"/>
          <w:lang w:val="es-ES"/>
        </w:rPr>
        <w:t>leyes contra el terrorismo</w:t>
      </w:r>
      <w:r w:rsidR="00A74D15" w:rsidRPr="00C332F1">
        <w:rPr>
          <w:color w:val="auto"/>
          <w:lang w:val="es-ES"/>
        </w:rPr>
        <w:t>,</w:t>
      </w:r>
      <w:r w:rsidR="00A07D76" w:rsidRPr="00C332F1">
        <w:rPr>
          <w:color w:val="auto"/>
          <w:lang w:val="es-ES"/>
        </w:rPr>
        <w:t xml:space="preserve"> se continúan aplicando con alegados fines de silenciamiento hacia voces disidentes o críticas.</w:t>
      </w:r>
    </w:p>
    <w:p w14:paraId="0F3EF7FE" w14:textId="18232AC9" w:rsidR="00A07D76" w:rsidRPr="00C332F1" w:rsidRDefault="00A07D76" w:rsidP="00A703B7">
      <w:pPr>
        <w:pStyle w:val="IAPrrafo"/>
        <w:rPr>
          <w:color w:val="auto"/>
          <w:szCs w:val="20"/>
          <w:lang w:val="es-ES"/>
        </w:rPr>
      </w:pPr>
      <w:r w:rsidRPr="00C332F1">
        <w:rPr>
          <w:color w:val="auto"/>
          <w:szCs w:val="20"/>
          <w:lang w:val="es-ES"/>
        </w:rPr>
        <w:t xml:space="preserve">En 2024, la CIDH y su Relatoría Especial han alertado sobre la persecución y represión de opositores, líderes políticos, testigos electorales, activistas, defensores de derechos humanos, periodistas y medios de comunicación, en el marco de las elecciones presidenciales del 28 de julio. A esto, se suman reportes sobre falta de transparencia estatal especialmente en materia electoral, así como la expansión de </w:t>
      </w:r>
      <w:r w:rsidR="005F759C" w:rsidRPr="00C332F1">
        <w:rPr>
          <w:color w:val="auto"/>
          <w:szCs w:val="20"/>
          <w:lang w:val="es-ES"/>
        </w:rPr>
        <w:t>“</w:t>
      </w:r>
      <w:r w:rsidRPr="00C332F1">
        <w:rPr>
          <w:color w:val="auto"/>
          <w:szCs w:val="20"/>
          <w:lang w:val="es-ES"/>
        </w:rPr>
        <w:t>zonas de silencio</w:t>
      </w:r>
      <w:r w:rsidR="005F759C" w:rsidRPr="00C332F1">
        <w:rPr>
          <w:color w:val="auto"/>
          <w:szCs w:val="20"/>
          <w:lang w:val="es-ES"/>
        </w:rPr>
        <w:t>”</w:t>
      </w:r>
      <w:r w:rsidRPr="00C332F1">
        <w:rPr>
          <w:color w:val="auto"/>
          <w:szCs w:val="20"/>
          <w:lang w:val="es-ES"/>
        </w:rPr>
        <w:t>, donde la cobertura periodística sobre temas de interés público es prácticamente inexistente. Estos factores configuran un entorno adverso para el ejercicio de derechos fundamentales en el país, con especial afectación a la libertad de expresión, la libertad de asociación, reunión pacífica y la participación política.</w:t>
      </w:r>
    </w:p>
    <w:p w14:paraId="4611DDFF" w14:textId="12375029" w:rsidR="00A07D76" w:rsidRPr="00C332F1" w:rsidRDefault="00A07D76" w:rsidP="00C27B1B">
      <w:pPr>
        <w:pStyle w:val="IASubttulo3"/>
        <w:numPr>
          <w:ilvl w:val="0"/>
          <w:numId w:val="21"/>
        </w:numPr>
        <w:rPr>
          <w:lang w:val="es-US"/>
        </w:rPr>
      </w:pPr>
      <w:bookmarkStart w:id="22" w:name="_Toc195617467"/>
      <w:r w:rsidRPr="00C332F1">
        <w:rPr>
          <w:lang w:val="es-US"/>
        </w:rPr>
        <w:t>Criminalización de periodistas y uso del derecho penal con fines de silenciamiento</w:t>
      </w:r>
      <w:bookmarkEnd w:id="22"/>
    </w:p>
    <w:p w14:paraId="0F29E202" w14:textId="5C9CBA99" w:rsidR="00A07D76" w:rsidRPr="00C332F1" w:rsidRDefault="00A07D76" w:rsidP="00A703B7">
      <w:pPr>
        <w:pStyle w:val="IAPrrafo"/>
        <w:rPr>
          <w:color w:val="auto"/>
          <w:szCs w:val="20"/>
          <w:lang w:val="es-ES"/>
        </w:rPr>
      </w:pPr>
      <w:r w:rsidRPr="00C332F1">
        <w:rPr>
          <w:color w:val="auto"/>
          <w:lang w:val="es-ES"/>
        </w:rPr>
        <w:t xml:space="preserve">En 2024, </w:t>
      </w:r>
      <w:r w:rsidR="00A6283F" w:rsidRPr="00C332F1">
        <w:rPr>
          <w:color w:val="auto"/>
          <w:lang w:val="es-ES"/>
        </w:rPr>
        <w:t>se</w:t>
      </w:r>
      <w:r w:rsidRPr="00C332F1">
        <w:rPr>
          <w:color w:val="auto"/>
          <w:lang w:val="es-ES"/>
        </w:rPr>
        <w:t xml:space="preserve"> document</w:t>
      </w:r>
      <w:r w:rsidR="00BC79E0" w:rsidRPr="00C332F1">
        <w:rPr>
          <w:color w:val="auto"/>
          <w:lang w:val="es-ES"/>
        </w:rPr>
        <w:t>ó</w:t>
      </w:r>
      <w:r w:rsidRPr="00C332F1">
        <w:rPr>
          <w:color w:val="auto"/>
          <w:lang w:val="es-ES"/>
        </w:rPr>
        <w:t xml:space="preserve"> la activación de procesos judiciales y sanciones penales contra periodistas en Venezuela, especialmente en el contexto electoral. Las detenciones y procesos penales se realizarían bajo la </w:t>
      </w:r>
      <w:r w:rsidR="002102B2" w:rsidRPr="00C332F1">
        <w:rPr>
          <w:color w:val="auto"/>
          <w:lang w:val="es-ES"/>
        </w:rPr>
        <w:t>“</w:t>
      </w:r>
      <w:r w:rsidRPr="00C332F1">
        <w:rPr>
          <w:color w:val="auto"/>
          <w:lang w:val="es-ES"/>
        </w:rPr>
        <w:t>Ley Contra el Odio</w:t>
      </w:r>
      <w:r w:rsidR="002102B2" w:rsidRPr="00C332F1">
        <w:rPr>
          <w:color w:val="auto"/>
          <w:lang w:val="es-ES"/>
        </w:rPr>
        <w:t>”</w:t>
      </w:r>
      <w:r w:rsidRPr="00C332F1">
        <w:rPr>
          <w:color w:val="auto"/>
          <w:lang w:val="es-ES"/>
        </w:rPr>
        <w:t>, sin garantías judiciales y con severas restricciones al derecho de defensa. Los cargos comunes incluyen terrorismo, incitación al odio, instigación pública, asociación ilícita, alteración del orden público y obstrucción de la vía pública, con alegaciones de manipulación de pruebas por parte de las autoridades. Además, se han reportado dificultades para los familiares de periodistas detenidos, como la falta de información sobre su paradero, requisitos excesivos para visitas y extorsión por parte de funcionarios. Las familias de periodistas acusados de terrorismo enfrentan obstáculos para trasladarse al área metropolitana de Caracas, donde se encuentran los tribunales especializados</w:t>
      </w:r>
      <w:r w:rsidR="00A14F05">
        <w:rPr>
          <w:rFonts w:ascii="ZWAdobeF" w:hAnsi="ZWAdobeF" w:cs="ZWAdobeF"/>
          <w:color w:val="auto"/>
          <w:sz w:val="2"/>
          <w:szCs w:val="2"/>
          <w:lang w:val="es-ES"/>
        </w:rPr>
        <w:t>110F</w:t>
      </w:r>
      <w:r w:rsidRPr="005C52BD">
        <w:rPr>
          <w:rStyle w:val="FootnoteReference"/>
          <w:color w:val="auto"/>
          <w:sz w:val="20"/>
          <w:szCs w:val="20"/>
          <w:lang w:val="es-ES"/>
        </w:rPr>
        <w:footnoteReference w:id="112"/>
      </w:r>
      <w:r w:rsidRPr="00C332F1">
        <w:rPr>
          <w:color w:val="auto"/>
          <w:lang w:val="es-ES"/>
        </w:rPr>
        <w:t>.</w:t>
      </w:r>
    </w:p>
    <w:p w14:paraId="54D01F39" w14:textId="7B567B43" w:rsidR="00A07D76" w:rsidRPr="00C332F1" w:rsidRDefault="00A07D76" w:rsidP="571B825A">
      <w:pPr>
        <w:pStyle w:val="IAPrrafo"/>
        <w:rPr>
          <w:color w:val="auto"/>
          <w:lang w:val="es-ES"/>
        </w:rPr>
      </w:pPr>
      <w:r w:rsidRPr="00C332F1">
        <w:rPr>
          <w:color w:val="auto"/>
          <w:lang w:val="es-ES"/>
        </w:rPr>
        <w:t>En los primeros meses de</w:t>
      </w:r>
      <w:r w:rsidR="00A6283F" w:rsidRPr="00C332F1">
        <w:rPr>
          <w:color w:val="auto"/>
          <w:lang w:val="es-ES"/>
        </w:rPr>
        <w:t>l año</w:t>
      </w:r>
      <w:r w:rsidRPr="00C332F1">
        <w:rPr>
          <w:color w:val="auto"/>
          <w:lang w:val="es-ES"/>
        </w:rPr>
        <w:t xml:space="preserve">, el </w:t>
      </w:r>
      <w:r w:rsidR="00D40928" w:rsidRPr="00C332F1">
        <w:rPr>
          <w:color w:val="auto"/>
          <w:lang w:val="es-ES"/>
        </w:rPr>
        <w:t>F</w:t>
      </w:r>
      <w:r w:rsidRPr="00C332F1">
        <w:rPr>
          <w:color w:val="auto"/>
          <w:lang w:val="es-ES"/>
        </w:rPr>
        <w:t xml:space="preserve">iscal </w:t>
      </w:r>
      <w:r w:rsidR="004F79C8" w:rsidRPr="00C332F1">
        <w:rPr>
          <w:color w:val="auto"/>
          <w:lang w:val="es-ES"/>
        </w:rPr>
        <w:t>G</w:t>
      </w:r>
      <w:r w:rsidRPr="00C332F1">
        <w:rPr>
          <w:color w:val="auto"/>
          <w:lang w:val="es-ES"/>
        </w:rPr>
        <w:t xml:space="preserve">eneral habría emitido órdenes de detención contra la periodista Sebastiana Barráez, la abogada y defensora de derechos humanos Tamara Suju, el presidente de Venezolanos Perseguidos Políticos en el Exilio (Veppex), José Antonio Colina, y los </w:t>
      </w:r>
      <w:r w:rsidRPr="00C332F1">
        <w:rPr>
          <w:i/>
          <w:iCs/>
          <w:color w:val="auto"/>
          <w:lang w:val="es-ES"/>
        </w:rPr>
        <w:t>youtubers</w:t>
      </w:r>
      <w:r w:rsidRPr="00C332F1">
        <w:rPr>
          <w:color w:val="auto"/>
          <w:lang w:val="es-ES"/>
        </w:rPr>
        <w:t xml:space="preserve"> Wender Villalobos y Norbey Marín, quienes fueron acusados de delitos graves</w:t>
      </w:r>
      <w:r w:rsidR="00A14F05">
        <w:rPr>
          <w:rFonts w:ascii="ZWAdobeF" w:hAnsi="ZWAdobeF" w:cs="ZWAdobeF"/>
          <w:color w:val="auto"/>
          <w:sz w:val="2"/>
          <w:szCs w:val="2"/>
          <w:lang w:val="es-ES"/>
        </w:rPr>
        <w:t>111F</w:t>
      </w:r>
      <w:r w:rsidRPr="005C52BD">
        <w:rPr>
          <w:rStyle w:val="FootnoteReference"/>
          <w:color w:val="auto"/>
          <w:sz w:val="20"/>
          <w:szCs w:val="20"/>
          <w:lang w:val="es-ES"/>
        </w:rPr>
        <w:footnoteReference w:id="113"/>
      </w:r>
      <w:r w:rsidRPr="00C332F1">
        <w:rPr>
          <w:color w:val="auto"/>
          <w:lang w:val="es-ES"/>
        </w:rPr>
        <w:t xml:space="preserve">. En particular, Barráez, Suju, Colina, Villalobos, Marín y Mario Carratú Molina habrían sido acusados de “homicidio intencional calificado en grado de tentativa”, “terrorismo” y “asociación”. Estas acusaciones se relacionaron con el </w:t>
      </w:r>
      <w:r w:rsidR="00D40928" w:rsidRPr="00C332F1">
        <w:rPr>
          <w:color w:val="auto"/>
          <w:lang w:val="es-ES"/>
        </w:rPr>
        <w:t>“</w:t>
      </w:r>
      <w:r w:rsidRPr="00C332F1">
        <w:rPr>
          <w:color w:val="auto"/>
          <w:lang w:val="es-ES"/>
        </w:rPr>
        <w:t>caso brazalete blanco</w:t>
      </w:r>
      <w:r w:rsidR="00D40928" w:rsidRPr="00C332F1">
        <w:rPr>
          <w:color w:val="auto"/>
          <w:lang w:val="es-ES"/>
        </w:rPr>
        <w:t>”</w:t>
      </w:r>
      <w:r w:rsidRPr="00C332F1">
        <w:rPr>
          <w:color w:val="auto"/>
          <w:lang w:val="es-ES"/>
        </w:rPr>
        <w:t xml:space="preserve">, que supuestamente buscaba llevar a cabo actos terroristas, incluyendo el secuestro del gobernador de Táchira, y el magnicidio del </w:t>
      </w:r>
      <w:r w:rsidR="00D40928" w:rsidRPr="00C332F1">
        <w:rPr>
          <w:color w:val="auto"/>
          <w:lang w:val="es-ES"/>
        </w:rPr>
        <w:t>P</w:t>
      </w:r>
      <w:r w:rsidRPr="00C332F1">
        <w:rPr>
          <w:color w:val="auto"/>
          <w:lang w:val="es-ES"/>
        </w:rPr>
        <w:t>residente de la República</w:t>
      </w:r>
      <w:r w:rsidR="00A14F05">
        <w:rPr>
          <w:rFonts w:ascii="ZWAdobeF" w:hAnsi="ZWAdobeF" w:cs="ZWAdobeF"/>
          <w:color w:val="auto"/>
          <w:sz w:val="2"/>
          <w:szCs w:val="2"/>
          <w:lang w:val="es-ES"/>
        </w:rPr>
        <w:t>112F</w:t>
      </w:r>
      <w:r w:rsidRPr="005C52BD">
        <w:rPr>
          <w:rStyle w:val="FootnoteReference"/>
          <w:color w:val="auto"/>
          <w:sz w:val="20"/>
          <w:szCs w:val="20"/>
          <w:lang w:val="es-ES"/>
        </w:rPr>
        <w:footnoteReference w:id="114"/>
      </w:r>
      <w:r w:rsidRPr="00C332F1">
        <w:rPr>
          <w:color w:val="auto"/>
          <w:lang w:val="es-ES"/>
        </w:rPr>
        <w:t>. A través de sus redes sociales, la periodista Sebastiana Barráez desmintió la vinculación hecha por la Fiscalía</w:t>
      </w:r>
      <w:r w:rsidR="004963C4" w:rsidRPr="00C332F1">
        <w:rPr>
          <w:color w:val="auto"/>
          <w:lang w:val="es-ES"/>
        </w:rPr>
        <w:t>.</w:t>
      </w:r>
    </w:p>
    <w:p w14:paraId="7DCB3A5F" w14:textId="51E2E48E" w:rsidR="00A07D76" w:rsidRPr="00C332F1" w:rsidRDefault="00A07D76" w:rsidP="00A703B7">
      <w:pPr>
        <w:pStyle w:val="IAPrrafo"/>
        <w:rPr>
          <w:color w:val="auto"/>
          <w:szCs w:val="20"/>
          <w:lang w:val="es-ES"/>
        </w:rPr>
      </w:pPr>
      <w:r w:rsidRPr="00C332F1">
        <w:rPr>
          <w:color w:val="auto"/>
          <w:lang w:val="es-ES"/>
        </w:rPr>
        <w:t>Por su parte, el Colegio Nacional de Periodistas (CNP) y diversas organizaciones de la sociedad civil han calificado la criminalización de la periodista María Sebastiana Barráez Pérez como un grave atentado contra la libertad de expresión y el debido proceso</w:t>
      </w:r>
      <w:r w:rsidR="00A14F05">
        <w:rPr>
          <w:rFonts w:ascii="ZWAdobeF" w:hAnsi="ZWAdobeF" w:cs="ZWAdobeF"/>
          <w:color w:val="auto"/>
          <w:sz w:val="2"/>
          <w:szCs w:val="2"/>
          <w:lang w:val="es-ES"/>
        </w:rPr>
        <w:t>113F</w:t>
      </w:r>
      <w:r w:rsidRPr="005C52BD">
        <w:rPr>
          <w:rStyle w:val="FootnoteReference"/>
          <w:color w:val="auto"/>
          <w:sz w:val="20"/>
          <w:szCs w:val="20"/>
          <w:lang w:val="es-ES"/>
        </w:rPr>
        <w:footnoteReference w:id="115"/>
      </w:r>
      <w:r w:rsidRPr="00C332F1">
        <w:rPr>
          <w:color w:val="auto"/>
          <w:lang w:val="es-ES"/>
        </w:rPr>
        <w:t>. También han alertado a la comunidad internacional sobre los intentos del Estado venezolano de silenciar a los comunicadores, especialmente durante el año electoral</w:t>
      </w:r>
      <w:r w:rsidR="00A14F05">
        <w:rPr>
          <w:rFonts w:ascii="ZWAdobeF" w:hAnsi="ZWAdobeF" w:cs="ZWAdobeF"/>
          <w:color w:val="auto"/>
          <w:sz w:val="2"/>
          <w:szCs w:val="2"/>
          <w:lang w:val="es-ES"/>
        </w:rPr>
        <w:t>114F</w:t>
      </w:r>
      <w:r w:rsidRPr="005C52BD">
        <w:rPr>
          <w:rStyle w:val="FootnoteReference"/>
          <w:color w:val="auto"/>
          <w:sz w:val="20"/>
          <w:szCs w:val="20"/>
          <w:lang w:val="es-ES"/>
        </w:rPr>
        <w:footnoteReference w:id="116"/>
      </w:r>
      <w:r w:rsidRPr="00C332F1">
        <w:rPr>
          <w:color w:val="auto"/>
          <w:lang w:val="es-ES"/>
        </w:rPr>
        <w:t>.</w:t>
      </w:r>
    </w:p>
    <w:p w14:paraId="155CFCF4" w14:textId="40784E9B" w:rsidR="00A07D76" w:rsidRPr="00C332F1" w:rsidRDefault="00A07D76" w:rsidP="00A703B7">
      <w:pPr>
        <w:pStyle w:val="IAPrrafo"/>
        <w:rPr>
          <w:color w:val="auto"/>
          <w:szCs w:val="20"/>
          <w:lang w:val="es-ES"/>
        </w:rPr>
      </w:pPr>
      <w:r w:rsidRPr="00C332F1">
        <w:rPr>
          <w:color w:val="auto"/>
          <w:lang w:val="es-ES"/>
        </w:rPr>
        <w:t xml:space="preserve">Asimismo, el </w:t>
      </w:r>
      <w:r w:rsidR="00D40928" w:rsidRPr="00C332F1">
        <w:rPr>
          <w:color w:val="auto"/>
          <w:lang w:val="es-ES"/>
        </w:rPr>
        <w:t>F</w:t>
      </w:r>
      <w:r w:rsidRPr="00C332F1">
        <w:rPr>
          <w:color w:val="auto"/>
          <w:lang w:val="es-ES"/>
        </w:rPr>
        <w:t xml:space="preserve">iscal </w:t>
      </w:r>
      <w:r w:rsidR="00D40928" w:rsidRPr="00C332F1">
        <w:rPr>
          <w:color w:val="auto"/>
          <w:lang w:val="es-ES"/>
        </w:rPr>
        <w:t>G</w:t>
      </w:r>
      <w:r w:rsidRPr="00C332F1">
        <w:rPr>
          <w:color w:val="auto"/>
          <w:lang w:val="es-ES"/>
        </w:rPr>
        <w:t xml:space="preserve">eneral habría ordenado la detención del periodista de </w:t>
      </w:r>
      <w:r w:rsidRPr="00C332F1">
        <w:rPr>
          <w:i/>
          <w:iCs/>
          <w:color w:val="auto"/>
          <w:lang w:val="es-ES"/>
        </w:rPr>
        <w:t>Voz Media</w:t>
      </w:r>
      <w:r w:rsidRPr="00C332F1">
        <w:rPr>
          <w:color w:val="auto"/>
          <w:lang w:val="es-ES"/>
        </w:rPr>
        <w:t>, Orlando Avendaño, bajo la acusación de “instigación” al odio</w:t>
      </w:r>
      <w:r w:rsidR="00A14F05">
        <w:rPr>
          <w:rFonts w:ascii="ZWAdobeF" w:hAnsi="ZWAdobeF" w:cs="ZWAdobeF"/>
          <w:color w:val="auto"/>
          <w:sz w:val="2"/>
          <w:szCs w:val="2"/>
          <w:lang w:val="es-ES"/>
        </w:rPr>
        <w:t>115F</w:t>
      </w:r>
      <w:r w:rsidRPr="005C52BD">
        <w:rPr>
          <w:rStyle w:val="FootnoteReference"/>
          <w:color w:val="auto"/>
          <w:sz w:val="20"/>
          <w:szCs w:val="20"/>
          <w:lang w:val="es-ES"/>
        </w:rPr>
        <w:footnoteReference w:id="117"/>
      </w:r>
      <w:r w:rsidRPr="00C332F1">
        <w:rPr>
          <w:color w:val="auto"/>
          <w:lang w:val="es-ES"/>
        </w:rPr>
        <w:t>. La Fiscalía alegó que el periodista subvirtió el orden con una publicación en X (Twitter)</w:t>
      </w:r>
      <w:r w:rsidRPr="00C332F1">
        <w:rPr>
          <w:rStyle w:val="FootnoteReference"/>
          <w:color w:val="auto"/>
          <w:sz w:val="20"/>
          <w:szCs w:val="20"/>
          <w:lang w:val="es-ES"/>
        </w:rPr>
        <w:t xml:space="preserve"> </w:t>
      </w:r>
      <w:r w:rsidR="00A14F05">
        <w:rPr>
          <w:rFonts w:ascii="ZWAdobeF" w:hAnsi="ZWAdobeF" w:cs="ZWAdobeF"/>
          <w:color w:val="auto"/>
          <w:sz w:val="2"/>
          <w:szCs w:val="2"/>
          <w:lang w:val="es-ES"/>
        </w:rPr>
        <w:t>116F</w:t>
      </w:r>
      <w:r w:rsidRPr="005C52BD">
        <w:rPr>
          <w:rStyle w:val="FootnoteReference"/>
          <w:color w:val="auto"/>
          <w:sz w:val="20"/>
          <w:szCs w:val="20"/>
          <w:lang w:val="es-ES"/>
        </w:rPr>
        <w:footnoteReference w:id="118"/>
      </w:r>
      <w:r w:rsidRPr="00C332F1">
        <w:rPr>
          <w:color w:val="auto"/>
          <w:lang w:val="es-ES"/>
        </w:rPr>
        <w:t>. De acuerdo con reportes públicos, agentes del Servicio Bolivariano de Inteligencia Nacional (SEBIN)​ allanaron su hogar en Valencia y confiscaron equipos electrónicos</w:t>
      </w:r>
      <w:r w:rsidR="00A14F05">
        <w:rPr>
          <w:rFonts w:ascii="ZWAdobeF" w:hAnsi="ZWAdobeF" w:cs="ZWAdobeF"/>
          <w:color w:val="auto"/>
          <w:sz w:val="2"/>
          <w:szCs w:val="2"/>
          <w:lang w:val="es-ES"/>
        </w:rPr>
        <w:t>117F</w:t>
      </w:r>
      <w:r w:rsidRPr="005C52BD">
        <w:rPr>
          <w:rStyle w:val="FootnoteReference"/>
          <w:color w:val="auto"/>
          <w:sz w:val="20"/>
          <w:szCs w:val="20"/>
          <w:lang w:val="es-ES"/>
        </w:rPr>
        <w:footnoteReference w:id="119"/>
      </w:r>
      <w:r w:rsidRPr="00C332F1">
        <w:rPr>
          <w:color w:val="auto"/>
          <w:lang w:val="es-ES"/>
        </w:rPr>
        <w:t>. Al respecto, el periodista Avendaño desmintió haber llamado a la insurrección y negó recibir fondos de una organización política, subrayando que, “[l]o único que yo he hecho, como periodista, es ejercer mi libertad de expresión”</w:t>
      </w:r>
      <w:r w:rsidR="00A14F05">
        <w:rPr>
          <w:rFonts w:ascii="ZWAdobeF" w:hAnsi="ZWAdobeF" w:cs="ZWAdobeF"/>
          <w:color w:val="auto"/>
          <w:sz w:val="2"/>
          <w:szCs w:val="2"/>
          <w:lang w:val="es-ES"/>
        </w:rPr>
        <w:t>118F</w:t>
      </w:r>
      <w:r w:rsidRPr="005C52BD">
        <w:rPr>
          <w:rStyle w:val="FootnoteReference"/>
          <w:color w:val="auto"/>
          <w:sz w:val="20"/>
          <w:szCs w:val="20"/>
          <w:lang w:val="es-ES"/>
        </w:rPr>
        <w:footnoteReference w:id="120"/>
      </w:r>
      <w:r w:rsidRPr="00C332F1">
        <w:rPr>
          <w:color w:val="auto"/>
          <w:lang w:val="es-ES"/>
        </w:rPr>
        <w:t xml:space="preserve">. Posterior a estos hechos, el </w:t>
      </w:r>
      <w:r w:rsidR="00D40928" w:rsidRPr="00C332F1">
        <w:rPr>
          <w:color w:val="auto"/>
          <w:lang w:val="es-ES"/>
        </w:rPr>
        <w:t>P</w:t>
      </w:r>
      <w:r w:rsidRPr="00C332F1">
        <w:rPr>
          <w:color w:val="auto"/>
          <w:lang w:val="es-ES"/>
        </w:rPr>
        <w:t>residente habría hostigado y amenazado al periodista Avendaño en televisión tras una publicación en su red social X (antes Twitter) sobre mujeres que asediaron a la líder opositora María Corina Machado</w:t>
      </w:r>
      <w:r w:rsidR="00A14F05">
        <w:rPr>
          <w:rFonts w:ascii="ZWAdobeF" w:hAnsi="ZWAdobeF" w:cs="ZWAdobeF"/>
          <w:color w:val="auto"/>
          <w:sz w:val="2"/>
          <w:szCs w:val="2"/>
          <w:lang w:val="es-ES"/>
        </w:rPr>
        <w:t>119F</w:t>
      </w:r>
      <w:r w:rsidRPr="005C52BD">
        <w:rPr>
          <w:rStyle w:val="FootnoteReference"/>
          <w:color w:val="auto"/>
          <w:sz w:val="20"/>
          <w:szCs w:val="20"/>
          <w:lang w:val="es-ES"/>
        </w:rPr>
        <w:footnoteReference w:id="121"/>
      </w:r>
      <w:r w:rsidRPr="00C332F1">
        <w:rPr>
          <w:color w:val="auto"/>
          <w:lang w:val="es-ES"/>
        </w:rPr>
        <w:t>.</w:t>
      </w:r>
    </w:p>
    <w:p w14:paraId="3B2B6B6F" w14:textId="73F1C852" w:rsidR="00A07D76" w:rsidRPr="00C332F1" w:rsidRDefault="008C3484" w:rsidP="00A703B7">
      <w:pPr>
        <w:pStyle w:val="IAPrrafo"/>
        <w:rPr>
          <w:color w:val="auto"/>
          <w:szCs w:val="20"/>
          <w:lang w:val="es-ES"/>
        </w:rPr>
      </w:pPr>
      <w:r w:rsidRPr="00C332F1">
        <w:rPr>
          <w:color w:val="auto"/>
          <w:lang w:val="es-ES"/>
        </w:rPr>
        <w:t xml:space="preserve">El 31 de marzo, el </w:t>
      </w:r>
      <w:r w:rsidR="00A07D76" w:rsidRPr="00C332F1">
        <w:rPr>
          <w:color w:val="auto"/>
          <w:lang w:val="es-ES"/>
        </w:rPr>
        <w:t xml:space="preserve">periodista y </w:t>
      </w:r>
      <w:r w:rsidR="00A07D76" w:rsidRPr="00C332F1">
        <w:rPr>
          <w:i/>
          <w:iCs/>
          <w:color w:val="auto"/>
          <w:lang w:val="es-ES"/>
        </w:rPr>
        <w:t>youtuber</w:t>
      </w:r>
      <w:r w:rsidR="00A07D76" w:rsidRPr="00C332F1">
        <w:rPr>
          <w:color w:val="auto"/>
          <w:lang w:val="es-ES"/>
        </w:rPr>
        <w:t xml:space="preserve"> Óscar Alejandro Pérez</w:t>
      </w:r>
      <w:r w:rsidRPr="00C332F1">
        <w:rPr>
          <w:color w:val="auto"/>
          <w:lang w:val="es-ES"/>
        </w:rPr>
        <w:t xml:space="preserve"> fue</w:t>
      </w:r>
      <w:r w:rsidR="00A07D76" w:rsidRPr="00C332F1">
        <w:rPr>
          <w:color w:val="auto"/>
          <w:lang w:val="es-ES"/>
        </w:rPr>
        <w:t xml:space="preserve"> deten</w:t>
      </w:r>
      <w:r w:rsidRPr="00C332F1">
        <w:rPr>
          <w:color w:val="auto"/>
          <w:lang w:val="es-ES"/>
        </w:rPr>
        <w:t>ido</w:t>
      </w:r>
      <w:r w:rsidR="00A07D76" w:rsidRPr="00C332F1">
        <w:rPr>
          <w:color w:val="auto"/>
          <w:lang w:val="es-ES"/>
        </w:rPr>
        <w:t xml:space="preserve"> en el Aeropuerto Nacional de Maiquetía</w:t>
      </w:r>
      <w:r w:rsidR="00A14F05">
        <w:rPr>
          <w:rFonts w:ascii="ZWAdobeF" w:hAnsi="ZWAdobeF" w:cs="ZWAdobeF"/>
          <w:color w:val="auto"/>
          <w:sz w:val="2"/>
          <w:szCs w:val="2"/>
          <w:lang w:val="es-ES"/>
        </w:rPr>
        <w:t>120F</w:t>
      </w:r>
      <w:r w:rsidR="00A07D76" w:rsidRPr="005C52BD">
        <w:rPr>
          <w:rStyle w:val="FootnoteReference"/>
          <w:color w:val="auto"/>
          <w:sz w:val="20"/>
          <w:szCs w:val="20"/>
          <w:lang w:val="es-ES"/>
        </w:rPr>
        <w:footnoteReference w:id="122"/>
      </w:r>
      <w:r w:rsidR="00A07D76" w:rsidRPr="00C332F1">
        <w:rPr>
          <w:color w:val="auto"/>
          <w:lang w:val="es-ES"/>
        </w:rPr>
        <w:t>. Tras su detención, sus familiares informaron que fue acusado de actividades relacionadas con “terrorismo”. Reportes públicos señalan que el periodista fue trasladado a la División Antiterrorismo del Cuerpo de Investigaciones Científicas, Penales y Criminalísticas (CICPC) en Caracas y liberado al día siguiente</w:t>
      </w:r>
      <w:r w:rsidR="00A14F05">
        <w:rPr>
          <w:rFonts w:ascii="ZWAdobeF" w:hAnsi="ZWAdobeF" w:cs="ZWAdobeF"/>
          <w:color w:val="auto"/>
          <w:sz w:val="2"/>
          <w:szCs w:val="2"/>
          <w:lang w:val="es-ES"/>
        </w:rPr>
        <w:t>121F</w:t>
      </w:r>
      <w:r w:rsidR="00A07D76" w:rsidRPr="005C52BD">
        <w:rPr>
          <w:rStyle w:val="FootnoteReference"/>
          <w:color w:val="auto"/>
          <w:sz w:val="20"/>
          <w:szCs w:val="20"/>
          <w:lang w:val="es-ES"/>
        </w:rPr>
        <w:footnoteReference w:id="123"/>
      </w:r>
      <w:r w:rsidR="00A07D76" w:rsidRPr="00C332F1">
        <w:rPr>
          <w:color w:val="auto"/>
          <w:lang w:val="es-ES"/>
        </w:rPr>
        <w:t>.</w:t>
      </w:r>
    </w:p>
    <w:p w14:paraId="2D586B28" w14:textId="6F7C9F79" w:rsidR="00A07D76" w:rsidRPr="00C332F1" w:rsidRDefault="00A07D76" w:rsidP="00A703B7">
      <w:pPr>
        <w:pStyle w:val="IAPrrafo"/>
        <w:rPr>
          <w:color w:val="auto"/>
          <w:szCs w:val="20"/>
          <w:lang w:val="es-ES"/>
        </w:rPr>
      </w:pPr>
      <w:r w:rsidRPr="00C332F1">
        <w:rPr>
          <w:color w:val="auto"/>
          <w:lang w:val="es-ES"/>
        </w:rPr>
        <w:t xml:space="preserve">Durante el </w:t>
      </w:r>
      <w:r w:rsidR="00D40928" w:rsidRPr="00C332F1">
        <w:rPr>
          <w:color w:val="auto"/>
          <w:lang w:val="es-ES"/>
        </w:rPr>
        <w:t>último año</w:t>
      </w:r>
      <w:r w:rsidRPr="00C332F1">
        <w:rPr>
          <w:color w:val="auto"/>
          <w:lang w:val="es-ES"/>
        </w:rPr>
        <w:t>, también se recibieron reportes sobre la detención del periodista Carlos Julio Rojas ocurrida el pasado 15 de abril. Según informes públicos, mientras se encontraba con su esposa, sujetos desconocidos y a bordo de una camioneta sin placas lo secuestraron</w:t>
      </w:r>
      <w:r w:rsidR="00A14F05">
        <w:rPr>
          <w:rFonts w:ascii="ZWAdobeF" w:hAnsi="ZWAdobeF" w:cs="ZWAdobeF"/>
          <w:color w:val="auto"/>
          <w:sz w:val="2"/>
          <w:szCs w:val="2"/>
          <w:lang w:val="es-ES"/>
        </w:rPr>
        <w:t>122F</w:t>
      </w:r>
      <w:r w:rsidRPr="005C52BD">
        <w:rPr>
          <w:rStyle w:val="FootnoteReference"/>
          <w:color w:val="auto"/>
          <w:sz w:val="20"/>
          <w:szCs w:val="20"/>
          <w:lang w:val="es-ES"/>
        </w:rPr>
        <w:footnoteReference w:id="124"/>
      </w:r>
      <w:r w:rsidRPr="00C332F1">
        <w:rPr>
          <w:color w:val="auto"/>
          <w:lang w:val="es-ES"/>
        </w:rPr>
        <w:t xml:space="preserve">. </w:t>
      </w:r>
      <w:r w:rsidR="00D40928" w:rsidRPr="00C332F1">
        <w:rPr>
          <w:color w:val="auto"/>
          <w:lang w:val="es-ES"/>
        </w:rPr>
        <w:t xml:space="preserve">La </w:t>
      </w:r>
      <w:r w:rsidR="4B858BB3" w:rsidRPr="00C332F1">
        <w:rPr>
          <w:color w:val="auto"/>
          <w:lang w:val="es-ES"/>
        </w:rPr>
        <w:t>CIDH y</w:t>
      </w:r>
      <w:r w:rsidRPr="00C332F1">
        <w:rPr>
          <w:color w:val="auto"/>
          <w:lang w:val="es-ES"/>
        </w:rPr>
        <w:t xml:space="preserve"> la Relatoría Especial</w:t>
      </w:r>
      <w:r w:rsidR="00D40928" w:rsidRPr="00C332F1">
        <w:rPr>
          <w:color w:val="auto"/>
          <w:lang w:val="es-ES"/>
        </w:rPr>
        <w:t xml:space="preserve"> registraron que </w:t>
      </w:r>
      <w:r w:rsidRPr="00C332F1">
        <w:rPr>
          <w:color w:val="auto"/>
          <w:lang w:val="es-ES"/>
        </w:rPr>
        <w:t xml:space="preserve">el periodista tenía una orden de aprehensión por participar como supuesto instigador y operador logístico en un intento de magnicidio contra el </w:t>
      </w:r>
      <w:r w:rsidR="00D40928" w:rsidRPr="00C332F1">
        <w:rPr>
          <w:color w:val="auto"/>
          <w:lang w:val="es-ES"/>
        </w:rPr>
        <w:t>P</w:t>
      </w:r>
      <w:r w:rsidRPr="00C332F1">
        <w:rPr>
          <w:color w:val="auto"/>
          <w:lang w:val="es-ES"/>
        </w:rPr>
        <w:t>residente</w:t>
      </w:r>
      <w:r w:rsidR="00A14F05">
        <w:rPr>
          <w:rFonts w:ascii="ZWAdobeF" w:hAnsi="ZWAdobeF" w:cs="ZWAdobeF"/>
          <w:color w:val="auto"/>
          <w:sz w:val="2"/>
          <w:szCs w:val="2"/>
          <w:lang w:val="es-ES"/>
        </w:rPr>
        <w:t>123F</w:t>
      </w:r>
      <w:r w:rsidRPr="005C52BD">
        <w:rPr>
          <w:rStyle w:val="FootnoteReference"/>
          <w:color w:val="auto"/>
          <w:sz w:val="20"/>
          <w:szCs w:val="20"/>
          <w:lang w:val="es-ES"/>
        </w:rPr>
        <w:footnoteReference w:id="125"/>
      </w:r>
      <w:r w:rsidRPr="00C332F1">
        <w:rPr>
          <w:color w:val="auto"/>
          <w:lang w:val="es-ES"/>
        </w:rPr>
        <w:t xml:space="preserve">. El </w:t>
      </w:r>
      <w:r w:rsidR="00D40928" w:rsidRPr="00C332F1">
        <w:rPr>
          <w:color w:val="auto"/>
          <w:lang w:val="es-ES"/>
        </w:rPr>
        <w:t>F</w:t>
      </w:r>
      <w:r w:rsidRPr="00C332F1">
        <w:rPr>
          <w:color w:val="auto"/>
          <w:lang w:val="es-ES"/>
        </w:rPr>
        <w:t xml:space="preserve">iscal </w:t>
      </w:r>
      <w:r w:rsidR="00D40928" w:rsidRPr="00C332F1">
        <w:rPr>
          <w:color w:val="auto"/>
          <w:lang w:val="es-ES"/>
        </w:rPr>
        <w:t>G</w:t>
      </w:r>
      <w:r w:rsidRPr="00C332F1">
        <w:rPr>
          <w:color w:val="auto"/>
          <w:lang w:val="es-ES"/>
        </w:rPr>
        <w:t xml:space="preserve">eneral publicó una fotografía de Rojas esposado entre dos hombres armados, </w:t>
      </w:r>
      <w:r w:rsidR="00D40928" w:rsidRPr="00C332F1">
        <w:rPr>
          <w:color w:val="auto"/>
          <w:lang w:val="es-ES"/>
        </w:rPr>
        <w:t xml:space="preserve">imputándolo </w:t>
      </w:r>
      <w:r w:rsidRPr="00C332F1">
        <w:rPr>
          <w:color w:val="auto"/>
          <w:lang w:val="es-ES"/>
        </w:rPr>
        <w:t>por terrorismo</w:t>
      </w:r>
      <w:r w:rsidR="00A14F05">
        <w:rPr>
          <w:rFonts w:ascii="ZWAdobeF" w:hAnsi="ZWAdobeF" w:cs="ZWAdobeF"/>
          <w:color w:val="auto"/>
          <w:sz w:val="2"/>
          <w:szCs w:val="2"/>
          <w:lang w:val="es-ES"/>
        </w:rPr>
        <w:t>124F</w:t>
      </w:r>
      <w:r w:rsidRPr="005C52BD">
        <w:rPr>
          <w:rStyle w:val="FootnoteReference"/>
          <w:color w:val="auto"/>
          <w:sz w:val="20"/>
          <w:szCs w:val="20"/>
          <w:lang w:val="es-ES"/>
        </w:rPr>
        <w:footnoteReference w:id="126"/>
      </w:r>
      <w:r w:rsidRPr="00C332F1">
        <w:rPr>
          <w:color w:val="auto"/>
          <w:lang w:val="es-ES"/>
        </w:rPr>
        <w:t>.</w:t>
      </w:r>
    </w:p>
    <w:p w14:paraId="6FA8B4A2" w14:textId="3BEFD294" w:rsidR="00A07D76" w:rsidRPr="00C332F1" w:rsidRDefault="00A07D76" w:rsidP="00A703B7">
      <w:pPr>
        <w:pStyle w:val="IAPrrafo"/>
        <w:rPr>
          <w:color w:val="auto"/>
          <w:szCs w:val="20"/>
          <w:lang w:val="es-ES"/>
        </w:rPr>
      </w:pPr>
      <w:r w:rsidRPr="00C332F1">
        <w:rPr>
          <w:color w:val="auto"/>
          <w:lang w:val="es-ES"/>
        </w:rPr>
        <w:t xml:space="preserve">El 12 de abril, el periodista Yuyser González, del medio </w:t>
      </w:r>
      <w:r w:rsidRPr="00C332F1">
        <w:rPr>
          <w:i/>
          <w:iCs/>
          <w:color w:val="auto"/>
          <w:lang w:val="es-ES"/>
        </w:rPr>
        <w:t>NoticiasDigital</w:t>
      </w:r>
      <w:r w:rsidRPr="00C332F1">
        <w:rPr>
          <w:color w:val="auto"/>
          <w:lang w:val="es-ES"/>
        </w:rPr>
        <w:t>, habría sido abordado por supuestos funcionarios de la Policía Nacional Bolivariana (PNB) que intentaron detenerlo en la entrada de un centro comercial en Barinas</w:t>
      </w:r>
      <w:r w:rsidR="00A14F05">
        <w:rPr>
          <w:rFonts w:ascii="ZWAdobeF" w:hAnsi="ZWAdobeF" w:cs="ZWAdobeF"/>
          <w:color w:val="auto"/>
          <w:sz w:val="2"/>
          <w:szCs w:val="2"/>
          <w:lang w:val="es-ES"/>
        </w:rPr>
        <w:t>125F</w:t>
      </w:r>
      <w:r w:rsidRPr="005C52BD">
        <w:rPr>
          <w:rStyle w:val="FootnoteReference"/>
          <w:color w:val="auto"/>
          <w:sz w:val="20"/>
          <w:szCs w:val="20"/>
          <w:lang w:val="es-ES"/>
        </w:rPr>
        <w:footnoteReference w:id="127"/>
      </w:r>
      <w:r w:rsidRPr="00C332F1">
        <w:rPr>
          <w:color w:val="auto"/>
          <w:lang w:val="es-ES"/>
        </w:rPr>
        <w:t>. De acuerdo con reportes públicos, tras un forcejeo, un transeúnte grabó el incidente y lo compartió en redes sociales, evitando así su arresto</w:t>
      </w:r>
      <w:r w:rsidR="00A14F05">
        <w:rPr>
          <w:rFonts w:ascii="ZWAdobeF" w:hAnsi="ZWAdobeF" w:cs="ZWAdobeF"/>
          <w:color w:val="auto"/>
          <w:sz w:val="2"/>
          <w:szCs w:val="2"/>
          <w:lang w:val="es-ES"/>
        </w:rPr>
        <w:t>126F</w:t>
      </w:r>
      <w:r w:rsidRPr="005C52BD">
        <w:rPr>
          <w:rStyle w:val="FootnoteReference"/>
          <w:color w:val="auto"/>
          <w:sz w:val="20"/>
          <w:szCs w:val="20"/>
          <w:lang w:val="es-ES"/>
        </w:rPr>
        <w:footnoteReference w:id="128"/>
      </w:r>
      <w:r w:rsidRPr="00C332F1">
        <w:rPr>
          <w:color w:val="auto"/>
          <w:lang w:val="es-ES"/>
        </w:rPr>
        <w:t>.</w:t>
      </w:r>
    </w:p>
    <w:p w14:paraId="04F5C468" w14:textId="34F5E5F1" w:rsidR="00A07D76" w:rsidRPr="00C332F1" w:rsidRDefault="00A07D76" w:rsidP="00A703B7">
      <w:pPr>
        <w:pStyle w:val="IAPrrafo"/>
        <w:rPr>
          <w:color w:val="auto"/>
          <w:szCs w:val="20"/>
          <w:lang w:val="es-ES"/>
        </w:rPr>
      </w:pPr>
      <w:r w:rsidRPr="00C332F1">
        <w:rPr>
          <w:color w:val="auto"/>
          <w:lang w:val="es-ES"/>
        </w:rPr>
        <w:t xml:space="preserve">El 7 de mayo de 2024, el </w:t>
      </w:r>
      <w:r w:rsidR="00D40928" w:rsidRPr="00C332F1">
        <w:rPr>
          <w:color w:val="auto"/>
          <w:lang w:val="es-ES"/>
        </w:rPr>
        <w:t>F</w:t>
      </w:r>
      <w:r w:rsidRPr="00C332F1">
        <w:rPr>
          <w:color w:val="auto"/>
          <w:lang w:val="es-ES"/>
        </w:rPr>
        <w:t xml:space="preserve">iscal </w:t>
      </w:r>
      <w:r w:rsidR="00D40928" w:rsidRPr="00C332F1">
        <w:rPr>
          <w:color w:val="auto"/>
          <w:lang w:val="es-ES"/>
        </w:rPr>
        <w:t>G</w:t>
      </w:r>
      <w:r w:rsidRPr="00C332F1">
        <w:rPr>
          <w:color w:val="auto"/>
          <w:lang w:val="es-ES"/>
        </w:rPr>
        <w:t xml:space="preserve">eneral de la República acusó a medios y periodistas venezolanos de formar parte de una supuesta estructura mediática extorsiva liderada por el exministro Tareck El Aissami. Según el fiscal, esta estructura se dedicaba a </w:t>
      </w:r>
      <w:r w:rsidR="00D40928" w:rsidRPr="00C332F1">
        <w:rPr>
          <w:color w:val="auto"/>
          <w:lang w:val="es-ES"/>
        </w:rPr>
        <w:t>“</w:t>
      </w:r>
      <w:r w:rsidRPr="00C332F1">
        <w:rPr>
          <w:color w:val="auto"/>
          <w:lang w:val="es-ES"/>
        </w:rPr>
        <w:t>propagar guerra sucia y campañas de descrédito contra las autoridades del Estado</w:t>
      </w:r>
      <w:r w:rsidR="00D40928" w:rsidRPr="00C332F1">
        <w:rPr>
          <w:color w:val="auto"/>
          <w:lang w:val="es-ES"/>
        </w:rPr>
        <w:t>”</w:t>
      </w:r>
      <w:r w:rsidR="00A14F05">
        <w:rPr>
          <w:rFonts w:ascii="ZWAdobeF" w:hAnsi="ZWAdobeF" w:cs="ZWAdobeF"/>
          <w:color w:val="auto"/>
          <w:sz w:val="2"/>
          <w:szCs w:val="2"/>
          <w:lang w:val="es-ES"/>
        </w:rPr>
        <w:t>127F</w:t>
      </w:r>
      <w:r w:rsidRPr="005C52BD">
        <w:rPr>
          <w:rStyle w:val="FootnoteReference"/>
          <w:color w:val="auto"/>
          <w:sz w:val="20"/>
          <w:szCs w:val="20"/>
          <w:lang w:val="es-ES"/>
        </w:rPr>
        <w:footnoteReference w:id="129"/>
      </w:r>
      <w:r w:rsidRPr="00C332F1">
        <w:rPr>
          <w:color w:val="auto"/>
          <w:lang w:val="es-ES"/>
        </w:rPr>
        <w:t xml:space="preserve">. Además, mencionó que El Aissami mantenía una relación con el portal </w:t>
      </w:r>
      <w:r w:rsidRPr="00C332F1">
        <w:rPr>
          <w:i/>
          <w:iCs/>
          <w:color w:val="auto"/>
          <w:lang w:val="es-ES"/>
        </w:rPr>
        <w:t>Armando.Info</w:t>
      </w:r>
      <w:r w:rsidRPr="00C332F1">
        <w:rPr>
          <w:color w:val="auto"/>
          <w:lang w:val="es-ES"/>
        </w:rPr>
        <w:t>, dirigido por Roberto Deniz y Ewald Scharfenberg</w:t>
      </w:r>
      <w:r w:rsidR="00A14F05">
        <w:rPr>
          <w:rFonts w:ascii="ZWAdobeF" w:hAnsi="ZWAdobeF" w:cs="ZWAdobeF"/>
          <w:color w:val="auto"/>
          <w:sz w:val="2"/>
          <w:szCs w:val="2"/>
          <w:lang w:val="es-ES"/>
        </w:rPr>
        <w:t>128F</w:t>
      </w:r>
      <w:r w:rsidRPr="005C52BD">
        <w:rPr>
          <w:rStyle w:val="FootnoteReference"/>
          <w:color w:val="auto"/>
          <w:sz w:val="20"/>
          <w:szCs w:val="20"/>
          <w:lang w:val="es-ES"/>
        </w:rPr>
        <w:footnoteReference w:id="130"/>
      </w:r>
      <w:r w:rsidRPr="00C332F1">
        <w:rPr>
          <w:color w:val="auto"/>
          <w:lang w:val="es-ES"/>
        </w:rPr>
        <w:t>. Las acusaciones del fiscal agregan un video en el que Samark López, empresario encarcelado e imputado por hechos de corrupción,</w:t>
      </w:r>
      <w:r w:rsidR="00227EB2" w:rsidRPr="00C332F1">
        <w:rPr>
          <w:color w:val="auto"/>
          <w:lang w:val="es-ES"/>
        </w:rPr>
        <w:t xml:space="preserve"> </w:t>
      </w:r>
      <w:r w:rsidRPr="00C332F1">
        <w:rPr>
          <w:color w:val="auto"/>
          <w:lang w:val="es-ES"/>
        </w:rPr>
        <w:t>se encontraba señalando a los periodistas del portal</w:t>
      </w:r>
      <w:r w:rsidR="00A14F05">
        <w:rPr>
          <w:rFonts w:ascii="ZWAdobeF" w:hAnsi="ZWAdobeF" w:cs="ZWAdobeF"/>
          <w:color w:val="auto"/>
          <w:sz w:val="2"/>
          <w:szCs w:val="2"/>
          <w:lang w:val="es-ES"/>
        </w:rPr>
        <w:t>129F</w:t>
      </w:r>
      <w:r w:rsidRPr="005C52BD">
        <w:rPr>
          <w:rStyle w:val="FootnoteReference"/>
          <w:color w:val="auto"/>
          <w:sz w:val="20"/>
          <w:szCs w:val="20"/>
          <w:lang w:val="es-ES"/>
        </w:rPr>
        <w:footnoteReference w:id="131"/>
      </w:r>
      <w:r w:rsidRPr="00C332F1">
        <w:rPr>
          <w:color w:val="auto"/>
          <w:lang w:val="es-ES"/>
        </w:rPr>
        <w:t>.</w:t>
      </w:r>
    </w:p>
    <w:p w14:paraId="37E71548" w14:textId="737E6414" w:rsidR="00A07D76" w:rsidRPr="00C332F1" w:rsidRDefault="00A07D76" w:rsidP="00A703B7">
      <w:pPr>
        <w:pStyle w:val="IAPrrafo"/>
        <w:rPr>
          <w:color w:val="auto"/>
          <w:szCs w:val="20"/>
          <w:lang w:val="es-ES"/>
        </w:rPr>
      </w:pPr>
      <w:r w:rsidRPr="00C332F1">
        <w:rPr>
          <w:color w:val="auto"/>
          <w:lang w:val="es-ES"/>
        </w:rPr>
        <w:t>En la primera mitad de agosto, tras las elecciones del 28 de julio, se documentó la detención de</w:t>
      </w:r>
      <w:r w:rsidR="00AD4280" w:rsidRPr="00C332F1">
        <w:rPr>
          <w:color w:val="auto"/>
          <w:lang w:val="es-ES"/>
        </w:rPr>
        <w:t>,</w:t>
      </w:r>
      <w:r w:rsidRPr="00C332F1">
        <w:rPr>
          <w:color w:val="auto"/>
          <w:lang w:val="es-ES"/>
        </w:rPr>
        <w:t xml:space="preserve"> al menos</w:t>
      </w:r>
      <w:r w:rsidR="00AD4280" w:rsidRPr="00C332F1">
        <w:rPr>
          <w:color w:val="auto"/>
          <w:lang w:val="es-ES"/>
        </w:rPr>
        <w:t>,</w:t>
      </w:r>
      <w:r w:rsidRPr="00C332F1">
        <w:rPr>
          <w:color w:val="auto"/>
          <w:lang w:val="es-ES"/>
        </w:rPr>
        <w:t xml:space="preserve"> nueve </w:t>
      </w:r>
      <w:r w:rsidR="00AD4280" w:rsidRPr="00C332F1">
        <w:rPr>
          <w:color w:val="auto"/>
          <w:lang w:val="es-ES"/>
        </w:rPr>
        <w:t>periodistas;</w:t>
      </w:r>
      <w:r w:rsidRPr="00C332F1">
        <w:rPr>
          <w:color w:val="auto"/>
          <w:lang w:val="es-ES"/>
        </w:rPr>
        <w:t xml:space="preserve"> cuatro de los cuales fueron imputados por delitos de terrorismo</w:t>
      </w:r>
      <w:r w:rsidR="00A14F05">
        <w:rPr>
          <w:rFonts w:ascii="ZWAdobeF" w:hAnsi="ZWAdobeF" w:cs="ZWAdobeF"/>
          <w:color w:val="auto"/>
          <w:sz w:val="2"/>
          <w:szCs w:val="2"/>
          <w:lang w:val="es-ES"/>
        </w:rPr>
        <w:t>130F</w:t>
      </w:r>
      <w:r w:rsidRPr="005C52BD">
        <w:rPr>
          <w:rStyle w:val="FootnoteReference"/>
          <w:color w:val="auto"/>
          <w:sz w:val="20"/>
          <w:szCs w:val="20"/>
          <w:lang w:val="es-ES"/>
        </w:rPr>
        <w:footnoteReference w:id="132"/>
      </w:r>
      <w:r w:rsidRPr="00C332F1">
        <w:rPr>
          <w:color w:val="auto"/>
          <w:lang w:val="es-ES"/>
        </w:rPr>
        <w:t>. Entre ellos se encuentra el fotoperiodista Yousner Alvarado, acusado de terrorismo. Según fue informado a esta Comisión</w:t>
      </w:r>
      <w:r w:rsidR="10E5E778" w:rsidRPr="00C332F1">
        <w:rPr>
          <w:color w:val="auto"/>
          <w:lang w:val="es-ES"/>
        </w:rPr>
        <w:t xml:space="preserve"> y a la RELE</w:t>
      </w:r>
      <w:r w:rsidRPr="00C332F1">
        <w:rPr>
          <w:color w:val="auto"/>
          <w:lang w:val="es-ES"/>
        </w:rPr>
        <w:t>, actualmente permanecería incomunicado en el Destacamento 33 de la Guardia Nacional Bolivariana (GNB), sin acceso a defensa privada</w:t>
      </w:r>
      <w:r w:rsidR="00A14F05">
        <w:rPr>
          <w:rFonts w:ascii="ZWAdobeF" w:hAnsi="ZWAdobeF" w:cs="ZWAdobeF"/>
          <w:color w:val="auto"/>
          <w:sz w:val="2"/>
          <w:szCs w:val="2"/>
          <w:lang w:val="es-ES"/>
        </w:rPr>
        <w:t>131F</w:t>
      </w:r>
      <w:r w:rsidRPr="005C52BD">
        <w:rPr>
          <w:rStyle w:val="FootnoteReference"/>
          <w:color w:val="auto"/>
          <w:sz w:val="20"/>
          <w:szCs w:val="20"/>
          <w:lang w:val="es-ES"/>
        </w:rPr>
        <w:footnoteReference w:id="133"/>
      </w:r>
      <w:r w:rsidRPr="00C332F1">
        <w:rPr>
          <w:color w:val="auto"/>
          <w:lang w:val="es-ES"/>
        </w:rPr>
        <w:t>. También fue detenido Paúl León, camarógrafo de VPI TV, bajo supuestos cargos de incitación a la violencia y alteración del orden público, quien permanecería incomunicado en la Coordinación Policial 2.0 de Valera</w:t>
      </w:r>
      <w:r w:rsidR="00A14F05">
        <w:rPr>
          <w:rFonts w:ascii="ZWAdobeF" w:hAnsi="ZWAdobeF" w:cs="ZWAdobeF"/>
          <w:color w:val="auto"/>
          <w:sz w:val="2"/>
          <w:szCs w:val="2"/>
          <w:lang w:val="es-ES"/>
        </w:rPr>
        <w:t>132F</w:t>
      </w:r>
      <w:r w:rsidRPr="005C52BD">
        <w:rPr>
          <w:rStyle w:val="FootnoteReference"/>
          <w:color w:val="auto"/>
          <w:sz w:val="20"/>
          <w:szCs w:val="20"/>
          <w:lang w:val="es-ES"/>
        </w:rPr>
        <w:footnoteReference w:id="134"/>
      </w:r>
      <w:r w:rsidRPr="00C332F1">
        <w:rPr>
          <w:color w:val="auto"/>
          <w:lang w:val="es-ES"/>
        </w:rPr>
        <w:t>; Deisy Peña, fotógrafa de la alcaldía de Carrizal, habría sido arrestada sin orden judicial tras cubrir una protesta pacífica y estaría recluida en un módulo de la Policía Nacional Bolivariana (PNB) en Los Teques</w:t>
      </w:r>
      <w:r w:rsidR="00A14F05">
        <w:rPr>
          <w:rFonts w:ascii="ZWAdobeF" w:hAnsi="ZWAdobeF" w:cs="ZWAdobeF"/>
          <w:color w:val="auto"/>
          <w:sz w:val="2"/>
          <w:szCs w:val="2"/>
          <w:lang w:val="es-ES"/>
        </w:rPr>
        <w:t>133F</w:t>
      </w:r>
      <w:r w:rsidRPr="005C52BD">
        <w:rPr>
          <w:rStyle w:val="FootnoteReference"/>
          <w:color w:val="auto"/>
          <w:sz w:val="20"/>
          <w:szCs w:val="20"/>
          <w:lang w:val="es-ES"/>
        </w:rPr>
        <w:footnoteReference w:id="135"/>
      </w:r>
      <w:r w:rsidRPr="00C332F1">
        <w:rPr>
          <w:color w:val="auto"/>
          <w:lang w:val="es-ES"/>
        </w:rPr>
        <w:t>; y José Gregorio Carnero, periodista y locutor, quien habrían sido detenido bajo acusaciones de conspiración y actividades subversivas</w:t>
      </w:r>
      <w:r w:rsidR="00A14F05">
        <w:rPr>
          <w:rFonts w:ascii="ZWAdobeF" w:hAnsi="ZWAdobeF" w:cs="ZWAdobeF"/>
          <w:color w:val="auto"/>
          <w:sz w:val="2"/>
          <w:szCs w:val="2"/>
          <w:lang w:val="es-ES"/>
        </w:rPr>
        <w:t>134F</w:t>
      </w:r>
      <w:r w:rsidRPr="005C52BD">
        <w:rPr>
          <w:rStyle w:val="FootnoteReference"/>
          <w:color w:val="auto"/>
          <w:sz w:val="20"/>
          <w:szCs w:val="20"/>
          <w:lang w:val="es-ES"/>
        </w:rPr>
        <w:footnoteReference w:id="136"/>
      </w:r>
      <w:r w:rsidRPr="00C332F1">
        <w:rPr>
          <w:color w:val="auto"/>
          <w:lang w:val="es-ES"/>
        </w:rPr>
        <w:t>.</w:t>
      </w:r>
    </w:p>
    <w:p w14:paraId="1DB26A68" w14:textId="1FCAE0EF" w:rsidR="00A07D76" w:rsidRPr="00C332F1" w:rsidRDefault="00A07D76" w:rsidP="00A703B7">
      <w:pPr>
        <w:pStyle w:val="IAPrrafo"/>
        <w:rPr>
          <w:color w:val="auto"/>
          <w:szCs w:val="20"/>
          <w:lang w:val="es-ES"/>
        </w:rPr>
      </w:pPr>
      <w:r w:rsidRPr="00C332F1">
        <w:rPr>
          <w:color w:val="auto"/>
          <w:lang w:val="es-ES"/>
        </w:rPr>
        <w:t>De igual modo, se conocieron denuncias por parte del partido Voluntad Popular sobre la detención y posible desaparición forzada de Roland Oswaldo Carreño Gutiérrez</w:t>
      </w:r>
      <w:r w:rsidR="00A14F05">
        <w:rPr>
          <w:rFonts w:ascii="ZWAdobeF" w:hAnsi="ZWAdobeF" w:cs="ZWAdobeF"/>
          <w:color w:val="auto"/>
          <w:sz w:val="2"/>
          <w:szCs w:val="2"/>
          <w:lang w:val="es-ES"/>
        </w:rPr>
        <w:t>135F</w:t>
      </w:r>
      <w:r w:rsidRPr="005C52BD">
        <w:rPr>
          <w:rStyle w:val="FootnoteReference"/>
          <w:color w:val="auto"/>
          <w:sz w:val="20"/>
          <w:szCs w:val="20"/>
          <w:lang w:val="es-ES"/>
        </w:rPr>
        <w:footnoteReference w:id="137"/>
      </w:r>
      <w:r w:rsidRPr="00C332F1">
        <w:rPr>
          <w:color w:val="auto"/>
          <w:lang w:val="es-ES"/>
        </w:rPr>
        <w:t>. De acuerdo con reportes, el 2 de agosto de 2024, en horas de la tarde en la ciudad de Caracas, él habría sido privado de la libertad por agentes del Estado adscritos al SEBIN</w:t>
      </w:r>
      <w:r w:rsidR="00A14F05">
        <w:rPr>
          <w:rFonts w:ascii="ZWAdobeF" w:hAnsi="ZWAdobeF" w:cs="ZWAdobeF"/>
          <w:color w:val="auto"/>
          <w:sz w:val="2"/>
          <w:szCs w:val="2"/>
          <w:lang w:val="es-ES"/>
        </w:rPr>
        <w:t>136F</w:t>
      </w:r>
      <w:r w:rsidRPr="005C52BD">
        <w:rPr>
          <w:rStyle w:val="FootnoteReference"/>
          <w:color w:val="auto"/>
          <w:sz w:val="20"/>
          <w:szCs w:val="20"/>
          <w:lang w:val="es-ES"/>
        </w:rPr>
        <w:footnoteReference w:id="138"/>
      </w:r>
      <w:r w:rsidRPr="00C332F1">
        <w:rPr>
          <w:color w:val="auto"/>
          <w:lang w:val="es-ES"/>
        </w:rPr>
        <w:t xml:space="preserve">. El 3 y 4 de agosto de 2024, se habría intentado presentar un recurso de </w:t>
      </w:r>
      <w:r w:rsidR="00AD4280" w:rsidRPr="00C332F1">
        <w:rPr>
          <w:i/>
          <w:iCs/>
          <w:color w:val="auto"/>
          <w:lang w:val="es-ES"/>
        </w:rPr>
        <w:t>h</w:t>
      </w:r>
      <w:r w:rsidRPr="00C332F1">
        <w:rPr>
          <w:i/>
          <w:iCs/>
          <w:color w:val="auto"/>
          <w:lang w:val="es-ES"/>
        </w:rPr>
        <w:t xml:space="preserve">ábeas </w:t>
      </w:r>
      <w:r w:rsidR="00AD4280" w:rsidRPr="00C332F1">
        <w:rPr>
          <w:i/>
          <w:iCs/>
          <w:color w:val="auto"/>
          <w:lang w:val="es-ES"/>
        </w:rPr>
        <w:t>c</w:t>
      </w:r>
      <w:r w:rsidRPr="00C332F1">
        <w:rPr>
          <w:i/>
          <w:iCs/>
          <w:color w:val="auto"/>
          <w:lang w:val="es-ES"/>
        </w:rPr>
        <w:t>orpus</w:t>
      </w:r>
      <w:r w:rsidRPr="00C332F1">
        <w:rPr>
          <w:color w:val="auto"/>
          <w:lang w:val="es-ES"/>
        </w:rPr>
        <w:t xml:space="preserve"> en modalidad de desaparición forzosa y una denuncia ante la Fiscalía de la República para el inicio de la investigación</w:t>
      </w:r>
      <w:r w:rsidR="00A14F05">
        <w:rPr>
          <w:rFonts w:ascii="ZWAdobeF" w:hAnsi="ZWAdobeF" w:cs="ZWAdobeF"/>
          <w:color w:val="auto"/>
          <w:sz w:val="2"/>
          <w:szCs w:val="2"/>
          <w:lang w:val="es-ES"/>
        </w:rPr>
        <w:t>137F</w:t>
      </w:r>
      <w:r w:rsidRPr="005C52BD">
        <w:rPr>
          <w:rStyle w:val="FootnoteReference"/>
          <w:color w:val="auto"/>
          <w:sz w:val="20"/>
          <w:szCs w:val="20"/>
          <w:lang w:val="es-ES"/>
        </w:rPr>
        <w:footnoteReference w:id="139"/>
      </w:r>
      <w:r w:rsidRPr="00C332F1">
        <w:rPr>
          <w:color w:val="auto"/>
          <w:lang w:val="es-ES"/>
        </w:rPr>
        <w:t>. No obstante, tanto los organismos judiciales como los organismos de investigación se habrían negado a recibirlas</w:t>
      </w:r>
      <w:r w:rsidR="00A14F05">
        <w:rPr>
          <w:rFonts w:ascii="ZWAdobeF" w:hAnsi="ZWAdobeF" w:cs="ZWAdobeF"/>
          <w:color w:val="auto"/>
          <w:sz w:val="2"/>
          <w:szCs w:val="2"/>
          <w:lang w:val="es-ES"/>
        </w:rPr>
        <w:t>138F</w:t>
      </w:r>
      <w:r w:rsidRPr="005C52BD">
        <w:rPr>
          <w:rStyle w:val="FootnoteReference"/>
          <w:color w:val="auto"/>
          <w:sz w:val="20"/>
          <w:szCs w:val="20"/>
          <w:lang w:val="es-ES"/>
        </w:rPr>
        <w:footnoteReference w:id="140"/>
      </w:r>
      <w:r w:rsidRPr="00C332F1">
        <w:rPr>
          <w:color w:val="auto"/>
          <w:lang w:val="es-ES"/>
        </w:rPr>
        <w:t>. Igualmente, familiares y abogados habrían acudido a las diferentes sedes de la Dirección General de Contra Inteligencia Militar (DGCIM) y del SEBIN, quienes han afirmado no tener bajo su custodia al periodista</w:t>
      </w:r>
      <w:r w:rsidR="00A14F05">
        <w:rPr>
          <w:rFonts w:ascii="ZWAdobeF" w:hAnsi="ZWAdobeF" w:cs="ZWAdobeF"/>
          <w:color w:val="auto"/>
          <w:sz w:val="2"/>
          <w:szCs w:val="2"/>
          <w:lang w:val="es-ES"/>
        </w:rPr>
        <w:t>139F</w:t>
      </w:r>
      <w:r w:rsidRPr="005C52BD">
        <w:rPr>
          <w:rStyle w:val="FootnoteReference"/>
          <w:color w:val="auto"/>
          <w:sz w:val="20"/>
          <w:szCs w:val="20"/>
          <w:lang w:val="es-ES"/>
        </w:rPr>
        <w:footnoteReference w:id="141"/>
      </w:r>
      <w:r w:rsidRPr="00C332F1">
        <w:rPr>
          <w:color w:val="auto"/>
          <w:lang w:val="es-ES"/>
        </w:rPr>
        <w:t>. En este contexto, la CIDH otorgó medidas cautelares al periodista Carreño Gutiérrez e instó al Estado a adoptar las medidas necesarias para proteger los derechos a la vida e integridad personal del comunicador</w:t>
      </w:r>
      <w:r w:rsidR="00A14F05">
        <w:rPr>
          <w:rFonts w:ascii="ZWAdobeF" w:hAnsi="ZWAdobeF" w:cs="ZWAdobeF"/>
          <w:color w:val="auto"/>
          <w:sz w:val="2"/>
          <w:szCs w:val="2"/>
          <w:lang w:val="es-ES"/>
        </w:rPr>
        <w:t>140F</w:t>
      </w:r>
      <w:r w:rsidRPr="005C52BD">
        <w:rPr>
          <w:rStyle w:val="FootnoteReference"/>
          <w:color w:val="auto"/>
          <w:sz w:val="20"/>
          <w:szCs w:val="20"/>
          <w:lang w:val="es-ES"/>
        </w:rPr>
        <w:footnoteReference w:id="142"/>
      </w:r>
      <w:r w:rsidRPr="00C332F1">
        <w:rPr>
          <w:color w:val="auto"/>
          <w:lang w:val="es-ES"/>
        </w:rPr>
        <w:t>.</w:t>
      </w:r>
    </w:p>
    <w:p w14:paraId="4A8CA67B" w14:textId="0AF891CF" w:rsidR="00A07D76" w:rsidRPr="00C332F1" w:rsidRDefault="00A07D76" w:rsidP="00A703B7">
      <w:pPr>
        <w:pStyle w:val="IAPrrafo"/>
        <w:rPr>
          <w:color w:val="auto"/>
          <w:szCs w:val="20"/>
          <w:lang w:val="es-ES"/>
        </w:rPr>
      </w:pPr>
      <w:r w:rsidRPr="00C332F1">
        <w:rPr>
          <w:color w:val="auto"/>
          <w:lang w:val="es-ES"/>
        </w:rPr>
        <w:t xml:space="preserve">También se conoció la detención de la periodista Ana Carolina Guaita Barreto, corresponsal en el diario digital </w:t>
      </w:r>
      <w:r w:rsidRPr="00C332F1">
        <w:rPr>
          <w:i/>
          <w:iCs/>
          <w:color w:val="auto"/>
          <w:lang w:val="es-ES"/>
        </w:rPr>
        <w:t>La Patilla</w:t>
      </w:r>
      <w:r w:rsidRPr="00C332F1">
        <w:rPr>
          <w:color w:val="auto"/>
          <w:lang w:val="es-ES"/>
        </w:rPr>
        <w:t>. De acuerdo con la información obtenida por la CIDH y su Relatoría Especial, el 20 de agosto de 2024 la periodista fue privada de su libertad de manera presuntamente arbitraria por supuestos agentes de los cuerpos de seguridad</w:t>
      </w:r>
      <w:r w:rsidR="00A14F05">
        <w:rPr>
          <w:rFonts w:ascii="ZWAdobeF" w:hAnsi="ZWAdobeF" w:cs="ZWAdobeF"/>
          <w:color w:val="auto"/>
          <w:sz w:val="2"/>
          <w:szCs w:val="2"/>
          <w:lang w:val="es-ES"/>
        </w:rPr>
        <w:t>141F</w:t>
      </w:r>
      <w:r w:rsidRPr="005C52BD">
        <w:rPr>
          <w:rStyle w:val="FootnoteReference"/>
          <w:color w:val="auto"/>
          <w:sz w:val="20"/>
          <w:szCs w:val="20"/>
          <w:lang w:val="es-ES"/>
        </w:rPr>
        <w:footnoteReference w:id="143"/>
      </w:r>
      <w:r w:rsidRPr="00C332F1">
        <w:rPr>
          <w:color w:val="auto"/>
          <w:lang w:val="es-ES"/>
        </w:rPr>
        <w:t>. Se alegó que la privación de libertad ocurrió cuando estaba saliendo de su hogar, en el área del estacionamiento de su edificio</w:t>
      </w:r>
      <w:r w:rsidR="00A14F05">
        <w:rPr>
          <w:rFonts w:ascii="ZWAdobeF" w:hAnsi="ZWAdobeF" w:cs="ZWAdobeF"/>
          <w:color w:val="auto"/>
          <w:sz w:val="2"/>
          <w:szCs w:val="2"/>
          <w:lang w:val="es-ES"/>
        </w:rPr>
        <w:t>142F</w:t>
      </w:r>
      <w:r w:rsidRPr="005C52BD">
        <w:rPr>
          <w:rStyle w:val="FootnoteReference"/>
          <w:color w:val="auto"/>
          <w:sz w:val="20"/>
          <w:szCs w:val="20"/>
          <w:lang w:val="es-ES"/>
        </w:rPr>
        <w:footnoteReference w:id="144"/>
      </w:r>
      <w:r w:rsidRPr="00C332F1">
        <w:rPr>
          <w:color w:val="auto"/>
          <w:lang w:val="es-ES"/>
        </w:rPr>
        <w:t>. En dicho lugar habría sido acorralada por funcionarios que no se identificaron y la detuvieron por presunta inobservancia de los procedimientos constitucionales y convencionales</w:t>
      </w:r>
      <w:r w:rsidR="00A14F05">
        <w:rPr>
          <w:rFonts w:ascii="ZWAdobeF" w:hAnsi="ZWAdobeF" w:cs="ZWAdobeF"/>
          <w:color w:val="auto"/>
          <w:sz w:val="2"/>
          <w:szCs w:val="2"/>
          <w:lang w:val="es-ES"/>
        </w:rPr>
        <w:t>143F</w:t>
      </w:r>
      <w:r w:rsidRPr="005C52BD">
        <w:rPr>
          <w:rStyle w:val="FootnoteReference"/>
          <w:color w:val="auto"/>
          <w:sz w:val="20"/>
          <w:szCs w:val="20"/>
          <w:lang w:val="es-ES"/>
        </w:rPr>
        <w:footnoteReference w:id="145"/>
      </w:r>
      <w:r w:rsidRPr="00C332F1">
        <w:rPr>
          <w:color w:val="auto"/>
          <w:lang w:val="es-ES"/>
        </w:rPr>
        <w:t>. Según sus familiares, la periodista se encontraría en la sede de la Dirección de Seguridad de la Gobernación de La Guaira, donde la mantuvieron hasta el 21 de agosto en circunstancias de aislamiento</w:t>
      </w:r>
      <w:r w:rsidR="00A14F05">
        <w:rPr>
          <w:rFonts w:ascii="ZWAdobeF" w:hAnsi="ZWAdobeF" w:cs="ZWAdobeF"/>
          <w:color w:val="auto"/>
          <w:sz w:val="2"/>
          <w:szCs w:val="2"/>
          <w:lang w:val="es-ES"/>
        </w:rPr>
        <w:t>144F</w:t>
      </w:r>
      <w:r w:rsidRPr="005C52BD">
        <w:rPr>
          <w:rStyle w:val="FootnoteReference"/>
          <w:color w:val="auto"/>
          <w:sz w:val="20"/>
          <w:szCs w:val="20"/>
          <w:lang w:val="es-ES"/>
        </w:rPr>
        <w:footnoteReference w:id="146"/>
      </w:r>
      <w:r w:rsidRPr="00C332F1">
        <w:rPr>
          <w:color w:val="auto"/>
          <w:lang w:val="es-ES"/>
        </w:rPr>
        <w:t>.</w:t>
      </w:r>
    </w:p>
    <w:p w14:paraId="51169C47" w14:textId="3EE8DE5B" w:rsidR="00A07D76" w:rsidRPr="00C332F1" w:rsidRDefault="00A07D76" w:rsidP="00A703B7">
      <w:pPr>
        <w:pStyle w:val="IAPrrafo"/>
        <w:rPr>
          <w:color w:val="auto"/>
          <w:szCs w:val="20"/>
          <w:lang w:val="es-ES"/>
        </w:rPr>
      </w:pPr>
      <w:r w:rsidRPr="00C332F1">
        <w:rPr>
          <w:color w:val="auto"/>
          <w:lang w:val="es-ES"/>
        </w:rPr>
        <w:t>El 22 de agosto de 2024, la periodista Ana Carolina Guaita Barreto habría sido trasladada por efectivos del SEBIN a un lugar desconocido, y desde entonces no se tendría noticias sobre su paradero o lugar de detención</w:t>
      </w:r>
      <w:r w:rsidR="00A14F05">
        <w:rPr>
          <w:rFonts w:ascii="ZWAdobeF" w:hAnsi="ZWAdobeF" w:cs="ZWAdobeF"/>
          <w:color w:val="auto"/>
          <w:sz w:val="2"/>
          <w:szCs w:val="2"/>
          <w:lang w:val="es-ES"/>
        </w:rPr>
        <w:t>145F</w:t>
      </w:r>
      <w:r w:rsidRPr="005C52BD">
        <w:rPr>
          <w:rStyle w:val="FootnoteReference"/>
          <w:color w:val="auto"/>
          <w:sz w:val="20"/>
          <w:szCs w:val="20"/>
          <w:lang w:val="es-ES"/>
        </w:rPr>
        <w:footnoteReference w:id="147"/>
      </w:r>
      <w:r w:rsidRPr="00C332F1">
        <w:rPr>
          <w:color w:val="auto"/>
          <w:lang w:val="es-ES"/>
        </w:rPr>
        <w:t>. Además, se informó que sus padres se encuentran en la clandestinidad por temor a ser detenidos</w:t>
      </w:r>
      <w:r w:rsidR="00A14F05">
        <w:rPr>
          <w:rFonts w:ascii="ZWAdobeF" w:hAnsi="ZWAdobeF" w:cs="ZWAdobeF"/>
          <w:color w:val="auto"/>
          <w:sz w:val="2"/>
          <w:szCs w:val="2"/>
          <w:lang w:val="es-ES"/>
        </w:rPr>
        <w:t>146F</w:t>
      </w:r>
      <w:r w:rsidRPr="005C52BD">
        <w:rPr>
          <w:rStyle w:val="FootnoteReference"/>
          <w:color w:val="auto"/>
          <w:sz w:val="20"/>
          <w:szCs w:val="20"/>
          <w:lang w:val="es-ES"/>
        </w:rPr>
        <w:footnoteReference w:id="148"/>
      </w:r>
      <w:r w:rsidRPr="00C332F1">
        <w:rPr>
          <w:color w:val="auto"/>
          <w:lang w:val="es-ES"/>
        </w:rPr>
        <w:t>. Frente a estos hechos, la CIDH otorgó medidas cautelares en favor de Guaita y solicitó al Estado de Venezuela que adopte las medidas necesarias para proteger sus derechos a la vida e integridad personal, así como informar sobre su estado de custodia y las circunstancias de su detención</w:t>
      </w:r>
      <w:r w:rsidR="00A14F05">
        <w:rPr>
          <w:rFonts w:ascii="ZWAdobeF" w:hAnsi="ZWAdobeF" w:cs="ZWAdobeF"/>
          <w:color w:val="auto"/>
          <w:sz w:val="2"/>
          <w:szCs w:val="2"/>
          <w:lang w:val="es-ES"/>
        </w:rPr>
        <w:t>147F</w:t>
      </w:r>
      <w:r w:rsidRPr="005C52BD">
        <w:rPr>
          <w:rStyle w:val="FootnoteReference"/>
          <w:color w:val="auto"/>
          <w:sz w:val="20"/>
          <w:szCs w:val="20"/>
          <w:lang w:val="es-ES"/>
        </w:rPr>
        <w:footnoteReference w:id="149"/>
      </w:r>
      <w:r w:rsidRPr="00C332F1">
        <w:rPr>
          <w:color w:val="auto"/>
          <w:lang w:val="es-ES"/>
        </w:rPr>
        <w:t>.</w:t>
      </w:r>
    </w:p>
    <w:p w14:paraId="2E5BE6B5" w14:textId="06A7193C" w:rsidR="00A07D76" w:rsidRPr="00C332F1" w:rsidRDefault="00A07D76" w:rsidP="00A703B7">
      <w:pPr>
        <w:pStyle w:val="IAPrrafo"/>
        <w:rPr>
          <w:color w:val="auto"/>
          <w:szCs w:val="20"/>
          <w:lang w:val="es-ES"/>
        </w:rPr>
      </w:pPr>
      <w:r w:rsidRPr="00C332F1">
        <w:rPr>
          <w:color w:val="auto"/>
          <w:lang w:val="es-ES"/>
        </w:rPr>
        <w:t xml:space="preserve">El 16 de agosto, el editor del portal web </w:t>
      </w:r>
      <w:r w:rsidRPr="00C332F1">
        <w:rPr>
          <w:i/>
          <w:iCs/>
          <w:color w:val="auto"/>
          <w:lang w:val="es-ES"/>
        </w:rPr>
        <w:t>La Sapa del Orinoco</w:t>
      </w:r>
      <w:r w:rsidRPr="00C332F1">
        <w:rPr>
          <w:color w:val="auto"/>
          <w:lang w:val="es-ES"/>
        </w:rPr>
        <w:t xml:space="preserve">, Gilberto Reina, </w:t>
      </w:r>
      <w:r w:rsidR="00D40928" w:rsidRPr="00C332F1">
        <w:rPr>
          <w:color w:val="auto"/>
          <w:lang w:val="es-ES"/>
        </w:rPr>
        <w:t xml:space="preserve">fue detenido </w:t>
      </w:r>
      <w:r w:rsidRPr="00C332F1">
        <w:rPr>
          <w:color w:val="auto"/>
          <w:lang w:val="es-ES"/>
        </w:rPr>
        <w:t>en su residencia en Ciudad Bolívar, estado Bolívar. De acuerdo con reportes públicos, la detención de Reina se produjo horas después de que publicara un video en Instagram sobre una protesta a propósito de los resultados anunciados por el CNE el 29 de julio</w:t>
      </w:r>
      <w:r w:rsidR="00A14F05">
        <w:rPr>
          <w:rFonts w:ascii="ZWAdobeF" w:hAnsi="ZWAdobeF" w:cs="ZWAdobeF"/>
          <w:color w:val="auto"/>
          <w:sz w:val="2"/>
          <w:szCs w:val="2"/>
          <w:lang w:val="es-ES"/>
        </w:rPr>
        <w:t>148F</w:t>
      </w:r>
      <w:r w:rsidRPr="005C52BD">
        <w:rPr>
          <w:rStyle w:val="FootnoteReference"/>
          <w:color w:val="auto"/>
          <w:sz w:val="20"/>
          <w:szCs w:val="20"/>
          <w:lang w:val="es-ES"/>
        </w:rPr>
        <w:footnoteReference w:id="150"/>
      </w:r>
      <w:r w:rsidRPr="00C332F1">
        <w:rPr>
          <w:color w:val="auto"/>
          <w:lang w:val="es-ES"/>
        </w:rPr>
        <w:t>.</w:t>
      </w:r>
    </w:p>
    <w:p w14:paraId="3E613D3D" w14:textId="66847527" w:rsidR="00697B46" w:rsidRPr="00C332F1" w:rsidRDefault="00D40928" w:rsidP="00AD4280">
      <w:pPr>
        <w:pStyle w:val="IAPrrafo"/>
        <w:rPr>
          <w:color w:val="auto"/>
          <w:szCs w:val="20"/>
          <w:lang w:val="es-ES"/>
        </w:rPr>
      </w:pPr>
      <w:r w:rsidRPr="00C332F1">
        <w:rPr>
          <w:color w:val="auto"/>
          <w:lang w:val="es-ES"/>
        </w:rPr>
        <w:t xml:space="preserve">De conformidad con </w:t>
      </w:r>
      <w:r w:rsidR="00A07D76" w:rsidRPr="00C332F1">
        <w:rPr>
          <w:color w:val="auto"/>
          <w:lang w:val="es-ES"/>
        </w:rPr>
        <w:t xml:space="preserve">información pública, el 17 de agosto, efectivos de la Guardia Nacional Bolivariana (GNB) agredieron e intentaron detener al periodista David Marcano, del diario </w:t>
      </w:r>
      <w:r w:rsidR="00A07D76" w:rsidRPr="00C332F1">
        <w:rPr>
          <w:i/>
          <w:iCs/>
          <w:color w:val="auto"/>
          <w:lang w:val="es-ES"/>
        </w:rPr>
        <w:t>El Periodiquito</w:t>
      </w:r>
      <w:r w:rsidR="00A07D76" w:rsidRPr="00C332F1">
        <w:rPr>
          <w:color w:val="auto"/>
          <w:lang w:val="es-ES"/>
        </w:rPr>
        <w:t>, mientras cubría una protesta en la plaza Bicentenario de Maracay, estado Aragua</w:t>
      </w:r>
      <w:r w:rsidR="00A14F05">
        <w:rPr>
          <w:rFonts w:ascii="ZWAdobeF" w:hAnsi="ZWAdobeF" w:cs="ZWAdobeF"/>
          <w:color w:val="auto"/>
          <w:sz w:val="2"/>
          <w:szCs w:val="2"/>
          <w:lang w:val="es-ES"/>
        </w:rPr>
        <w:t>149F</w:t>
      </w:r>
      <w:r w:rsidR="00A07D76" w:rsidRPr="005C52BD">
        <w:rPr>
          <w:rStyle w:val="FootnoteReference"/>
          <w:color w:val="auto"/>
          <w:sz w:val="20"/>
          <w:szCs w:val="20"/>
          <w:lang w:val="es-ES"/>
        </w:rPr>
        <w:footnoteReference w:id="151"/>
      </w:r>
      <w:r w:rsidR="00A07D76" w:rsidRPr="00C332F1">
        <w:rPr>
          <w:color w:val="auto"/>
          <w:lang w:val="es-ES"/>
        </w:rPr>
        <w:t>. Por otro lado, el Colegio Nacional de Periodistas (CNP) denunció la detención arbitraria del periodista Víctor Ugas tras una confrontación con el creador de contenidos Emmanuel Marcano</w:t>
      </w:r>
      <w:r w:rsidR="00A14F05">
        <w:rPr>
          <w:rFonts w:ascii="ZWAdobeF" w:hAnsi="ZWAdobeF" w:cs="ZWAdobeF"/>
          <w:color w:val="auto"/>
          <w:sz w:val="2"/>
          <w:szCs w:val="2"/>
          <w:lang w:val="es-ES"/>
        </w:rPr>
        <w:t>150F</w:t>
      </w:r>
      <w:r w:rsidR="00A07D76" w:rsidRPr="005C52BD">
        <w:rPr>
          <w:rStyle w:val="FootnoteReference"/>
          <w:color w:val="auto"/>
          <w:sz w:val="20"/>
          <w:szCs w:val="20"/>
          <w:lang w:val="es-ES"/>
        </w:rPr>
        <w:footnoteReference w:id="152"/>
      </w:r>
      <w:r w:rsidR="00A07D76" w:rsidRPr="00C332F1">
        <w:rPr>
          <w:color w:val="auto"/>
          <w:lang w:val="es-ES"/>
        </w:rPr>
        <w:t>. Ugas habría sido presentado ante tribunales el 18 de agosto, bajo la imputación del delito de “instigación al odio”</w:t>
      </w:r>
      <w:r w:rsidR="00A07D76" w:rsidRPr="00C332F1">
        <w:rPr>
          <w:rStyle w:val="FootnoteReference"/>
          <w:color w:val="auto"/>
          <w:sz w:val="20"/>
          <w:szCs w:val="20"/>
          <w:lang w:val="es-ES"/>
        </w:rPr>
        <w:t xml:space="preserve"> </w:t>
      </w:r>
      <w:r w:rsidR="00A14F05">
        <w:rPr>
          <w:rFonts w:ascii="ZWAdobeF" w:hAnsi="ZWAdobeF" w:cs="ZWAdobeF"/>
          <w:color w:val="auto"/>
          <w:sz w:val="2"/>
          <w:szCs w:val="2"/>
          <w:lang w:val="es-ES"/>
        </w:rPr>
        <w:t>151F</w:t>
      </w:r>
      <w:r w:rsidR="00A07D76" w:rsidRPr="005C52BD">
        <w:rPr>
          <w:rStyle w:val="FootnoteReference"/>
          <w:color w:val="auto"/>
          <w:sz w:val="20"/>
          <w:szCs w:val="20"/>
          <w:lang w:val="es-ES"/>
        </w:rPr>
        <w:footnoteReference w:id="153"/>
      </w:r>
      <w:r w:rsidR="00A07D76" w:rsidRPr="00C332F1">
        <w:rPr>
          <w:color w:val="auto"/>
          <w:lang w:val="es-ES"/>
        </w:rPr>
        <w:t>. Además, el 25 de agosto, funcionarios de la Policía Nacional Bolivariana (PNB) habrían detenido a la periodista Carmela Longo en Caracas. Según el Sindicato Nacional de Trabajadores de la Prensa (SNTP), también arrestaron a su hijo y confiscaron sus equipos electrónicos</w:t>
      </w:r>
      <w:r w:rsidR="00A14F05">
        <w:rPr>
          <w:rFonts w:ascii="ZWAdobeF" w:hAnsi="ZWAdobeF" w:cs="ZWAdobeF"/>
          <w:color w:val="auto"/>
          <w:sz w:val="2"/>
          <w:szCs w:val="2"/>
          <w:lang w:val="es-ES"/>
        </w:rPr>
        <w:t>152F</w:t>
      </w:r>
      <w:r w:rsidR="00A07D76" w:rsidRPr="005C52BD">
        <w:rPr>
          <w:rStyle w:val="FootnoteReference"/>
          <w:color w:val="auto"/>
          <w:sz w:val="20"/>
          <w:szCs w:val="20"/>
          <w:lang w:val="es-ES"/>
        </w:rPr>
        <w:footnoteReference w:id="154"/>
      </w:r>
      <w:r w:rsidR="00A07D76" w:rsidRPr="00C332F1">
        <w:rPr>
          <w:color w:val="auto"/>
          <w:lang w:val="es-ES"/>
        </w:rPr>
        <w:t>. Longo habría sido trasladada a la Dirección de Investigación Penal (DIP) y excarcelada el 26 de agosto tras una audiencia, donde se le imputaron cargos de terrorismo e incitación al odio. Actualmente, se encontraría</w:t>
      </w:r>
      <w:r w:rsidR="00AD4280" w:rsidRPr="00C332F1">
        <w:rPr>
          <w:color w:val="auto"/>
          <w:lang w:val="es-ES"/>
        </w:rPr>
        <w:t xml:space="preserve"> con la obligación de presentarse de manera periódica ante autoridad judicial, </w:t>
      </w:r>
      <w:r w:rsidR="00A07D76" w:rsidRPr="00C332F1">
        <w:rPr>
          <w:color w:val="auto"/>
          <w:lang w:val="es-ES"/>
        </w:rPr>
        <w:t>con prohibición de salida del país y de comentar sobre su caso</w:t>
      </w:r>
      <w:r w:rsidR="00A14F05">
        <w:rPr>
          <w:rFonts w:ascii="ZWAdobeF" w:hAnsi="ZWAdobeF" w:cs="ZWAdobeF"/>
          <w:color w:val="auto"/>
          <w:sz w:val="2"/>
          <w:szCs w:val="2"/>
          <w:lang w:val="es-ES"/>
        </w:rPr>
        <w:t>153F</w:t>
      </w:r>
      <w:r w:rsidR="00A07D76" w:rsidRPr="005C52BD">
        <w:rPr>
          <w:rStyle w:val="FootnoteReference"/>
          <w:color w:val="auto"/>
          <w:sz w:val="20"/>
          <w:szCs w:val="20"/>
          <w:lang w:val="es-ES"/>
        </w:rPr>
        <w:footnoteReference w:id="155"/>
      </w:r>
      <w:r w:rsidR="00A07D76" w:rsidRPr="00C332F1">
        <w:rPr>
          <w:color w:val="auto"/>
          <w:lang w:val="es-ES"/>
        </w:rPr>
        <w:t>.</w:t>
      </w:r>
    </w:p>
    <w:p w14:paraId="7D5F39D3" w14:textId="5E589B8F" w:rsidR="00A07D76" w:rsidRPr="00C332F1" w:rsidRDefault="007601B5" w:rsidP="00A703B7">
      <w:pPr>
        <w:pStyle w:val="IAPrrafo"/>
        <w:rPr>
          <w:color w:val="auto"/>
          <w:szCs w:val="20"/>
          <w:lang w:val="es-ES"/>
        </w:rPr>
      </w:pPr>
      <w:r w:rsidRPr="00C332F1">
        <w:rPr>
          <w:color w:val="auto"/>
          <w:lang w:val="es-ES"/>
        </w:rPr>
        <w:t>Igualmente, se</w:t>
      </w:r>
      <w:r w:rsidR="00A07D76" w:rsidRPr="00C332F1">
        <w:rPr>
          <w:color w:val="auto"/>
          <w:lang w:val="es-ES"/>
        </w:rPr>
        <w:t xml:space="preserve"> recibi</w:t>
      </w:r>
      <w:r w:rsidR="20C6F057" w:rsidRPr="00C332F1">
        <w:rPr>
          <w:color w:val="auto"/>
          <w:lang w:val="es-ES"/>
        </w:rPr>
        <w:t>eron</w:t>
      </w:r>
      <w:r w:rsidR="00A07D76" w:rsidRPr="00C332F1">
        <w:rPr>
          <w:color w:val="auto"/>
          <w:lang w:val="es-ES"/>
        </w:rPr>
        <w:t xml:space="preserve"> reportes de la detención del periodista Nelin Escalante desde el 25 de octubre, tras ser abordado por funcionarios de la Dirección General de Contrainteligencia Militar (DGCIM) en el Centro Comercial Líder, ubicado en Caracas</w:t>
      </w:r>
      <w:r w:rsidR="00A14F05">
        <w:rPr>
          <w:rFonts w:ascii="ZWAdobeF" w:hAnsi="ZWAdobeF" w:cs="ZWAdobeF"/>
          <w:color w:val="auto"/>
          <w:sz w:val="2"/>
          <w:szCs w:val="2"/>
          <w:lang w:val="es-ES"/>
        </w:rPr>
        <w:t>154F</w:t>
      </w:r>
      <w:r w:rsidR="00A07D76" w:rsidRPr="005C52BD">
        <w:rPr>
          <w:rStyle w:val="FootnoteReference"/>
          <w:color w:val="auto"/>
          <w:sz w:val="20"/>
          <w:szCs w:val="20"/>
          <w:lang w:val="es-ES"/>
        </w:rPr>
        <w:footnoteReference w:id="156"/>
      </w:r>
      <w:r w:rsidR="00A07D76" w:rsidRPr="00C332F1">
        <w:rPr>
          <w:color w:val="auto"/>
          <w:lang w:val="es-ES"/>
        </w:rPr>
        <w:t>. Según denuncias del Colegio Nacional de Periodistas, Escalante fue posteriormente trasladado a la sede de la DGCIM en Boleíta</w:t>
      </w:r>
      <w:r w:rsidR="00A14F05">
        <w:rPr>
          <w:rFonts w:ascii="ZWAdobeF" w:hAnsi="ZWAdobeF" w:cs="ZWAdobeF"/>
          <w:color w:val="auto"/>
          <w:sz w:val="2"/>
          <w:szCs w:val="2"/>
          <w:lang w:val="es-ES"/>
        </w:rPr>
        <w:t>155F</w:t>
      </w:r>
      <w:r w:rsidR="00A07D76" w:rsidRPr="005C52BD">
        <w:rPr>
          <w:rStyle w:val="FootnoteReference"/>
          <w:color w:val="auto"/>
          <w:sz w:val="20"/>
          <w:szCs w:val="20"/>
          <w:lang w:val="es-ES"/>
        </w:rPr>
        <w:footnoteReference w:id="157"/>
      </w:r>
      <w:r w:rsidR="00A07D76" w:rsidRPr="00C332F1">
        <w:rPr>
          <w:color w:val="auto"/>
          <w:lang w:val="es-ES"/>
        </w:rPr>
        <w:t>. L</w:t>
      </w:r>
      <w:r w:rsidR="37342BCE" w:rsidRPr="00C332F1">
        <w:rPr>
          <w:color w:val="auto"/>
          <w:lang w:val="es-ES"/>
        </w:rPr>
        <w:t>a CIDH y su</w:t>
      </w:r>
      <w:r w:rsidR="00A07D76" w:rsidRPr="00C332F1">
        <w:rPr>
          <w:color w:val="auto"/>
          <w:lang w:val="es-ES"/>
        </w:rPr>
        <w:t xml:space="preserve"> Relatoría conoci</w:t>
      </w:r>
      <w:r w:rsidR="3AA91B1A" w:rsidRPr="00C332F1">
        <w:rPr>
          <w:color w:val="auto"/>
          <w:lang w:val="es-ES"/>
        </w:rPr>
        <w:t xml:space="preserve">eron </w:t>
      </w:r>
      <w:r w:rsidR="00A07D76" w:rsidRPr="00C332F1">
        <w:rPr>
          <w:color w:val="auto"/>
          <w:lang w:val="es-ES"/>
        </w:rPr>
        <w:t>que el periodista fue liberado el 31 de octubre tras permanecer seis días detenido</w:t>
      </w:r>
      <w:r w:rsidR="00A14F05">
        <w:rPr>
          <w:rFonts w:ascii="ZWAdobeF" w:hAnsi="ZWAdobeF" w:cs="ZWAdobeF"/>
          <w:color w:val="auto"/>
          <w:sz w:val="2"/>
          <w:szCs w:val="2"/>
          <w:lang w:val="es-ES"/>
        </w:rPr>
        <w:t>156F</w:t>
      </w:r>
      <w:r w:rsidR="00A07D76" w:rsidRPr="005C52BD">
        <w:rPr>
          <w:rStyle w:val="FootnoteReference"/>
          <w:color w:val="auto"/>
          <w:sz w:val="20"/>
          <w:szCs w:val="20"/>
          <w:lang w:val="es-ES"/>
        </w:rPr>
        <w:footnoteReference w:id="158"/>
      </w:r>
      <w:r w:rsidR="00A07D76" w:rsidRPr="00C332F1">
        <w:rPr>
          <w:color w:val="auto"/>
          <w:lang w:val="es-ES"/>
        </w:rPr>
        <w:t>.</w:t>
      </w:r>
    </w:p>
    <w:p w14:paraId="072187B1" w14:textId="0854AB66" w:rsidR="00A07D76" w:rsidRPr="00C332F1" w:rsidRDefault="00A07D76" w:rsidP="00A703B7">
      <w:pPr>
        <w:pStyle w:val="IAPrrafo"/>
        <w:rPr>
          <w:color w:val="auto"/>
          <w:szCs w:val="20"/>
          <w:lang w:val="es-ES"/>
        </w:rPr>
      </w:pPr>
      <w:r w:rsidRPr="00C332F1">
        <w:rPr>
          <w:color w:val="auto"/>
          <w:lang w:val="es-ES"/>
        </w:rPr>
        <w:t xml:space="preserve">A la fecha de cierre de redacción de este informe, la </w:t>
      </w:r>
      <w:r w:rsidR="2CEF2EE6" w:rsidRPr="00C332F1">
        <w:rPr>
          <w:color w:val="auto"/>
          <w:lang w:val="es-ES"/>
        </w:rPr>
        <w:t xml:space="preserve">CIDH y la </w:t>
      </w:r>
      <w:r w:rsidRPr="00C332F1">
        <w:rPr>
          <w:color w:val="auto"/>
          <w:lang w:val="es-ES"/>
        </w:rPr>
        <w:t>Relatoría Especial ha</w:t>
      </w:r>
      <w:r w:rsidR="3C8C5311" w:rsidRPr="00C332F1">
        <w:rPr>
          <w:color w:val="auto"/>
          <w:lang w:val="es-ES"/>
        </w:rPr>
        <w:t>n</w:t>
      </w:r>
      <w:r w:rsidRPr="00C332F1">
        <w:rPr>
          <w:color w:val="auto"/>
          <w:lang w:val="es-ES"/>
        </w:rPr>
        <w:t xml:space="preserve"> documentado la detención de</w:t>
      </w:r>
      <w:r w:rsidR="00AD4280" w:rsidRPr="00C332F1">
        <w:rPr>
          <w:color w:val="auto"/>
          <w:lang w:val="es-ES"/>
        </w:rPr>
        <w:t>,</w:t>
      </w:r>
      <w:r w:rsidRPr="00C332F1">
        <w:rPr>
          <w:color w:val="auto"/>
          <w:lang w:val="es-ES"/>
        </w:rPr>
        <w:t xml:space="preserve"> al menos</w:t>
      </w:r>
      <w:r w:rsidR="00AD4280" w:rsidRPr="00C332F1">
        <w:rPr>
          <w:color w:val="auto"/>
          <w:lang w:val="es-ES"/>
        </w:rPr>
        <w:t>,</w:t>
      </w:r>
      <w:r w:rsidRPr="00C332F1">
        <w:rPr>
          <w:color w:val="auto"/>
          <w:lang w:val="es-ES"/>
        </w:rPr>
        <w:t xml:space="preserve"> 12 periodistas tras las elecciones del 28 de julio. Al mismo tiempo, la C</w:t>
      </w:r>
      <w:r w:rsidR="577169DE" w:rsidRPr="00C332F1">
        <w:rPr>
          <w:color w:val="auto"/>
          <w:lang w:val="es-ES"/>
        </w:rPr>
        <w:t>omisión</w:t>
      </w:r>
      <w:r w:rsidRPr="00C332F1">
        <w:rPr>
          <w:color w:val="auto"/>
          <w:lang w:val="es-ES"/>
        </w:rPr>
        <w:t xml:space="preserve"> </w:t>
      </w:r>
      <w:r w:rsidR="6B61E0AD" w:rsidRPr="00C332F1">
        <w:rPr>
          <w:color w:val="auto"/>
          <w:lang w:val="es-ES"/>
        </w:rPr>
        <w:t xml:space="preserve">y la RELE </w:t>
      </w:r>
      <w:r w:rsidRPr="00C332F1">
        <w:rPr>
          <w:color w:val="auto"/>
          <w:lang w:val="es-ES"/>
        </w:rPr>
        <w:t>manifiesta</w:t>
      </w:r>
      <w:r w:rsidR="2AA59854" w:rsidRPr="00C332F1">
        <w:rPr>
          <w:color w:val="auto"/>
          <w:lang w:val="es-ES"/>
        </w:rPr>
        <w:t>n</w:t>
      </w:r>
      <w:r w:rsidRPr="00C332F1">
        <w:rPr>
          <w:color w:val="auto"/>
          <w:lang w:val="es-ES"/>
        </w:rPr>
        <w:t xml:space="preserve"> especial preocupación </w:t>
      </w:r>
      <w:r w:rsidR="00D40928" w:rsidRPr="00C332F1">
        <w:rPr>
          <w:color w:val="auto"/>
          <w:lang w:val="es-ES"/>
        </w:rPr>
        <w:t xml:space="preserve">ante </w:t>
      </w:r>
      <w:r w:rsidRPr="00C332F1">
        <w:rPr>
          <w:color w:val="auto"/>
          <w:lang w:val="es-ES"/>
        </w:rPr>
        <w:t>el fallecimiento del locutor y activista del partido Voluntad Popular, Edwin Santos, ocurrido el 25 de octubre</w:t>
      </w:r>
      <w:r w:rsidR="00A14F05">
        <w:rPr>
          <w:rFonts w:ascii="ZWAdobeF" w:hAnsi="ZWAdobeF" w:cs="ZWAdobeF"/>
          <w:color w:val="auto"/>
          <w:sz w:val="2"/>
          <w:szCs w:val="2"/>
          <w:lang w:val="es-ES"/>
        </w:rPr>
        <w:t>157F</w:t>
      </w:r>
      <w:r w:rsidRPr="005C52BD">
        <w:rPr>
          <w:rStyle w:val="FootnoteReference"/>
          <w:color w:val="auto"/>
          <w:sz w:val="20"/>
          <w:szCs w:val="20"/>
          <w:lang w:val="es-ES"/>
        </w:rPr>
        <w:footnoteReference w:id="159"/>
      </w:r>
      <w:r w:rsidRPr="00C332F1">
        <w:rPr>
          <w:color w:val="auto"/>
          <w:lang w:val="es-ES"/>
        </w:rPr>
        <w:t>.</w:t>
      </w:r>
    </w:p>
    <w:p w14:paraId="2C5F39D7" w14:textId="611A254E" w:rsidR="00A07D76" w:rsidRPr="00C332F1" w:rsidRDefault="00A07D76" w:rsidP="00A703B7">
      <w:pPr>
        <w:pStyle w:val="IAPrrafo"/>
        <w:rPr>
          <w:color w:val="auto"/>
          <w:szCs w:val="20"/>
          <w:lang w:val="es-ES"/>
        </w:rPr>
      </w:pPr>
      <w:r w:rsidRPr="00C332F1">
        <w:rPr>
          <w:color w:val="auto"/>
          <w:lang w:val="es-ES"/>
        </w:rPr>
        <w:t>Como ya ha</w:t>
      </w:r>
      <w:r w:rsidR="05DDFE86" w:rsidRPr="00C332F1">
        <w:rPr>
          <w:color w:val="auto"/>
          <w:lang w:val="es-ES"/>
        </w:rPr>
        <w:t>n</w:t>
      </w:r>
      <w:r w:rsidRPr="00C332F1">
        <w:rPr>
          <w:color w:val="auto"/>
          <w:lang w:val="es-ES"/>
        </w:rPr>
        <w:t xml:space="preserve"> señalado </w:t>
      </w:r>
      <w:r w:rsidR="4C25B961" w:rsidRPr="00C332F1">
        <w:rPr>
          <w:color w:val="auto"/>
          <w:lang w:val="es-ES"/>
        </w:rPr>
        <w:t xml:space="preserve">la CIDH y </w:t>
      </w:r>
      <w:r w:rsidR="007601B5" w:rsidRPr="00C332F1">
        <w:rPr>
          <w:color w:val="auto"/>
          <w:lang w:val="es-ES"/>
        </w:rPr>
        <w:t>la</w:t>
      </w:r>
      <w:r w:rsidR="4C25B961" w:rsidRPr="00C332F1">
        <w:rPr>
          <w:color w:val="auto"/>
          <w:lang w:val="es-ES"/>
        </w:rPr>
        <w:t xml:space="preserve"> </w:t>
      </w:r>
      <w:r w:rsidR="002A1589" w:rsidRPr="00C332F1">
        <w:rPr>
          <w:color w:val="auto"/>
          <w:lang w:val="es-ES"/>
        </w:rPr>
        <w:t>R</w:t>
      </w:r>
      <w:r w:rsidR="007601B5" w:rsidRPr="00C332F1">
        <w:rPr>
          <w:color w:val="auto"/>
          <w:lang w:val="es-ES"/>
        </w:rPr>
        <w:t>elator</w:t>
      </w:r>
      <w:r w:rsidR="002A1589" w:rsidRPr="00C332F1">
        <w:rPr>
          <w:color w:val="auto"/>
          <w:lang w:val="es-ES"/>
        </w:rPr>
        <w:t>ía</w:t>
      </w:r>
      <w:r w:rsidR="007601B5" w:rsidRPr="00C332F1">
        <w:rPr>
          <w:color w:val="auto"/>
          <w:lang w:val="es-ES"/>
        </w:rPr>
        <w:t xml:space="preserve"> Especial para la Libertad de </w:t>
      </w:r>
      <w:r w:rsidR="002A1589" w:rsidRPr="00C332F1">
        <w:rPr>
          <w:color w:val="auto"/>
          <w:lang w:val="es-ES"/>
        </w:rPr>
        <w:t>Expresión</w:t>
      </w:r>
      <w:r w:rsidRPr="00C332F1">
        <w:rPr>
          <w:color w:val="auto"/>
          <w:lang w:val="es-ES"/>
        </w:rPr>
        <w:t>, las detenciones de periodistas representan una de las principales tácticas utilizadas por el Gobierno para intimidarlos o como represalia por el ejercicio de su trabajo; y suelen realizarse sin orden judicial o fundamento jurídico</w:t>
      </w:r>
      <w:r w:rsidR="00A14F05">
        <w:rPr>
          <w:rFonts w:ascii="ZWAdobeF" w:hAnsi="ZWAdobeF" w:cs="ZWAdobeF"/>
          <w:color w:val="auto"/>
          <w:sz w:val="2"/>
          <w:szCs w:val="2"/>
          <w:lang w:val="es-ES"/>
        </w:rPr>
        <w:t>158F</w:t>
      </w:r>
      <w:r w:rsidRPr="005C52BD">
        <w:rPr>
          <w:rStyle w:val="FootnoteReference"/>
          <w:color w:val="auto"/>
          <w:sz w:val="20"/>
          <w:szCs w:val="20"/>
          <w:lang w:val="es-ES"/>
        </w:rPr>
        <w:footnoteReference w:id="160"/>
      </w:r>
      <w:r w:rsidRPr="00C332F1">
        <w:rPr>
          <w:color w:val="auto"/>
          <w:lang w:val="es-ES"/>
        </w:rPr>
        <w:t xml:space="preserve">. </w:t>
      </w:r>
      <w:r w:rsidR="002A1589" w:rsidRPr="00C332F1">
        <w:rPr>
          <w:color w:val="auto"/>
          <w:lang w:val="es-ES"/>
        </w:rPr>
        <w:t>De esa manera, se recuerda</w:t>
      </w:r>
      <w:r w:rsidR="1DDFA683" w:rsidRPr="00C332F1">
        <w:rPr>
          <w:color w:val="auto"/>
          <w:lang w:val="es-ES"/>
        </w:rPr>
        <w:t xml:space="preserve"> </w:t>
      </w:r>
      <w:r w:rsidRPr="00C332F1">
        <w:rPr>
          <w:color w:val="auto"/>
          <w:lang w:val="es-ES"/>
        </w:rPr>
        <w:t>que el periodismo es la manifestación primaria y principal de la libertad de expresión, ya que son las y los periodistas y los medios de comunicación quienes mantienen informada a la sociedad sobre los asuntos de interés público y contribuyen a la existencia de un debate público amplio, robusto y plural</w:t>
      </w:r>
      <w:r w:rsidR="00A14F05">
        <w:rPr>
          <w:rFonts w:ascii="ZWAdobeF" w:hAnsi="ZWAdobeF" w:cs="ZWAdobeF"/>
          <w:color w:val="auto"/>
          <w:sz w:val="2"/>
          <w:szCs w:val="2"/>
          <w:lang w:val="es-ES"/>
        </w:rPr>
        <w:t>159F</w:t>
      </w:r>
      <w:r w:rsidRPr="005C52BD">
        <w:rPr>
          <w:rStyle w:val="FootnoteReference"/>
          <w:color w:val="auto"/>
          <w:sz w:val="20"/>
          <w:szCs w:val="20"/>
          <w:lang w:val="es-ES"/>
        </w:rPr>
        <w:footnoteReference w:id="161"/>
      </w:r>
      <w:r w:rsidRPr="00C332F1">
        <w:rPr>
          <w:color w:val="auto"/>
          <w:lang w:val="es-ES"/>
        </w:rPr>
        <w:t>. Por esta razón, los Estados tienen la obligación de generar las condiciones para que las y los periodistas puedan ejercer su función de forma libre, independiente y segura</w:t>
      </w:r>
      <w:r w:rsidR="00A14F05">
        <w:rPr>
          <w:rFonts w:ascii="ZWAdobeF" w:hAnsi="ZWAdobeF" w:cs="ZWAdobeF"/>
          <w:color w:val="auto"/>
          <w:sz w:val="2"/>
          <w:szCs w:val="2"/>
          <w:lang w:val="es-ES"/>
        </w:rPr>
        <w:t>160F</w:t>
      </w:r>
      <w:r w:rsidRPr="005C52BD">
        <w:rPr>
          <w:rStyle w:val="FootnoteReference"/>
          <w:color w:val="auto"/>
          <w:sz w:val="20"/>
          <w:szCs w:val="20"/>
          <w:lang w:val="es-ES"/>
        </w:rPr>
        <w:footnoteReference w:id="162"/>
      </w:r>
      <w:r w:rsidRPr="00C332F1">
        <w:rPr>
          <w:color w:val="auto"/>
          <w:lang w:val="es-ES"/>
        </w:rPr>
        <w:t>.</w:t>
      </w:r>
    </w:p>
    <w:p w14:paraId="51B91415" w14:textId="60108AEF" w:rsidR="00A07D76" w:rsidRPr="00C332F1" w:rsidRDefault="00A07D76" w:rsidP="003B7616">
      <w:pPr>
        <w:pStyle w:val="IASubttulo3"/>
        <w:rPr>
          <w:lang w:val="es-ES"/>
        </w:rPr>
      </w:pPr>
      <w:bookmarkStart w:id="23" w:name="_Toc195617468"/>
      <w:r w:rsidRPr="00C332F1">
        <w:rPr>
          <w:lang w:val="es-ES"/>
        </w:rPr>
        <w:t>Hostigamiento y agresiones contra la prensa e impedimentos a la cobertura periodística</w:t>
      </w:r>
      <w:bookmarkEnd w:id="23"/>
    </w:p>
    <w:p w14:paraId="7C96F017" w14:textId="3F8DC549" w:rsidR="00697B46" w:rsidRPr="00C332F1" w:rsidRDefault="00A07D76" w:rsidP="008A10AD">
      <w:pPr>
        <w:pStyle w:val="IAPrrafo"/>
        <w:rPr>
          <w:color w:val="auto"/>
          <w:szCs w:val="20"/>
          <w:lang w:val="es-ES"/>
        </w:rPr>
      </w:pPr>
      <w:r w:rsidRPr="00C332F1">
        <w:rPr>
          <w:color w:val="auto"/>
          <w:lang w:val="es-ES"/>
        </w:rPr>
        <w:t>De acuerdo con información pública, periodistas nacionales y extranjeros enfrentan un clima de hostilidad y represión caracterizado por amenazas, agresiones físicas, censura y restricciones al acceso a la información</w:t>
      </w:r>
      <w:r w:rsidR="00A14F05">
        <w:rPr>
          <w:rFonts w:ascii="ZWAdobeF" w:hAnsi="ZWAdobeF" w:cs="ZWAdobeF"/>
          <w:color w:val="auto"/>
          <w:sz w:val="2"/>
          <w:szCs w:val="2"/>
          <w:lang w:val="es-ES"/>
        </w:rPr>
        <w:t>161F</w:t>
      </w:r>
      <w:r w:rsidRPr="005C52BD">
        <w:rPr>
          <w:rStyle w:val="FootnoteReference"/>
          <w:color w:val="auto"/>
          <w:sz w:val="20"/>
          <w:szCs w:val="20"/>
          <w:lang w:val="es-ES"/>
        </w:rPr>
        <w:footnoteReference w:id="163"/>
      </w:r>
      <w:r w:rsidRPr="00C332F1">
        <w:rPr>
          <w:color w:val="auto"/>
          <w:lang w:val="es-ES"/>
        </w:rPr>
        <w:t xml:space="preserve">. Así, por ejemplo, el 15 de febrero, René Herrera, periodista de la </w:t>
      </w:r>
      <w:r w:rsidRPr="00C332F1">
        <w:rPr>
          <w:i/>
          <w:iCs/>
          <w:color w:val="auto"/>
          <w:lang w:val="es-ES"/>
        </w:rPr>
        <w:t>Revista del Tuy</w:t>
      </w:r>
      <w:r w:rsidRPr="00C332F1">
        <w:rPr>
          <w:color w:val="auto"/>
          <w:lang w:val="es-ES"/>
        </w:rPr>
        <w:t>, denunció que trabajadores del Instituto de Ferrocarriles del Estado impidieron su cobertura en la estación Libertador Simón Bolívar (La Rinconada) al negar su acceso para verificar denuncias sobre irregularidades</w:t>
      </w:r>
      <w:r w:rsidR="00D40928" w:rsidRPr="00C332F1">
        <w:rPr>
          <w:color w:val="auto"/>
          <w:lang w:val="es-ES"/>
        </w:rPr>
        <w:t>; y que</w:t>
      </w:r>
      <w:r w:rsidRPr="00C332F1">
        <w:rPr>
          <w:color w:val="auto"/>
          <w:lang w:val="es-ES"/>
        </w:rPr>
        <w:t xml:space="preserve"> fue requisado por funcionarios de la Policía Nacional Bolivariana</w:t>
      </w:r>
      <w:r w:rsidR="00A14F05">
        <w:rPr>
          <w:rFonts w:ascii="ZWAdobeF" w:hAnsi="ZWAdobeF" w:cs="ZWAdobeF"/>
          <w:color w:val="auto"/>
          <w:sz w:val="2"/>
          <w:szCs w:val="2"/>
          <w:lang w:val="es-ES"/>
        </w:rPr>
        <w:t>162F</w:t>
      </w:r>
      <w:r w:rsidRPr="005C52BD">
        <w:rPr>
          <w:rStyle w:val="FootnoteReference"/>
          <w:color w:val="auto"/>
          <w:sz w:val="20"/>
          <w:szCs w:val="20"/>
          <w:lang w:val="es-ES"/>
        </w:rPr>
        <w:footnoteReference w:id="164"/>
      </w:r>
      <w:r w:rsidRPr="00C332F1">
        <w:rPr>
          <w:color w:val="auto"/>
          <w:lang w:val="es-ES"/>
        </w:rPr>
        <w:t>.</w:t>
      </w:r>
    </w:p>
    <w:p w14:paraId="068FD922" w14:textId="043FA3D5" w:rsidR="00A07D76" w:rsidRPr="00C332F1" w:rsidRDefault="00A07D76" w:rsidP="00C27B1B">
      <w:pPr>
        <w:pStyle w:val="IAPrrafo"/>
        <w:rPr>
          <w:color w:val="auto"/>
          <w:szCs w:val="20"/>
          <w:lang w:val="es-ES_tradnl"/>
        </w:rPr>
      </w:pPr>
      <w:r w:rsidRPr="00C332F1">
        <w:rPr>
          <w:color w:val="auto"/>
          <w:lang w:val="es-ES"/>
        </w:rPr>
        <w:t xml:space="preserve">Asimismo, Luis López, periodista del medio regional </w:t>
      </w:r>
      <w:r w:rsidRPr="00C332F1">
        <w:rPr>
          <w:i/>
          <w:iCs/>
          <w:color w:val="auto"/>
          <w:lang w:val="es-ES"/>
        </w:rPr>
        <w:t>La Verdad de Vargas</w:t>
      </w:r>
      <w:r w:rsidRPr="00C332F1">
        <w:rPr>
          <w:color w:val="auto"/>
          <w:lang w:val="es-ES"/>
        </w:rPr>
        <w:t>, informó el 24 de enero sobre la presencia de funcionarios policiales cerca de su hogar en la parroquia Carlos Soublette, estado Vargas. En un video difundido en redes sociales, López expresó su preocupación y afirmó que estaba realizando su trabajo y que no tiene “nada que esconder”</w:t>
      </w:r>
      <w:r w:rsidR="00A14F05">
        <w:rPr>
          <w:rFonts w:ascii="ZWAdobeF" w:hAnsi="ZWAdobeF" w:cs="ZWAdobeF"/>
          <w:color w:val="auto"/>
          <w:sz w:val="2"/>
          <w:szCs w:val="2"/>
          <w:lang w:val="es-ES"/>
        </w:rPr>
        <w:t>163F</w:t>
      </w:r>
      <w:r w:rsidRPr="005C52BD">
        <w:rPr>
          <w:rStyle w:val="FootnoteReference"/>
          <w:color w:val="auto"/>
          <w:sz w:val="20"/>
          <w:szCs w:val="20"/>
          <w:lang w:val="es-ES"/>
        </w:rPr>
        <w:footnoteReference w:id="165"/>
      </w:r>
      <w:r w:rsidRPr="00C332F1">
        <w:rPr>
          <w:color w:val="auto"/>
          <w:lang w:val="es-ES"/>
        </w:rPr>
        <w:t>. Además, denunció que funcionarios del SEBIN tomaron fotografías de su casa desde una moto y una camioneta</w:t>
      </w:r>
      <w:r w:rsidR="00A14F05">
        <w:rPr>
          <w:rFonts w:ascii="ZWAdobeF" w:hAnsi="ZWAdobeF" w:cs="ZWAdobeF"/>
          <w:color w:val="auto"/>
          <w:sz w:val="2"/>
          <w:szCs w:val="2"/>
          <w:lang w:val="es-ES"/>
        </w:rPr>
        <w:t>164F</w:t>
      </w:r>
      <w:r w:rsidRPr="005C52BD">
        <w:rPr>
          <w:rStyle w:val="FootnoteReference"/>
          <w:color w:val="auto"/>
          <w:sz w:val="20"/>
          <w:szCs w:val="20"/>
          <w:lang w:val="es-ES"/>
        </w:rPr>
        <w:footnoteReference w:id="166"/>
      </w:r>
      <w:r w:rsidRPr="00C332F1">
        <w:rPr>
          <w:color w:val="auto"/>
          <w:lang w:val="es-ES"/>
        </w:rPr>
        <w:t>.</w:t>
      </w:r>
    </w:p>
    <w:p w14:paraId="5530DF18" w14:textId="187CE3DE" w:rsidR="00A07D76" w:rsidRPr="00C332F1" w:rsidRDefault="00A07D76" w:rsidP="00531C27">
      <w:pPr>
        <w:pStyle w:val="IAPrrafo"/>
        <w:rPr>
          <w:color w:val="auto"/>
          <w:szCs w:val="20"/>
          <w:lang w:val="es-ES"/>
        </w:rPr>
      </w:pPr>
      <w:r w:rsidRPr="00C332F1">
        <w:rPr>
          <w:color w:val="auto"/>
          <w:lang w:val="es-ES"/>
        </w:rPr>
        <w:t xml:space="preserve">El 17 de enero, funcionarios de cuerpos de seguridad del Estado habrían obligado a Gerson Cuevas, periodista del canal de YouTube </w:t>
      </w:r>
      <w:r w:rsidRPr="00C332F1">
        <w:rPr>
          <w:i/>
          <w:iCs/>
          <w:color w:val="auto"/>
          <w:lang w:val="es-ES"/>
        </w:rPr>
        <w:t>Televisora Cultural Barinesa</w:t>
      </w:r>
      <w:r w:rsidRPr="00C332F1">
        <w:rPr>
          <w:color w:val="auto"/>
          <w:lang w:val="es-ES"/>
        </w:rPr>
        <w:t xml:space="preserve">, y a Neptalí Querales, reportero gráfico del diario </w:t>
      </w:r>
      <w:r w:rsidRPr="00C332F1">
        <w:rPr>
          <w:i/>
          <w:iCs/>
          <w:color w:val="auto"/>
          <w:lang w:val="es-ES"/>
        </w:rPr>
        <w:t>La Noticia de Barinas</w:t>
      </w:r>
      <w:r w:rsidRPr="00C332F1">
        <w:rPr>
          <w:color w:val="auto"/>
          <w:lang w:val="es-ES"/>
        </w:rPr>
        <w:t xml:space="preserve">, a entregar sus teléfonos. </w:t>
      </w:r>
      <w:r w:rsidR="00D40928" w:rsidRPr="00C332F1">
        <w:rPr>
          <w:color w:val="auto"/>
          <w:lang w:val="es-ES"/>
        </w:rPr>
        <w:t>Según</w:t>
      </w:r>
      <w:r w:rsidRPr="00C332F1">
        <w:rPr>
          <w:color w:val="auto"/>
          <w:lang w:val="es-ES"/>
        </w:rPr>
        <w:t xml:space="preserve"> con reportes públicos, les habrían borrado el contenido audiovisual relacionado con un operativo policial en la sede de la Federación Nacional de Sindicatos y Colegios de los Trabajadores de la Educación de Venezuela (Fenatev), donde fue detenido el profesor Víctor Venegas</w:t>
      </w:r>
      <w:r w:rsidR="00A14F05">
        <w:rPr>
          <w:rFonts w:ascii="ZWAdobeF" w:hAnsi="ZWAdobeF" w:cs="ZWAdobeF"/>
          <w:color w:val="auto"/>
          <w:sz w:val="2"/>
          <w:szCs w:val="2"/>
          <w:lang w:val="es-ES"/>
        </w:rPr>
        <w:t>165F</w:t>
      </w:r>
      <w:r w:rsidRPr="005C52BD">
        <w:rPr>
          <w:rStyle w:val="FootnoteReference"/>
          <w:color w:val="auto"/>
          <w:sz w:val="20"/>
          <w:szCs w:val="20"/>
          <w:lang w:val="es-ES"/>
        </w:rPr>
        <w:footnoteReference w:id="167"/>
      </w:r>
      <w:r w:rsidRPr="00C332F1">
        <w:rPr>
          <w:color w:val="auto"/>
          <w:lang w:val="es-ES"/>
        </w:rPr>
        <w:t>.</w:t>
      </w:r>
    </w:p>
    <w:p w14:paraId="39DEA290" w14:textId="1C8F7E61" w:rsidR="00A07D76" w:rsidRPr="00C332F1" w:rsidRDefault="00A07D76" w:rsidP="00531C27">
      <w:pPr>
        <w:pStyle w:val="IAPrrafo"/>
        <w:rPr>
          <w:color w:val="auto"/>
          <w:szCs w:val="20"/>
          <w:lang w:val="es-ES"/>
        </w:rPr>
      </w:pPr>
      <w:r w:rsidRPr="00C332F1">
        <w:rPr>
          <w:color w:val="auto"/>
          <w:lang w:val="es-ES"/>
        </w:rPr>
        <w:t>Durante la jornada electoral del 28 de julio de 2024, organizaciones de la sociedad civil documentaron al menos 15 casos y 16 denuncias de violaciones al derecho a la libertad de expresión. En particular, registraron prohibiciones de acceso a centros de votación para periodistas, a pesar de contar con acreditación del Consejo Nacional Electoral (CNE)</w:t>
      </w:r>
      <w:r w:rsidR="00A14F05">
        <w:rPr>
          <w:rFonts w:ascii="ZWAdobeF" w:hAnsi="ZWAdobeF" w:cs="ZWAdobeF"/>
          <w:color w:val="auto"/>
          <w:sz w:val="2"/>
          <w:szCs w:val="2"/>
          <w:lang w:val="es-ES"/>
        </w:rPr>
        <w:t>166F</w:t>
      </w:r>
      <w:r w:rsidRPr="005C52BD">
        <w:rPr>
          <w:rStyle w:val="FootnoteReference"/>
          <w:color w:val="auto"/>
          <w:sz w:val="20"/>
          <w:szCs w:val="20"/>
          <w:lang w:val="es-ES"/>
        </w:rPr>
        <w:footnoteReference w:id="168"/>
      </w:r>
      <w:r w:rsidRPr="00C332F1">
        <w:rPr>
          <w:color w:val="auto"/>
          <w:lang w:val="es-ES"/>
        </w:rPr>
        <w:t xml:space="preserve">. Entre las personas afectadas se encontrarían </w:t>
      </w:r>
      <w:r w:rsidR="00D40928" w:rsidRPr="00C332F1">
        <w:rPr>
          <w:color w:val="auto"/>
          <w:lang w:val="es-ES"/>
        </w:rPr>
        <w:t>nueve</w:t>
      </w:r>
      <w:r w:rsidRPr="00C332F1">
        <w:rPr>
          <w:color w:val="auto"/>
          <w:lang w:val="es-ES"/>
        </w:rPr>
        <w:t xml:space="preserve"> periodistas, </w:t>
      </w:r>
      <w:r w:rsidR="0071322D" w:rsidRPr="00C332F1">
        <w:rPr>
          <w:color w:val="auto"/>
          <w:lang w:val="es-ES"/>
        </w:rPr>
        <w:t xml:space="preserve">cuatro </w:t>
      </w:r>
      <w:r w:rsidRPr="00C332F1">
        <w:rPr>
          <w:color w:val="auto"/>
          <w:lang w:val="es-ES"/>
        </w:rPr>
        <w:t xml:space="preserve">medios de comunicación, </w:t>
      </w:r>
      <w:r w:rsidR="00D40928" w:rsidRPr="00C332F1">
        <w:rPr>
          <w:color w:val="auto"/>
          <w:lang w:val="es-ES"/>
        </w:rPr>
        <w:t>dos</w:t>
      </w:r>
      <w:r w:rsidRPr="00C332F1">
        <w:rPr>
          <w:color w:val="auto"/>
          <w:lang w:val="es-ES"/>
        </w:rPr>
        <w:t xml:space="preserve"> particulares, </w:t>
      </w:r>
      <w:r w:rsidR="00D40928" w:rsidRPr="00C332F1">
        <w:rPr>
          <w:color w:val="auto"/>
          <w:lang w:val="es-ES"/>
        </w:rPr>
        <w:t>dos</w:t>
      </w:r>
      <w:r w:rsidRPr="00C332F1">
        <w:rPr>
          <w:color w:val="auto"/>
          <w:lang w:val="es-ES"/>
        </w:rPr>
        <w:t xml:space="preserve"> reporteros gráficos y un camarógrafo</w:t>
      </w:r>
      <w:r w:rsidR="00A14F05">
        <w:rPr>
          <w:rFonts w:ascii="ZWAdobeF" w:hAnsi="ZWAdobeF" w:cs="ZWAdobeF"/>
          <w:color w:val="auto"/>
          <w:sz w:val="2"/>
          <w:szCs w:val="2"/>
          <w:lang w:val="es-ES"/>
        </w:rPr>
        <w:t>167F</w:t>
      </w:r>
      <w:r w:rsidRPr="005C52BD">
        <w:rPr>
          <w:rStyle w:val="FootnoteReference"/>
          <w:color w:val="auto"/>
          <w:sz w:val="20"/>
          <w:szCs w:val="20"/>
          <w:lang w:val="es-ES"/>
        </w:rPr>
        <w:footnoteReference w:id="169"/>
      </w:r>
      <w:r w:rsidRPr="00C332F1">
        <w:rPr>
          <w:color w:val="auto"/>
          <w:lang w:val="es-ES"/>
        </w:rPr>
        <w:t>.</w:t>
      </w:r>
    </w:p>
    <w:p w14:paraId="3C028C5A" w14:textId="0E87A442" w:rsidR="00A07D76" w:rsidRPr="00C332F1" w:rsidRDefault="00A07D76" w:rsidP="00531C27">
      <w:pPr>
        <w:pStyle w:val="IAPrrafo"/>
        <w:rPr>
          <w:color w:val="auto"/>
          <w:szCs w:val="20"/>
          <w:lang w:val="es-ES"/>
        </w:rPr>
      </w:pPr>
      <w:r w:rsidRPr="00C332F1">
        <w:rPr>
          <w:color w:val="auto"/>
          <w:lang w:val="es-ES"/>
        </w:rPr>
        <w:t>Tras las elecciones del 28 de julio, la CIDH y su Relatoría Especial alertaron sobre la escalada de represiva contra periodistas y medios de comunicación en Venezuela. Las principales agresiones contra la prensa incluyeron: allanamientos, cierres de medios, confiscación de equipos, cancelación de pasaportes, deportación de periodistas internacionales, despidos injustificados, amenazas y censura, lo que ha generado un clima de temor entre las y los profesionales de la comunicación, quienes se han visto obligados a restringir su actividad informativa</w:t>
      </w:r>
      <w:r w:rsidR="00A14F05">
        <w:rPr>
          <w:rFonts w:ascii="ZWAdobeF" w:hAnsi="ZWAdobeF" w:cs="ZWAdobeF"/>
          <w:color w:val="auto"/>
          <w:sz w:val="2"/>
          <w:szCs w:val="2"/>
          <w:lang w:val="es-ES"/>
        </w:rPr>
        <w:t>168F</w:t>
      </w:r>
      <w:r w:rsidRPr="005C52BD">
        <w:rPr>
          <w:rStyle w:val="FootnoteReference"/>
          <w:color w:val="auto"/>
          <w:sz w:val="20"/>
          <w:szCs w:val="20"/>
          <w:lang w:val="es-ES"/>
        </w:rPr>
        <w:footnoteReference w:id="170"/>
      </w:r>
      <w:r w:rsidRPr="00C332F1">
        <w:rPr>
          <w:color w:val="auto"/>
          <w:lang w:val="es-ES"/>
        </w:rPr>
        <w:t xml:space="preserve">. A nivel local, </w:t>
      </w:r>
      <w:r w:rsidR="6EAEB2FA" w:rsidRPr="00C332F1">
        <w:rPr>
          <w:color w:val="auto"/>
          <w:lang w:val="es-ES"/>
        </w:rPr>
        <w:t xml:space="preserve">la Comisión y </w:t>
      </w:r>
      <w:r w:rsidRPr="00C332F1">
        <w:rPr>
          <w:color w:val="auto"/>
          <w:lang w:val="es-ES"/>
        </w:rPr>
        <w:t>la Relatoría Especial</w:t>
      </w:r>
      <w:r w:rsidR="00227EB2" w:rsidRPr="00C332F1">
        <w:rPr>
          <w:color w:val="auto"/>
          <w:lang w:val="es-ES"/>
        </w:rPr>
        <w:t xml:space="preserve"> </w:t>
      </w:r>
      <w:r w:rsidRPr="00C332F1">
        <w:rPr>
          <w:color w:val="auto"/>
          <w:lang w:val="es-ES"/>
        </w:rPr>
        <w:t>recibi</w:t>
      </w:r>
      <w:r w:rsidR="531D5199" w:rsidRPr="00C332F1">
        <w:rPr>
          <w:color w:val="auto"/>
          <w:lang w:val="es-ES"/>
        </w:rPr>
        <w:t>eron</w:t>
      </w:r>
      <w:r w:rsidRPr="00C332F1">
        <w:rPr>
          <w:color w:val="auto"/>
          <w:lang w:val="es-ES"/>
        </w:rPr>
        <w:t xml:space="preserve"> reportes de amenazas de criminalización</w:t>
      </w:r>
      <w:r w:rsidRPr="00C332F1">
        <w:rPr>
          <w:rFonts w:cs="Tahoma"/>
          <w:color w:val="auto"/>
          <w:shd w:val="clear" w:color="auto" w:fill="FFFFFF"/>
          <w:lang w:val="es-ES"/>
        </w:rPr>
        <w:t xml:space="preserve"> </w:t>
      </w:r>
      <w:r w:rsidRPr="00C332F1">
        <w:rPr>
          <w:color w:val="auto"/>
          <w:lang w:val="es-ES"/>
        </w:rPr>
        <w:t xml:space="preserve">por parte de alcaldes, gobernadores y </w:t>
      </w:r>
      <w:r w:rsidR="00D40928" w:rsidRPr="00C332F1">
        <w:rPr>
          <w:color w:val="auto"/>
          <w:lang w:val="es-ES"/>
        </w:rPr>
        <w:t>“</w:t>
      </w:r>
      <w:r w:rsidRPr="00C332F1">
        <w:rPr>
          <w:color w:val="auto"/>
          <w:lang w:val="es-ES"/>
        </w:rPr>
        <w:t>colectivos</w:t>
      </w:r>
      <w:r w:rsidR="00D40928" w:rsidRPr="00C332F1">
        <w:rPr>
          <w:color w:val="auto"/>
          <w:lang w:val="es-ES"/>
        </w:rPr>
        <w:t>”</w:t>
      </w:r>
      <w:r w:rsidR="00A14F05">
        <w:rPr>
          <w:rFonts w:ascii="ZWAdobeF" w:hAnsi="ZWAdobeF" w:cs="ZWAdobeF"/>
          <w:color w:val="auto"/>
          <w:sz w:val="2"/>
          <w:szCs w:val="2"/>
          <w:lang w:val="es-ES"/>
        </w:rPr>
        <w:t>169F</w:t>
      </w:r>
      <w:r w:rsidRPr="005C52BD">
        <w:rPr>
          <w:rStyle w:val="FootnoteReference"/>
          <w:color w:val="auto"/>
          <w:sz w:val="20"/>
          <w:szCs w:val="20"/>
          <w:lang w:val="es-ES"/>
        </w:rPr>
        <w:footnoteReference w:id="171"/>
      </w:r>
      <w:r w:rsidRPr="00C332F1">
        <w:rPr>
          <w:color w:val="auto"/>
          <w:lang w:val="es-ES"/>
        </w:rPr>
        <w:t>. También se ha denunciado la circulación de panfletos y listas que contienen información personal de periodistas y miembros de mesas electorales para facilitar su detención</w:t>
      </w:r>
      <w:r w:rsidR="00A14F05">
        <w:rPr>
          <w:rFonts w:ascii="ZWAdobeF" w:hAnsi="ZWAdobeF" w:cs="ZWAdobeF"/>
          <w:color w:val="auto"/>
          <w:sz w:val="2"/>
          <w:szCs w:val="2"/>
          <w:lang w:val="es-ES"/>
        </w:rPr>
        <w:t>170F</w:t>
      </w:r>
      <w:r w:rsidRPr="005C52BD">
        <w:rPr>
          <w:rStyle w:val="FootnoteReference"/>
          <w:color w:val="auto"/>
          <w:sz w:val="20"/>
          <w:szCs w:val="20"/>
          <w:lang w:val="es-ES"/>
        </w:rPr>
        <w:footnoteReference w:id="172"/>
      </w:r>
      <w:r w:rsidRPr="00C332F1">
        <w:rPr>
          <w:color w:val="auto"/>
          <w:lang w:val="es-ES"/>
        </w:rPr>
        <w:t>.</w:t>
      </w:r>
    </w:p>
    <w:p w14:paraId="014D44EE" w14:textId="04B53785" w:rsidR="005E4E66" w:rsidRPr="00C332F1" w:rsidRDefault="00A07D76" w:rsidP="00CA3A6E">
      <w:pPr>
        <w:pStyle w:val="IAPrrafo"/>
        <w:rPr>
          <w:color w:val="auto"/>
          <w:szCs w:val="20"/>
          <w:lang w:val="es-ES"/>
        </w:rPr>
      </w:pPr>
      <w:r w:rsidRPr="00C332F1">
        <w:rPr>
          <w:color w:val="auto"/>
          <w:lang w:val="es-ES"/>
        </w:rPr>
        <w:t xml:space="preserve">En particular, en el 2024 se observó un patrón preocupante en la detención y expulsión de corresponsales internacionales en Venezuela, así como la prohibición de su entrada al país. Como fue el caso de las periodistas colombianas Carolina Trinidad y Vanessa de la Torre, de </w:t>
      </w:r>
      <w:r w:rsidRPr="00C332F1">
        <w:rPr>
          <w:i/>
          <w:iCs/>
          <w:color w:val="auto"/>
          <w:lang w:val="es-ES"/>
        </w:rPr>
        <w:t>Radio Caracol</w:t>
      </w:r>
      <w:r w:rsidRPr="00C332F1">
        <w:rPr>
          <w:color w:val="auto"/>
          <w:lang w:val="es-ES"/>
        </w:rPr>
        <w:t>, el 28 de julio, quienes habrían sido deportadas desde el aeropuerto de Maiquetía</w:t>
      </w:r>
      <w:r w:rsidR="00A14F05">
        <w:rPr>
          <w:rFonts w:ascii="ZWAdobeF" w:hAnsi="ZWAdobeF" w:cs="ZWAdobeF"/>
          <w:color w:val="auto"/>
          <w:sz w:val="2"/>
          <w:szCs w:val="2"/>
          <w:lang w:val="es-ES"/>
        </w:rPr>
        <w:t>171F</w:t>
      </w:r>
      <w:r w:rsidRPr="005C52BD">
        <w:rPr>
          <w:rStyle w:val="FootnoteReference"/>
          <w:color w:val="auto"/>
          <w:sz w:val="20"/>
          <w:szCs w:val="20"/>
          <w:lang w:val="es-ES"/>
        </w:rPr>
        <w:footnoteReference w:id="173"/>
      </w:r>
      <w:r w:rsidRPr="00C332F1">
        <w:rPr>
          <w:color w:val="auto"/>
          <w:lang w:val="es-ES"/>
        </w:rPr>
        <w:t>.</w:t>
      </w:r>
    </w:p>
    <w:p w14:paraId="451CD14A" w14:textId="105FE6D0" w:rsidR="00A07D76" w:rsidRPr="00C332F1" w:rsidRDefault="00A07D76" w:rsidP="00531C27">
      <w:pPr>
        <w:pStyle w:val="IAPrrafo"/>
        <w:rPr>
          <w:color w:val="auto"/>
          <w:szCs w:val="20"/>
          <w:lang w:val="es-ES"/>
        </w:rPr>
      </w:pPr>
      <w:r w:rsidRPr="00C332F1">
        <w:rPr>
          <w:color w:val="auto"/>
          <w:lang w:val="es-ES"/>
        </w:rPr>
        <w:t>El 1 de agosto, los periodistas chilenos Iván Núñez y José Luis Tapia habrían sido detenidos e incomunicados en el puesto militar de Chururú (Barinas) tras ingresar al país desde Cúcuta, Colombia</w:t>
      </w:r>
      <w:r w:rsidR="00A14F05">
        <w:rPr>
          <w:rFonts w:ascii="ZWAdobeF" w:hAnsi="ZWAdobeF" w:cs="ZWAdobeF"/>
          <w:color w:val="auto"/>
          <w:sz w:val="2"/>
          <w:szCs w:val="2"/>
          <w:lang w:val="es-ES"/>
        </w:rPr>
        <w:t>172F</w:t>
      </w:r>
      <w:r w:rsidRPr="005C52BD">
        <w:rPr>
          <w:rStyle w:val="FootnoteReference"/>
          <w:color w:val="auto"/>
          <w:sz w:val="20"/>
          <w:szCs w:val="20"/>
          <w:lang w:val="es-ES"/>
        </w:rPr>
        <w:footnoteReference w:id="174"/>
      </w:r>
      <w:r w:rsidRPr="00C332F1">
        <w:rPr>
          <w:color w:val="auto"/>
          <w:lang w:val="es-ES"/>
        </w:rPr>
        <w:t xml:space="preserve">. Similares hechos ocurrieron el 2 de agosto, con el periodista español Álvaro Nieto, director de </w:t>
      </w:r>
      <w:r w:rsidRPr="00C332F1">
        <w:rPr>
          <w:i/>
          <w:iCs/>
          <w:color w:val="auto"/>
          <w:lang w:val="es-ES"/>
        </w:rPr>
        <w:t>The Objective</w:t>
      </w:r>
      <w:r w:rsidRPr="00C332F1">
        <w:rPr>
          <w:color w:val="auto"/>
          <w:lang w:val="es-ES"/>
        </w:rPr>
        <w:t>, quien habría sido expulsado tras un interrogatorio de dos horas</w:t>
      </w:r>
      <w:r w:rsidR="00A14F05">
        <w:rPr>
          <w:rFonts w:ascii="ZWAdobeF" w:hAnsi="ZWAdobeF" w:cs="ZWAdobeF"/>
          <w:color w:val="auto"/>
          <w:sz w:val="2"/>
          <w:szCs w:val="2"/>
          <w:lang w:val="es-ES"/>
        </w:rPr>
        <w:t>173F</w:t>
      </w:r>
      <w:r w:rsidRPr="005C52BD">
        <w:rPr>
          <w:rStyle w:val="FootnoteReference"/>
          <w:color w:val="auto"/>
          <w:sz w:val="20"/>
          <w:szCs w:val="20"/>
          <w:lang w:val="es-ES"/>
        </w:rPr>
        <w:footnoteReference w:id="175"/>
      </w:r>
      <w:r w:rsidR="00227EB2" w:rsidRPr="00C332F1">
        <w:rPr>
          <w:rStyle w:val="FootnoteReference"/>
          <w:color w:val="auto"/>
          <w:sz w:val="20"/>
          <w:szCs w:val="20"/>
          <w:lang w:val="es-ES"/>
        </w:rPr>
        <w:t xml:space="preserve"> </w:t>
      </w:r>
      <w:r w:rsidRPr="00C332F1">
        <w:rPr>
          <w:color w:val="auto"/>
          <w:lang w:val="es-ES"/>
        </w:rPr>
        <w:t>y el 3 de agosto, la periodista ecuatoriana Dayana Krays</w:t>
      </w:r>
      <w:r w:rsidR="00A14F05">
        <w:rPr>
          <w:rFonts w:ascii="ZWAdobeF" w:hAnsi="ZWAdobeF" w:cs="ZWAdobeF"/>
          <w:color w:val="auto"/>
          <w:sz w:val="2"/>
          <w:szCs w:val="2"/>
          <w:lang w:val="es-ES"/>
        </w:rPr>
        <w:t>174F</w:t>
      </w:r>
      <w:r w:rsidRPr="005C52BD">
        <w:rPr>
          <w:rStyle w:val="FootnoteReference"/>
          <w:color w:val="auto"/>
          <w:sz w:val="20"/>
          <w:szCs w:val="20"/>
          <w:lang w:val="es-ES"/>
        </w:rPr>
        <w:footnoteReference w:id="176"/>
      </w:r>
      <w:r w:rsidRPr="00C332F1">
        <w:rPr>
          <w:color w:val="auto"/>
          <w:lang w:val="es-ES"/>
        </w:rPr>
        <w:t>. Igualmente, se conocieron reportes sobre la detención y expulsión del periodista italiano Marco Bariletti</w:t>
      </w:r>
      <w:r w:rsidR="00A14F05">
        <w:rPr>
          <w:rFonts w:ascii="ZWAdobeF" w:hAnsi="ZWAdobeF" w:cs="ZWAdobeF"/>
          <w:color w:val="auto"/>
          <w:sz w:val="2"/>
          <w:szCs w:val="2"/>
          <w:lang w:val="es-ES"/>
        </w:rPr>
        <w:t>175F</w:t>
      </w:r>
      <w:r w:rsidRPr="005C52BD">
        <w:rPr>
          <w:rStyle w:val="FootnoteReference"/>
          <w:color w:val="auto"/>
          <w:sz w:val="20"/>
          <w:szCs w:val="20"/>
          <w:lang w:val="es-ES"/>
        </w:rPr>
        <w:footnoteReference w:id="177"/>
      </w:r>
      <w:r w:rsidRPr="00C332F1">
        <w:rPr>
          <w:color w:val="auto"/>
          <w:lang w:val="es-ES"/>
        </w:rPr>
        <w:t>.</w:t>
      </w:r>
    </w:p>
    <w:p w14:paraId="7A67B3D4" w14:textId="40235F71" w:rsidR="00A07D76" w:rsidRPr="00C332F1" w:rsidRDefault="00A07D76" w:rsidP="00531C27">
      <w:pPr>
        <w:pStyle w:val="IAPrrafo"/>
        <w:rPr>
          <w:color w:val="auto"/>
          <w:szCs w:val="20"/>
          <w:lang w:val="es-ES"/>
        </w:rPr>
      </w:pPr>
      <w:r w:rsidRPr="00C332F1">
        <w:rPr>
          <w:color w:val="auto"/>
          <w:lang w:val="es-ES"/>
        </w:rPr>
        <w:t>También se registró reportes sobre la deportación del periodista argentino Jorge Pizarro. La Asociación de Entidades Periodísticas Argentinas (ADEPA) rechazó enérgicamente su detención y posible expulsión</w:t>
      </w:r>
      <w:r w:rsidR="00A14F05">
        <w:rPr>
          <w:rFonts w:ascii="ZWAdobeF" w:hAnsi="ZWAdobeF" w:cs="ZWAdobeF"/>
          <w:color w:val="auto"/>
          <w:sz w:val="2"/>
          <w:szCs w:val="2"/>
          <w:lang w:val="es-ES"/>
        </w:rPr>
        <w:t>176F</w:t>
      </w:r>
      <w:r w:rsidRPr="005C52BD">
        <w:rPr>
          <w:rStyle w:val="FootnoteReference"/>
          <w:color w:val="auto"/>
          <w:sz w:val="20"/>
          <w:szCs w:val="20"/>
          <w:lang w:val="es-ES"/>
        </w:rPr>
        <w:footnoteReference w:id="178"/>
      </w:r>
      <w:r w:rsidRPr="00C332F1">
        <w:rPr>
          <w:color w:val="auto"/>
          <w:lang w:val="es-ES"/>
        </w:rPr>
        <w:t>. La periodista italiana Barbara Schiavulli denunció que a un grupo de reporteros internacionales se les negó la visa dos días antes de su viaje, impidiéndoles cubrir las elecciones presidenciales</w:t>
      </w:r>
      <w:r w:rsidR="00A14F05">
        <w:rPr>
          <w:rFonts w:ascii="ZWAdobeF" w:hAnsi="ZWAdobeF" w:cs="ZWAdobeF"/>
          <w:color w:val="auto"/>
          <w:sz w:val="2"/>
          <w:szCs w:val="2"/>
          <w:lang w:val="es-ES"/>
        </w:rPr>
        <w:t>177F</w:t>
      </w:r>
      <w:r w:rsidRPr="005C52BD">
        <w:rPr>
          <w:rStyle w:val="FootnoteReference"/>
          <w:color w:val="auto"/>
          <w:sz w:val="20"/>
          <w:szCs w:val="20"/>
          <w:lang w:val="es-ES"/>
        </w:rPr>
        <w:footnoteReference w:id="179"/>
      </w:r>
      <w:r w:rsidRPr="00C332F1">
        <w:rPr>
          <w:color w:val="auto"/>
          <w:lang w:val="es-ES"/>
        </w:rPr>
        <w:t>.</w:t>
      </w:r>
    </w:p>
    <w:p w14:paraId="586B439B" w14:textId="28114A8B" w:rsidR="00A07D76" w:rsidRPr="00C332F1" w:rsidRDefault="00A07D76" w:rsidP="00531C27">
      <w:pPr>
        <w:pStyle w:val="IAPrrafo"/>
        <w:rPr>
          <w:color w:val="auto"/>
          <w:szCs w:val="20"/>
          <w:lang w:val="es-ES"/>
        </w:rPr>
      </w:pPr>
      <w:r w:rsidRPr="00C332F1">
        <w:rPr>
          <w:color w:val="auto"/>
          <w:lang w:val="es-ES"/>
        </w:rPr>
        <w:t>La</w:t>
      </w:r>
      <w:r w:rsidR="57E7B733" w:rsidRPr="00C332F1">
        <w:rPr>
          <w:color w:val="auto"/>
          <w:lang w:val="es-ES"/>
        </w:rPr>
        <w:t xml:space="preserve"> Comisión y la RELE</w:t>
      </w:r>
      <w:r w:rsidRPr="00C332F1">
        <w:rPr>
          <w:color w:val="auto"/>
          <w:lang w:val="es-ES"/>
        </w:rPr>
        <w:t xml:space="preserve"> </w:t>
      </w:r>
      <w:r w:rsidR="00D40928" w:rsidRPr="00C332F1">
        <w:rPr>
          <w:color w:val="auto"/>
          <w:lang w:val="es-ES"/>
        </w:rPr>
        <w:t xml:space="preserve">fueron anoticiados </w:t>
      </w:r>
      <w:r w:rsidRPr="00C332F1">
        <w:rPr>
          <w:color w:val="auto"/>
          <w:lang w:val="es-ES"/>
        </w:rPr>
        <w:t xml:space="preserve">sobre la detención y expulsión del reportero del medio español </w:t>
      </w:r>
      <w:r w:rsidRPr="00C332F1">
        <w:rPr>
          <w:i/>
          <w:iCs/>
          <w:color w:val="auto"/>
          <w:lang w:val="es-ES"/>
        </w:rPr>
        <w:t>Ok Diario</w:t>
      </w:r>
      <w:r w:rsidRPr="00C332F1">
        <w:rPr>
          <w:color w:val="auto"/>
          <w:lang w:val="es-ES"/>
        </w:rPr>
        <w:t xml:space="preserve">, Cake Minuesa, durante las elecciones del 28 de julio. Minuesa, quien habría calificado de “fraude” el resultado anunciado por el CNE, fue detenido por funcionarios de la Dirección de Contrainteligencia Militar (DGCIM). Según </w:t>
      </w:r>
      <w:r w:rsidRPr="00C332F1">
        <w:rPr>
          <w:i/>
          <w:iCs/>
          <w:color w:val="auto"/>
          <w:lang w:val="es-ES"/>
        </w:rPr>
        <w:t>Ok Diario</w:t>
      </w:r>
      <w:r w:rsidRPr="00C332F1">
        <w:rPr>
          <w:color w:val="auto"/>
          <w:lang w:val="es-ES"/>
        </w:rPr>
        <w:t>, fue trasladado a Bogotá el 29 de julio para ser deportado a España. De acuerdo con reportes públicos, el periodista fue liberado tras las gestiones de la Cancillería española y la Embajada de España en Caracas</w:t>
      </w:r>
      <w:r w:rsidR="00A14F05">
        <w:rPr>
          <w:rFonts w:ascii="ZWAdobeF" w:hAnsi="ZWAdobeF" w:cs="ZWAdobeF"/>
          <w:color w:val="auto"/>
          <w:sz w:val="2"/>
          <w:szCs w:val="2"/>
          <w:lang w:val="es-ES"/>
        </w:rPr>
        <w:t>178F</w:t>
      </w:r>
      <w:r w:rsidRPr="005C52BD">
        <w:rPr>
          <w:rStyle w:val="FootnoteReference"/>
          <w:color w:val="auto"/>
          <w:sz w:val="20"/>
          <w:szCs w:val="20"/>
          <w:lang w:val="es-ES"/>
        </w:rPr>
        <w:footnoteReference w:id="180"/>
      </w:r>
      <w:r w:rsidRPr="00C332F1">
        <w:rPr>
          <w:color w:val="auto"/>
          <w:lang w:val="es-ES"/>
        </w:rPr>
        <w:t>.</w:t>
      </w:r>
    </w:p>
    <w:p w14:paraId="6CA3592A" w14:textId="3A657DD4" w:rsidR="00A07D76" w:rsidRPr="00C332F1" w:rsidRDefault="00A07D76" w:rsidP="00531C27">
      <w:pPr>
        <w:pStyle w:val="IAPrrafo"/>
        <w:rPr>
          <w:color w:val="auto"/>
          <w:szCs w:val="20"/>
          <w:lang w:val="es-ES"/>
        </w:rPr>
      </w:pPr>
      <w:r w:rsidRPr="00C332F1">
        <w:rPr>
          <w:color w:val="auto"/>
          <w:lang w:val="es-ES"/>
        </w:rPr>
        <w:t>En el periodo poselectoral también se registró el despido de</w:t>
      </w:r>
      <w:r w:rsidR="00D40928" w:rsidRPr="00C332F1">
        <w:rPr>
          <w:color w:val="auto"/>
          <w:lang w:val="es-ES"/>
        </w:rPr>
        <w:t>,</w:t>
      </w:r>
      <w:r w:rsidRPr="00C332F1">
        <w:rPr>
          <w:color w:val="auto"/>
          <w:lang w:val="es-ES"/>
        </w:rPr>
        <w:t xml:space="preserve"> al menos</w:t>
      </w:r>
      <w:r w:rsidR="00D40928" w:rsidRPr="00C332F1">
        <w:rPr>
          <w:color w:val="auto"/>
          <w:lang w:val="es-ES"/>
        </w:rPr>
        <w:t>,</w:t>
      </w:r>
      <w:r w:rsidRPr="00C332F1">
        <w:rPr>
          <w:color w:val="auto"/>
          <w:lang w:val="es-ES"/>
        </w:rPr>
        <w:t xml:space="preserve"> 100 trabajadores del canal público </w:t>
      </w:r>
      <w:r w:rsidRPr="00C332F1">
        <w:rPr>
          <w:i/>
          <w:iCs/>
          <w:color w:val="auto"/>
          <w:lang w:val="es-ES"/>
        </w:rPr>
        <w:t>Venezolana de Televisión</w:t>
      </w:r>
      <w:r w:rsidRPr="00C332F1">
        <w:rPr>
          <w:color w:val="auto"/>
          <w:lang w:val="es-ES"/>
        </w:rPr>
        <w:t xml:space="preserve">, tras la revisión de sus estados y contenido en la aplicación de mensajería instantánea WhatsApp, donde se encontraron mensajes contrarios al gobierno. </w:t>
      </w:r>
      <w:r w:rsidR="00D40928" w:rsidRPr="00C332F1">
        <w:rPr>
          <w:color w:val="auto"/>
          <w:lang w:val="es-ES"/>
        </w:rPr>
        <w:t xml:space="preserve">Conforme </w:t>
      </w:r>
      <w:r w:rsidRPr="00C332F1">
        <w:rPr>
          <w:color w:val="auto"/>
          <w:lang w:val="es-ES"/>
        </w:rPr>
        <w:t xml:space="preserve">información pública disponible, la oficina de </w:t>
      </w:r>
      <w:r w:rsidR="00D40928" w:rsidRPr="00C332F1">
        <w:rPr>
          <w:color w:val="auto"/>
          <w:lang w:val="es-ES"/>
        </w:rPr>
        <w:t>r</w:t>
      </w:r>
      <w:r w:rsidRPr="00C332F1">
        <w:rPr>
          <w:color w:val="auto"/>
          <w:lang w:val="es-ES"/>
        </w:rPr>
        <w:t xml:space="preserve">ecursos </w:t>
      </w:r>
      <w:r w:rsidR="00D40928" w:rsidRPr="00C332F1">
        <w:rPr>
          <w:color w:val="auto"/>
          <w:lang w:val="es-ES"/>
        </w:rPr>
        <w:t>h</w:t>
      </w:r>
      <w:r w:rsidR="00F07438" w:rsidRPr="00C332F1">
        <w:rPr>
          <w:color w:val="auto"/>
          <w:szCs w:val="20"/>
          <w:lang w:val="es-ES"/>
        </w:rPr>
        <w:softHyphen/>
      </w:r>
      <w:r w:rsidR="00F07438" w:rsidRPr="00C332F1">
        <w:rPr>
          <w:color w:val="auto"/>
          <w:szCs w:val="20"/>
          <w:lang w:val="es-ES"/>
        </w:rPr>
        <w:softHyphen/>
      </w:r>
      <w:r w:rsidRPr="00C332F1">
        <w:rPr>
          <w:color w:val="auto"/>
          <w:lang w:val="es-ES"/>
        </w:rPr>
        <w:t>umanos del canal estaría monitoreando las publicaciones de los trabajadores</w:t>
      </w:r>
      <w:r w:rsidR="00A14F05">
        <w:rPr>
          <w:rFonts w:ascii="ZWAdobeF" w:hAnsi="ZWAdobeF" w:cs="ZWAdobeF"/>
          <w:color w:val="auto"/>
          <w:sz w:val="2"/>
          <w:szCs w:val="2"/>
          <w:lang w:val="es-ES"/>
        </w:rPr>
        <w:t>179F</w:t>
      </w:r>
      <w:r w:rsidRPr="005C52BD">
        <w:rPr>
          <w:rStyle w:val="FootnoteReference"/>
          <w:color w:val="auto"/>
          <w:sz w:val="20"/>
          <w:szCs w:val="20"/>
          <w:lang w:val="es-ES"/>
        </w:rPr>
        <w:footnoteReference w:id="181"/>
      </w:r>
      <w:r w:rsidRPr="00C332F1">
        <w:rPr>
          <w:color w:val="auto"/>
          <w:lang w:val="es-ES"/>
        </w:rPr>
        <w:t>.</w:t>
      </w:r>
    </w:p>
    <w:p w14:paraId="15EE9205" w14:textId="232CDB33" w:rsidR="00697B46" w:rsidRPr="00C332F1" w:rsidRDefault="00A07D76" w:rsidP="00531C27">
      <w:pPr>
        <w:pStyle w:val="IAPrrafo"/>
        <w:rPr>
          <w:color w:val="auto"/>
          <w:lang w:val="es-ES"/>
        </w:rPr>
      </w:pPr>
      <w:r w:rsidRPr="00C332F1">
        <w:rPr>
          <w:color w:val="auto"/>
          <w:lang w:val="es-ES"/>
        </w:rPr>
        <w:t xml:space="preserve">Al respecto, </w:t>
      </w:r>
      <w:r w:rsidR="00DF6855" w:rsidRPr="00C332F1">
        <w:rPr>
          <w:color w:val="auto"/>
          <w:lang w:val="es-ES"/>
        </w:rPr>
        <w:t>se recuerda</w:t>
      </w:r>
      <w:r w:rsidRPr="00C332F1">
        <w:rPr>
          <w:color w:val="auto"/>
          <w:lang w:val="es-ES"/>
        </w:rPr>
        <w:t xml:space="preserve"> que la intimidación y amenaza a los comunicadores sociales coarta severamente la libertad de expresión, y que es deber del Estado prevenir e investigar estos hechos</w:t>
      </w:r>
      <w:r w:rsidR="00A14F05">
        <w:rPr>
          <w:rFonts w:ascii="ZWAdobeF" w:hAnsi="ZWAdobeF" w:cs="ZWAdobeF"/>
          <w:color w:val="auto"/>
          <w:sz w:val="2"/>
          <w:szCs w:val="2"/>
          <w:lang w:val="es-ES"/>
        </w:rPr>
        <w:t>180F</w:t>
      </w:r>
      <w:r w:rsidRPr="005C52BD">
        <w:rPr>
          <w:rStyle w:val="FootnoteReference"/>
          <w:color w:val="auto"/>
          <w:sz w:val="20"/>
          <w:szCs w:val="20"/>
          <w:lang w:val="es-ES"/>
        </w:rPr>
        <w:footnoteReference w:id="182"/>
      </w:r>
      <w:r w:rsidRPr="00C332F1">
        <w:rPr>
          <w:color w:val="auto"/>
          <w:lang w:val="es-ES"/>
        </w:rPr>
        <w:t>. La Comisión y su Relatoría Especial han sostenido que los ataques contra periodistas y medios de comunicación tienen el objetivo de silenciarlos, por lo que no sólo se vulnera el derecho individual de las y los reporteros a expresar y difundir sus ideas, opiniones, e información, sino también afectan el derecho que tiene una sociedad a acceder libremente a la información</w:t>
      </w:r>
      <w:r w:rsidR="00A14F05">
        <w:rPr>
          <w:rFonts w:ascii="ZWAdobeF" w:hAnsi="ZWAdobeF" w:cs="ZWAdobeF"/>
          <w:color w:val="auto"/>
          <w:sz w:val="2"/>
          <w:szCs w:val="2"/>
          <w:lang w:val="es-ES"/>
        </w:rPr>
        <w:t>181F</w:t>
      </w:r>
      <w:r w:rsidRPr="005C52BD">
        <w:rPr>
          <w:rStyle w:val="FootnoteReference"/>
          <w:color w:val="auto"/>
          <w:sz w:val="20"/>
          <w:szCs w:val="20"/>
          <w:lang w:val="es-ES"/>
        </w:rPr>
        <w:footnoteReference w:id="183"/>
      </w:r>
      <w:r w:rsidRPr="00C332F1">
        <w:rPr>
          <w:color w:val="auto"/>
          <w:lang w:val="es-ES"/>
        </w:rPr>
        <w:t>. Una prensa independiente y crítica constituye un elemento fundamental para la vigencia de las demás libertades que integran el sistema democrático y el estado de derecho</w:t>
      </w:r>
      <w:r w:rsidR="00A14F05">
        <w:rPr>
          <w:rFonts w:ascii="ZWAdobeF" w:hAnsi="ZWAdobeF" w:cs="ZWAdobeF"/>
          <w:color w:val="auto"/>
          <w:sz w:val="2"/>
          <w:szCs w:val="2"/>
          <w:lang w:val="es-ES"/>
        </w:rPr>
        <w:t>182F</w:t>
      </w:r>
      <w:r w:rsidRPr="005C52BD">
        <w:rPr>
          <w:rStyle w:val="FootnoteReference"/>
          <w:color w:val="auto"/>
          <w:sz w:val="20"/>
          <w:szCs w:val="20"/>
          <w:lang w:val="es-ES"/>
        </w:rPr>
        <w:footnoteReference w:id="184"/>
      </w:r>
      <w:r w:rsidRPr="00C332F1">
        <w:rPr>
          <w:color w:val="auto"/>
          <w:lang w:val="es-ES"/>
        </w:rPr>
        <w:t>.</w:t>
      </w:r>
    </w:p>
    <w:p w14:paraId="37554A57" w14:textId="00AFB675" w:rsidR="00A07D76" w:rsidRPr="00C332F1" w:rsidRDefault="00A07D76" w:rsidP="00531C27">
      <w:pPr>
        <w:pStyle w:val="IAPrrafo"/>
        <w:rPr>
          <w:color w:val="auto"/>
          <w:szCs w:val="20"/>
          <w:lang w:val="es-ES"/>
        </w:rPr>
      </w:pPr>
      <w:r w:rsidRPr="00C332F1">
        <w:rPr>
          <w:color w:val="auto"/>
          <w:lang w:val="es-ES"/>
        </w:rPr>
        <w:t>A esto, se suman reportes sobre declaraciones estigmatizantes hacia periodistas y medios independientes. Funcionarios públicos, tanto a nivel nacional como local, frecuentemente los y las califican de “golpistas”, “cómplices” y “terroristas financiados”</w:t>
      </w:r>
      <w:r w:rsidR="00A14F05">
        <w:rPr>
          <w:rFonts w:ascii="ZWAdobeF" w:hAnsi="ZWAdobeF" w:cs="ZWAdobeF"/>
          <w:color w:val="auto"/>
          <w:sz w:val="2"/>
          <w:szCs w:val="2"/>
          <w:lang w:val="es-ES"/>
        </w:rPr>
        <w:t>183F</w:t>
      </w:r>
      <w:r w:rsidRPr="005C52BD">
        <w:rPr>
          <w:rStyle w:val="FootnoteReference"/>
          <w:color w:val="auto"/>
          <w:sz w:val="20"/>
          <w:szCs w:val="20"/>
          <w:lang w:val="es-ES"/>
        </w:rPr>
        <w:footnoteReference w:id="185"/>
      </w:r>
      <w:r w:rsidRPr="00C332F1">
        <w:rPr>
          <w:color w:val="auto"/>
          <w:lang w:val="es-ES"/>
        </w:rPr>
        <w:t>. Así, por ejemplo, el 25 de marzo, el presidente criticó a las agencias de noticias EFE (España), AFP (Francia) y AP (EE. UU.) por no cubrir a ninguno de los más de 10 candidatos postulados. Al respecto, afirmó “[n]o tienen moral las agencias de Occidente, de Estados Unidos, Europa y de la derecha. Tapan la realidad de Venezuela”</w:t>
      </w:r>
      <w:r w:rsidR="00A14F05">
        <w:rPr>
          <w:rFonts w:ascii="ZWAdobeF" w:hAnsi="ZWAdobeF" w:cs="ZWAdobeF"/>
          <w:color w:val="auto"/>
          <w:sz w:val="2"/>
          <w:szCs w:val="2"/>
          <w:lang w:val="es-ES"/>
        </w:rPr>
        <w:t>184F</w:t>
      </w:r>
      <w:r w:rsidRPr="005C52BD">
        <w:rPr>
          <w:rStyle w:val="FootnoteReference"/>
          <w:color w:val="auto"/>
          <w:sz w:val="20"/>
          <w:szCs w:val="20"/>
          <w:lang w:val="es-ES"/>
        </w:rPr>
        <w:footnoteReference w:id="186"/>
      </w:r>
      <w:r w:rsidRPr="00C332F1">
        <w:rPr>
          <w:color w:val="auto"/>
          <w:lang w:val="es-ES"/>
        </w:rPr>
        <w:t>. De igual manera, habría descalificado a otras agencias de noticias como CNN en Español, acusándola de intentar “manchar el proceso electoral”</w:t>
      </w:r>
      <w:r w:rsidR="00A14F05">
        <w:rPr>
          <w:rFonts w:ascii="ZWAdobeF" w:hAnsi="ZWAdobeF" w:cs="ZWAdobeF"/>
          <w:color w:val="auto"/>
          <w:sz w:val="2"/>
          <w:szCs w:val="2"/>
          <w:lang w:val="es-ES"/>
        </w:rPr>
        <w:t>185F</w:t>
      </w:r>
      <w:r w:rsidRPr="005C52BD">
        <w:rPr>
          <w:rStyle w:val="FootnoteReference"/>
          <w:color w:val="auto"/>
          <w:sz w:val="20"/>
          <w:szCs w:val="20"/>
          <w:lang w:val="es-ES"/>
        </w:rPr>
        <w:footnoteReference w:id="187"/>
      </w:r>
      <w:r w:rsidRPr="00C332F1">
        <w:rPr>
          <w:color w:val="auto"/>
          <w:lang w:val="es-ES"/>
        </w:rPr>
        <w:t>. De acuerdo con reportes públicos, estas declaraciones reflejan una conducta recurrente durante su campaña</w:t>
      </w:r>
      <w:r w:rsidR="00A14F05">
        <w:rPr>
          <w:rFonts w:ascii="ZWAdobeF" w:hAnsi="ZWAdobeF" w:cs="ZWAdobeF"/>
          <w:color w:val="auto"/>
          <w:sz w:val="2"/>
          <w:szCs w:val="2"/>
          <w:lang w:val="es-ES"/>
        </w:rPr>
        <w:t>186F</w:t>
      </w:r>
      <w:r w:rsidRPr="005C52BD">
        <w:rPr>
          <w:rStyle w:val="FootnoteReference"/>
          <w:color w:val="auto"/>
          <w:sz w:val="20"/>
          <w:szCs w:val="20"/>
          <w:lang w:val="es-ES"/>
        </w:rPr>
        <w:footnoteReference w:id="188"/>
      </w:r>
      <w:r w:rsidRPr="00C332F1">
        <w:rPr>
          <w:color w:val="auto"/>
          <w:lang w:val="es-ES"/>
        </w:rPr>
        <w:t>.</w:t>
      </w:r>
    </w:p>
    <w:p w14:paraId="5509B738" w14:textId="0088953F" w:rsidR="003B42DF" w:rsidRPr="00F970C7" w:rsidRDefault="5B598CDC" w:rsidP="00F970C7">
      <w:pPr>
        <w:pStyle w:val="IAPrrafo"/>
        <w:rPr>
          <w:color w:val="auto"/>
          <w:szCs w:val="20"/>
          <w:lang w:val="es-ES"/>
        </w:rPr>
      </w:pPr>
      <w:r w:rsidRPr="00C332F1">
        <w:rPr>
          <w:color w:val="auto"/>
          <w:lang w:val="es-ES"/>
        </w:rPr>
        <w:t xml:space="preserve">La CIDH y </w:t>
      </w:r>
      <w:r w:rsidR="00DF6855" w:rsidRPr="00C332F1">
        <w:rPr>
          <w:color w:val="auto"/>
          <w:lang w:val="es-ES"/>
        </w:rPr>
        <w:t>su Relatoría para la Libertad de Expresión reafirman</w:t>
      </w:r>
      <w:r w:rsidR="00A07D76" w:rsidRPr="00C332F1">
        <w:rPr>
          <w:color w:val="auto"/>
          <w:lang w:val="es-ES"/>
        </w:rPr>
        <w:t xml:space="preserve"> que las autoridades públicas están llamadas a mantener un discurso favorable a la deliberación pública y a la libertad de expresión. En este sentido, tienen el deber de abstenerse de hacer declaraciones estigmatizantes o intencionadamente falsas, que puedan incrementar el riesgo de ataques a su vida e integridad, inherente a la profesión</w:t>
      </w:r>
      <w:r w:rsidR="00A14F05">
        <w:rPr>
          <w:rFonts w:ascii="ZWAdobeF" w:hAnsi="ZWAdobeF" w:cs="ZWAdobeF"/>
          <w:color w:val="auto"/>
          <w:sz w:val="2"/>
          <w:szCs w:val="2"/>
          <w:lang w:val="es-ES"/>
        </w:rPr>
        <w:t>187F</w:t>
      </w:r>
      <w:r w:rsidR="00A07D76" w:rsidRPr="005C52BD">
        <w:rPr>
          <w:rStyle w:val="FootnoteReference"/>
          <w:color w:val="auto"/>
          <w:sz w:val="20"/>
          <w:szCs w:val="20"/>
          <w:lang w:val="es-ES"/>
        </w:rPr>
        <w:footnoteReference w:id="189"/>
      </w:r>
      <w:r w:rsidR="00A07D76" w:rsidRPr="00C332F1">
        <w:rPr>
          <w:color w:val="auto"/>
          <w:lang w:val="es-ES"/>
        </w:rPr>
        <w:t>. Los estándares internacionales de derechos humanos exigen que las autoridades traten con respeto y equidad a las personas periodistas en entrevistas en ruedas de prensa. El sistema interamericano de derechos humanos entiende que las declaraciones estigmatizantes provenientes de funcionarios públicos podrían constituir una restricción indirecta al derecho a la libertad de expresión</w:t>
      </w:r>
      <w:r w:rsidR="00A14F05">
        <w:rPr>
          <w:rFonts w:ascii="ZWAdobeF" w:hAnsi="ZWAdobeF" w:cs="ZWAdobeF"/>
          <w:color w:val="auto"/>
          <w:sz w:val="2"/>
          <w:szCs w:val="2"/>
          <w:lang w:val="es-ES"/>
        </w:rPr>
        <w:t>188F</w:t>
      </w:r>
      <w:r w:rsidR="00A07D76" w:rsidRPr="005C52BD">
        <w:rPr>
          <w:rStyle w:val="FootnoteReference"/>
          <w:color w:val="auto"/>
          <w:sz w:val="20"/>
          <w:szCs w:val="20"/>
          <w:lang w:val="es-ES"/>
        </w:rPr>
        <w:footnoteReference w:id="190"/>
      </w:r>
      <w:r w:rsidR="00A07D76" w:rsidRPr="00C332F1">
        <w:rPr>
          <w:color w:val="auto"/>
          <w:lang w:val="es-ES"/>
        </w:rPr>
        <w:t>.</w:t>
      </w:r>
    </w:p>
    <w:p w14:paraId="3B9EC8D1" w14:textId="346385E9" w:rsidR="00A07D76" w:rsidRPr="00C332F1" w:rsidRDefault="00A07D76" w:rsidP="003B7616">
      <w:pPr>
        <w:pStyle w:val="IASubttulo3"/>
        <w:rPr>
          <w:lang w:val="es-ES"/>
        </w:rPr>
      </w:pPr>
      <w:bookmarkStart w:id="24" w:name="_Toc195617469"/>
      <w:r w:rsidRPr="00C332F1">
        <w:rPr>
          <w:lang w:val="es-ES_tradnl"/>
        </w:rPr>
        <w:t>Ataques, allanamientos y cierre de medios de comunicación</w:t>
      </w:r>
      <w:bookmarkEnd w:id="24"/>
    </w:p>
    <w:p w14:paraId="4B2CC964" w14:textId="289C085F" w:rsidR="00A07D76" w:rsidRPr="00C332F1" w:rsidRDefault="00A07D76" w:rsidP="00531C27">
      <w:pPr>
        <w:pStyle w:val="IAPrrafo"/>
        <w:rPr>
          <w:color w:val="auto"/>
          <w:szCs w:val="20"/>
          <w:lang w:val="es-ES"/>
        </w:rPr>
      </w:pPr>
      <w:r w:rsidRPr="00C332F1">
        <w:rPr>
          <w:color w:val="auto"/>
          <w:lang w:val="es-ES"/>
        </w:rPr>
        <w:t>Al final de 2023, organizaciones de la sociedad civil documentaron el cierre de</w:t>
      </w:r>
      <w:r w:rsidR="00D40928" w:rsidRPr="00C332F1">
        <w:rPr>
          <w:color w:val="auto"/>
          <w:lang w:val="es-ES"/>
        </w:rPr>
        <w:t>, por lo</w:t>
      </w:r>
      <w:r w:rsidRPr="00C332F1">
        <w:rPr>
          <w:color w:val="auto"/>
          <w:lang w:val="es-ES"/>
        </w:rPr>
        <w:t xml:space="preserve"> menos</w:t>
      </w:r>
      <w:r w:rsidR="00D40928" w:rsidRPr="00C332F1">
        <w:rPr>
          <w:color w:val="auto"/>
          <w:lang w:val="es-ES"/>
        </w:rPr>
        <w:t>,</w:t>
      </w:r>
      <w:r w:rsidRPr="00C332F1">
        <w:rPr>
          <w:color w:val="auto"/>
          <w:lang w:val="es-ES"/>
        </w:rPr>
        <w:t xml:space="preserve"> 408 medios de comunicación en Venezuela durante los últimos 20 años, resultado de un prolongado proceso de restricción de espacios informativos y del ejercicio del periodismo en el país</w:t>
      </w:r>
      <w:r w:rsidR="00A14F05">
        <w:rPr>
          <w:rFonts w:ascii="ZWAdobeF" w:hAnsi="ZWAdobeF" w:cs="ZWAdobeF"/>
          <w:color w:val="auto"/>
          <w:sz w:val="2"/>
          <w:szCs w:val="2"/>
          <w:lang w:val="es-ES"/>
        </w:rPr>
        <w:t>189F</w:t>
      </w:r>
      <w:r w:rsidRPr="005C52BD">
        <w:rPr>
          <w:rStyle w:val="FootnoteReference"/>
          <w:color w:val="auto"/>
          <w:sz w:val="20"/>
          <w:szCs w:val="20"/>
          <w:lang w:val="es-ES"/>
        </w:rPr>
        <w:footnoteReference w:id="191"/>
      </w:r>
      <w:r w:rsidRPr="00C332F1">
        <w:rPr>
          <w:color w:val="auto"/>
          <w:lang w:val="es-ES"/>
        </w:rPr>
        <w:t>. De acuerdo con reportes públicos, las emisoras de radio han sido las más afectadas, con 285 estaciones cerradas en las dos últimas décadas, lo que representa un 71 % del total de medios clausurados</w:t>
      </w:r>
      <w:r w:rsidR="00A14F05">
        <w:rPr>
          <w:rFonts w:ascii="ZWAdobeF" w:hAnsi="ZWAdobeF" w:cs="ZWAdobeF"/>
          <w:color w:val="auto"/>
          <w:sz w:val="2"/>
          <w:szCs w:val="2"/>
          <w:lang w:val="es-ES"/>
        </w:rPr>
        <w:t>190F</w:t>
      </w:r>
      <w:r w:rsidRPr="005C52BD">
        <w:rPr>
          <w:rStyle w:val="FootnoteReference"/>
          <w:color w:val="auto"/>
          <w:sz w:val="20"/>
          <w:szCs w:val="20"/>
          <w:lang w:val="es-ES"/>
        </w:rPr>
        <w:footnoteReference w:id="192"/>
      </w:r>
      <w:r w:rsidRPr="00C332F1">
        <w:rPr>
          <w:color w:val="auto"/>
          <w:lang w:val="es-ES"/>
        </w:rPr>
        <w:t>.</w:t>
      </w:r>
    </w:p>
    <w:p w14:paraId="09D8CB07" w14:textId="0519EA62" w:rsidR="005E4E66" w:rsidRPr="00C332F1" w:rsidRDefault="00A07D76" w:rsidP="00CA3A6E">
      <w:pPr>
        <w:pStyle w:val="IAPrrafo"/>
        <w:rPr>
          <w:color w:val="auto"/>
          <w:szCs w:val="20"/>
          <w:lang w:val="es-ES"/>
        </w:rPr>
      </w:pPr>
      <w:r w:rsidRPr="00C332F1">
        <w:rPr>
          <w:color w:val="auto"/>
          <w:lang w:val="es-ES"/>
        </w:rPr>
        <w:t>La ONG Espacio Público ha señalado la escasez de información en regiones como Falcón, donde operan 36 estaciones de radio, de las cuales 29 solo transmiten música y contenidos alineados con el gobierno</w:t>
      </w:r>
      <w:r w:rsidR="00A14F05">
        <w:rPr>
          <w:rFonts w:ascii="ZWAdobeF" w:hAnsi="ZWAdobeF" w:cs="ZWAdobeF"/>
          <w:color w:val="auto"/>
          <w:sz w:val="2"/>
          <w:szCs w:val="2"/>
          <w:lang w:val="es-ES"/>
        </w:rPr>
        <w:t>191F</w:t>
      </w:r>
      <w:r w:rsidRPr="005C52BD">
        <w:rPr>
          <w:rStyle w:val="FootnoteReference"/>
          <w:color w:val="auto"/>
          <w:sz w:val="20"/>
          <w:szCs w:val="20"/>
          <w:lang w:val="es-ES"/>
        </w:rPr>
        <w:footnoteReference w:id="193"/>
      </w:r>
      <w:r w:rsidRPr="00C332F1">
        <w:rPr>
          <w:color w:val="auto"/>
          <w:lang w:val="es-ES"/>
        </w:rPr>
        <w:t xml:space="preserve">. </w:t>
      </w:r>
      <w:r w:rsidR="00D40928" w:rsidRPr="00C332F1">
        <w:rPr>
          <w:color w:val="auto"/>
          <w:lang w:val="es-ES"/>
        </w:rPr>
        <w:t>También ha documentado que</w:t>
      </w:r>
      <w:r w:rsidRPr="00C332F1">
        <w:rPr>
          <w:color w:val="auto"/>
          <w:lang w:val="es-ES"/>
        </w:rPr>
        <w:t xml:space="preserve"> 13 estados carecen de medios de comunicación independientes tras estos cierres, incluyendo Amazonas, Apure, Aragua, Barinas, Cojedes, Delta Amacuro, Falcón, Guárico, Mérida, Monagas, Portuguesa, Sucre y Trujillo</w:t>
      </w:r>
      <w:r w:rsidR="00A14F05">
        <w:rPr>
          <w:rFonts w:ascii="ZWAdobeF" w:hAnsi="ZWAdobeF" w:cs="ZWAdobeF"/>
          <w:color w:val="auto"/>
          <w:sz w:val="2"/>
          <w:szCs w:val="2"/>
          <w:lang w:val="es-ES"/>
        </w:rPr>
        <w:t>192F</w:t>
      </w:r>
      <w:r w:rsidRPr="005C52BD">
        <w:rPr>
          <w:rStyle w:val="FootnoteReference"/>
          <w:color w:val="auto"/>
          <w:sz w:val="20"/>
          <w:szCs w:val="20"/>
          <w:lang w:val="es-ES"/>
        </w:rPr>
        <w:footnoteReference w:id="194"/>
      </w:r>
      <w:r w:rsidRPr="00C332F1">
        <w:rPr>
          <w:color w:val="auto"/>
          <w:lang w:val="es-ES"/>
        </w:rPr>
        <w:t>.</w:t>
      </w:r>
    </w:p>
    <w:p w14:paraId="625B36FA" w14:textId="4E41779F" w:rsidR="00A07D76" w:rsidRPr="00C332F1" w:rsidRDefault="00A07D76" w:rsidP="00531C27">
      <w:pPr>
        <w:pStyle w:val="IAPrrafo"/>
        <w:rPr>
          <w:color w:val="auto"/>
          <w:szCs w:val="20"/>
          <w:lang w:val="es-ES"/>
        </w:rPr>
      </w:pPr>
      <w:r w:rsidRPr="00C332F1">
        <w:rPr>
          <w:color w:val="auto"/>
          <w:lang w:val="es-ES"/>
        </w:rPr>
        <w:t xml:space="preserve">Entre enero y abril de 2024, la </w:t>
      </w:r>
      <w:r w:rsidR="3F72C86E" w:rsidRPr="00C332F1">
        <w:rPr>
          <w:color w:val="auto"/>
          <w:lang w:val="es-ES"/>
        </w:rPr>
        <w:t xml:space="preserve">CIDH y la </w:t>
      </w:r>
      <w:r w:rsidRPr="00C332F1">
        <w:rPr>
          <w:color w:val="auto"/>
          <w:lang w:val="es-ES"/>
        </w:rPr>
        <w:t>Relatoría Especial conoci</w:t>
      </w:r>
      <w:r w:rsidR="24AC1B88" w:rsidRPr="00C332F1">
        <w:rPr>
          <w:color w:val="auto"/>
          <w:lang w:val="es-ES"/>
        </w:rPr>
        <w:t>eron</w:t>
      </w:r>
      <w:r w:rsidRPr="00C332F1">
        <w:rPr>
          <w:color w:val="auto"/>
          <w:lang w:val="es-ES"/>
        </w:rPr>
        <w:t xml:space="preserve"> reportes del cierre de al menos 13 emisoras de radio en los estados de Apure, Bolívar, Carabobo, Distrito Capital, Lara, Portuguesa, Trujillo y Zulia</w:t>
      </w:r>
      <w:r w:rsidR="00A14F05">
        <w:rPr>
          <w:rFonts w:ascii="ZWAdobeF" w:hAnsi="ZWAdobeF" w:cs="ZWAdobeF"/>
          <w:color w:val="auto"/>
          <w:sz w:val="2"/>
          <w:szCs w:val="2"/>
          <w:lang w:val="es-ES"/>
        </w:rPr>
        <w:t>193F</w:t>
      </w:r>
      <w:r w:rsidRPr="005C52BD">
        <w:rPr>
          <w:rStyle w:val="FootnoteReference"/>
          <w:color w:val="auto"/>
          <w:sz w:val="20"/>
          <w:szCs w:val="20"/>
          <w:lang w:val="es-ES"/>
        </w:rPr>
        <w:footnoteReference w:id="195"/>
      </w:r>
      <w:r w:rsidRPr="00C332F1">
        <w:rPr>
          <w:color w:val="auto"/>
          <w:lang w:val="es-ES"/>
        </w:rPr>
        <w:t xml:space="preserve">. </w:t>
      </w:r>
      <w:r w:rsidR="00D40928" w:rsidRPr="00C332F1">
        <w:rPr>
          <w:color w:val="auto"/>
          <w:lang w:val="es-ES"/>
        </w:rPr>
        <w:t xml:space="preserve">Según </w:t>
      </w:r>
      <w:r w:rsidRPr="00C332F1">
        <w:rPr>
          <w:color w:val="auto"/>
          <w:lang w:val="es-ES"/>
        </w:rPr>
        <w:t>información pública, estos cierres son parte de una política gubernamental destinada a limitar la difusión de opiniones e informaciones.</w:t>
      </w:r>
    </w:p>
    <w:p w14:paraId="528E6F9D" w14:textId="4096F1EE" w:rsidR="00A07D76" w:rsidRPr="00C332F1" w:rsidRDefault="00A07D76" w:rsidP="00531C27">
      <w:pPr>
        <w:pStyle w:val="IAPrrafo"/>
        <w:rPr>
          <w:color w:val="auto"/>
          <w:szCs w:val="20"/>
          <w:lang w:val="es-ES_tradnl"/>
        </w:rPr>
      </w:pPr>
      <w:r w:rsidRPr="00C332F1">
        <w:rPr>
          <w:color w:val="auto"/>
          <w:lang w:val="es-ES"/>
        </w:rPr>
        <w:t xml:space="preserve">El 23 de enero de 2024, </w:t>
      </w:r>
      <w:r w:rsidRPr="00C332F1">
        <w:rPr>
          <w:i/>
          <w:iCs/>
          <w:color w:val="auto"/>
          <w:lang w:val="es-ES"/>
        </w:rPr>
        <w:t>Radio Hispana 89.5 FM</w:t>
      </w:r>
      <w:r w:rsidRPr="00C332F1">
        <w:rPr>
          <w:color w:val="auto"/>
          <w:lang w:val="es-ES"/>
        </w:rPr>
        <w:t xml:space="preserve"> en San Felipe, Yaracuy, habría sido vandalizada por grupos desconocidos que pintaron </w:t>
      </w:r>
      <w:r w:rsidR="00D40928" w:rsidRPr="00C332F1">
        <w:rPr>
          <w:color w:val="auto"/>
          <w:lang w:val="es-ES"/>
        </w:rPr>
        <w:t>“</w:t>
      </w:r>
      <w:r w:rsidRPr="00C332F1">
        <w:rPr>
          <w:color w:val="auto"/>
          <w:lang w:val="es-ES"/>
        </w:rPr>
        <w:t>Furia Bolivariana 2024</w:t>
      </w:r>
      <w:r w:rsidR="00D40928" w:rsidRPr="00C332F1">
        <w:rPr>
          <w:color w:val="auto"/>
          <w:lang w:val="es-ES"/>
        </w:rPr>
        <w:t>”</w:t>
      </w:r>
      <w:r w:rsidRPr="00C332F1">
        <w:rPr>
          <w:color w:val="auto"/>
          <w:lang w:val="es-ES"/>
        </w:rPr>
        <w:t>. Este acto se repitió en comercios y partidos de oposición</w:t>
      </w:r>
      <w:r w:rsidR="00A14F05">
        <w:rPr>
          <w:rFonts w:ascii="ZWAdobeF" w:hAnsi="ZWAdobeF" w:cs="ZWAdobeF"/>
          <w:color w:val="auto"/>
          <w:sz w:val="2"/>
          <w:szCs w:val="2"/>
          <w:lang w:val="es-ES"/>
        </w:rPr>
        <w:t>194F</w:t>
      </w:r>
      <w:r w:rsidRPr="005C52BD">
        <w:rPr>
          <w:rStyle w:val="FootnoteReference"/>
          <w:color w:val="auto"/>
          <w:sz w:val="20"/>
          <w:szCs w:val="20"/>
          <w:lang w:val="es-ES"/>
        </w:rPr>
        <w:footnoteReference w:id="196"/>
      </w:r>
      <w:r w:rsidRPr="00C332F1">
        <w:rPr>
          <w:color w:val="auto"/>
          <w:lang w:val="es-ES"/>
        </w:rPr>
        <w:t>.</w:t>
      </w:r>
    </w:p>
    <w:p w14:paraId="27D23108" w14:textId="242DEF3E" w:rsidR="00A07D76" w:rsidRPr="00C332F1" w:rsidRDefault="00A07D76" w:rsidP="00531C27">
      <w:pPr>
        <w:pStyle w:val="IAPrrafo"/>
        <w:rPr>
          <w:color w:val="auto"/>
          <w:szCs w:val="20"/>
          <w:lang w:val="es-ES"/>
        </w:rPr>
      </w:pPr>
      <w:r w:rsidRPr="00C332F1">
        <w:rPr>
          <w:color w:val="auto"/>
          <w:lang w:val="es-ES"/>
        </w:rPr>
        <w:t>La</w:t>
      </w:r>
      <w:r w:rsidR="007BEAC1" w:rsidRPr="00C332F1">
        <w:rPr>
          <w:color w:val="auto"/>
          <w:lang w:val="es-ES"/>
        </w:rPr>
        <w:t xml:space="preserve"> CIDH y su</w:t>
      </w:r>
      <w:r w:rsidRPr="00C332F1">
        <w:rPr>
          <w:color w:val="auto"/>
          <w:lang w:val="es-ES"/>
        </w:rPr>
        <w:t xml:space="preserve"> Relatoría Especial tom</w:t>
      </w:r>
      <w:r w:rsidR="26B53A9D" w:rsidRPr="00C332F1">
        <w:rPr>
          <w:color w:val="auto"/>
          <w:lang w:val="es-ES"/>
        </w:rPr>
        <w:t>aron</w:t>
      </w:r>
      <w:r w:rsidRPr="00C332F1">
        <w:rPr>
          <w:color w:val="auto"/>
          <w:lang w:val="es-ES"/>
        </w:rPr>
        <w:t xml:space="preserve"> conocimiento de que el 2 de febrero, la Comisión Nacional de Telecomunicaciones (Conatel) habría cerrado la emisora </w:t>
      </w:r>
      <w:r w:rsidRPr="00C332F1">
        <w:rPr>
          <w:i/>
          <w:iCs/>
          <w:color w:val="auto"/>
          <w:lang w:val="es-ES"/>
        </w:rPr>
        <w:t>Onda 100.9 FM</w:t>
      </w:r>
      <w:r w:rsidRPr="00C332F1">
        <w:rPr>
          <w:color w:val="auto"/>
          <w:lang w:val="es-ES"/>
        </w:rPr>
        <w:t xml:space="preserve"> en Valencia, Carabobo. </w:t>
      </w:r>
      <w:r w:rsidR="00D40928" w:rsidRPr="00C332F1">
        <w:rPr>
          <w:color w:val="auto"/>
          <w:lang w:val="es-ES"/>
        </w:rPr>
        <w:t xml:space="preserve">Conforme </w:t>
      </w:r>
      <w:r w:rsidRPr="00C332F1">
        <w:rPr>
          <w:color w:val="auto"/>
          <w:lang w:val="es-ES"/>
        </w:rPr>
        <w:t>el SNTP, la emisora había sido inspeccionada previamente en 2023</w:t>
      </w:r>
      <w:r w:rsidR="00A14F05">
        <w:rPr>
          <w:rFonts w:ascii="ZWAdobeF" w:hAnsi="ZWAdobeF" w:cs="ZWAdobeF"/>
          <w:color w:val="auto"/>
          <w:sz w:val="2"/>
          <w:szCs w:val="2"/>
          <w:lang w:val="es-ES"/>
        </w:rPr>
        <w:t>195F</w:t>
      </w:r>
      <w:r w:rsidRPr="005C52BD">
        <w:rPr>
          <w:rStyle w:val="FootnoteReference"/>
          <w:color w:val="auto"/>
          <w:sz w:val="20"/>
          <w:szCs w:val="20"/>
          <w:lang w:val="es-ES"/>
        </w:rPr>
        <w:footnoteReference w:id="197"/>
      </w:r>
      <w:r w:rsidRPr="00C332F1">
        <w:rPr>
          <w:color w:val="auto"/>
          <w:lang w:val="es-ES"/>
        </w:rPr>
        <w:t xml:space="preserve">. Por otro lado, el 23 de febrero, Conatel habría ordenado apagar los transmisores de las emisoras </w:t>
      </w:r>
      <w:r w:rsidRPr="00C332F1">
        <w:rPr>
          <w:i/>
          <w:iCs/>
          <w:color w:val="auto"/>
          <w:lang w:val="es-ES"/>
        </w:rPr>
        <w:t>Senda 96.1 FM</w:t>
      </w:r>
      <w:r w:rsidRPr="00C332F1">
        <w:rPr>
          <w:color w:val="auto"/>
          <w:lang w:val="es-ES"/>
        </w:rPr>
        <w:t xml:space="preserve">, </w:t>
      </w:r>
      <w:r w:rsidRPr="00C332F1">
        <w:rPr>
          <w:i/>
          <w:iCs/>
          <w:color w:val="auto"/>
          <w:lang w:val="es-ES"/>
        </w:rPr>
        <w:t>Mágica 93.3 FM</w:t>
      </w:r>
      <w:r w:rsidRPr="00C332F1">
        <w:rPr>
          <w:color w:val="auto"/>
          <w:lang w:val="es-ES"/>
        </w:rPr>
        <w:t xml:space="preserve"> y </w:t>
      </w:r>
      <w:r w:rsidRPr="00C332F1">
        <w:rPr>
          <w:i/>
          <w:iCs/>
          <w:color w:val="auto"/>
          <w:lang w:val="es-ES"/>
        </w:rPr>
        <w:t>Clásicos 93.9 FM</w:t>
      </w:r>
      <w:r w:rsidRPr="00C332F1">
        <w:rPr>
          <w:color w:val="auto"/>
          <w:lang w:val="es-ES"/>
        </w:rPr>
        <w:t xml:space="preserve"> en Ciudad Ojeda, Zulia</w:t>
      </w:r>
      <w:r w:rsidR="00A14F05">
        <w:rPr>
          <w:rFonts w:ascii="ZWAdobeF" w:hAnsi="ZWAdobeF" w:cs="ZWAdobeF"/>
          <w:color w:val="auto"/>
          <w:sz w:val="2"/>
          <w:szCs w:val="2"/>
          <w:lang w:val="es-ES"/>
        </w:rPr>
        <w:t>196F</w:t>
      </w:r>
      <w:r w:rsidRPr="005C52BD">
        <w:rPr>
          <w:rStyle w:val="FootnoteReference"/>
          <w:color w:val="auto"/>
          <w:sz w:val="20"/>
          <w:szCs w:val="20"/>
          <w:lang w:val="es-ES"/>
        </w:rPr>
        <w:footnoteReference w:id="198"/>
      </w:r>
      <w:r w:rsidRPr="00C332F1">
        <w:rPr>
          <w:color w:val="auto"/>
          <w:lang w:val="es-ES"/>
        </w:rPr>
        <w:t>.</w:t>
      </w:r>
    </w:p>
    <w:p w14:paraId="0B74DAA7" w14:textId="113FE2FC" w:rsidR="00A07D76" w:rsidRPr="00C332F1" w:rsidRDefault="00A07D76" w:rsidP="00531C27">
      <w:pPr>
        <w:pStyle w:val="IAPrrafo"/>
        <w:rPr>
          <w:color w:val="auto"/>
          <w:szCs w:val="20"/>
          <w:lang w:val="es-ES"/>
        </w:rPr>
      </w:pPr>
      <w:r w:rsidRPr="00C332F1">
        <w:rPr>
          <w:color w:val="auto"/>
          <w:lang w:val="es-ES"/>
        </w:rPr>
        <w:t xml:space="preserve">Por su parte, el 8 de marzo de 2024, funcionarios de Conatel, acompañados por efectivos militares, habrían cerrado la emisora </w:t>
      </w:r>
      <w:r w:rsidRPr="00C332F1">
        <w:rPr>
          <w:i/>
          <w:iCs/>
          <w:color w:val="auto"/>
          <w:lang w:val="es-ES"/>
        </w:rPr>
        <w:t>Bendición Stereo 93.9 FM</w:t>
      </w:r>
      <w:r w:rsidRPr="00C332F1">
        <w:rPr>
          <w:color w:val="auto"/>
          <w:lang w:val="es-ES"/>
        </w:rPr>
        <w:t xml:space="preserve"> en Upata, estado Bolívar, argumentando que la estación </w:t>
      </w:r>
      <w:r w:rsidR="00D40928" w:rsidRPr="00C332F1">
        <w:rPr>
          <w:color w:val="auto"/>
          <w:lang w:val="es-ES"/>
        </w:rPr>
        <w:t>“</w:t>
      </w:r>
      <w:r w:rsidRPr="00C332F1">
        <w:rPr>
          <w:color w:val="auto"/>
          <w:lang w:val="es-ES"/>
        </w:rPr>
        <w:t>brillaba demasiado</w:t>
      </w:r>
      <w:r w:rsidR="00D40928" w:rsidRPr="00C332F1">
        <w:rPr>
          <w:color w:val="auto"/>
          <w:lang w:val="es-ES"/>
        </w:rPr>
        <w:t>”</w:t>
      </w:r>
      <w:r w:rsidRPr="00C332F1">
        <w:rPr>
          <w:color w:val="auto"/>
          <w:lang w:val="es-ES"/>
        </w:rPr>
        <w:t>. Según la providencia administrativa, se habría constatado que la emisora no contaba con habilitación ni concesión para el uso del espectro radioeléctrico</w:t>
      </w:r>
      <w:r w:rsidR="00A14F05">
        <w:rPr>
          <w:rFonts w:ascii="ZWAdobeF" w:hAnsi="ZWAdobeF" w:cs="ZWAdobeF"/>
          <w:color w:val="auto"/>
          <w:sz w:val="2"/>
          <w:szCs w:val="2"/>
          <w:lang w:val="es-ES"/>
        </w:rPr>
        <w:t>197F</w:t>
      </w:r>
      <w:r w:rsidRPr="005C52BD">
        <w:rPr>
          <w:rStyle w:val="FootnoteReference"/>
          <w:color w:val="auto"/>
          <w:sz w:val="20"/>
          <w:szCs w:val="20"/>
          <w:lang w:val="es-ES"/>
        </w:rPr>
        <w:footnoteReference w:id="199"/>
      </w:r>
      <w:r w:rsidRPr="00C332F1">
        <w:rPr>
          <w:color w:val="auto"/>
          <w:lang w:val="es-ES"/>
        </w:rPr>
        <w:t>.</w:t>
      </w:r>
    </w:p>
    <w:p w14:paraId="1CF4DE6F" w14:textId="5AF39FA2" w:rsidR="00A07D76" w:rsidRPr="00C332F1" w:rsidRDefault="00A07D76" w:rsidP="00531C27">
      <w:pPr>
        <w:pStyle w:val="IAPrrafo"/>
        <w:rPr>
          <w:color w:val="auto"/>
          <w:szCs w:val="20"/>
          <w:lang w:val="es-ES"/>
        </w:rPr>
      </w:pPr>
      <w:r w:rsidRPr="00C332F1">
        <w:rPr>
          <w:color w:val="auto"/>
          <w:lang w:val="es-ES"/>
        </w:rPr>
        <w:t xml:space="preserve">Por otro lado, </w:t>
      </w:r>
      <w:r w:rsidRPr="00C332F1">
        <w:rPr>
          <w:i/>
          <w:iCs/>
          <w:color w:val="auto"/>
          <w:lang w:val="es-ES"/>
        </w:rPr>
        <w:t>Ecos del Páramo 100.3 FM</w:t>
      </w:r>
      <w:r w:rsidRPr="00C332F1">
        <w:rPr>
          <w:color w:val="auto"/>
          <w:lang w:val="es-ES"/>
        </w:rPr>
        <w:t xml:space="preserve">, </w:t>
      </w:r>
      <w:r w:rsidR="000D60E4" w:rsidRPr="00C332F1">
        <w:rPr>
          <w:color w:val="auto"/>
          <w:lang w:val="es-ES"/>
        </w:rPr>
        <w:t xml:space="preserve">emisora </w:t>
      </w:r>
      <w:r w:rsidRPr="00C332F1">
        <w:rPr>
          <w:color w:val="auto"/>
          <w:lang w:val="es-ES"/>
        </w:rPr>
        <w:t>ubicada en Tuñame, estado Trujillo, habría cesado operaciones el 27 de febrero por orden del gobernador Omar Márquez. De acuerdo con información pública, funcionarios y policías estatales se llevaron equipos de la emisora, alegando que operaba de manera clandestina y sin permiso de Conatel</w:t>
      </w:r>
      <w:r w:rsidR="00A14F05">
        <w:rPr>
          <w:rFonts w:ascii="ZWAdobeF" w:hAnsi="ZWAdobeF" w:cs="ZWAdobeF"/>
          <w:color w:val="auto"/>
          <w:sz w:val="2"/>
          <w:szCs w:val="2"/>
          <w:lang w:val="es-ES"/>
        </w:rPr>
        <w:t>198F</w:t>
      </w:r>
      <w:r w:rsidRPr="005C52BD">
        <w:rPr>
          <w:rStyle w:val="FootnoteReference"/>
          <w:i/>
          <w:iCs/>
          <w:color w:val="auto"/>
          <w:sz w:val="20"/>
          <w:szCs w:val="20"/>
          <w:lang w:val="es-ES"/>
        </w:rPr>
        <w:footnoteReference w:id="200"/>
      </w:r>
      <w:r w:rsidRPr="00C332F1">
        <w:rPr>
          <w:color w:val="auto"/>
          <w:lang w:val="es-ES"/>
        </w:rPr>
        <w:t>.</w:t>
      </w:r>
    </w:p>
    <w:p w14:paraId="78BE94EE" w14:textId="623F8143" w:rsidR="00A07D76" w:rsidRPr="00C332F1" w:rsidRDefault="00A07D76" w:rsidP="00531C27">
      <w:pPr>
        <w:pStyle w:val="IAPrrafo"/>
        <w:rPr>
          <w:color w:val="auto"/>
          <w:lang w:val="es-ES"/>
        </w:rPr>
      </w:pPr>
      <w:r w:rsidRPr="00C332F1">
        <w:rPr>
          <w:color w:val="auto"/>
          <w:lang w:val="es-ES"/>
        </w:rPr>
        <w:t xml:space="preserve">Igualmente, el 4 de marzo, </w:t>
      </w:r>
      <w:r w:rsidR="00B144A3" w:rsidRPr="00C332F1">
        <w:rPr>
          <w:color w:val="auto"/>
          <w:lang w:val="es-ES"/>
        </w:rPr>
        <w:t xml:space="preserve">el canal periodístico </w:t>
      </w:r>
      <w:r w:rsidRPr="00C332F1">
        <w:rPr>
          <w:i/>
          <w:iCs/>
          <w:color w:val="auto"/>
          <w:lang w:val="es-ES"/>
        </w:rPr>
        <w:t>Deutsche Welle</w:t>
      </w:r>
      <w:r w:rsidRPr="00C332F1">
        <w:rPr>
          <w:color w:val="auto"/>
          <w:lang w:val="es-ES"/>
        </w:rPr>
        <w:t xml:space="preserve"> (DW) en español fue retirad</w:t>
      </w:r>
      <w:r w:rsidR="00B144A3" w:rsidRPr="00C332F1">
        <w:rPr>
          <w:color w:val="auto"/>
          <w:lang w:val="es-ES"/>
        </w:rPr>
        <w:t>o</w:t>
      </w:r>
      <w:r w:rsidRPr="00C332F1">
        <w:rPr>
          <w:color w:val="auto"/>
          <w:lang w:val="es-ES"/>
        </w:rPr>
        <w:t xml:space="preserve"> de la parrilla de cable </w:t>
      </w:r>
      <w:r w:rsidRPr="00C332F1">
        <w:rPr>
          <w:i/>
          <w:iCs/>
          <w:color w:val="auto"/>
          <w:lang w:val="es-ES"/>
        </w:rPr>
        <w:t>SimpleTV</w:t>
      </w:r>
      <w:r w:rsidRPr="00C332F1">
        <w:rPr>
          <w:color w:val="auto"/>
          <w:lang w:val="es-ES"/>
        </w:rPr>
        <w:t xml:space="preserve"> en Venezuela, tras la publicación de un video que aborda la corrupción en América Latina, incluida Venezuela</w:t>
      </w:r>
      <w:r w:rsidR="00A14F05">
        <w:rPr>
          <w:rFonts w:ascii="ZWAdobeF" w:hAnsi="ZWAdobeF" w:cs="ZWAdobeF"/>
          <w:color w:val="auto"/>
          <w:sz w:val="2"/>
          <w:szCs w:val="2"/>
          <w:lang w:val="es-ES"/>
        </w:rPr>
        <w:t>199F</w:t>
      </w:r>
      <w:r w:rsidRPr="005C52BD">
        <w:rPr>
          <w:rStyle w:val="FootnoteReference"/>
          <w:color w:val="auto"/>
          <w:sz w:val="20"/>
          <w:szCs w:val="20"/>
          <w:lang w:val="es-ES"/>
        </w:rPr>
        <w:footnoteReference w:id="201"/>
      </w:r>
      <w:r w:rsidRPr="00C332F1">
        <w:rPr>
          <w:color w:val="auto"/>
          <w:lang w:val="es-ES"/>
        </w:rPr>
        <w:t xml:space="preserve">. </w:t>
      </w:r>
      <w:r w:rsidR="00D40928" w:rsidRPr="00C332F1">
        <w:rPr>
          <w:color w:val="auto"/>
          <w:lang w:val="es-ES"/>
        </w:rPr>
        <w:t>Se informó que</w:t>
      </w:r>
      <w:r w:rsidRPr="00C332F1">
        <w:rPr>
          <w:color w:val="auto"/>
          <w:lang w:val="es-ES"/>
        </w:rPr>
        <w:t xml:space="preserve"> el canal, que se sintonizaba en el 770, mostraba un mensaje de </w:t>
      </w:r>
      <w:r w:rsidR="00D40928" w:rsidRPr="00C332F1">
        <w:rPr>
          <w:color w:val="auto"/>
          <w:lang w:val="es-ES"/>
        </w:rPr>
        <w:t>“</w:t>
      </w:r>
      <w:r w:rsidRPr="00C332F1">
        <w:rPr>
          <w:color w:val="auto"/>
          <w:lang w:val="es-ES"/>
        </w:rPr>
        <w:t>no encontrado</w:t>
      </w:r>
      <w:r w:rsidR="00D40928" w:rsidRPr="00C332F1">
        <w:rPr>
          <w:color w:val="auto"/>
          <w:lang w:val="es-ES"/>
        </w:rPr>
        <w:t>”</w:t>
      </w:r>
      <w:r w:rsidRPr="00C332F1">
        <w:rPr>
          <w:color w:val="auto"/>
          <w:lang w:val="es-ES"/>
        </w:rPr>
        <w:t xml:space="preserve"> y también fue eliminado de Supercable y NetUno</w:t>
      </w:r>
      <w:r w:rsidR="00A14F05">
        <w:rPr>
          <w:rFonts w:ascii="ZWAdobeF" w:hAnsi="ZWAdobeF" w:cs="ZWAdobeF"/>
          <w:color w:val="auto"/>
          <w:sz w:val="2"/>
          <w:szCs w:val="2"/>
          <w:lang w:val="es-ES"/>
        </w:rPr>
        <w:t>200F</w:t>
      </w:r>
      <w:r w:rsidRPr="005C52BD">
        <w:rPr>
          <w:rStyle w:val="FootnoteReference"/>
          <w:color w:val="auto"/>
          <w:sz w:val="20"/>
          <w:szCs w:val="20"/>
          <w:lang w:val="es-ES"/>
        </w:rPr>
        <w:footnoteReference w:id="202"/>
      </w:r>
      <w:r w:rsidRPr="00C332F1">
        <w:rPr>
          <w:color w:val="auto"/>
          <w:lang w:val="es-ES"/>
        </w:rPr>
        <w:t>.</w:t>
      </w:r>
    </w:p>
    <w:p w14:paraId="2177C732" w14:textId="2D529651" w:rsidR="00A07D76" w:rsidRPr="00C332F1" w:rsidRDefault="74A6CA87" w:rsidP="3C28C854">
      <w:pPr>
        <w:pStyle w:val="IAPrrafo"/>
        <w:rPr>
          <w:color w:val="auto"/>
          <w:lang w:val="es-ES"/>
        </w:rPr>
      </w:pPr>
      <w:r w:rsidRPr="00C332F1">
        <w:rPr>
          <w:color w:val="auto"/>
          <w:lang w:val="es-ES"/>
        </w:rPr>
        <w:t xml:space="preserve">Posteriormente, se registraron acusaciones del ministro de Comunicación, Freddy Ñáñez, quien criticó a </w:t>
      </w:r>
      <w:r w:rsidRPr="00C332F1">
        <w:rPr>
          <w:i/>
          <w:iCs/>
          <w:color w:val="auto"/>
          <w:lang w:val="es-ES"/>
        </w:rPr>
        <w:t>DW</w:t>
      </w:r>
      <w:r w:rsidRPr="00C332F1">
        <w:rPr>
          <w:color w:val="auto"/>
          <w:lang w:val="es-ES"/>
        </w:rPr>
        <w:t xml:space="preserve"> por </w:t>
      </w:r>
      <w:r w:rsidR="75102A93" w:rsidRPr="00C332F1">
        <w:rPr>
          <w:color w:val="auto"/>
          <w:lang w:val="es-ES"/>
        </w:rPr>
        <w:t>“</w:t>
      </w:r>
      <w:r w:rsidRPr="00C332F1">
        <w:rPr>
          <w:color w:val="auto"/>
          <w:lang w:val="es-ES"/>
        </w:rPr>
        <w:t>encubrir el genocidio en Gaza</w:t>
      </w:r>
      <w:r w:rsidR="75102A93" w:rsidRPr="00C332F1">
        <w:rPr>
          <w:color w:val="auto"/>
          <w:lang w:val="es-ES"/>
        </w:rPr>
        <w:t>”</w:t>
      </w:r>
      <w:r w:rsidRPr="00C332F1">
        <w:rPr>
          <w:color w:val="auto"/>
          <w:lang w:val="es-ES"/>
        </w:rPr>
        <w:t xml:space="preserve">, “mentir”, </w:t>
      </w:r>
      <w:r w:rsidR="75102A93" w:rsidRPr="00C332F1">
        <w:rPr>
          <w:color w:val="auto"/>
          <w:lang w:val="es-ES"/>
        </w:rPr>
        <w:t>“</w:t>
      </w:r>
      <w:r w:rsidRPr="00C332F1">
        <w:rPr>
          <w:color w:val="auto"/>
          <w:lang w:val="es-ES"/>
        </w:rPr>
        <w:t>difamar</w:t>
      </w:r>
      <w:r w:rsidR="75102A93" w:rsidRPr="00C332F1">
        <w:rPr>
          <w:color w:val="auto"/>
          <w:lang w:val="es-ES"/>
        </w:rPr>
        <w:t>”</w:t>
      </w:r>
      <w:r w:rsidRPr="00C332F1">
        <w:rPr>
          <w:color w:val="auto"/>
          <w:lang w:val="es-ES"/>
        </w:rPr>
        <w:t xml:space="preserve"> y “propagar el odio” a Venezuela</w:t>
      </w:r>
      <w:r w:rsidR="00A14F05">
        <w:rPr>
          <w:rFonts w:ascii="ZWAdobeF" w:hAnsi="ZWAdobeF" w:cs="ZWAdobeF"/>
          <w:color w:val="auto"/>
          <w:sz w:val="2"/>
          <w:szCs w:val="2"/>
          <w:lang w:val="es-ES"/>
        </w:rPr>
        <w:t>201F</w:t>
      </w:r>
      <w:r w:rsidR="00A07D76" w:rsidRPr="005C52BD">
        <w:rPr>
          <w:rStyle w:val="FootnoteReference"/>
          <w:color w:val="auto"/>
          <w:sz w:val="20"/>
          <w:szCs w:val="20"/>
          <w:lang w:val="es-ES"/>
        </w:rPr>
        <w:footnoteReference w:id="203"/>
      </w:r>
      <w:r w:rsidRPr="00C332F1">
        <w:rPr>
          <w:color w:val="auto"/>
          <w:lang w:val="es-ES"/>
        </w:rPr>
        <w:t>.</w:t>
      </w:r>
      <w:r w:rsidR="040E1101" w:rsidRPr="00C332F1">
        <w:rPr>
          <w:color w:val="auto"/>
          <w:lang w:val="es-ES"/>
        </w:rPr>
        <w:t xml:space="preserve"> </w:t>
      </w:r>
      <w:r w:rsidRPr="00C332F1">
        <w:rPr>
          <w:color w:val="auto"/>
          <w:lang w:val="es-ES"/>
        </w:rPr>
        <w:t xml:space="preserve">El </w:t>
      </w:r>
      <w:r w:rsidR="75102A93" w:rsidRPr="00C332F1">
        <w:rPr>
          <w:color w:val="auto"/>
          <w:lang w:val="es-ES"/>
        </w:rPr>
        <w:t>P</w:t>
      </w:r>
      <w:r w:rsidRPr="00C332F1">
        <w:rPr>
          <w:color w:val="auto"/>
          <w:lang w:val="es-ES"/>
        </w:rPr>
        <w:t>residente</w:t>
      </w:r>
      <w:r w:rsidR="75102A93" w:rsidRPr="00C332F1">
        <w:rPr>
          <w:color w:val="auto"/>
          <w:lang w:val="es-ES"/>
        </w:rPr>
        <w:t>,</w:t>
      </w:r>
      <w:r w:rsidRPr="00C332F1">
        <w:rPr>
          <w:color w:val="auto"/>
          <w:lang w:val="es-ES"/>
        </w:rPr>
        <w:t xml:space="preserve"> en su programa </w:t>
      </w:r>
      <w:r w:rsidR="75102A93" w:rsidRPr="00C332F1">
        <w:rPr>
          <w:color w:val="auto"/>
          <w:lang w:val="es-ES"/>
        </w:rPr>
        <w:t>“</w:t>
      </w:r>
      <w:r w:rsidRPr="00C332F1">
        <w:rPr>
          <w:color w:val="auto"/>
          <w:lang w:val="es-ES"/>
        </w:rPr>
        <w:t>Con Maduro +</w:t>
      </w:r>
      <w:r w:rsidR="75102A93" w:rsidRPr="00C332F1">
        <w:rPr>
          <w:color w:val="auto"/>
          <w:lang w:val="es-ES"/>
        </w:rPr>
        <w:t>”</w:t>
      </w:r>
      <w:r w:rsidRPr="00C332F1">
        <w:rPr>
          <w:color w:val="auto"/>
          <w:lang w:val="es-ES"/>
        </w:rPr>
        <w:t xml:space="preserve">, calificó a </w:t>
      </w:r>
      <w:r w:rsidRPr="00C332F1">
        <w:rPr>
          <w:i/>
          <w:iCs/>
          <w:color w:val="auto"/>
          <w:lang w:val="es-ES"/>
        </w:rPr>
        <w:t xml:space="preserve">DW </w:t>
      </w:r>
      <w:r w:rsidRPr="00C332F1">
        <w:rPr>
          <w:color w:val="auto"/>
          <w:lang w:val="es-ES"/>
        </w:rPr>
        <w:t xml:space="preserve">de </w:t>
      </w:r>
      <w:r w:rsidR="75102A93" w:rsidRPr="00C332F1">
        <w:rPr>
          <w:color w:val="auto"/>
          <w:lang w:val="es-ES"/>
        </w:rPr>
        <w:t>“</w:t>
      </w:r>
      <w:r w:rsidRPr="00C332F1">
        <w:rPr>
          <w:color w:val="auto"/>
          <w:lang w:val="es-ES"/>
        </w:rPr>
        <w:t>medio nazi</w:t>
      </w:r>
      <w:r w:rsidR="75102A93" w:rsidRPr="00C332F1">
        <w:rPr>
          <w:color w:val="auto"/>
          <w:lang w:val="es-ES"/>
        </w:rPr>
        <w:t>”</w:t>
      </w:r>
      <w:r w:rsidR="00A14F05">
        <w:rPr>
          <w:rFonts w:ascii="ZWAdobeF" w:hAnsi="ZWAdobeF" w:cs="ZWAdobeF"/>
          <w:color w:val="auto"/>
          <w:sz w:val="2"/>
          <w:szCs w:val="2"/>
          <w:lang w:val="es-ES"/>
        </w:rPr>
        <w:t>202F</w:t>
      </w:r>
      <w:r w:rsidR="00A07D76" w:rsidRPr="005C52BD">
        <w:rPr>
          <w:rStyle w:val="FootnoteReference"/>
          <w:color w:val="auto"/>
          <w:sz w:val="20"/>
          <w:szCs w:val="20"/>
          <w:lang w:val="es-ES"/>
        </w:rPr>
        <w:footnoteReference w:id="204"/>
      </w:r>
      <w:r w:rsidRPr="00C332F1">
        <w:rPr>
          <w:color w:val="auto"/>
          <w:lang w:val="es-ES"/>
        </w:rPr>
        <w:t xml:space="preserve">. El SNTP indicó que esta es la segunda vez que la señal de </w:t>
      </w:r>
      <w:r w:rsidRPr="00C332F1">
        <w:rPr>
          <w:i/>
          <w:iCs/>
          <w:color w:val="auto"/>
          <w:lang w:val="es-ES"/>
        </w:rPr>
        <w:t>DW</w:t>
      </w:r>
      <w:r w:rsidRPr="00C332F1">
        <w:rPr>
          <w:color w:val="auto"/>
          <w:lang w:val="es-ES"/>
        </w:rPr>
        <w:t xml:space="preserve"> es retirada por el gobierno, siendo la primera en abril de 2019</w:t>
      </w:r>
      <w:r w:rsidR="00A14F05">
        <w:rPr>
          <w:rFonts w:ascii="ZWAdobeF" w:hAnsi="ZWAdobeF" w:cs="ZWAdobeF"/>
          <w:color w:val="auto"/>
          <w:sz w:val="2"/>
          <w:szCs w:val="2"/>
          <w:lang w:val="es-ES"/>
        </w:rPr>
        <w:t>203F</w:t>
      </w:r>
      <w:r w:rsidR="00A07D76" w:rsidRPr="005C52BD">
        <w:rPr>
          <w:rStyle w:val="FootnoteReference"/>
          <w:color w:val="auto"/>
          <w:sz w:val="20"/>
          <w:szCs w:val="20"/>
          <w:lang w:val="es-ES"/>
        </w:rPr>
        <w:footnoteReference w:id="205"/>
      </w:r>
      <w:r w:rsidRPr="00C332F1">
        <w:rPr>
          <w:color w:val="auto"/>
          <w:lang w:val="es-ES"/>
        </w:rPr>
        <w:t>.</w:t>
      </w:r>
    </w:p>
    <w:p w14:paraId="23DED5E4" w14:textId="545D6FF3" w:rsidR="00A07D76" w:rsidRPr="00C332F1" w:rsidRDefault="00B144A3" w:rsidP="00531C27">
      <w:pPr>
        <w:pStyle w:val="IAPrrafo"/>
        <w:rPr>
          <w:color w:val="auto"/>
          <w:szCs w:val="20"/>
          <w:lang w:val="es-ES"/>
        </w:rPr>
      </w:pPr>
      <w:r w:rsidRPr="00C332F1">
        <w:rPr>
          <w:color w:val="auto"/>
          <w:lang w:val="es-ES"/>
        </w:rPr>
        <w:t>D</w:t>
      </w:r>
      <w:r w:rsidR="00A07D76" w:rsidRPr="00C332F1">
        <w:rPr>
          <w:color w:val="auto"/>
          <w:lang w:val="es-ES"/>
        </w:rPr>
        <w:t xml:space="preserve">esde el 4 de marzo, algunas empresas de internet en Venezuela habrían bloqueado el acceso al portal informativo </w:t>
      </w:r>
      <w:r w:rsidR="00A07D76" w:rsidRPr="00C332F1">
        <w:rPr>
          <w:i/>
          <w:iCs/>
          <w:color w:val="auto"/>
          <w:lang w:val="es-ES"/>
        </w:rPr>
        <w:t>El Político</w:t>
      </w:r>
      <w:r w:rsidR="00A07D76" w:rsidRPr="00C332F1">
        <w:rPr>
          <w:color w:val="auto"/>
          <w:lang w:val="es-ES"/>
        </w:rPr>
        <w:t>. El Observatorio de Internet VE sin Filtro confirmó el bloqueo, en el que estarían involucrados CANTV y las empresas privadas Movistar, Digitel, Inter y NetUno</w:t>
      </w:r>
      <w:r w:rsidR="00A14F05">
        <w:rPr>
          <w:rFonts w:ascii="ZWAdobeF" w:hAnsi="ZWAdobeF" w:cs="ZWAdobeF"/>
          <w:color w:val="auto"/>
          <w:sz w:val="2"/>
          <w:szCs w:val="2"/>
          <w:lang w:val="es-ES"/>
        </w:rPr>
        <w:t>204F</w:t>
      </w:r>
      <w:r w:rsidR="00A07D76" w:rsidRPr="005C52BD">
        <w:rPr>
          <w:rStyle w:val="FootnoteReference"/>
          <w:color w:val="auto"/>
          <w:sz w:val="20"/>
          <w:szCs w:val="20"/>
          <w:lang w:val="es-ES"/>
        </w:rPr>
        <w:footnoteReference w:id="206"/>
      </w:r>
      <w:r w:rsidR="00A07D76" w:rsidRPr="00C332F1">
        <w:rPr>
          <w:color w:val="auto"/>
          <w:lang w:val="es-ES"/>
        </w:rPr>
        <w:t>.</w:t>
      </w:r>
    </w:p>
    <w:p w14:paraId="0C3497E0" w14:textId="576F13C6" w:rsidR="00A07D76" w:rsidRPr="00C332F1" w:rsidRDefault="00A07D76" w:rsidP="00531C27">
      <w:pPr>
        <w:pStyle w:val="IAPrrafo"/>
        <w:rPr>
          <w:color w:val="auto"/>
          <w:szCs w:val="20"/>
          <w:lang w:val="es-ES"/>
        </w:rPr>
      </w:pPr>
      <w:r w:rsidRPr="00C332F1">
        <w:rPr>
          <w:color w:val="auto"/>
          <w:lang w:val="es-ES"/>
        </w:rPr>
        <w:t xml:space="preserve">El 12 de abril de 2024, se habría cerrado la </w:t>
      </w:r>
      <w:r w:rsidRPr="00C332F1">
        <w:rPr>
          <w:i/>
          <w:iCs/>
          <w:color w:val="auto"/>
          <w:lang w:val="es-ES"/>
        </w:rPr>
        <w:t>Radio Cristal 610 AM</w:t>
      </w:r>
      <w:r w:rsidRPr="00C332F1">
        <w:rPr>
          <w:color w:val="auto"/>
          <w:lang w:val="es-ES"/>
        </w:rPr>
        <w:t xml:space="preserve"> en Barquisimeto, estado Lara y </w:t>
      </w:r>
      <w:r w:rsidRPr="00C332F1">
        <w:rPr>
          <w:i/>
          <w:iCs/>
          <w:color w:val="auto"/>
          <w:lang w:val="es-ES"/>
        </w:rPr>
        <w:t>Reconciliación 93.5 FM</w:t>
      </w:r>
      <w:r w:rsidRPr="00C332F1">
        <w:rPr>
          <w:color w:val="auto"/>
          <w:lang w:val="es-ES"/>
        </w:rPr>
        <w:t xml:space="preserve"> en Quíbor</w:t>
      </w:r>
      <w:r w:rsidR="00A14F05">
        <w:rPr>
          <w:rFonts w:ascii="ZWAdobeF" w:hAnsi="ZWAdobeF" w:cs="ZWAdobeF"/>
          <w:color w:val="auto"/>
          <w:sz w:val="2"/>
          <w:szCs w:val="2"/>
          <w:lang w:val="es-ES"/>
        </w:rPr>
        <w:t>205F</w:t>
      </w:r>
      <w:r w:rsidRPr="005C52BD">
        <w:rPr>
          <w:rStyle w:val="FootnoteReference"/>
          <w:color w:val="auto"/>
          <w:sz w:val="20"/>
          <w:szCs w:val="20"/>
          <w:lang w:val="es-ES"/>
        </w:rPr>
        <w:footnoteReference w:id="207"/>
      </w:r>
      <w:r w:rsidRPr="00C332F1">
        <w:rPr>
          <w:color w:val="auto"/>
          <w:lang w:val="es-ES"/>
        </w:rPr>
        <w:t xml:space="preserve">. El 5 de abril, Conatel clausuró </w:t>
      </w:r>
      <w:r w:rsidRPr="00C332F1">
        <w:rPr>
          <w:i/>
          <w:iCs/>
          <w:color w:val="auto"/>
          <w:lang w:val="es-ES"/>
        </w:rPr>
        <w:t>Excelente 107.9 FM</w:t>
      </w:r>
      <w:r w:rsidRPr="00C332F1">
        <w:rPr>
          <w:color w:val="auto"/>
          <w:lang w:val="es-ES"/>
        </w:rPr>
        <w:t xml:space="preserve"> en Upata, estado Bolívar, donde se llevaron equipos</w:t>
      </w:r>
      <w:r w:rsidR="00A14F05">
        <w:rPr>
          <w:rFonts w:ascii="ZWAdobeF" w:hAnsi="ZWAdobeF" w:cs="ZWAdobeF"/>
          <w:color w:val="auto"/>
          <w:sz w:val="2"/>
          <w:szCs w:val="2"/>
          <w:lang w:val="es-ES"/>
        </w:rPr>
        <w:t>206F</w:t>
      </w:r>
      <w:r w:rsidRPr="005C52BD">
        <w:rPr>
          <w:rStyle w:val="FootnoteReference"/>
          <w:i/>
          <w:iCs/>
          <w:color w:val="auto"/>
          <w:sz w:val="20"/>
          <w:szCs w:val="20"/>
          <w:lang w:val="es-ES"/>
        </w:rPr>
        <w:footnoteReference w:id="208"/>
      </w:r>
      <w:r w:rsidRPr="00C332F1">
        <w:rPr>
          <w:color w:val="auto"/>
          <w:lang w:val="es-ES"/>
        </w:rPr>
        <w:t xml:space="preserve">. De otra parte, el medio digital </w:t>
      </w:r>
      <w:r w:rsidRPr="00C332F1">
        <w:rPr>
          <w:i/>
          <w:iCs/>
          <w:color w:val="auto"/>
          <w:lang w:val="es-ES"/>
        </w:rPr>
        <w:t>Última Hora</w:t>
      </w:r>
      <w:r w:rsidRPr="00C332F1">
        <w:rPr>
          <w:color w:val="auto"/>
          <w:lang w:val="es-ES"/>
        </w:rPr>
        <w:t>, en Portuguesa, habría cesado operaciones debido a amenazas del gobernador oficialista Primitivo Cedeño, y en “salvaguarda de la integridad física de sus periodistas y trabajadores”.</w:t>
      </w:r>
    </w:p>
    <w:p w14:paraId="6DB6BEE3" w14:textId="5B56754F" w:rsidR="00A07D76" w:rsidRPr="00C332F1" w:rsidRDefault="00A07D76" w:rsidP="00531C27">
      <w:pPr>
        <w:pStyle w:val="IAPrrafo"/>
        <w:rPr>
          <w:color w:val="auto"/>
          <w:szCs w:val="20"/>
          <w:lang w:val="es-ES"/>
        </w:rPr>
      </w:pPr>
      <w:r w:rsidRPr="00C332F1">
        <w:rPr>
          <w:color w:val="auto"/>
          <w:lang w:val="es-ES"/>
        </w:rPr>
        <w:t xml:space="preserve">También se conoció que las principales operadoras de internet en Venezuela habrían bloqueado el acceso al portal de </w:t>
      </w:r>
      <w:r w:rsidRPr="00C332F1">
        <w:rPr>
          <w:i/>
          <w:iCs/>
          <w:color w:val="auto"/>
          <w:lang w:val="es-ES"/>
        </w:rPr>
        <w:t>The Wall Street Journal</w:t>
      </w:r>
      <w:r w:rsidRPr="00C332F1">
        <w:rPr>
          <w:color w:val="auto"/>
          <w:lang w:val="es-ES"/>
        </w:rPr>
        <w:t xml:space="preserve"> tras la publicación, el 1 de agosto, de un artículo de opinión de la líder opositora María Corina Machado, donde cuestionaba los resultados de las elecciones presidenciales</w:t>
      </w:r>
      <w:r w:rsidR="00A14F05">
        <w:rPr>
          <w:rFonts w:ascii="ZWAdobeF" w:hAnsi="ZWAdobeF" w:cs="ZWAdobeF"/>
          <w:color w:val="auto"/>
          <w:sz w:val="2"/>
          <w:szCs w:val="2"/>
          <w:lang w:val="es-ES"/>
        </w:rPr>
        <w:t>207F</w:t>
      </w:r>
      <w:r w:rsidRPr="005C52BD">
        <w:rPr>
          <w:rStyle w:val="FootnoteReference"/>
          <w:color w:val="auto"/>
          <w:sz w:val="20"/>
          <w:szCs w:val="20"/>
          <w:lang w:val="es-ES"/>
        </w:rPr>
        <w:footnoteReference w:id="209"/>
      </w:r>
      <w:r w:rsidRPr="00C332F1">
        <w:rPr>
          <w:color w:val="auto"/>
          <w:lang w:val="es-ES"/>
        </w:rPr>
        <w:t>.</w:t>
      </w:r>
    </w:p>
    <w:p w14:paraId="44410E90" w14:textId="7E31FA8F" w:rsidR="00A07D76" w:rsidRPr="00C332F1" w:rsidRDefault="00A07D76" w:rsidP="00531C27">
      <w:pPr>
        <w:pStyle w:val="IAPrrafo"/>
        <w:rPr>
          <w:color w:val="auto"/>
          <w:szCs w:val="20"/>
          <w:lang w:val="es-ES"/>
        </w:rPr>
      </w:pPr>
      <w:r w:rsidRPr="00C332F1">
        <w:rPr>
          <w:color w:val="auto"/>
          <w:lang w:val="es-ES"/>
        </w:rPr>
        <w:t xml:space="preserve">Asimismo, se </w:t>
      </w:r>
      <w:r w:rsidR="00D40928" w:rsidRPr="00C332F1">
        <w:rPr>
          <w:color w:val="auto"/>
          <w:lang w:val="es-ES"/>
        </w:rPr>
        <w:t xml:space="preserve">recibieron </w:t>
      </w:r>
      <w:r w:rsidRPr="00C332F1">
        <w:rPr>
          <w:color w:val="auto"/>
          <w:lang w:val="es-ES"/>
        </w:rPr>
        <w:t xml:space="preserve">reportes de que alcalde de Boconó, Alejandro García, habría instado a los medios locales a evitar la publicación de contenido crítico, acusando a la emisora </w:t>
      </w:r>
      <w:r w:rsidRPr="00C332F1">
        <w:rPr>
          <w:i/>
          <w:iCs/>
          <w:color w:val="auto"/>
          <w:lang w:val="es-ES"/>
        </w:rPr>
        <w:t>Boconesa 107.3 FM</w:t>
      </w:r>
      <w:r w:rsidRPr="00C332F1">
        <w:rPr>
          <w:color w:val="auto"/>
          <w:lang w:val="es-ES"/>
        </w:rPr>
        <w:t xml:space="preserve"> de ser </w:t>
      </w:r>
      <w:r w:rsidR="00D40928" w:rsidRPr="00C332F1">
        <w:rPr>
          <w:color w:val="auto"/>
          <w:lang w:val="es-ES"/>
        </w:rPr>
        <w:t>“</w:t>
      </w:r>
      <w:r w:rsidRPr="00C332F1">
        <w:rPr>
          <w:color w:val="auto"/>
          <w:lang w:val="es-ES"/>
        </w:rPr>
        <w:t>golpista y cómplice” en un ataque al Liceo Dalla Acosta el 28 de julio</w:t>
      </w:r>
      <w:r w:rsidR="00A14F05">
        <w:rPr>
          <w:rFonts w:ascii="ZWAdobeF" w:hAnsi="ZWAdobeF" w:cs="ZWAdobeF"/>
          <w:color w:val="auto"/>
          <w:sz w:val="2"/>
          <w:szCs w:val="2"/>
          <w:lang w:val="es-ES"/>
        </w:rPr>
        <w:t>208F</w:t>
      </w:r>
      <w:r w:rsidRPr="005C52BD">
        <w:rPr>
          <w:rStyle w:val="FootnoteReference"/>
          <w:color w:val="auto"/>
          <w:sz w:val="20"/>
          <w:szCs w:val="20"/>
          <w:lang w:val="es-ES"/>
        </w:rPr>
        <w:footnoteReference w:id="210"/>
      </w:r>
      <w:r w:rsidRPr="00C332F1">
        <w:rPr>
          <w:color w:val="auto"/>
          <w:lang w:val="es-ES"/>
        </w:rPr>
        <w:t xml:space="preserve">. Además, el gobernador de Trujillo, Gerardo Márquez, habría amenazado a los medios con ser </w:t>
      </w:r>
      <w:r w:rsidR="00D40928" w:rsidRPr="00C332F1">
        <w:rPr>
          <w:color w:val="auto"/>
          <w:lang w:val="es-ES"/>
        </w:rPr>
        <w:t>“</w:t>
      </w:r>
      <w:r w:rsidRPr="00C332F1">
        <w:rPr>
          <w:color w:val="auto"/>
          <w:lang w:val="es-ES"/>
        </w:rPr>
        <w:t>visitados</w:t>
      </w:r>
      <w:r w:rsidR="00D40928" w:rsidRPr="00C332F1">
        <w:rPr>
          <w:color w:val="auto"/>
          <w:lang w:val="es-ES"/>
        </w:rPr>
        <w:t>”</w:t>
      </w:r>
      <w:r w:rsidRPr="00C332F1">
        <w:rPr>
          <w:color w:val="auto"/>
          <w:lang w:val="es-ES"/>
        </w:rPr>
        <w:t xml:space="preserve"> por la </w:t>
      </w:r>
      <w:r w:rsidR="00D40928" w:rsidRPr="00C332F1">
        <w:rPr>
          <w:color w:val="auto"/>
          <w:lang w:val="es-ES"/>
        </w:rPr>
        <w:t>“</w:t>
      </w:r>
      <w:r w:rsidRPr="00C332F1">
        <w:rPr>
          <w:color w:val="auto"/>
          <w:lang w:val="es-ES"/>
        </w:rPr>
        <w:t>Operación Tun Tun</w:t>
      </w:r>
      <w:r w:rsidR="00D40928" w:rsidRPr="00C332F1">
        <w:rPr>
          <w:color w:val="auto"/>
          <w:lang w:val="es-ES"/>
        </w:rPr>
        <w:t>”</w:t>
      </w:r>
      <w:r w:rsidRPr="00C332F1">
        <w:rPr>
          <w:color w:val="auto"/>
          <w:lang w:val="es-ES"/>
        </w:rPr>
        <w:t>, refiriéndose a la visita de organismos de seguridad del Estado</w:t>
      </w:r>
      <w:r w:rsidR="00A14F05">
        <w:rPr>
          <w:rFonts w:ascii="ZWAdobeF" w:hAnsi="ZWAdobeF" w:cs="ZWAdobeF"/>
          <w:color w:val="auto"/>
          <w:sz w:val="2"/>
          <w:szCs w:val="2"/>
          <w:lang w:val="es-ES"/>
        </w:rPr>
        <w:t>209F</w:t>
      </w:r>
      <w:r w:rsidRPr="005C52BD">
        <w:rPr>
          <w:rStyle w:val="FootnoteReference"/>
          <w:color w:val="auto"/>
          <w:sz w:val="20"/>
          <w:szCs w:val="20"/>
          <w:lang w:val="es-ES"/>
        </w:rPr>
        <w:footnoteReference w:id="211"/>
      </w:r>
      <w:r w:rsidRPr="00C332F1">
        <w:rPr>
          <w:color w:val="auto"/>
          <w:lang w:val="es-ES"/>
        </w:rPr>
        <w:t xml:space="preserve">. También la coordinadora de Conatel en el estado Monagas, Rosalva Teresen, comunicó a los medios de Monagas la prohibición de transmitir noticias que </w:t>
      </w:r>
      <w:r w:rsidR="00D40928" w:rsidRPr="00C332F1">
        <w:rPr>
          <w:color w:val="auto"/>
          <w:lang w:val="es-ES"/>
        </w:rPr>
        <w:t>“</w:t>
      </w:r>
      <w:r w:rsidRPr="00C332F1">
        <w:rPr>
          <w:color w:val="auto"/>
          <w:lang w:val="es-ES"/>
        </w:rPr>
        <w:t>infrinjan elementos clasificados de violencia</w:t>
      </w:r>
      <w:r w:rsidR="00D40928" w:rsidRPr="00C332F1">
        <w:rPr>
          <w:color w:val="auto"/>
          <w:lang w:val="es-ES"/>
        </w:rPr>
        <w:t>”</w:t>
      </w:r>
      <w:r w:rsidRPr="00C332F1">
        <w:rPr>
          <w:color w:val="auto"/>
          <w:lang w:val="es-ES"/>
        </w:rPr>
        <w:t>, advirtiendo sobre posibles multas o el retiro de concesiones</w:t>
      </w:r>
      <w:r w:rsidR="00A14F05">
        <w:rPr>
          <w:rFonts w:ascii="ZWAdobeF" w:hAnsi="ZWAdobeF" w:cs="ZWAdobeF"/>
          <w:color w:val="auto"/>
          <w:sz w:val="2"/>
          <w:szCs w:val="2"/>
          <w:lang w:val="es-ES"/>
        </w:rPr>
        <w:t>210F</w:t>
      </w:r>
      <w:r w:rsidRPr="005C52BD">
        <w:rPr>
          <w:rStyle w:val="FootnoteReference"/>
          <w:color w:val="auto"/>
          <w:sz w:val="20"/>
          <w:szCs w:val="20"/>
          <w:lang w:val="es-ES"/>
        </w:rPr>
        <w:footnoteReference w:id="212"/>
      </w:r>
      <w:r w:rsidRPr="00C332F1">
        <w:rPr>
          <w:color w:val="auto"/>
          <w:lang w:val="es-ES"/>
        </w:rPr>
        <w:t>.</w:t>
      </w:r>
    </w:p>
    <w:p w14:paraId="170BEE99" w14:textId="5E6646BE" w:rsidR="007B4E40" w:rsidRDefault="00A07D76" w:rsidP="00531C27">
      <w:pPr>
        <w:pStyle w:val="IAPrrafo"/>
        <w:rPr>
          <w:color w:val="auto"/>
          <w:lang w:val="es-ES"/>
        </w:rPr>
      </w:pPr>
      <w:r w:rsidRPr="00C332F1">
        <w:rPr>
          <w:color w:val="auto"/>
          <w:lang w:val="es-ES"/>
        </w:rPr>
        <w:t>Frente a los hechos expuestos, la</w:t>
      </w:r>
      <w:r w:rsidR="0D415F95" w:rsidRPr="00C332F1">
        <w:rPr>
          <w:color w:val="auto"/>
          <w:lang w:val="es-ES"/>
        </w:rPr>
        <w:t xml:space="preserve"> Comisión y su</w:t>
      </w:r>
      <w:r w:rsidRPr="00C332F1">
        <w:rPr>
          <w:color w:val="auto"/>
          <w:lang w:val="es-ES"/>
        </w:rPr>
        <w:t xml:space="preserve"> Relatoría Especial recuerda</w:t>
      </w:r>
      <w:r w:rsidR="6F44A753" w:rsidRPr="00C332F1">
        <w:rPr>
          <w:color w:val="auto"/>
          <w:lang w:val="es-ES"/>
        </w:rPr>
        <w:t>n</w:t>
      </w:r>
      <w:r w:rsidRPr="00C332F1">
        <w:rPr>
          <w:color w:val="auto"/>
          <w:lang w:val="es-ES"/>
        </w:rPr>
        <w:t xml:space="preserve"> que las presiones directas o indirectas dirigidas a silenciar la labor informativa de los comunicadores sociales son incompatibles con el derecho a la libertad de expresión. Conforme el principio 13 de la Declaración de Principios sobre Libertad de Expresión de la CIDH, “la utilización del poder del Estado y los recursos de la hacienda pública; la concesión de prebendas arancelarias; la asignación arbitraria y discriminatoria de publicidad oficial y créditos oficiales; el otorgamiento de frecuencias de radio y televisión, entre otros, con el objetivo de presionar y castigar o premiar y privilegiar a los comunicadores sociales y a los medios de comunicación en función de sus líneas informativas, atenta contra la libertad de expresión y deben estar expresamente prohibidos por la ley”. La </w:t>
      </w:r>
      <w:r w:rsidR="76C03616" w:rsidRPr="00C332F1">
        <w:rPr>
          <w:color w:val="auto"/>
          <w:lang w:val="es-ES"/>
        </w:rPr>
        <w:t xml:space="preserve">CIDH y la </w:t>
      </w:r>
      <w:r w:rsidRPr="00C332F1">
        <w:rPr>
          <w:color w:val="auto"/>
          <w:lang w:val="es-ES"/>
        </w:rPr>
        <w:t>RELE resalta</w:t>
      </w:r>
      <w:r w:rsidR="0A60B802" w:rsidRPr="00C332F1">
        <w:rPr>
          <w:color w:val="auto"/>
          <w:lang w:val="es-ES"/>
        </w:rPr>
        <w:t>n</w:t>
      </w:r>
      <w:r w:rsidRPr="00C332F1">
        <w:rPr>
          <w:color w:val="auto"/>
          <w:lang w:val="es-ES"/>
        </w:rPr>
        <w:t xml:space="preserve"> que las asignaciones de frecuencias para radio y televisión deben considerar criterios democráticos que garanticen igualdad de oportunidades, diversidad y pluralismo</w:t>
      </w:r>
      <w:r w:rsidR="00A14F05">
        <w:rPr>
          <w:rFonts w:ascii="ZWAdobeF" w:hAnsi="ZWAdobeF" w:cs="ZWAdobeF"/>
          <w:color w:val="auto"/>
          <w:sz w:val="2"/>
          <w:szCs w:val="2"/>
          <w:lang w:val="es-ES"/>
        </w:rPr>
        <w:t>211F</w:t>
      </w:r>
      <w:r w:rsidRPr="005C52BD">
        <w:rPr>
          <w:rStyle w:val="FootnoteReference"/>
          <w:color w:val="auto"/>
          <w:sz w:val="20"/>
          <w:szCs w:val="20"/>
          <w:lang w:val="es-ES"/>
        </w:rPr>
        <w:footnoteReference w:id="213"/>
      </w:r>
      <w:r w:rsidRPr="00C332F1">
        <w:rPr>
          <w:color w:val="auto"/>
          <w:lang w:val="es-ES"/>
        </w:rPr>
        <w:t>.</w:t>
      </w:r>
    </w:p>
    <w:p w14:paraId="0EF314FD" w14:textId="77777777" w:rsidR="00E335E7" w:rsidRPr="00C332F1" w:rsidRDefault="00E335E7" w:rsidP="00E335E7">
      <w:pPr>
        <w:pStyle w:val="IAPrrafo"/>
        <w:numPr>
          <w:ilvl w:val="0"/>
          <w:numId w:val="0"/>
        </w:numPr>
        <w:ind w:left="720"/>
        <w:rPr>
          <w:color w:val="auto"/>
          <w:lang w:val="es-ES"/>
        </w:rPr>
      </w:pPr>
    </w:p>
    <w:p w14:paraId="03134FAF" w14:textId="5C599196" w:rsidR="00A07D76" w:rsidRPr="00C332F1" w:rsidRDefault="00A07D76" w:rsidP="003B7616">
      <w:pPr>
        <w:pStyle w:val="IASubttulo3"/>
        <w:rPr>
          <w:lang w:val="es-ES"/>
        </w:rPr>
      </w:pPr>
      <w:bookmarkStart w:id="25" w:name="_Toc195617470"/>
      <w:r w:rsidRPr="00C332F1">
        <w:rPr>
          <w:lang w:val="es-ES_tradnl"/>
        </w:rPr>
        <w:t>Discriminación y persecución de voces críticas y disidentes</w:t>
      </w:r>
      <w:bookmarkEnd w:id="25"/>
      <w:r w:rsidRPr="00C332F1">
        <w:rPr>
          <w:lang w:val="es-ES_tradnl"/>
        </w:rPr>
        <w:t xml:space="preserve"> </w:t>
      </w:r>
    </w:p>
    <w:p w14:paraId="5C4CFF5A" w14:textId="14B4DE89" w:rsidR="00A07D76" w:rsidRPr="00C332F1" w:rsidRDefault="00A07D76" w:rsidP="00531C27">
      <w:pPr>
        <w:pStyle w:val="IAPrrafo"/>
        <w:rPr>
          <w:color w:val="auto"/>
          <w:szCs w:val="20"/>
          <w:lang w:val="es-ES"/>
        </w:rPr>
      </w:pPr>
      <w:r w:rsidRPr="00C332F1">
        <w:rPr>
          <w:color w:val="auto"/>
          <w:lang w:val="es-ES"/>
        </w:rPr>
        <w:t>La</w:t>
      </w:r>
      <w:r w:rsidR="0916FF34" w:rsidRPr="00C332F1">
        <w:rPr>
          <w:color w:val="auto"/>
          <w:lang w:val="es-ES"/>
        </w:rPr>
        <w:t xml:space="preserve"> Comisión y su</w:t>
      </w:r>
      <w:r w:rsidRPr="00C332F1">
        <w:rPr>
          <w:color w:val="auto"/>
          <w:lang w:val="es-ES"/>
        </w:rPr>
        <w:t xml:space="preserve"> Relatoría Especial ha</w:t>
      </w:r>
      <w:r w:rsidR="48DB910A" w:rsidRPr="00C332F1">
        <w:rPr>
          <w:color w:val="auto"/>
          <w:lang w:val="es-ES"/>
        </w:rPr>
        <w:t>n</w:t>
      </w:r>
      <w:r w:rsidRPr="00C332F1">
        <w:rPr>
          <w:color w:val="auto"/>
          <w:lang w:val="es-ES"/>
        </w:rPr>
        <w:t xml:space="preserve"> documentado diversas prácticas represivas y actos de violencia contra activistas, defensores de derechos humanos, líderes opositores y testigos electorales. Así, por ejemplo, el pasado 2 de febrero de 2024, funcionarios del Servicio de Investigación Penal del estado Zulia habrían detenido al </w:t>
      </w:r>
      <w:r w:rsidRPr="00C332F1">
        <w:rPr>
          <w:i/>
          <w:iCs/>
          <w:color w:val="auto"/>
          <w:lang w:val="es-ES"/>
        </w:rPr>
        <w:t xml:space="preserve">influencer </w:t>
      </w:r>
      <w:r w:rsidRPr="00C332F1">
        <w:rPr>
          <w:color w:val="auto"/>
          <w:lang w:val="es-ES"/>
        </w:rPr>
        <w:t>Marcos Caraballo por usar “vestimenta indecorosa” en una sesión de fotos frente a la Basílica de La Chinita. También habría sido arrestado Nerio Antonio Bello, proveedor del disfraz, a raíz de denuncias en redes sociales y presiones de sectores religiosos</w:t>
      </w:r>
      <w:r w:rsidR="00A14F05">
        <w:rPr>
          <w:rFonts w:ascii="ZWAdobeF" w:hAnsi="ZWAdobeF" w:cs="ZWAdobeF"/>
          <w:color w:val="auto"/>
          <w:sz w:val="2"/>
          <w:szCs w:val="2"/>
          <w:lang w:val="es-ES"/>
        </w:rPr>
        <w:t>212F</w:t>
      </w:r>
      <w:r w:rsidRPr="005C52BD">
        <w:rPr>
          <w:rStyle w:val="FootnoteReference"/>
          <w:color w:val="auto"/>
          <w:sz w:val="20"/>
          <w:szCs w:val="20"/>
          <w:lang w:val="es-ES"/>
        </w:rPr>
        <w:footnoteReference w:id="214"/>
      </w:r>
      <w:r w:rsidRPr="00C332F1">
        <w:rPr>
          <w:color w:val="auto"/>
          <w:lang w:val="es-ES"/>
        </w:rPr>
        <w:t>.</w:t>
      </w:r>
    </w:p>
    <w:p w14:paraId="7078340E" w14:textId="54F1F018" w:rsidR="00A07D76" w:rsidRPr="00C332F1" w:rsidRDefault="00AB209F" w:rsidP="00531C27">
      <w:pPr>
        <w:pStyle w:val="IAPrrafo"/>
        <w:rPr>
          <w:color w:val="auto"/>
          <w:szCs w:val="20"/>
          <w:lang w:val="es-ES"/>
        </w:rPr>
      </w:pPr>
      <w:r w:rsidRPr="00C332F1">
        <w:rPr>
          <w:color w:val="auto"/>
          <w:lang w:val="es-ES"/>
        </w:rPr>
        <w:t>De igual manera,</w:t>
      </w:r>
      <w:r w:rsidR="00A07D76" w:rsidRPr="00C332F1">
        <w:rPr>
          <w:color w:val="auto"/>
          <w:lang w:val="es-ES"/>
        </w:rPr>
        <w:t xml:space="preserve"> el activista LGBTIQ+, Yendri Velásquez, fue detenido el 3 de agosto en el Aeropuerto Internacional de Maiquetía, La Guaira, cuando intentaba viajar a Suiza para participar en el Comité contra la Discriminación Racial de la ONU. De acuerdo con información pública disponible, en el aeropuerto le informaron que su pasaporte estaba anulado, y fue sometido a desaparición forzada antes de ser liberado esa noche en Caracas</w:t>
      </w:r>
      <w:r w:rsidR="00A14F05">
        <w:rPr>
          <w:rFonts w:ascii="ZWAdobeF" w:hAnsi="ZWAdobeF" w:cs="ZWAdobeF"/>
          <w:color w:val="auto"/>
          <w:sz w:val="2"/>
          <w:szCs w:val="2"/>
          <w:lang w:val="es-ES"/>
        </w:rPr>
        <w:t>213F</w:t>
      </w:r>
      <w:r w:rsidR="00A07D76" w:rsidRPr="005C52BD">
        <w:rPr>
          <w:rStyle w:val="FootnoteReference"/>
          <w:color w:val="auto"/>
          <w:sz w:val="20"/>
          <w:szCs w:val="20"/>
          <w:lang w:val="es-ES"/>
        </w:rPr>
        <w:footnoteReference w:id="215"/>
      </w:r>
      <w:r w:rsidR="00A07D76" w:rsidRPr="00C332F1">
        <w:rPr>
          <w:color w:val="auto"/>
          <w:lang w:val="es-ES"/>
        </w:rPr>
        <w:t xml:space="preserve">. A esto, se suman reportes de organizaciones de la sociedad civil que advierten sobre mensajes discriminatorios de funcionarios del Estado en medios nacionales como </w:t>
      </w:r>
      <w:r w:rsidR="00A07D76" w:rsidRPr="00C332F1">
        <w:rPr>
          <w:i/>
          <w:iCs/>
          <w:color w:val="auto"/>
          <w:lang w:val="es-ES"/>
        </w:rPr>
        <w:t>Globovisión</w:t>
      </w:r>
      <w:r w:rsidR="00A07D76" w:rsidRPr="00C332F1">
        <w:rPr>
          <w:color w:val="auto"/>
          <w:lang w:val="es-ES"/>
        </w:rPr>
        <w:t xml:space="preserve"> y </w:t>
      </w:r>
      <w:r w:rsidR="00A07D76" w:rsidRPr="00C332F1">
        <w:rPr>
          <w:i/>
          <w:iCs/>
          <w:color w:val="auto"/>
          <w:lang w:val="es-ES"/>
        </w:rPr>
        <w:t>Venezolana de Televisión</w:t>
      </w:r>
      <w:r w:rsidR="00A07D76" w:rsidRPr="00C332F1">
        <w:rPr>
          <w:color w:val="auto"/>
          <w:lang w:val="es-ES"/>
        </w:rPr>
        <w:t>, que estarían derivando en acoso y persecución hacia las personas LGBTIQ+ y defensores de derechos humanos</w:t>
      </w:r>
      <w:r w:rsidR="00A14F05">
        <w:rPr>
          <w:rFonts w:ascii="ZWAdobeF" w:hAnsi="ZWAdobeF" w:cs="ZWAdobeF"/>
          <w:color w:val="auto"/>
          <w:sz w:val="2"/>
          <w:szCs w:val="2"/>
          <w:lang w:val="es-ES"/>
        </w:rPr>
        <w:t>214F</w:t>
      </w:r>
      <w:r w:rsidR="00A07D76" w:rsidRPr="005C52BD">
        <w:rPr>
          <w:rStyle w:val="FootnoteReference"/>
          <w:color w:val="auto"/>
          <w:sz w:val="20"/>
          <w:szCs w:val="20"/>
          <w:lang w:val="es-ES"/>
        </w:rPr>
        <w:footnoteReference w:id="216"/>
      </w:r>
      <w:r w:rsidR="00A07D76" w:rsidRPr="00C332F1">
        <w:rPr>
          <w:color w:val="auto"/>
          <w:lang w:val="es-ES"/>
        </w:rPr>
        <w:t>.</w:t>
      </w:r>
    </w:p>
    <w:p w14:paraId="6000A5B1" w14:textId="446EB41E" w:rsidR="00A07D76" w:rsidRPr="00C332F1" w:rsidRDefault="00A07D76" w:rsidP="00531C27">
      <w:pPr>
        <w:pStyle w:val="IAPrrafo"/>
        <w:rPr>
          <w:color w:val="auto"/>
          <w:szCs w:val="20"/>
          <w:lang w:val="es-ES"/>
        </w:rPr>
      </w:pPr>
      <w:r w:rsidRPr="00C332F1">
        <w:rPr>
          <w:color w:val="auto"/>
          <w:lang w:val="es-ES"/>
        </w:rPr>
        <w:t>El 9 de febrero, se registró la detención de la abogada y activista Rocío del Carmen San Miguel Sosa en el Aeropuerto Internacional Simón Bolívar al intentar viajar con su hija</w:t>
      </w:r>
      <w:r w:rsidR="00A14F05">
        <w:rPr>
          <w:rFonts w:ascii="ZWAdobeF" w:hAnsi="ZWAdobeF" w:cs="ZWAdobeF"/>
          <w:color w:val="auto"/>
          <w:sz w:val="2"/>
          <w:szCs w:val="2"/>
          <w:lang w:val="es-ES"/>
        </w:rPr>
        <w:t>215F</w:t>
      </w:r>
      <w:r w:rsidRPr="005C52BD">
        <w:rPr>
          <w:rStyle w:val="FootnoteReference"/>
          <w:color w:val="auto"/>
          <w:sz w:val="20"/>
          <w:szCs w:val="20"/>
          <w:lang w:val="es-ES"/>
        </w:rPr>
        <w:footnoteReference w:id="217"/>
      </w:r>
      <w:r w:rsidRPr="00C332F1">
        <w:rPr>
          <w:color w:val="auto"/>
          <w:lang w:val="es-ES"/>
        </w:rPr>
        <w:t>. El Ministerio Público confirmó su arresto en virtud de una orden de aprehensión por estar supuestamente vinculada a la conspiración “Brazalete Blanco”, cuyo objetivo era atentar contra la vida del presidente y otros funcionarios</w:t>
      </w:r>
      <w:r w:rsidR="00A14F05">
        <w:rPr>
          <w:rFonts w:ascii="ZWAdobeF" w:hAnsi="ZWAdobeF" w:cs="ZWAdobeF"/>
          <w:color w:val="auto"/>
          <w:sz w:val="2"/>
          <w:szCs w:val="2"/>
          <w:lang w:val="es-ES"/>
        </w:rPr>
        <w:t>216F</w:t>
      </w:r>
      <w:r w:rsidRPr="005C52BD">
        <w:rPr>
          <w:rStyle w:val="FootnoteReference"/>
          <w:color w:val="auto"/>
          <w:sz w:val="20"/>
          <w:szCs w:val="20"/>
          <w:lang w:val="es-ES"/>
        </w:rPr>
        <w:footnoteReference w:id="218"/>
      </w:r>
      <w:r w:rsidRPr="00C332F1">
        <w:rPr>
          <w:color w:val="auto"/>
          <w:lang w:val="es-ES"/>
        </w:rPr>
        <w:t>.</w:t>
      </w:r>
    </w:p>
    <w:p w14:paraId="13E14FA5" w14:textId="6600B671" w:rsidR="00A07D76" w:rsidRPr="00C332F1" w:rsidRDefault="00A07D76" w:rsidP="00531C27">
      <w:pPr>
        <w:pStyle w:val="IAPrrafo"/>
        <w:rPr>
          <w:color w:val="auto"/>
          <w:szCs w:val="20"/>
          <w:lang w:val="es-ES"/>
        </w:rPr>
      </w:pPr>
      <w:r w:rsidRPr="00C332F1">
        <w:rPr>
          <w:color w:val="auto"/>
          <w:lang w:val="es-ES"/>
        </w:rPr>
        <w:t xml:space="preserve">De acuerdo con reportes públicos, en el transcurso de 2024, se </w:t>
      </w:r>
      <w:r w:rsidR="00AB209F" w:rsidRPr="00C332F1">
        <w:rPr>
          <w:color w:val="auto"/>
          <w:lang w:val="es-ES"/>
        </w:rPr>
        <w:t>tuvo conocimiento de</w:t>
      </w:r>
      <w:r w:rsidRPr="00C332F1">
        <w:rPr>
          <w:color w:val="auto"/>
          <w:lang w:val="es-ES"/>
        </w:rPr>
        <w:t xml:space="preserve"> la detención arbitraria de personas ciudadanas que compartieron o difundieron información crítica sobre el gobierno. Como fue el caso de Jesús Alexander Suárez, cuando el 1 de agosto fue arrestado en Puerto Cabello por el SEBIN tras publicar un video en TikTok mencionando al presidente de la República y al </w:t>
      </w:r>
      <w:r w:rsidRPr="00C332F1">
        <w:rPr>
          <w:color w:val="auto"/>
        </w:rPr>
        <w:t>ministro de Relaciones Interiores, Justicia y Paz</w:t>
      </w:r>
      <w:r w:rsidRPr="00C332F1">
        <w:rPr>
          <w:color w:val="auto"/>
          <w:lang w:val="es-ES"/>
        </w:rPr>
        <w:t>. De acuerdo con reportes públicos, tras su detención fue grabado “confesando” bajo coacción. El video se publicó en la cuenta de Instagram del coronel Alexander Granko Arteaga</w:t>
      </w:r>
      <w:r w:rsidR="00394C26">
        <w:rPr>
          <w:color w:val="auto"/>
          <w:lang w:val="es-ES"/>
        </w:rPr>
        <w:t>.</w:t>
      </w:r>
      <w:r w:rsidR="00A14F05">
        <w:rPr>
          <w:rFonts w:ascii="ZWAdobeF" w:hAnsi="ZWAdobeF" w:cs="ZWAdobeF"/>
          <w:color w:val="auto"/>
          <w:sz w:val="2"/>
          <w:szCs w:val="2"/>
          <w:lang w:val="es-ES"/>
        </w:rPr>
        <w:t>217F</w:t>
      </w:r>
      <w:r w:rsidRPr="005C52BD">
        <w:rPr>
          <w:rStyle w:val="FootnoteReference"/>
          <w:color w:val="auto"/>
          <w:sz w:val="20"/>
          <w:szCs w:val="20"/>
          <w:lang w:val="es-ES"/>
        </w:rPr>
        <w:footnoteReference w:id="219"/>
      </w:r>
    </w:p>
    <w:p w14:paraId="60591019" w14:textId="3437C501" w:rsidR="004D1F55" w:rsidRPr="00C332F1" w:rsidRDefault="00A07D76" w:rsidP="009664FC">
      <w:pPr>
        <w:pStyle w:val="IAPrrafo"/>
        <w:rPr>
          <w:color w:val="auto"/>
          <w:szCs w:val="20"/>
          <w:lang w:val="es-ES"/>
        </w:rPr>
      </w:pPr>
      <w:r w:rsidRPr="00C332F1">
        <w:rPr>
          <w:color w:val="auto"/>
          <w:lang w:val="es-ES"/>
        </w:rPr>
        <w:t>Ese mismo día, una mujer de 43 años habría sido detenida en Ocumare del Tuy por escribir “libertad” en la calle con harina del programa CLAP</w:t>
      </w:r>
      <w:r w:rsidR="00A14F05">
        <w:rPr>
          <w:rFonts w:ascii="ZWAdobeF" w:hAnsi="ZWAdobeF" w:cs="ZWAdobeF"/>
          <w:color w:val="auto"/>
          <w:sz w:val="2"/>
          <w:szCs w:val="2"/>
          <w:lang w:val="es-ES"/>
        </w:rPr>
        <w:t>218F</w:t>
      </w:r>
      <w:r w:rsidRPr="005C52BD">
        <w:rPr>
          <w:rStyle w:val="FootnoteReference"/>
          <w:color w:val="auto"/>
          <w:sz w:val="20"/>
          <w:szCs w:val="20"/>
          <w:lang w:val="es-ES"/>
        </w:rPr>
        <w:footnoteReference w:id="220"/>
      </w:r>
      <w:r w:rsidRPr="00C332F1">
        <w:rPr>
          <w:color w:val="auto"/>
          <w:lang w:val="es-ES"/>
        </w:rPr>
        <w:t>. De acuerdo con reportes, fue acusada de “incitación al odio”. En Anzoátegui, Jesús Manuel Martínez habría sido arrestado por la Policía regional por difundir contenido de “promoción e instigación al odio”</w:t>
      </w:r>
      <w:r w:rsidRPr="00C332F1">
        <w:rPr>
          <w:rStyle w:val="FootnoteReference"/>
          <w:color w:val="auto"/>
          <w:sz w:val="20"/>
          <w:szCs w:val="20"/>
          <w:lang w:val="es-ES"/>
        </w:rPr>
        <w:t xml:space="preserve"> </w:t>
      </w:r>
      <w:r w:rsidR="00A14F05">
        <w:rPr>
          <w:rFonts w:ascii="ZWAdobeF" w:hAnsi="ZWAdobeF" w:cs="ZWAdobeF"/>
          <w:color w:val="auto"/>
          <w:sz w:val="2"/>
          <w:szCs w:val="2"/>
          <w:lang w:val="es-ES"/>
        </w:rPr>
        <w:t>219F</w:t>
      </w:r>
      <w:r w:rsidRPr="005C52BD">
        <w:rPr>
          <w:rStyle w:val="FootnoteReference"/>
          <w:color w:val="auto"/>
          <w:sz w:val="20"/>
          <w:szCs w:val="20"/>
          <w:lang w:val="es-ES"/>
        </w:rPr>
        <w:footnoteReference w:id="221"/>
      </w:r>
      <w:r w:rsidRPr="00C332F1">
        <w:rPr>
          <w:color w:val="auto"/>
          <w:lang w:val="es-ES"/>
        </w:rPr>
        <w:t>.</w:t>
      </w:r>
      <w:r w:rsidR="00227EB2" w:rsidRPr="00C332F1">
        <w:rPr>
          <w:color w:val="auto"/>
          <w:lang w:val="es-ES"/>
        </w:rPr>
        <w:t xml:space="preserve"> </w:t>
      </w:r>
      <w:r w:rsidRPr="00C332F1">
        <w:rPr>
          <w:color w:val="auto"/>
          <w:lang w:val="es-ES"/>
        </w:rPr>
        <w:t>Igualmente, se conoció la detención de la ciudadana Iris Rincón en Maracaibo por criticar al presidente de la República y el programa CLAP en TikTok. Rincón fue acusada de “instigación al odio”. Según reportes, el comandante de la GNB compartió un video donde ella se disculpa y asegura que le pagaron para grabarlo</w:t>
      </w:r>
      <w:r w:rsidR="00A14F05">
        <w:rPr>
          <w:rFonts w:ascii="ZWAdobeF" w:hAnsi="ZWAdobeF" w:cs="ZWAdobeF"/>
          <w:color w:val="auto"/>
          <w:sz w:val="2"/>
          <w:szCs w:val="2"/>
          <w:lang w:val="es-ES"/>
        </w:rPr>
        <w:t>220F</w:t>
      </w:r>
      <w:r w:rsidRPr="005C52BD">
        <w:rPr>
          <w:rStyle w:val="FootnoteReference"/>
          <w:color w:val="auto"/>
          <w:sz w:val="20"/>
          <w:szCs w:val="20"/>
          <w:lang w:val="es-ES"/>
        </w:rPr>
        <w:footnoteReference w:id="222"/>
      </w:r>
      <w:r w:rsidRPr="00C332F1">
        <w:rPr>
          <w:color w:val="auto"/>
          <w:lang w:val="es-ES"/>
        </w:rPr>
        <w:t>.</w:t>
      </w:r>
      <w:r w:rsidR="009664FC" w:rsidRPr="00C332F1">
        <w:rPr>
          <w:color w:val="auto"/>
          <w:szCs w:val="20"/>
          <w:lang w:val="es-ES"/>
        </w:rPr>
        <w:t xml:space="preserve"> </w:t>
      </w:r>
      <w:r w:rsidR="008D337F" w:rsidRPr="00C332F1">
        <w:rPr>
          <w:color w:val="auto"/>
          <w:lang w:val="es-ES"/>
        </w:rPr>
        <w:t xml:space="preserve">Un </w:t>
      </w:r>
      <w:r w:rsidR="00E221BB" w:rsidRPr="00C332F1">
        <w:rPr>
          <w:color w:val="auto"/>
          <w:lang w:val="es-ES"/>
        </w:rPr>
        <w:t xml:space="preserve">episodio </w:t>
      </w:r>
      <w:r w:rsidR="008D337F" w:rsidRPr="00C332F1">
        <w:rPr>
          <w:color w:val="auto"/>
          <w:lang w:val="es-ES"/>
        </w:rPr>
        <w:t xml:space="preserve">parecido </w:t>
      </w:r>
      <w:r w:rsidRPr="00C332F1">
        <w:rPr>
          <w:color w:val="auto"/>
          <w:lang w:val="es-ES"/>
        </w:rPr>
        <w:t>ocurrió con la abogada y coordinadora de Vente Venezuela en Portuguesa, María Oropeza, quien habría sido detenida de forma arbitraria tras publicar un video crítico sobre la persecución a opositores</w:t>
      </w:r>
      <w:r w:rsidR="00A14F05">
        <w:rPr>
          <w:rFonts w:ascii="ZWAdobeF" w:hAnsi="ZWAdobeF" w:cs="ZWAdobeF"/>
          <w:color w:val="auto"/>
          <w:sz w:val="2"/>
          <w:szCs w:val="2"/>
          <w:lang w:val="es-ES"/>
        </w:rPr>
        <w:t>221F</w:t>
      </w:r>
      <w:r w:rsidRPr="005C52BD">
        <w:rPr>
          <w:rStyle w:val="FootnoteReference"/>
          <w:color w:val="auto"/>
          <w:sz w:val="20"/>
          <w:szCs w:val="20"/>
          <w:lang w:val="es-ES"/>
        </w:rPr>
        <w:footnoteReference w:id="223"/>
      </w:r>
      <w:r w:rsidRPr="00C332F1">
        <w:rPr>
          <w:color w:val="auto"/>
          <w:lang w:val="es-ES"/>
        </w:rPr>
        <w:t>.</w:t>
      </w:r>
    </w:p>
    <w:p w14:paraId="68D631AB" w14:textId="1D9C7E13" w:rsidR="00A07D76" w:rsidRPr="00C332F1" w:rsidRDefault="00A07D76" w:rsidP="003B7616">
      <w:pPr>
        <w:pStyle w:val="IASubttulo3"/>
        <w:rPr>
          <w:lang w:val="es-ES"/>
        </w:rPr>
      </w:pPr>
      <w:bookmarkStart w:id="26" w:name="_Toc195617471"/>
      <w:r w:rsidRPr="00C332F1">
        <w:rPr>
          <w:lang w:val="es-ES_tradnl"/>
        </w:rPr>
        <w:t>Cierre del espacio cívico e iniciativas legislativas restrictivas</w:t>
      </w:r>
      <w:bookmarkEnd w:id="26"/>
      <w:r w:rsidRPr="00C332F1">
        <w:rPr>
          <w:lang w:val="es-ES_tradnl"/>
        </w:rPr>
        <w:t xml:space="preserve"> </w:t>
      </w:r>
    </w:p>
    <w:p w14:paraId="3577381C" w14:textId="74993E5E" w:rsidR="00A07D76" w:rsidRPr="00C332F1" w:rsidRDefault="00A07D76" w:rsidP="00531C27">
      <w:pPr>
        <w:pStyle w:val="IAPrrafo"/>
        <w:rPr>
          <w:color w:val="auto"/>
          <w:szCs w:val="20"/>
          <w:lang w:val="es-ES"/>
        </w:rPr>
      </w:pPr>
      <w:r w:rsidRPr="00C332F1">
        <w:rPr>
          <w:color w:val="auto"/>
          <w:lang w:val="es-ES"/>
        </w:rPr>
        <w:t>El 2 de abril de 2024, la Vicepresidenta Ejecutiva Delcy Rodríguez presentó una propuesta para una Ley contra el Fascismo, Neofascismo y Expresiones Similares, que ya había recibido aprobación en primera discusión por parte de la Asamblea Nacional</w:t>
      </w:r>
      <w:r w:rsidR="00A14F05">
        <w:rPr>
          <w:rFonts w:ascii="ZWAdobeF" w:hAnsi="ZWAdobeF" w:cs="ZWAdobeF"/>
          <w:color w:val="auto"/>
          <w:sz w:val="2"/>
          <w:szCs w:val="2"/>
          <w:lang w:val="es-ES"/>
        </w:rPr>
        <w:t>222F</w:t>
      </w:r>
      <w:r w:rsidRPr="005C52BD">
        <w:rPr>
          <w:rStyle w:val="FootnoteReference"/>
          <w:color w:val="auto"/>
          <w:sz w:val="20"/>
          <w:szCs w:val="20"/>
          <w:lang w:val="es-ES"/>
        </w:rPr>
        <w:footnoteReference w:id="224"/>
      </w:r>
      <w:r w:rsidRPr="00C332F1">
        <w:rPr>
          <w:color w:val="auto"/>
          <w:lang w:val="es-ES"/>
        </w:rPr>
        <w:t xml:space="preserve">. Rodríguez informó a través de su cuenta en X (antes </w:t>
      </w:r>
      <w:r w:rsidRPr="00C332F1">
        <w:rPr>
          <w:i/>
          <w:iCs/>
          <w:color w:val="auto"/>
          <w:lang w:val="es-ES"/>
        </w:rPr>
        <w:t>Twitter</w:t>
      </w:r>
      <w:r w:rsidRPr="00C332F1">
        <w:rPr>
          <w:color w:val="auto"/>
          <w:lang w:val="es-ES"/>
        </w:rPr>
        <w:t xml:space="preserve">) que el </w:t>
      </w:r>
      <w:r w:rsidR="00761C0C" w:rsidRPr="00C332F1">
        <w:rPr>
          <w:color w:val="auto"/>
          <w:lang w:val="es-ES"/>
        </w:rPr>
        <w:t>P</w:t>
      </w:r>
      <w:r w:rsidRPr="00C332F1">
        <w:rPr>
          <w:color w:val="auto"/>
          <w:lang w:val="es-ES"/>
        </w:rPr>
        <w:t>residente de la República habría decidido establecer una Alta Comisión de Estado contra el Fascismo y el Neofascismo, encargada de presentar un proyecto de ley a la Asamblea Nacional</w:t>
      </w:r>
      <w:r w:rsidR="00A14F05">
        <w:rPr>
          <w:rFonts w:ascii="ZWAdobeF" w:hAnsi="ZWAdobeF" w:cs="ZWAdobeF"/>
          <w:color w:val="auto"/>
          <w:sz w:val="2"/>
          <w:szCs w:val="2"/>
          <w:lang w:val="es-ES"/>
        </w:rPr>
        <w:t>223F</w:t>
      </w:r>
      <w:r w:rsidRPr="005C52BD">
        <w:rPr>
          <w:rStyle w:val="FootnoteReference"/>
          <w:color w:val="auto"/>
          <w:sz w:val="20"/>
          <w:szCs w:val="20"/>
          <w:lang w:val="es-ES"/>
        </w:rPr>
        <w:footnoteReference w:id="225"/>
      </w:r>
      <w:r w:rsidRPr="00C332F1">
        <w:rPr>
          <w:color w:val="auto"/>
          <w:lang w:val="es-ES"/>
        </w:rPr>
        <w:t>.</w:t>
      </w:r>
      <w:r w:rsidR="00227EB2" w:rsidRPr="00C332F1">
        <w:rPr>
          <w:color w:val="auto"/>
          <w:lang w:val="es-ES"/>
        </w:rPr>
        <w:t xml:space="preserve"> </w:t>
      </w:r>
      <w:r w:rsidRPr="00C332F1">
        <w:rPr>
          <w:color w:val="auto"/>
          <w:lang w:val="es-ES"/>
        </w:rPr>
        <w:t>De acuerdo con organizaciones de la sociedad civil, en un contexto de creciente represión política y violaciones a la libertad de expresión, esta ley se sumaría a una serie de normativas que buscan restringir el espacio cívico y silenciar a sectores críticos, en línea con la anterior Ley contra el Odio</w:t>
      </w:r>
      <w:r w:rsidR="00A14F05">
        <w:rPr>
          <w:rFonts w:ascii="ZWAdobeF" w:hAnsi="ZWAdobeF" w:cs="ZWAdobeF"/>
          <w:color w:val="auto"/>
          <w:sz w:val="2"/>
          <w:szCs w:val="2"/>
          <w:lang w:val="es-ES"/>
        </w:rPr>
        <w:t>224F</w:t>
      </w:r>
      <w:r w:rsidRPr="005C52BD">
        <w:rPr>
          <w:rStyle w:val="FootnoteReference"/>
          <w:color w:val="auto"/>
          <w:sz w:val="20"/>
          <w:szCs w:val="20"/>
          <w:lang w:val="es-ES"/>
        </w:rPr>
        <w:footnoteReference w:id="226"/>
      </w:r>
      <w:r w:rsidRPr="00C332F1">
        <w:rPr>
          <w:color w:val="auto"/>
          <w:lang w:val="es-ES"/>
        </w:rPr>
        <w:t>.</w:t>
      </w:r>
    </w:p>
    <w:p w14:paraId="3D72AA5A" w14:textId="364D7D84" w:rsidR="00A07D76" w:rsidRPr="00C332F1" w:rsidRDefault="00A07D76" w:rsidP="00531C27">
      <w:pPr>
        <w:pStyle w:val="IAPrrafo"/>
        <w:rPr>
          <w:color w:val="auto"/>
          <w:szCs w:val="20"/>
          <w:lang w:val="es-ES"/>
        </w:rPr>
      </w:pPr>
      <w:r w:rsidRPr="00C332F1">
        <w:rPr>
          <w:color w:val="auto"/>
          <w:szCs w:val="20"/>
          <w:lang w:val="es-ES"/>
        </w:rPr>
        <w:t>Según pud</w:t>
      </w:r>
      <w:r w:rsidR="5EC8941E" w:rsidRPr="00C332F1">
        <w:rPr>
          <w:color w:val="auto"/>
          <w:szCs w:val="20"/>
          <w:lang w:val="es-ES"/>
        </w:rPr>
        <w:t>ieron</w:t>
      </w:r>
      <w:r w:rsidRPr="00C332F1">
        <w:rPr>
          <w:color w:val="auto"/>
          <w:szCs w:val="20"/>
          <w:lang w:val="es-ES"/>
        </w:rPr>
        <w:t xml:space="preserve"> conocer la </w:t>
      </w:r>
      <w:r w:rsidR="3A315DCA" w:rsidRPr="00C332F1">
        <w:rPr>
          <w:color w:val="auto"/>
          <w:szCs w:val="20"/>
          <w:lang w:val="es-ES"/>
        </w:rPr>
        <w:t xml:space="preserve">Comisión y la </w:t>
      </w:r>
      <w:r w:rsidRPr="00C332F1">
        <w:rPr>
          <w:color w:val="auto"/>
          <w:szCs w:val="20"/>
          <w:lang w:val="es-ES"/>
        </w:rPr>
        <w:t xml:space="preserve">Relatoría Especial, el artículo 4 de la propuesta define rasgos característicos del </w:t>
      </w:r>
      <w:r w:rsidR="00124A00" w:rsidRPr="00C332F1">
        <w:rPr>
          <w:color w:val="auto"/>
          <w:szCs w:val="20"/>
          <w:lang w:val="es-ES"/>
        </w:rPr>
        <w:t>“</w:t>
      </w:r>
      <w:r w:rsidRPr="00C332F1">
        <w:rPr>
          <w:color w:val="auto"/>
          <w:szCs w:val="20"/>
          <w:lang w:val="es-ES"/>
        </w:rPr>
        <w:t>fascismo</w:t>
      </w:r>
      <w:r w:rsidR="00F33842" w:rsidRPr="00C332F1">
        <w:rPr>
          <w:color w:val="auto"/>
          <w:szCs w:val="20"/>
          <w:lang w:val="es-ES"/>
        </w:rPr>
        <w:t>”</w:t>
      </w:r>
      <w:r w:rsidRPr="00C332F1">
        <w:rPr>
          <w:color w:val="auto"/>
          <w:szCs w:val="20"/>
          <w:lang w:val="es-ES"/>
        </w:rPr>
        <w:t xml:space="preserve"> como el racismo, chovinismo, clasismo, conservadurismo moral, neoliberalismo, misoginia y cualquier fobia “contra el ser humano y su derecho a la no discriminación y a la diversidad”. Además, se entendería que </w:t>
      </w:r>
      <w:r w:rsidR="002558A1" w:rsidRPr="00C332F1">
        <w:rPr>
          <w:color w:val="auto"/>
          <w:szCs w:val="20"/>
          <w:lang w:val="es-ES"/>
        </w:rPr>
        <w:t>“</w:t>
      </w:r>
      <w:r w:rsidRPr="00C332F1">
        <w:rPr>
          <w:color w:val="auto"/>
          <w:szCs w:val="20"/>
          <w:lang w:val="es-ES"/>
        </w:rPr>
        <w:t>neofascismo y expresiones similares</w:t>
      </w:r>
      <w:r w:rsidR="002558A1" w:rsidRPr="00C332F1">
        <w:rPr>
          <w:color w:val="auto"/>
          <w:szCs w:val="20"/>
          <w:lang w:val="es-ES"/>
        </w:rPr>
        <w:t>”</w:t>
      </w:r>
      <w:r w:rsidRPr="00C332F1">
        <w:rPr>
          <w:color w:val="auto"/>
          <w:szCs w:val="20"/>
          <w:lang w:val="es-ES"/>
        </w:rPr>
        <w:t xml:space="preserve"> incluyen cualquier postura ideológica que reproduzca, total o parcialmente, los principios y métodos del fascismo.</w:t>
      </w:r>
    </w:p>
    <w:p w14:paraId="16AFEC16" w14:textId="674AB407" w:rsidR="00A07D76" w:rsidRPr="00C332F1" w:rsidRDefault="00A07D76" w:rsidP="00531C27">
      <w:pPr>
        <w:pStyle w:val="IAPrrafo"/>
        <w:rPr>
          <w:color w:val="auto"/>
          <w:szCs w:val="20"/>
          <w:lang w:val="es-ES"/>
        </w:rPr>
      </w:pPr>
      <w:r w:rsidRPr="00C332F1">
        <w:rPr>
          <w:color w:val="auto"/>
          <w:lang w:val="es-ES"/>
        </w:rPr>
        <w:t xml:space="preserve">El artículo 11, sobre la </w:t>
      </w:r>
      <w:r w:rsidR="00C30609" w:rsidRPr="00C332F1">
        <w:rPr>
          <w:color w:val="auto"/>
          <w:lang w:val="es-ES"/>
        </w:rPr>
        <w:t>“</w:t>
      </w:r>
      <w:r w:rsidRPr="00C332F1">
        <w:rPr>
          <w:color w:val="auto"/>
          <w:lang w:val="es-ES"/>
        </w:rPr>
        <w:t>Prohibición de mensajes fascistas</w:t>
      </w:r>
      <w:r w:rsidR="00C30609" w:rsidRPr="00C332F1">
        <w:rPr>
          <w:color w:val="auto"/>
          <w:lang w:val="es-ES"/>
        </w:rPr>
        <w:t>”</w:t>
      </w:r>
      <w:r w:rsidRPr="00C332F1">
        <w:rPr>
          <w:color w:val="auto"/>
          <w:lang w:val="es-ES"/>
        </w:rPr>
        <w:t xml:space="preserve">, establecería un listado de actos prohibidos relacionados con la apología y promoción del fascismo. El numeral 3 prohíbe mensajes que </w:t>
      </w:r>
      <w:r w:rsidR="00F07005" w:rsidRPr="00C332F1">
        <w:rPr>
          <w:color w:val="auto"/>
          <w:lang w:val="es-ES"/>
        </w:rPr>
        <w:t>“</w:t>
      </w:r>
      <w:r w:rsidRPr="00C332F1">
        <w:rPr>
          <w:color w:val="auto"/>
          <w:lang w:val="es-ES"/>
        </w:rPr>
        <w:t>denigren la democracia, sus instituciones y valores republicanos</w:t>
      </w:r>
      <w:r w:rsidR="00F07005" w:rsidRPr="00C332F1">
        <w:rPr>
          <w:color w:val="auto"/>
          <w:lang w:val="es-ES"/>
        </w:rPr>
        <w:t>”</w:t>
      </w:r>
      <w:r w:rsidRPr="00C332F1">
        <w:rPr>
          <w:color w:val="auto"/>
          <w:lang w:val="es-ES"/>
        </w:rPr>
        <w:t xml:space="preserve">, generando un amplio margen de discrecionalidad que puede restringir la libertad de expresión y silenciar críticas al gobierno. Por otro lado, el numeral 5 prohíbe expresiones que </w:t>
      </w:r>
      <w:r w:rsidR="00CB53DB" w:rsidRPr="00C332F1">
        <w:rPr>
          <w:color w:val="auto"/>
          <w:lang w:val="es-ES"/>
        </w:rPr>
        <w:t>“</w:t>
      </w:r>
      <w:r w:rsidRPr="00C332F1">
        <w:rPr>
          <w:color w:val="auto"/>
          <w:lang w:val="es-ES"/>
        </w:rPr>
        <w:t>exalten o hagan apología de principios y métodos del fascismo</w:t>
      </w:r>
      <w:r w:rsidR="00CB53DB" w:rsidRPr="00C332F1">
        <w:rPr>
          <w:color w:val="auto"/>
          <w:lang w:val="es-ES"/>
        </w:rPr>
        <w:t>”</w:t>
      </w:r>
      <w:r w:rsidR="00A14F05">
        <w:rPr>
          <w:rFonts w:ascii="ZWAdobeF" w:hAnsi="ZWAdobeF" w:cs="ZWAdobeF"/>
          <w:color w:val="auto"/>
          <w:sz w:val="2"/>
          <w:szCs w:val="2"/>
          <w:lang w:val="es-ES"/>
        </w:rPr>
        <w:t>225F</w:t>
      </w:r>
      <w:r w:rsidRPr="005C52BD">
        <w:rPr>
          <w:rStyle w:val="FootnoteReference"/>
          <w:color w:val="auto"/>
          <w:sz w:val="20"/>
          <w:szCs w:val="20"/>
          <w:lang w:val="es-ES"/>
        </w:rPr>
        <w:footnoteReference w:id="227"/>
      </w:r>
      <w:r w:rsidRPr="00C332F1">
        <w:rPr>
          <w:color w:val="auto"/>
          <w:lang w:val="es-ES"/>
        </w:rPr>
        <w:t>. Al respecto, las organizaciones de sociedad civil han manifestado su preocupación, ya que su redacción ambigua permitiría interpretaciones arbitrarias y un uso discrecional por parte de las autoridades</w:t>
      </w:r>
      <w:r w:rsidR="00A14F05">
        <w:rPr>
          <w:rFonts w:ascii="ZWAdobeF" w:hAnsi="ZWAdobeF" w:cs="ZWAdobeF"/>
          <w:color w:val="auto"/>
          <w:sz w:val="2"/>
          <w:szCs w:val="2"/>
          <w:lang w:val="es-ES"/>
        </w:rPr>
        <w:t>226F</w:t>
      </w:r>
      <w:r w:rsidRPr="005C52BD">
        <w:rPr>
          <w:rStyle w:val="FootnoteReference"/>
          <w:color w:val="auto"/>
          <w:sz w:val="20"/>
          <w:szCs w:val="20"/>
          <w:lang w:val="es-ES"/>
        </w:rPr>
        <w:footnoteReference w:id="228"/>
      </w:r>
      <w:r w:rsidRPr="00C332F1">
        <w:rPr>
          <w:color w:val="auto"/>
          <w:lang w:val="es-ES"/>
        </w:rPr>
        <w:t>.</w:t>
      </w:r>
    </w:p>
    <w:p w14:paraId="15D13482" w14:textId="37E95F23" w:rsidR="00A07D76" w:rsidRPr="00C332F1" w:rsidRDefault="00A07D76" w:rsidP="00531C27">
      <w:pPr>
        <w:pStyle w:val="IAPrrafo"/>
        <w:rPr>
          <w:color w:val="auto"/>
          <w:szCs w:val="20"/>
          <w:lang w:val="es-ES"/>
        </w:rPr>
      </w:pPr>
      <w:r w:rsidRPr="00C332F1">
        <w:rPr>
          <w:color w:val="auto"/>
          <w:lang w:val="es-ES"/>
        </w:rPr>
        <w:t xml:space="preserve">De acuerdo con reportes de organizaciones de sociedad civil, la Ley contra el Fascismo impondría restricciones severas a la libertad de expresión y al derecho de asociación. En particular, obligaría a los medios a </w:t>
      </w:r>
      <w:r w:rsidR="003A1128" w:rsidRPr="00C332F1">
        <w:rPr>
          <w:color w:val="auto"/>
          <w:lang w:val="es-ES"/>
        </w:rPr>
        <w:t>“</w:t>
      </w:r>
      <w:r w:rsidRPr="00C332F1">
        <w:rPr>
          <w:color w:val="auto"/>
          <w:lang w:val="es-ES"/>
        </w:rPr>
        <w:t>garantizar espacios libres de mensajes fascistas</w:t>
      </w:r>
      <w:r w:rsidR="003A1128" w:rsidRPr="00C332F1">
        <w:rPr>
          <w:color w:val="auto"/>
          <w:lang w:val="es-ES"/>
        </w:rPr>
        <w:t>”</w:t>
      </w:r>
      <w:r w:rsidRPr="00C332F1">
        <w:rPr>
          <w:color w:val="auto"/>
          <w:lang w:val="es-ES"/>
        </w:rPr>
        <w:t>, permitiendo a la Conatel imponer tanto sanciones administrativas, como multas excesivas y revocación de concesiones, como penas de hasta 12 años de prisión para quienes promuevan el fascismo y permite la disolución de organizaciones que promuevan o hagan apología del fascismo</w:t>
      </w:r>
      <w:r w:rsidR="00A14F05">
        <w:rPr>
          <w:rFonts w:ascii="ZWAdobeF" w:hAnsi="ZWAdobeF" w:cs="ZWAdobeF"/>
          <w:color w:val="auto"/>
          <w:sz w:val="2"/>
          <w:szCs w:val="2"/>
          <w:lang w:val="es-ES"/>
        </w:rPr>
        <w:t>227F</w:t>
      </w:r>
      <w:r w:rsidRPr="005C52BD">
        <w:rPr>
          <w:rStyle w:val="FootnoteReference"/>
          <w:color w:val="auto"/>
          <w:sz w:val="20"/>
          <w:szCs w:val="20"/>
          <w:lang w:val="es-ES"/>
        </w:rPr>
        <w:footnoteReference w:id="229"/>
      </w:r>
      <w:r w:rsidRPr="00C332F1">
        <w:rPr>
          <w:color w:val="auto"/>
          <w:lang w:val="es-ES"/>
        </w:rPr>
        <w:t>.</w:t>
      </w:r>
    </w:p>
    <w:p w14:paraId="207730DA" w14:textId="3338E189" w:rsidR="00A07D76" w:rsidRPr="00C763A2" w:rsidRDefault="00A07D76" w:rsidP="00531C27">
      <w:pPr>
        <w:pStyle w:val="IAPrrafo"/>
        <w:rPr>
          <w:color w:val="auto"/>
          <w:szCs w:val="20"/>
          <w:lang w:val="es-ES"/>
        </w:rPr>
      </w:pPr>
      <w:r w:rsidRPr="00C332F1">
        <w:rPr>
          <w:color w:val="auto"/>
          <w:lang w:val="es-ES"/>
        </w:rPr>
        <w:t>Esta ley tendría como uno de sus objetivos inhabilitar a quienes supuestamente promuevan conductas fascistas, lo que podría afectar su derecho a participar en política y la inmunidad parlamentaria. Además, contemplaría multas para quienes financien organizaciones que incurran en acciones contrarias a la normativa, lo que podría implicar una “intromisión indebida por parte del Estado en asuntos de cooperación internacional en violación del principio de autonomía como garantía de la libre asociación”</w:t>
      </w:r>
      <w:r w:rsidRPr="00C332F1">
        <w:rPr>
          <w:rStyle w:val="FootnoteReference"/>
          <w:color w:val="auto"/>
          <w:sz w:val="20"/>
          <w:szCs w:val="20"/>
          <w:lang w:val="es-ES"/>
        </w:rPr>
        <w:t xml:space="preserve"> </w:t>
      </w:r>
      <w:r w:rsidR="00A14F05">
        <w:rPr>
          <w:rFonts w:ascii="ZWAdobeF" w:hAnsi="ZWAdobeF" w:cs="ZWAdobeF"/>
          <w:color w:val="auto"/>
          <w:sz w:val="2"/>
          <w:szCs w:val="2"/>
          <w:lang w:val="es-ES"/>
        </w:rPr>
        <w:t>228F</w:t>
      </w:r>
      <w:r w:rsidRPr="005C52BD">
        <w:rPr>
          <w:rStyle w:val="FootnoteReference"/>
          <w:color w:val="auto"/>
          <w:sz w:val="20"/>
          <w:szCs w:val="20"/>
          <w:lang w:val="es-ES"/>
        </w:rPr>
        <w:footnoteReference w:id="230"/>
      </w:r>
      <w:r w:rsidRPr="00C332F1">
        <w:rPr>
          <w:color w:val="auto"/>
          <w:lang w:val="es-ES"/>
        </w:rPr>
        <w:t xml:space="preserve">. El 12 de agosto, el </w:t>
      </w:r>
      <w:r w:rsidR="00C56B86" w:rsidRPr="00C332F1">
        <w:rPr>
          <w:color w:val="auto"/>
          <w:lang w:val="es-ES"/>
        </w:rPr>
        <w:t>P</w:t>
      </w:r>
      <w:r w:rsidRPr="00C332F1">
        <w:rPr>
          <w:color w:val="auto"/>
          <w:lang w:val="es-ES"/>
        </w:rPr>
        <w:t>residente de la Asamblea Nacional, Jorge Rodríguez, anunció la suspensión del receso parlamentario para aprobar estas leyes</w:t>
      </w:r>
      <w:r w:rsidR="00A14F05">
        <w:rPr>
          <w:rFonts w:ascii="ZWAdobeF" w:hAnsi="ZWAdobeF" w:cs="ZWAdobeF"/>
          <w:color w:val="auto"/>
          <w:sz w:val="2"/>
          <w:szCs w:val="2"/>
          <w:lang w:val="es-ES"/>
        </w:rPr>
        <w:t>229F</w:t>
      </w:r>
      <w:r w:rsidRPr="005C52BD">
        <w:rPr>
          <w:rStyle w:val="FootnoteReference"/>
          <w:color w:val="auto"/>
          <w:sz w:val="20"/>
          <w:szCs w:val="20"/>
          <w:lang w:val="es-ES"/>
        </w:rPr>
        <w:footnoteReference w:id="231"/>
      </w:r>
      <w:r w:rsidRPr="00C332F1">
        <w:rPr>
          <w:color w:val="auto"/>
          <w:lang w:val="es-ES"/>
        </w:rPr>
        <w:t>.</w:t>
      </w:r>
    </w:p>
    <w:p w14:paraId="1C8D1846" w14:textId="77777777" w:rsidR="00C763A2" w:rsidRPr="00C332F1" w:rsidRDefault="00C763A2" w:rsidP="00C763A2">
      <w:pPr>
        <w:pStyle w:val="IAPrrafo"/>
        <w:numPr>
          <w:ilvl w:val="0"/>
          <w:numId w:val="0"/>
        </w:numPr>
        <w:ind w:left="720"/>
        <w:rPr>
          <w:color w:val="auto"/>
          <w:szCs w:val="20"/>
          <w:lang w:val="es-ES"/>
        </w:rPr>
      </w:pPr>
    </w:p>
    <w:p w14:paraId="07A10D9A" w14:textId="5AF7FF08" w:rsidR="00A07D76" w:rsidRPr="00C332F1" w:rsidRDefault="003F64D3" w:rsidP="6AAF9C0F">
      <w:pPr>
        <w:pStyle w:val="IASubttulo3"/>
        <w:rPr>
          <w:lang w:val="es-ES"/>
        </w:rPr>
      </w:pPr>
      <w:bookmarkStart w:id="27" w:name="_Toc195617472"/>
      <w:r w:rsidRPr="00C332F1">
        <w:rPr>
          <w:lang w:val="es-ES"/>
        </w:rPr>
        <w:t>Restricciones a la libertad de expresión en internet</w:t>
      </w:r>
      <w:bookmarkEnd w:id="27"/>
    </w:p>
    <w:p w14:paraId="5D28871D" w14:textId="7C007FEA" w:rsidR="00A07D76" w:rsidRPr="00C332F1" w:rsidRDefault="0DE37D06" w:rsidP="00531C27">
      <w:pPr>
        <w:pStyle w:val="IAPrrafo"/>
        <w:rPr>
          <w:color w:val="auto"/>
          <w:szCs w:val="20"/>
          <w:lang w:val="es-ES_tradnl"/>
        </w:rPr>
      </w:pPr>
      <w:r w:rsidRPr="00C332F1">
        <w:rPr>
          <w:color w:val="auto"/>
          <w:lang w:val="es-ES"/>
        </w:rPr>
        <w:t>L</w:t>
      </w:r>
      <w:r w:rsidR="74A6CA87" w:rsidRPr="00C332F1">
        <w:rPr>
          <w:color w:val="auto"/>
          <w:lang w:val="es-ES"/>
        </w:rPr>
        <w:t xml:space="preserve">os casos de violaciones a la libertad de expresión en internet </w:t>
      </w:r>
      <w:r w:rsidRPr="00C332F1">
        <w:rPr>
          <w:color w:val="auto"/>
          <w:lang w:val="es-ES"/>
        </w:rPr>
        <w:t xml:space="preserve">han incrementado </w:t>
      </w:r>
      <w:r w:rsidR="74A6CA87" w:rsidRPr="00C332F1">
        <w:rPr>
          <w:color w:val="auto"/>
          <w:lang w:val="es-ES"/>
        </w:rPr>
        <w:t>durante 2024. En particular, en marzo de este año, se registraron caídas masivas del servicio en diversas regiones del país, ocasionadas presuntamente por fallas en el suministro eléctrico, con especial incidencia en los estados de Nueva Esparta, Lara, Sucre, Trujillo, Táchira y Barinas y Carabobo, Falcón, Lara y Zulia</w:t>
      </w:r>
      <w:r w:rsidR="00A14F05">
        <w:rPr>
          <w:rFonts w:ascii="ZWAdobeF" w:hAnsi="ZWAdobeF" w:cs="ZWAdobeF"/>
          <w:color w:val="auto"/>
          <w:sz w:val="2"/>
          <w:szCs w:val="2"/>
          <w:lang w:val="es-ES"/>
        </w:rPr>
        <w:t>230F</w:t>
      </w:r>
      <w:r w:rsidR="00A07D76" w:rsidRPr="005C52BD">
        <w:rPr>
          <w:rStyle w:val="FootnoteReference"/>
          <w:color w:val="auto"/>
          <w:sz w:val="20"/>
          <w:szCs w:val="20"/>
          <w:lang w:val="es-ES"/>
        </w:rPr>
        <w:footnoteReference w:id="232"/>
      </w:r>
      <w:r w:rsidR="74A6CA87" w:rsidRPr="00C332F1">
        <w:rPr>
          <w:color w:val="auto"/>
          <w:lang w:val="es-ES"/>
        </w:rPr>
        <w:t>. El 14 de marzo, una nueva falla en Táchira llevó a una reducción de la conectividad a un 91% en todo el país, pero en ese estado, la conexión se vio disminuida a la mitad</w:t>
      </w:r>
      <w:r w:rsidR="00A14F05">
        <w:rPr>
          <w:rFonts w:ascii="ZWAdobeF" w:hAnsi="ZWAdobeF" w:cs="ZWAdobeF"/>
          <w:color w:val="auto"/>
          <w:sz w:val="2"/>
          <w:szCs w:val="2"/>
          <w:lang w:val="es-ES"/>
        </w:rPr>
        <w:t>231F</w:t>
      </w:r>
      <w:r w:rsidR="00A07D76" w:rsidRPr="005C52BD">
        <w:rPr>
          <w:rStyle w:val="FootnoteReference"/>
          <w:color w:val="auto"/>
          <w:sz w:val="20"/>
          <w:szCs w:val="20"/>
          <w:lang w:val="es-ES"/>
        </w:rPr>
        <w:footnoteReference w:id="233"/>
      </w:r>
      <w:r w:rsidR="74A6CA87" w:rsidRPr="00C332F1">
        <w:rPr>
          <w:color w:val="auto"/>
          <w:lang w:val="es-ES"/>
        </w:rPr>
        <w:t>.</w:t>
      </w:r>
    </w:p>
    <w:p w14:paraId="481813FA" w14:textId="1868D6AE" w:rsidR="00A07D76" w:rsidRPr="00C332F1" w:rsidRDefault="74A6CA87" w:rsidP="00E52A9E">
      <w:pPr>
        <w:pStyle w:val="IAPrrafo"/>
        <w:rPr>
          <w:color w:val="auto"/>
          <w:szCs w:val="20"/>
          <w:lang w:val="es-ES"/>
        </w:rPr>
      </w:pPr>
      <w:r w:rsidRPr="00C332F1">
        <w:rPr>
          <w:color w:val="auto"/>
          <w:lang w:val="es-ES"/>
        </w:rPr>
        <w:t xml:space="preserve">Además, el </w:t>
      </w:r>
      <w:r w:rsidR="6B0BE640" w:rsidRPr="00C332F1">
        <w:rPr>
          <w:color w:val="auto"/>
          <w:lang w:val="es-ES"/>
        </w:rPr>
        <w:t xml:space="preserve">gobierno </w:t>
      </w:r>
      <w:r w:rsidRPr="00C332F1">
        <w:rPr>
          <w:color w:val="auto"/>
          <w:lang w:val="es-ES"/>
        </w:rPr>
        <w:t>habría utilizado el bloqueo de portales digitales como una estrategia para silenciar a la prensa independiente y a organizaciones no gubernamentales</w:t>
      </w:r>
      <w:r w:rsidR="00A14F05">
        <w:rPr>
          <w:rFonts w:ascii="ZWAdobeF" w:hAnsi="ZWAdobeF" w:cs="ZWAdobeF"/>
          <w:color w:val="auto"/>
          <w:sz w:val="2"/>
          <w:szCs w:val="2"/>
          <w:lang w:val="es-ES"/>
        </w:rPr>
        <w:t>232F</w:t>
      </w:r>
      <w:r w:rsidR="00A07D76" w:rsidRPr="005C52BD">
        <w:rPr>
          <w:rStyle w:val="FootnoteReference"/>
          <w:color w:val="auto"/>
          <w:sz w:val="20"/>
          <w:szCs w:val="20"/>
          <w:lang w:val="es-ES"/>
        </w:rPr>
        <w:footnoteReference w:id="234"/>
      </w:r>
      <w:r w:rsidRPr="00C332F1">
        <w:rPr>
          <w:color w:val="auto"/>
          <w:lang w:val="es-ES"/>
        </w:rPr>
        <w:t xml:space="preserve">. En particular, el 22 de julio, las principales operadoras habrían bloqueado el dominio vesinfiltro.com. Ese día, se registró el bloqueo de seis sitios informativos, incluyendo </w:t>
      </w:r>
      <w:r w:rsidRPr="00C332F1">
        <w:rPr>
          <w:i/>
          <w:iCs/>
          <w:color w:val="auto"/>
          <w:lang w:val="es-ES"/>
        </w:rPr>
        <w:t>TalCual, El Estímulo</w:t>
      </w:r>
      <w:r w:rsidRPr="00C332F1">
        <w:rPr>
          <w:color w:val="auto"/>
          <w:lang w:val="es-ES"/>
        </w:rPr>
        <w:t>,</w:t>
      </w:r>
      <w:r w:rsidRPr="00C332F1">
        <w:rPr>
          <w:i/>
          <w:iCs/>
          <w:color w:val="auto"/>
          <w:lang w:val="es-ES"/>
        </w:rPr>
        <w:t xml:space="preserve"> Analítica</w:t>
      </w:r>
      <w:r w:rsidRPr="00C332F1">
        <w:rPr>
          <w:color w:val="auto"/>
          <w:lang w:val="es-ES"/>
        </w:rPr>
        <w:t xml:space="preserve"> y </w:t>
      </w:r>
      <w:r w:rsidRPr="00C332F1">
        <w:rPr>
          <w:i/>
          <w:iCs/>
          <w:color w:val="auto"/>
          <w:lang w:val="es-ES"/>
        </w:rPr>
        <w:t>Runrun.es</w:t>
      </w:r>
      <w:r w:rsidRPr="00C332F1">
        <w:rPr>
          <w:color w:val="auto"/>
          <w:lang w:val="es-ES"/>
        </w:rPr>
        <w:t>, así como de las organizaciones Medianálisis y la plataforma Ve Sin Filtro, por parte de los proveedores de internet Cantv, Movistar, Digitel, Inter y NetUno</w:t>
      </w:r>
      <w:r w:rsidR="00A14F05">
        <w:rPr>
          <w:rFonts w:ascii="ZWAdobeF" w:hAnsi="ZWAdobeF" w:cs="ZWAdobeF"/>
          <w:color w:val="auto"/>
          <w:sz w:val="2"/>
          <w:szCs w:val="2"/>
          <w:lang w:val="es-ES"/>
        </w:rPr>
        <w:t>233F</w:t>
      </w:r>
      <w:r w:rsidR="00A07D76" w:rsidRPr="005C52BD">
        <w:rPr>
          <w:rStyle w:val="FootnoteReference"/>
          <w:color w:val="auto"/>
          <w:sz w:val="20"/>
          <w:szCs w:val="20"/>
          <w:lang w:val="es-ES"/>
        </w:rPr>
        <w:footnoteReference w:id="235"/>
      </w:r>
      <w:r w:rsidRPr="00C332F1">
        <w:rPr>
          <w:color w:val="auto"/>
          <w:lang w:val="es-ES"/>
        </w:rPr>
        <w:t>.</w:t>
      </w:r>
    </w:p>
    <w:p w14:paraId="02749D7C" w14:textId="73624BF2" w:rsidR="00A07D76" w:rsidRPr="00C332F1" w:rsidRDefault="74A6CA87" w:rsidP="00E52A9E">
      <w:pPr>
        <w:pStyle w:val="IAPrrafo"/>
        <w:rPr>
          <w:color w:val="auto"/>
          <w:szCs w:val="20"/>
          <w:lang w:val="es-ES"/>
        </w:rPr>
      </w:pPr>
      <w:r w:rsidRPr="00C332F1">
        <w:rPr>
          <w:color w:val="auto"/>
          <w:lang w:val="es-ES"/>
        </w:rPr>
        <w:t>El 17 de julio, la</w:t>
      </w:r>
      <w:r w:rsidR="68625663" w:rsidRPr="00C332F1">
        <w:rPr>
          <w:color w:val="auto"/>
          <w:lang w:val="es-ES"/>
        </w:rPr>
        <w:t xml:space="preserve"> </w:t>
      </w:r>
      <w:r w:rsidRPr="00C332F1">
        <w:rPr>
          <w:color w:val="auto"/>
          <w:lang w:val="es-ES"/>
        </w:rPr>
        <w:t xml:space="preserve">estatal </w:t>
      </w:r>
      <w:r w:rsidRPr="00C332F1">
        <w:rPr>
          <w:i/>
          <w:iCs/>
          <w:color w:val="auto"/>
          <w:lang w:val="es-ES"/>
        </w:rPr>
        <w:t>Cantv</w:t>
      </w:r>
      <w:r w:rsidRPr="00C332F1">
        <w:rPr>
          <w:color w:val="auto"/>
          <w:lang w:val="es-ES"/>
        </w:rPr>
        <w:t xml:space="preserve"> habría implementado un bloqueo DNS en el sitio web de la organización Espacio Público, según mediciones de Ve Sin Filtro</w:t>
      </w:r>
      <w:r w:rsidR="00A14F05">
        <w:rPr>
          <w:rFonts w:ascii="ZWAdobeF" w:hAnsi="ZWAdobeF" w:cs="ZWAdobeF"/>
          <w:color w:val="auto"/>
          <w:sz w:val="2"/>
          <w:szCs w:val="2"/>
          <w:lang w:val="es-ES"/>
        </w:rPr>
        <w:t>234F</w:t>
      </w:r>
      <w:r w:rsidR="00A07D76" w:rsidRPr="005C52BD">
        <w:rPr>
          <w:rStyle w:val="FootnoteReference"/>
          <w:color w:val="auto"/>
          <w:sz w:val="20"/>
          <w:szCs w:val="20"/>
          <w:lang w:val="es-ES"/>
        </w:rPr>
        <w:footnoteReference w:id="236"/>
      </w:r>
      <w:r w:rsidRPr="00C332F1">
        <w:rPr>
          <w:color w:val="auto"/>
          <w:lang w:val="es-ES"/>
        </w:rPr>
        <w:t xml:space="preserve">. Asimismo, organizaciones de la sociedad civil registran alrededor de 62 sitios </w:t>
      </w:r>
      <w:r w:rsidR="7E81BDCC" w:rsidRPr="00C332F1">
        <w:rPr>
          <w:color w:val="auto"/>
          <w:lang w:val="es-ES"/>
        </w:rPr>
        <w:t xml:space="preserve">que </w:t>
      </w:r>
      <w:r w:rsidRPr="00C332F1">
        <w:rPr>
          <w:color w:val="auto"/>
          <w:lang w:val="es-ES"/>
        </w:rPr>
        <w:t xml:space="preserve">han sido bloqueados por Conatel, incluyendo plataformas verificadoras como el Observatorio Venezolano de </w:t>
      </w:r>
      <w:r w:rsidRPr="00C332F1">
        <w:rPr>
          <w:i/>
          <w:iCs/>
          <w:color w:val="auto"/>
          <w:lang w:val="es-ES"/>
        </w:rPr>
        <w:t>Fake News</w:t>
      </w:r>
      <w:r w:rsidRPr="00C332F1">
        <w:rPr>
          <w:color w:val="auto"/>
          <w:lang w:val="es-ES"/>
        </w:rPr>
        <w:t xml:space="preserve">, </w:t>
      </w:r>
      <w:r w:rsidRPr="00C332F1">
        <w:rPr>
          <w:i/>
          <w:iCs/>
          <w:color w:val="auto"/>
          <w:lang w:val="es-ES"/>
        </w:rPr>
        <w:t>EsPaja</w:t>
      </w:r>
      <w:r w:rsidRPr="00C332F1">
        <w:rPr>
          <w:color w:val="auto"/>
          <w:lang w:val="es-ES"/>
        </w:rPr>
        <w:t xml:space="preserve"> y C</w:t>
      </w:r>
      <w:r w:rsidRPr="00C332F1">
        <w:rPr>
          <w:i/>
          <w:iCs/>
          <w:color w:val="auto"/>
          <w:lang w:val="es-ES"/>
        </w:rPr>
        <w:t>azadores de Fake News</w:t>
      </w:r>
      <w:r w:rsidRPr="00C332F1">
        <w:rPr>
          <w:color w:val="auto"/>
          <w:lang w:val="es-ES"/>
        </w:rPr>
        <w:t>, previo a las elecciones del 28 de julio</w:t>
      </w:r>
      <w:r w:rsidR="00A14F05">
        <w:rPr>
          <w:rFonts w:ascii="ZWAdobeF" w:hAnsi="ZWAdobeF" w:cs="ZWAdobeF"/>
          <w:color w:val="auto"/>
          <w:sz w:val="2"/>
          <w:szCs w:val="2"/>
          <w:lang w:val="es-ES"/>
        </w:rPr>
        <w:t>235F</w:t>
      </w:r>
      <w:r w:rsidR="00A07D76" w:rsidRPr="005C52BD">
        <w:rPr>
          <w:rStyle w:val="FootnoteReference"/>
          <w:color w:val="auto"/>
          <w:sz w:val="20"/>
          <w:szCs w:val="20"/>
          <w:lang w:val="es-ES"/>
        </w:rPr>
        <w:footnoteReference w:id="237"/>
      </w:r>
      <w:r w:rsidRPr="00C332F1">
        <w:rPr>
          <w:color w:val="auto"/>
          <w:lang w:val="es-ES"/>
        </w:rPr>
        <w:t>.</w:t>
      </w:r>
    </w:p>
    <w:p w14:paraId="41BA9DF5" w14:textId="18553D87" w:rsidR="00A07D76" w:rsidRPr="00C332F1" w:rsidRDefault="74A6CA87" w:rsidP="00E52A9E">
      <w:pPr>
        <w:pStyle w:val="IAPrrafo"/>
        <w:rPr>
          <w:color w:val="auto"/>
          <w:szCs w:val="20"/>
          <w:lang w:val="es-ES"/>
        </w:rPr>
      </w:pPr>
      <w:r w:rsidRPr="00C332F1">
        <w:rPr>
          <w:color w:val="auto"/>
          <w:lang w:val="es-ES"/>
        </w:rPr>
        <w:t xml:space="preserve">Tras las elecciones presidenciales, el </w:t>
      </w:r>
      <w:r w:rsidR="6B0BE640" w:rsidRPr="00C332F1">
        <w:rPr>
          <w:color w:val="auto"/>
          <w:lang w:val="es-ES"/>
        </w:rPr>
        <w:t>gobierno</w:t>
      </w:r>
      <w:r w:rsidRPr="00C332F1">
        <w:rPr>
          <w:color w:val="auto"/>
          <w:lang w:val="es-ES"/>
        </w:rPr>
        <w:t xml:space="preserve"> ha intensificado la represión en el ámbito digital, utilizando tecnología para perfilar, vigilar e intimidar a opositores y voces críticas</w:t>
      </w:r>
      <w:r w:rsidR="00A14F05">
        <w:rPr>
          <w:rFonts w:ascii="ZWAdobeF" w:hAnsi="ZWAdobeF" w:cs="ZWAdobeF"/>
          <w:color w:val="auto"/>
          <w:sz w:val="2"/>
          <w:szCs w:val="2"/>
          <w:lang w:val="es-ES"/>
        </w:rPr>
        <w:t>236F</w:t>
      </w:r>
      <w:r w:rsidR="00A07D76" w:rsidRPr="005C52BD">
        <w:rPr>
          <w:rStyle w:val="FootnoteReference"/>
          <w:color w:val="auto"/>
          <w:sz w:val="20"/>
          <w:szCs w:val="20"/>
          <w:lang w:val="es-ES"/>
        </w:rPr>
        <w:footnoteReference w:id="238"/>
      </w:r>
      <w:r w:rsidRPr="00C332F1">
        <w:rPr>
          <w:color w:val="auto"/>
          <w:lang w:val="es-ES"/>
        </w:rPr>
        <w:t xml:space="preserve">. Se han documentado bloqueos de sitios web, redes sociales y plataformas de mensajería instantánea, así como el uso de aplicaciones que incitan a los ciudadanos a delatarse entre sí. En particular, la aplicación </w:t>
      </w:r>
      <w:r w:rsidRPr="00C332F1">
        <w:rPr>
          <w:i/>
          <w:iCs/>
          <w:color w:val="auto"/>
          <w:lang w:val="es-ES"/>
        </w:rPr>
        <w:t>VenApp</w:t>
      </w:r>
      <w:r w:rsidRPr="00C332F1">
        <w:rPr>
          <w:color w:val="auto"/>
          <w:lang w:val="es-ES"/>
        </w:rPr>
        <w:t xml:space="preserve">, originalmente destinada a la gestión de servicios públicos, ha sido reconfigurada con funciones para delatar a personas ante el </w:t>
      </w:r>
      <w:r w:rsidR="6B0BE640" w:rsidRPr="00C332F1">
        <w:rPr>
          <w:color w:val="auto"/>
          <w:lang w:val="es-ES"/>
        </w:rPr>
        <w:t>gobierno de turno</w:t>
      </w:r>
      <w:r w:rsidRPr="00C332F1">
        <w:rPr>
          <w:color w:val="auto"/>
          <w:lang w:val="es-ES"/>
        </w:rPr>
        <w:t xml:space="preserve"> bajo etiquetas como actividades </w:t>
      </w:r>
      <w:r w:rsidR="2347294E" w:rsidRPr="00C332F1">
        <w:rPr>
          <w:color w:val="auto"/>
          <w:lang w:val="es-ES"/>
        </w:rPr>
        <w:t>“</w:t>
      </w:r>
      <w:r w:rsidRPr="00C332F1">
        <w:rPr>
          <w:color w:val="auto"/>
          <w:lang w:val="es-ES"/>
        </w:rPr>
        <w:t>sospechosas</w:t>
      </w:r>
      <w:r w:rsidR="071C9562" w:rsidRPr="00C332F1">
        <w:rPr>
          <w:color w:val="auto"/>
          <w:lang w:val="es-ES"/>
        </w:rPr>
        <w:t>”</w:t>
      </w:r>
      <w:r w:rsidRPr="00C332F1">
        <w:rPr>
          <w:color w:val="auto"/>
          <w:lang w:val="es-ES"/>
        </w:rPr>
        <w:t xml:space="preserve">, </w:t>
      </w:r>
      <w:r w:rsidR="6EEE48C9" w:rsidRPr="00C332F1">
        <w:rPr>
          <w:color w:val="auto"/>
          <w:lang w:val="es-ES"/>
        </w:rPr>
        <w:t>“</w:t>
      </w:r>
      <w:r w:rsidRPr="00C332F1">
        <w:rPr>
          <w:color w:val="auto"/>
          <w:lang w:val="es-ES"/>
        </w:rPr>
        <w:t>guarimba fascista</w:t>
      </w:r>
      <w:r w:rsidR="5ABCB6D5" w:rsidRPr="00C332F1">
        <w:rPr>
          <w:color w:val="auto"/>
          <w:lang w:val="es-ES"/>
        </w:rPr>
        <w:t>”</w:t>
      </w:r>
      <w:r w:rsidRPr="00C332F1">
        <w:rPr>
          <w:color w:val="auto"/>
          <w:lang w:val="es-ES"/>
        </w:rPr>
        <w:t xml:space="preserve">, </w:t>
      </w:r>
      <w:r w:rsidR="44AE4BA0" w:rsidRPr="00C332F1">
        <w:rPr>
          <w:color w:val="auto"/>
          <w:lang w:val="es-ES"/>
        </w:rPr>
        <w:t>“</w:t>
      </w:r>
      <w:r w:rsidRPr="00C332F1">
        <w:rPr>
          <w:color w:val="auto"/>
          <w:lang w:val="es-ES"/>
        </w:rPr>
        <w:t>desinformación</w:t>
      </w:r>
      <w:r w:rsidR="658C65BD" w:rsidRPr="00C332F1">
        <w:rPr>
          <w:color w:val="auto"/>
          <w:lang w:val="es-ES"/>
        </w:rPr>
        <w:t>”</w:t>
      </w:r>
      <w:r w:rsidRPr="00C332F1">
        <w:rPr>
          <w:color w:val="auto"/>
          <w:lang w:val="es-ES"/>
        </w:rPr>
        <w:t xml:space="preserve"> y </w:t>
      </w:r>
      <w:r w:rsidR="3731BA3C" w:rsidRPr="00C332F1">
        <w:rPr>
          <w:color w:val="auto"/>
          <w:lang w:val="es-ES"/>
        </w:rPr>
        <w:t>“</w:t>
      </w:r>
      <w:r w:rsidRPr="00C332F1">
        <w:rPr>
          <w:color w:val="auto"/>
          <w:lang w:val="es-ES"/>
        </w:rPr>
        <w:t>desorden público</w:t>
      </w:r>
      <w:r w:rsidR="7F653E83" w:rsidRPr="00C332F1">
        <w:rPr>
          <w:color w:val="auto"/>
          <w:lang w:val="es-ES"/>
        </w:rPr>
        <w:t>”</w:t>
      </w:r>
      <w:r w:rsidR="00A14F05">
        <w:rPr>
          <w:rFonts w:ascii="ZWAdobeF" w:hAnsi="ZWAdobeF" w:cs="ZWAdobeF"/>
          <w:color w:val="auto"/>
          <w:sz w:val="2"/>
          <w:szCs w:val="2"/>
          <w:lang w:val="es-ES"/>
        </w:rPr>
        <w:t>237F</w:t>
      </w:r>
      <w:r w:rsidR="00A07D76" w:rsidRPr="005C52BD">
        <w:rPr>
          <w:rStyle w:val="FootnoteReference"/>
          <w:color w:val="auto"/>
          <w:sz w:val="20"/>
          <w:szCs w:val="20"/>
          <w:lang w:val="es-ES"/>
        </w:rPr>
        <w:footnoteReference w:id="239"/>
      </w:r>
      <w:r w:rsidRPr="00C332F1">
        <w:rPr>
          <w:color w:val="auto"/>
          <w:lang w:val="es-ES"/>
        </w:rPr>
        <w:t>.</w:t>
      </w:r>
      <w:r w:rsidR="040E1101" w:rsidRPr="00C332F1">
        <w:rPr>
          <w:color w:val="auto"/>
          <w:lang w:val="es-ES"/>
        </w:rPr>
        <w:t xml:space="preserve"> </w:t>
      </w:r>
      <w:r w:rsidRPr="00C332F1">
        <w:rPr>
          <w:color w:val="auto"/>
        </w:rPr>
        <w:t xml:space="preserve">Según la información disponible, la aplicación </w:t>
      </w:r>
      <w:r w:rsidRPr="00C332F1">
        <w:rPr>
          <w:i/>
          <w:iCs/>
          <w:color w:val="auto"/>
        </w:rPr>
        <w:t>VenApp</w:t>
      </w:r>
      <w:r w:rsidRPr="00C332F1">
        <w:rPr>
          <w:color w:val="auto"/>
        </w:rPr>
        <w:t xml:space="preserve"> habría sido inhabilitada en las tiendas Apple Store y Google Play, impidiendo su descarga en dispositivos iOS y Android en Venezuela</w:t>
      </w:r>
      <w:r w:rsidR="00A14F05">
        <w:rPr>
          <w:rFonts w:ascii="ZWAdobeF" w:hAnsi="ZWAdobeF" w:cs="ZWAdobeF"/>
          <w:color w:val="auto"/>
          <w:sz w:val="2"/>
          <w:szCs w:val="2"/>
        </w:rPr>
        <w:t>238F</w:t>
      </w:r>
      <w:r w:rsidR="00A07D76" w:rsidRPr="005C52BD">
        <w:rPr>
          <w:rStyle w:val="FootnoteReference"/>
          <w:color w:val="auto"/>
          <w:sz w:val="20"/>
          <w:szCs w:val="20"/>
        </w:rPr>
        <w:footnoteReference w:id="240"/>
      </w:r>
      <w:r w:rsidRPr="00C332F1">
        <w:rPr>
          <w:color w:val="auto"/>
        </w:rPr>
        <w:t xml:space="preserve">. </w:t>
      </w:r>
      <w:r w:rsidRPr="00C332F1">
        <w:rPr>
          <w:color w:val="auto"/>
          <w:lang w:val="es-ES"/>
        </w:rPr>
        <w:t>En ese marco, la CIDH y su RELE han recibido información sobre detenciones aleatorias en la calle para la inspección de contenidos en dispositivos móviles, así como el uso de videovigilancia y drones de patrullaje</w:t>
      </w:r>
      <w:r w:rsidR="00A14F05">
        <w:rPr>
          <w:rFonts w:ascii="ZWAdobeF" w:hAnsi="ZWAdobeF" w:cs="ZWAdobeF"/>
          <w:color w:val="auto"/>
          <w:sz w:val="2"/>
          <w:szCs w:val="2"/>
          <w:lang w:val="es-ES"/>
        </w:rPr>
        <w:t>239F</w:t>
      </w:r>
      <w:r w:rsidR="00A07D76" w:rsidRPr="005C52BD">
        <w:rPr>
          <w:rStyle w:val="FootnoteReference"/>
          <w:color w:val="auto"/>
          <w:sz w:val="20"/>
          <w:szCs w:val="20"/>
          <w:lang w:val="es-ES"/>
        </w:rPr>
        <w:footnoteReference w:id="241"/>
      </w:r>
      <w:r w:rsidRPr="00C332F1">
        <w:rPr>
          <w:color w:val="auto"/>
          <w:lang w:val="es-ES"/>
        </w:rPr>
        <w:t>.</w:t>
      </w:r>
    </w:p>
    <w:p w14:paraId="5E444AE3" w14:textId="4EBABB05" w:rsidR="00E52A9E" w:rsidRPr="00C332F1" w:rsidRDefault="74A6CA87" w:rsidP="00E52A9E">
      <w:pPr>
        <w:pStyle w:val="IAPrrafo"/>
        <w:rPr>
          <w:color w:val="auto"/>
          <w:szCs w:val="20"/>
          <w:lang w:val="es-ES"/>
        </w:rPr>
      </w:pPr>
      <w:r w:rsidRPr="00C332F1">
        <w:rPr>
          <w:color w:val="auto"/>
          <w:lang w:val="es-ES"/>
        </w:rPr>
        <w:t>Según reportes públicos, las fuerzas de seguridad del Estado estarían monitoreando activamente las redes sociales y pidiendo a sus partidarios que informen sobre actividades disidentes, lo que ha llevado a detenciones y allanamientos sin orden judicial</w:t>
      </w:r>
      <w:r w:rsidR="00A14F05">
        <w:rPr>
          <w:rFonts w:ascii="ZWAdobeF" w:hAnsi="ZWAdobeF" w:cs="ZWAdobeF"/>
          <w:color w:val="auto"/>
          <w:sz w:val="2"/>
          <w:szCs w:val="2"/>
          <w:lang w:val="es-ES"/>
        </w:rPr>
        <w:t>240F</w:t>
      </w:r>
      <w:r w:rsidR="00A07D76" w:rsidRPr="005C52BD">
        <w:rPr>
          <w:rStyle w:val="FootnoteReference"/>
          <w:color w:val="auto"/>
          <w:sz w:val="20"/>
          <w:szCs w:val="20"/>
          <w:lang w:val="es-ES"/>
        </w:rPr>
        <w:footnoteReference w:id="242"/>
      </w:r>
      <w:r w:rsidRPr="00C332F1">
        <w:rPr>
          <w:color w:val="auto"/>
          <w:lang w:val="es-ES"/>
        </w:rPr>
        <w:t>. A las personas detenidas se les estaría negando el acceso a un juicio justo y estarían siendo enviados a “centros de reeducación”. Esto formaría parte de la “Operación Tun Tun”, que utiliza plataformas como Instagram, Telegram y X (anteriormente Twitter) para revelar nombres, fotos y direcciones de disidentes y opositores, incluidos activistas, periodistas y testigos electorales</w:t>
      </w:r>
      <w:r w:rsidR="00A14F05">
        <w:rPr>
          <w:rFonts w:ascii="ZWAdobeF" w:hAnsi="ZWAdobeF" w:cs="ZWAdobeF"/>
          <w:color w:val="auto"/>
          <w:sz w:val="2"/>
          <w:szCs w:val="2"/>
          <w:lang w:val="es-ES"/>
        </w:rPr>
        <w:t>241F</w:t>
      </w:r>
      <w:r w:rsidR="00A07D76" w:rsidRPr="005C52BD">
        <w:rPr>
          <w:rStyle w:val="FootnoteReference"/>
          <w:color w:val="auto"/>
          <w:sz w:val="20"/>
          <w:szCs w:val="20"/>
          <w:lang w:val="es-ES"/>
        </w:rPr>
        <w:footnoteReference w:id="243"/>
      </w:r>
      <w:r w:rsidRPr="00C332F1">
        <w:rPr>
          <w:color w:val="auto"/>
          <w:lang w:val="es-ES"/>
        </w:rPr>
        <w:t>. Además, líderes del gobierno utilizarían sus redes sociales y medios estatales para exponer e intimidar</w:t>
      </w:r>
      <w:r w:rsidR="00A14F05">
        <w:rPr>
          <w:rFonts w:ascii="ZWAdobeF" w:hAnsi="ZWAdobeF" w:cs="ZWAdobeF"/>
          <w:color w:val="auto"/>
          <w:sz w:val="2"/>
          <w:szCs w:val="2"/>
          <w:lang w:val="es-ES"/>
        </w:rPr>
        <w:t>242F</w:t>
      </w:r>
      <w:r w:rsidR="00A07D76" w:rsidRPr="005C52BD">
        <w:rPr>
          <w:rStyle w:val="FootnoteReference"/>
          <w:color w:val="auto"/>
          <w:sz w:val="20"/>
          <w:szCs w:val="20"/>
          <w:lang w:val="es-ES"/>
        </w:rPr>
        <w:footnoteReference w:id="244"/>
      </w:r>
      <w:r w:rsidRPr="00C332F1">
        <w:rPr>
          <w:color w:val="auto"/>
          <w:lang w:val="es-ES"/>
        </w:rPr>
        <w:t>.</w:t>
      </w:r>
    </w:p>
    <w:p w14:paraId="155E95FC" w14:textId="6CA57B51" w:rsidR="00A07D76" w:rsidRPr="00C332F1" w:rsidRDefault="74A6CA87" w:rsidP="00E52A9E">
      <w:pPr>
        <w:pStyle w:val="IAPrrafo"/>
        <w:rPr>
          <w:color w:val="auto"/>
          <w:szCs w:val="20"/>
          <w:lang w:val="es-ES"/>
        </w:rPr>
      </w:pPr>
      <w:r w:rsidRPr="00C332F1">
        <w:rPr>
          <w:color w:val="auto"/>
          <w:lang w:val="es-ES"/>
        </w:rPr>
        <w:t xml:space="preserve">El 5 de agosto, el </w:t>
      </w:r>
      <w:r w:rsidR="59ED1C49" w:rsidRPr="00C332F1">
        <w:rPr>
          <w:color w:val="auto"/>
          <w:lang w:val="es-ES"/>
        </w:rPr>
        <w:t>P</w:t>
      </w:r>
      <w:r w:rsidRPr="00C332F1">
        <w:rPr>
          <w:color w:val="auto"/>
          <w:lang w:val="es-ES"/>
        </w:rPr>
        <w:t xml:space="preserve">residente de la República anunció su intención de regular o bloquear TikTok, Instagram y X (anteriormente Twitter), acusando a estas plataformas de fomentar </w:t>
      </w:r>
      <w:r w:rsidR="7E74C5D3" w:rsidRPr="00C332F1">
        <w:rPr>
          <w:color w:val="auto"/>
          <w:lang w:val="es-ES"/>
        </w:rPr>
        <w:t>“</w:t>
      </w:r>
      <w:r w:rsidRPr="00C332F1">
        <w:rPr>
          <w:color w:val="auto"/>
          <w:lang w:val="es-ES"/>
        </w:rPr>
        <w:t>el odio y el fascismo</w:t>
      </w:r>
      <w:r w:rsidR="356C22BD" w:rsidRPr="00C332F1">
        <w:rPr>
          <w:color w:val="auto"/>
          <w:lang w:val="es-ES"/>
        </w:rPr>
        <w:t>”</w:t>
      </w:r>
      <w:r w:rsidRPr="00C332F1">
        <w:rPr>
          <w:color w:val="auto"/>
          <w:lang w:val="es-ES"/>
        </w:rPr>
        <w:t>. Dos días después, se conoció que inició una investigación penal contra los responsables de la página resultadosconvzla.com y ordenó la suspensión de la red social X durante 10 días, sumado a bloquear la aplicación de mensajería Signal e insistir a los ciudadanos a desinstalar WhatsApp</w:t>
      </w:r>
      <w:r w:rsidR="00A14F05">
        <w:rPr>
          <w:rFonts w:ascii="ZWAdobeF" w:hAnsi="ZWAdobeF" w:cs="ZWAdobeF"/>
          <w:color w:val="auto"/>
          <w:sz w:val="2"/>
          <w:szCs w:val="2"/>
          <w:lang w:val="es-ES"/>
        </w:rPr>
        <w:t>243F</w:t>
      </w:r>
      <w:r w:rsidR="00A07D76" w:rsidRPr="005C52BD">
        <w:rPr>
          <w:rStyle w:val="FootnoteReference"/>
          <w:color w:val="auto"/>
          <w:sz w:val="20"/>
          <w:szCs w:val="20"/>
          <w:lang w:val="es-ES"/>
        </w:rPr>
        <w:footnoteReference w:id="245"/>
      </w:r>
      <w:r w:rsidRPr="00C332F1">
        <w:rPr>
          <w:color w:val="auto"/>
          <w:lang w:val="es-ES"/>
        </w:rPr>
        <w:t>.</w:t>
      </w:r>
    </w:p>
    <w:p w14:paraId="4050EFDA" w14:textId="2378BDBA" w:rsidR="00A07D76" w:rsidRPr="00C332F1" w:rsidRDefault="74A6CA87" w:rsidP="00E52A9E">
      <w:pPr>
        <w:pStyle w:val="IAPrrafo"/>
        <w:rPr>
          <w:color w:val="auto"/>
          <w:szCs w:val="20"/>
          <w:lang w:val="es-ES"/>
        </w:rPr>
      </w:pPr>
      <w:r w:rsidRPr="00C332F1">
        <w:rPr>
          <w:color w:val="auto"/>
          <w:lang w:val="es-ES"/>
        </w:rPr>
        <w:t xml:space="preserve">El 9 de agosto, el gobierno también habría bloqueado la web Reddit y advertido a las cadenas de televisión sobre sanciones si cubrían manifestaciones. De acuerdo con reportes púbicos, la estatal </w:t>
      </w:r>
      <w:r w:rsidRPr="00C332F1">
        <w:rPr>
          <w:i/>
          <w:iCs/>
          <w:color w:val="auto"/>
          <w:lang w:val="es-ES"/>
        </w:rPr>
        <w:t xml:space="preserve">CANTV </w:t>
      </w:r>
      <w:r w:rsidRPr="00C332F1">
        <w:rPr>
          <w:color w:val="auto"/>
          <w:lang w:val="es-ES"/>
        </w:rPr>
        <w:t xml:space="preserve">bloqueó dominios de Microsoft, afectando el acceso a Microsoft Teams y otros servicios. También se reportaron bloqueos en la red de </w:t>
      </w:r>
      <w:r w:rsidRPr="00C332F1">
        <w:rPr>
          <w:i/>
          <w:iCs/>
          <w:color w:val="auto"/>
          <w:lang w:val="es-ES"/>
        </w:rPr>
        <w:t xml:space="preserve">CANTV </w:t>
      </w:r>
      <w:r w:rsidRPr="00C332F1">
        <w:rPr>
          <w:color w:val="auto"/>
          <w:lang w:val="es-ES"/>
        </w:rPr>
        <w:t>a los portales y aplicaciones de Binance y Mercado Libre, entre otras</w:t>
      </w:r>
      <w:r w:rsidR="00A14F05">
        <w:rPr>
          <w:rFonts w:ascii="ZWAdobeF" w:hAnsi="ZWAdobeF" w:cs="ZWAdobeF"/>
          <w:color w:val="auto"/>
          <w:sz w:val="2"/>
          <w:szCs w:val="2"/>
          <w:lang w:val="es-ES"/>
        </w:rPr>
        <w:t>244F</w:t>
      </w:r>
      <w:r w:rsidR="00A07D76" w:rsidRPr="005C52BD">
        <w:rPr>
          <w:rStyle w:val="FootnoteReference"/>
          <w:color w:val="auto"/>
          <w:sz w:val="20"/>
          <w:szCs w:val="20"/>
          <w:lang w:val="es-ES"/>
        </w:rPr>
        <w:footnoteReference w:id="246"/>
      </w:r>
      <w:r w:rsidRPr="00C332F1">
        <w:rPr>
          <w:color w:val="auto"/>
          <w:lang w:val="es-ES"/>
        </w:rPr>
        <w:t>.</w:t>
      </w:r>
    </w:p>
    <w:p w14:paraId="4D42E3B8" w14:textId="7F9462C9" w:rsidR="00A07D76" w:rsidRPr="00C332F1" w:rsidRDefault="74A6CA87" w:rsidP="00E52A9E">
      <w:pPr>
        <w:pStyle w:val="IAPrrafo"/>
        <w:rPr>
          <w:color w:val="auto"/>
          <w:szCs w:val="20"/>
          <w:lang w:val="es-ES"/>
        </w:rPr>
      </w:pPr>
      <w:r w:rsidRPr="00C332F1">
        <w:rPr>
          <w:color w:val="auto"/>
          <w:lang w:val="es-ES"/>
        </w:rPr>
        <w:t>El 14 de agosto, la conexión a internet en el país habría caído al 81% de su capacidad, afectando especialmente a los estados de Trujillo, Barinas y Portuguesa</w:t>
      </w:r>
      <w:r w:rsidR="00A14F05">
        <w:rPr>
          <w:rFonts w:ascii="ZWAdobeF" w:hAnsi="ZWAdobeF" w:cs="ZWAdobeF"/>
          <w:color w:val="auto"/>
          <w:sz w:val="2"/>
          <w:szCs w:val="2"/>
          <w:lang w:val="es-ES"/>
        </w:rPr>
        <w:t>245F</w:t>
      </w:r>
      <w:r w:rsidR="00A07D76" w:rsidRPr="005C52BD">
        <w:rPr>
          <w:rStyle w:val="FootnoteReference"/>
          <w:color w:val="auto"/>
          <w:sz w:val="20"/>
          <w:szCs w:val="20"/>
          <w:lang w:val="es-ES"/>
        </w:rPr>
        <w:footnoteReference w:id="247"/>
      </w:r>
      <w:r w:rsidRPr="00C332F1">
        <w:rPr>
          <w:color w:val="auto"/>
          <w:lang w:val="es-ES"/>
        </w:rPr>
        <w:t>. Según pud</w:t>
      </w:r>
      <w:r w:rsidR="589BF7E6" w:rsidRPr="00C332F1">
        <w:rPr>
          <w:color w:val="auto"/>
          <w:lang w:val="es-ES"/>
        </w:rPr>
        <w:t>ieron</w:t>
      </w:r>
      <w:r w:rsidRPr="00C332F1">
        <w:rPr>
          <w:color w:val="auto"/>
          <w:lang w:val="es-ES"/>
        </w:rPr>
        <w:t xml:space="preserve"> conocer la </w:t>
      </w:r>
      <w:r w:rsidR="68269B08" w:rsidRPr="00C332F1">
        <w:rPr>
          <w:color w:val="auto"/>
          <w:lang w:val="es-ES"/>
        </w:rPr>
        <w:t xml:space="preserve">Comisión y su </w:t>
      </w:r>
      <w:r w:rsidRPr="00C332F1">
        <w:rPr>
          <w:color w:val="auto"/>
          <w:lang w:val="es-ES"/>
        </w:rPr>
        <w:t>Relatoría Especial, el 31 de agosto ocurrió un apagón masivo que afectó a</w:t>
      </w:r>
      <w:r w:rsidR="6DDC6F34" w:rsidRPr="00C332F1">
        <w:rPr>
          <w:color w:val="auto"/>
          <w:lang w:val="es-ES"/>
        </w:rPr>
        <w:t>,</w:t>
      </w:r>
      <w:r w:rsidRPr="00C332F1">
        <w:rPr>
          <w:color w:val="auto"/>
          <w:lang w:val="es-ES"/>
        </w:rPr>
        <w:t xml:space="preserve"> al menos</w:t>
      </w:r>
      <w:r w:rsidR="4CB27F2D" w:rsidRPr="00C332F1">
        <w:rPr>
          <w:color w:val="auto"/>
          <w:lang w:val="es-ES"/>
        </w:rPr>
        <w:t>,</w:t>
      </w:r>
      <w:r w:rsidRPr="00C332F1">
        <w:rPr>
          <w:color w:val="auto"/>
          <w:lang w:val="es-ES"/>
        </w:rPr>
        <w:t xml:space="preserve"> 20 estados, provocando una caída inmediata de la conexión</w:t>
      </w:r>
      <w:r w:rsidR="00A14F05">
        <w:rPr>
          <w:rFonts w:ascii="ZWAdobeF" w:hAnsi="ZWAdobeF" w:cs="ZWAdobeF"/>
          <w:color w:val="auto"/>
          <w:sz w:val="2"/>
          <w:szCs w:val="2"/>
          <w:lang w:val="es-ES"/>
        </w:rPr>
        <w:t>246F</w:t>
      </w:r>
      <w:r w:rsidR="00A07D76" w:rsidRPr="005C52BD">
        <w:rPr>
          <w:rStyle w:val="FootnoteReference"/>
          <w:color w:val="auto"/>
          <w:sz w:val="20"/>
          <w:szCs w:val="20"/>
          <w:lang w:val="es-ES"/>
        </w:rPr>
        <w:footnoteReference w:id="248"/>
      </w:r>
      <w:r w:rsidRPr="00C332F1">
        <w:rPr>
          <w:color w:val="auto"/>
          <w:lang w:val="es-ES"/>
        </w:rPr>
        <w:t>.</w:t>
      </w:r>
    </w:p>
    <w:p w14:paraId="48D0E5B8" w14:textId="7A9EB82B" w:rsidR="004D1F55" w:rsidRPr="00C332F1" w:rsidRDefault="74A6CA87" w:rsidP="00E52A9E">
      <w:pPr>
        <w:pStyle w:val="IAPrrafo"/>
        <w:rPr>
          <w:color w:val="auto"/>
          <w:szCs w:val="20"/>
          <w:lang w:val="es-ES"/>
        </w:rPr>
      </w:pPr>
      <w:r w:rsidRPr="00C332F1">
        <w:rPr>
          <w:color w:val="auto"/>
          <w:lang w:val="es-ES"/>
        </w:rPr>
        <w:t>La CIDH y su RELE recuerdan que, como parte de su obligación positiva de promover y facilitar el disfrute de los derechos humanos, los Estados deben tomar todas las medidas a su alcance para garantizar que todas las personas tengan un acceso efectivo a internet. Asimismo, la obligación de respeto implica que las autoridades se abstengan de interferir en el acceso a internet y a las plataformas de comunicación digital, a menos que la restricción se ajuste plenamente a los requisitos establecidos en los instrumentos de derechos humanos aplicables</w:t>
      </w:r>
      <w:r w:rsidR="00A14F05">
        <w:rPr>
          <w:rFonts w:ascii="ZWAdobeF" w:hAnsi="ZWAdobeF" w:cs="ZWAdobeF"/>
          <w:color w:val="auto"/>
          <w:sz w:val="2"/>
          <w:szCs w:val="2"/>
          <w:lang w:val="es-ES"/>
        </w:rPr>
        <w:t>247F</w:t>
      </w:r>
      <w:r w:rsidR="00A07D76" w:rsidRPr="005C52BD">
        <w:rPr>
          <w:rStyle w:val="FootnoteReference"/>
          <w:color w:val="auto"/>
          <w:sz w:val="20"/>
          <w:szCs w:val="20"/>
          <w:lang w:val="es-ES"/>
        </w:rPr>
        <w:footnoteReference w:id="249"/>
      </w:r>
      <w:r w:rsidRPr="00C332F1">
        <w:rPr>
          <w:color w:val="auto"/>
          <w:lang w:val="es-ES"/>
        </w:rPr>
        <w:t>.</w:t>
      </w:r>
    </w:p>
    <w:p w14:paraId="2C027FE6" w14:textId="7107010C" w:rsidR="00A07D76" w:rsidRPr="00C332F1" w:rsidRDefault="00A07D76" w:rsidP="571B825A">
      <w:pPr>
        <w:pStyle w:val="IASubttulo3"/>
        <w:rPr>
          <w:lang w:val="es-ES"/>
        </w:rPr>
      </w:pPr>
      <w:bookmarkStart w:id="28" w:name="_Toc195617473"/>
      <w:r w:rsidRPr="00C332F1">
        <w:rPr>
          <w:lang w:val="es-ES"/>
        </w:rPr>
        <w:t>Libertad académica</w:t>
      </w:r>
      <w:r w:rsidR="00013886" w:rsidRPr="00C332F1">
        <w:rPr>
          <w:lang w:val="es-ES"/>
        </w:rPr>
        <w:t xml:space="preserve"> y represión</w:t>
      </w:r>
      <w:r w:rsidR="7F66D1A4" w:rsidRPr="00C332F1">
        <w:rPr>
          <w:lang w:val="es-ES"/>
        </w:rPr>
        <w:t xml:space="preserve"> a la comunidad educativa</w:t>
      </w:r>
      <w:bookmarkEnd w:id="28"/>
    </w:p>
    <w:p w14:paraId="51544F3A" w14:textId="521348A3" w:rsidR="00DC4A32" w:rsidRPr="00C332F1" w:rsidRDefault="08761A34" w:rsidP="5F060105">
      <w:pPr>
        <w:pStyle w:val="IAPrrafo"/>
        <w:rPr>
          <w:rFonts w:eastAsia="Cambria" w:cs="Cambria"/>
          <w:szCs w:val="20"/>
          <w:lang w:val="es-ES"/>
        </w:rPr>
      </w:pPr>
      <w:r w:rsidRPr="00C332F1">
        <w:rPr>
          <w:rFonts w:eastAsia="Cambria" w:cs="Cambria"/>
          <w:szCs w:val="20"/>
          <w:lang w:val="es-ES"/>
        </w:rPr>
        <w:t>La criminalización, persecución, amenazas, acoso y detenciones arbitrarias de miembros de la comunidad educativa y defensores de derechos humanos, motivadas por razones políticas, siguen siendo prácticas recurrentes denunciadas por organizaciones de la sociedad civil venezolana</w:t>
      </w:r>
      <w:r w:rsidR="00A14F05">
        <w:rPr>
          <w:rFonts w:ascii="ZWAdobeF" w:eastAsia="Cambria" w:hAnsi="ZWAdobeF" w:cs="ZWAdobeF"/>
          <w:color w:val="auto"/>
          <w:sz w:val="2"/>
          <w:szCs w:val="2"/>
          <w:lang w:val="es-ES"/>
        </w:rPr>
        <w:t>248F</w:t>
      </w:r>
      <w:r w:rsidR="00A07D76" w:rsidRPr="005C52BD">
        <w:rPr>
          <w:rFonts w:eastAsia="Cambria" w:cs="Cambria"/>
          <w:color w:val="000000" w:themeColor="text1"/>
          <w:vertAlign w:val="superscript"/>
          <w:lang w:val="es-ES"/>
        </w:rPr>
        <w:footnoteReference w:id="250"/>
      </w:r>
      <w:r w:rsidR="2A13D517" w:rsidRPr="00C332F1">
        <w:rPr>
          <w:rFonts w:eastAsia="Cambria" w:cs="Cambria"/>
          <w:color w:val="000000" w:themeColor="text1"/>
          <w:lang w:val="es-ES"/>
        </w:rPr>
        <w:t xml:space="preserve">. </w:t>
      </w:r>
      <w:r w:rsidR="0FFDF03C" w:rsidRPr="00C332F1">
        <w:rPr>
          <w:rFonts w:eastAsia="Cambria" w:cs="Cambria"/>
          <w:szCs w:val="20"/>
          <w:lang w:val="es-ES"/>
        </w:rPr>
        <w:t>E</w:t>
      </w:r>
      <w:r w:rsidR="2A41B628" w:rsidRPr="00C332F1">
        <w:rPr>
          <w:rFonts w:eastAsia="Cambria" w:cs="Cambria"/>
          <w:szCs w:val="20"/>
          <w:lang w:val="es-ES"/>
        </w:rPr>
        <w:t>n particular, e</w:t>
      </w:r>
      <w:r w:rsidR="0FFDF03C" w:rsidRPr="00C332F1">
        <w:rPr>
          <w:rFonts w:eastAsia="Cambria" w:cs="Cambria"/>
          <w:szCs w:val="20"/>
          <w:lang w:val="es-ES"/>
        </w:rPr>
        <w:t>ntre enero y noviembre de 2024, la organización Aula Abierta registró un total de 180 protestas protagonizadas por miembros de la comunidad universitaria. De estas, 125 se realizaron en universidades del centro del país, 28 en Los Andes, 6 en Oriente y 21 en Occidente. De las protestas documentadas, 89 fueron presenciales y 91 se llevaron a cabo en espacios digitales</w:t>
      </w:r>
      <w:r w:rsidR="00A14F05">
        <w:rPr>
          <w:rFonts w:ascii="ZWAdobeF" w:eastAsia="Cambria" w:hAnsi="ZWAdobeF" w:cs="ZWAdobeF"/>
          <w:color w:val="auto"/>
          <w:sz w:val="2"/>
          <w:szCs w:val="2"/>
          <w:lang w:val="es-ES"/>
        </w:rPr>
        <w:t>249F</w:t>
      </w:r>
      <w:r w:rsidR="00013886" w:rsidRPr="005C52BD">
        <w:rPr>
          <w:rFonts w:eastAsia="Cambria" w:cs="Cambria"/>
          <w:szCs w:val="20"/>
          <w:vertAlign w:val="superscript"/>
          <w:lang w:val="es-ES"/>
        </w:rPr>
        <w:footnoteReference w:id="251"/>
      </w:r>
      <w:r w:rsidR="0FFDF03C" w:rsidRPr="00C332F1">
        <w:rPr>
          <w:rFonts w:eastAsia="Cambria" w:cs="Cambria"/>
          <w:szCs w:val="20"/>
          <w:lang w:val="es-ES"/>
        </w:rPr>
        <w:t>. Las principales demandas fueron un salario digno y la defensa de la autonomía universitaria, destacándose 15 protestas por la defensa de la autonomía financiera de las universidades y 24 protestas relacionadas con la defensa de la democracia y los derechos humanos</w:t>
      </w:r>
      <w:r w:rsidR="00A14F05">
        <w:rPr>
          <w:rFonts w:ascii="ZWAdobeF" w:eastAsia="Cambria" w:hAnsi="ZWAdobeF" w:cs="ZWAdobeF"/>
          <w:color w:val="auto"/>
          <w:sz w:val="2"/>
          <w:szCs w:val="2"/>
          <w:lang w:val="es-ES"/>
        </w:rPr>
        <w:t>250F</w:t>
      </w:r>
      <w:r w:rsidR="00013886" w:rsidRPr="005C52BD">
        <w:rPr>
          <w:rFonts w:eastAsia="Cambria" w:cs="Cambria"/>
          <w:szCs w:val="20"/>
          <w:vertAlign w:val="superscript"/>
          <w:lang w:val="es-ES"/>
        </w:rPr>
        <w:footnoteReference w:id="252"/>
      </w:r>
      <w:r w:rsidR="0FFDF03C" w:rsidRPr="00C332F1">
        <w:rPr>
          <w:rFonts w:eastAsia="Cambria" w:cs="Cambria"/>
          <w:szCs w:val="20"/>
          <w:lang w:val="es-ES"/>
        </w:rPr>
        <w:t>.</w:t>
      </w:r>
    </w:p>
    <w:p w14:paraId="10D07E1E" w14:textId="48D66829" w:rsidR="00DC4A32" w:rsidRPr="00C332F1" w:rsidRDefault="0FFDF03C" w:rsidP="5F060105">
      <w:pPr>
        <w:pStyle w:val="IAPrrafo"/>
        <w:rPr>
          <w:rFonts w:eastAsia="Cambria" w:cs="Cambria"/>
          <w:szCs w:val="20"/>
          <w:lang w:val="es-ES"/>
        </w:rPr>
      </w:pPr>
      <w:r w:rsidRPr="00C332F1">
        <w:rPr>
          <w:rFonts w:eastAsia="Cambria" w:cs="Cambria"/>
          <w:szCs w:val="20"/>
          <w:lang w:val="es-ES"/>
        </w:rPr>
        <w:t>En cuanto a las detenciones arbitrarias de miembros de la comunidad universitaria en el ejercicio de la libertad de expresión y académica, la organización Aula Abierta documentó, entre junio de 2021 y marzo de 2024, al menos dos casos de detención de profesores y diez de estudiantes. Entre 2014 y 2024, se han registrado más de 410 detenciones arbitrarias, así como nueve ejecuciones extrajudiciales y cuatro desapariciones forzadas de miembros de la comunidad universitaria</w:t>
      </w:r>
      <w:r w:rsidR="00A14F05">
        <w:rPr>
          <w:rFonts w:ascii="ZWAdobeF" w:eastAsia="Cambria" w:hAnsi="ZWAdobeF" w:cs="ZWAdobeF"/>
          <w:color w:val="auto"/>
          <w:sz w:val="2"/>
          <w:szCs w:val="2"/>
          <w:lang w:val="es-ES"/>
        </w:rPr>
        <w:t>251F</w:t>
      </w:r>
      <w:r w:rsidR="00013886" w:rsidRPr="005C52BD">
        <w:rPr>
          <w:rFonts w:eastAsia="Cambria" w:cs="Cambria"/>
          <w:szCs w:val="20"/>
          <w:vertAlign w:val="superscript"/>
          <w:lang w:val="es-ES"/>
        </w:rPr>
        <w:footnoteReference w:id="253"/>
      </w:r>
      <w:r w:rsidRPr="00C332F1">
        <w:rPr>
          <w:rFonts w:eastAsia="Cambria" w:cs="Cambria"/>
          <w:szCs w:val="20"/>
          <w:lang w:val="es-ES"/>
        </w:rPr>
        <w:t>.</w:t>
      </w:r>
    </w:p>
    <w:p w14:paraId="31CC3F23" w14:textId="6466C9A7" w:rsidR="00DC4A32" w:rsidRPr="00C332F1" w:rsidRDefault="2AF98A01" w:rsidP="5F060105">
      <w:pPr>
        <w:pStyle w:val="IAPrrafo"/>
        <w:rPr>
          <w:rFonts w:eastAsia="Cambria" w:cs="Cambria"/>
          <w:color w:val="000000" w:themeColor="text1"/>
          <w:lang w:val="es-ES"/>
        </w:rPr>
      </w:pPr>
      <w:r w:rsidRPr="00C332F1">
        <w:rPr>
          <w:rFonts w:eastAsia="Cambria" w:cs="Cambria"/>
          <w:color w:val="000000" w:themeColor="text1"/>
          <w:lang w:val="es-ES"/>
        </w:rPr>
        <w:t xml:space="preserve">Por otro lado, la CIDH y su Relatoría Especial observan que </w:t>
      </w:r>
      <w:r w:rsidR="5B151989" w:rsidRPr="00C332F1">
        <w:rPr>
          <w:rFonts w:eastAsia="Cambria" w:cs="Cambria"/>
          <w:color w:val="000000" w:themeColor="text1"/>
          <w:lang w:val="es-ES"/>
        </w:rPr>
        <w:t>d</w:t>
      </w:r>
      <w:r w:rsidR="2D688348" w:rsidRPr="00C332F1">
        <w:rPr>
          <w:rFonts w:eastAsia="Cambria" w:cs="Cambria"/>
          <w:color w:val="000000" w:themeColor="text1"/>
          <w:lang w:val="es-ES"/>
        </w:rPr>
        <w:t>urante</w:t>
      </w:r>
      <w:r w:rsidRPr="00C332F1">
        <w:rPr>
          <w:rFonts w:eastAsia="Cambria" w:cs="Cambria"/>
          <w:color w:val="000000" w:themeColor="text1"/>
          <w:lang w:val="es-ES"/>
        </w:rPr>
        <w:t xml:space="preserve"> el </w:t>
      </w:r>
      <w:r w:rsidR="0FFDF03C" w:rsidRPr="00C332F1">
        <w:rPr>
          <w:rFonts w:eastAsia="Cambria" w:cs="Cambria"/>
          <w:color w:val="000000" w:themeColor="text1"/>
          <w:lang w:val="es-ES"/>
        </w:rPr>
        <w:t xml:space="preserve">contexto poselectoral </w:t>
      </w:r>
      <w:r w:rsidRPr="00C332F1">
        <w:rPr>
          <w:rFonts w:eastAsia="Cambria" w:cs="Cambria"/>
          <w:color w:val="000000" w:themeColor="text1"/>
          <w:lang w:val="es-ES"/>
        </w:rPr>
        <w:t>se habría intensificado</w:t>
      </w:r>
      <w:r w:rsidR="0FFDF03C" w:rsidRPr="00C332F1">
        <w:rPr>
          <w:rFonts w:eastAsia="Cambria" w:cs="Cambria"/>
          <w:color w:val="000000" w:themeColor="text1"/>
          <w:lang w:val="es-ES"/>
        </w:rPr>
        <w:t xml:space="preserve"> las prácticas represivas contra </w:t>
      </w:r>
      <w:r w:rsidRPr="00C332F1">
        <w:rPr>
          <w:rFonts w:eastAsia="Cambria" w:cs="Cambria"/>
          <w:color w:val="000000" w:themeColor="text1"/>
          <w:lang w:val="es-ES"/>
        </w:rPr>
        <w:t xml:space="preserve">los </w:t>
      </w:r>
      <w:r w:rsidR="0FFDF03C" w:rsidRPr="00C332F1">
        <w:rPr>
          <w:rFonts w:eastAsia="Cambria" w:cs="Cambria"/>
          <w:color w:val="000000" w:themeColor="text1"/>
          <w:lang w:val="es-ES"/>
        </w:rPr>
        <w:t xml:space="preserve">miembros de la comunidad educativa. Se han </w:t>
      </w:r>
      <w:r w:rsidR="77E3385C" w:rsidRPr="00C332F1">
        <w:rPr>
          <w:rFonts w:eastAsia="Cambria" w:cs="Cambria"/>
          <w:color w:val="000000" w:themeColor="text1"/>
          <w:lang w:val="es-ES"/>
        </w:rPr>
        <w:t>recibido denuncias sobre</w:t>
      </w:r>
      <w:r w:rsidR="0FFDF03C" w:rsidRPr="00C332F1">
        <w:rPr>
          <w:rFonts w:eastAsia="Cambria" w:cs="Cambria"/>
          <w:color w:val="000000" w:themeColor="text1"/>
          <w:lang w:val="es-ES"/>
        </w:rPr>
        <w:t xml:space="preserve"> múltiples casos de detenciones arbitrarias, desapariciones forzadas, amenazas y estigmatización</w:t>
      </w:r>
      <w:r w:rsidR="575BCC66" w:rsidRPr="00C332F1">
        <w:rPr>
          <w:rFonts w:eastAsia="Cambria" w:cs="Cambria"/>
          <w:color w:val="000000" w:themeColor="text1"/>
          <w:lang w:val="es-ES"/>
        </w:rPr>
        <w:t xml:space="preserve">, así como </w:t>
      </w:r>
      <w:r w:rsidR="0FFDF03C" w:rsidRPr="00C332F1">
        <w:rPr>
          <w:rFonts w:eastAsia="Cambria" w:cs="Cambria"/>
          <w:color w:val="000000" w:themeColor="text1"/>
          <w:lang w:val="es-ES"/>
        </w:rPr>
        <w:t>actos de vandalismo en instalaciones académicas</w:t>
      </w:r>
      <w:r w:rsidR="746CA441" w:rsidRPr="00C332F1">
        <w:rPr>
          <w:rFonts w:eastAsia="Cambria" w:cs="Cambria"/>
          <w:color w:val="000000" w:themeColor="text1"/>
          <w:lang w:val="es-ES"/>
        </w:rPr>
        <w:t xml:space="preserve">. </w:t>
      </w:r>
      <w:r w:rsidR="0FFDF03C" w:rsidRPr="00C332F1">
        <w:rPr>
          <w:rFonts w:eastAsia="Cambria" w:cs="Cambria"/>
          <w:color w:val="000000" w:themeColor="text1"/>
          <w:lang w:val="es-ES"/>
        </w:rPr>
        <w:t>E</w:t>
      </w:r>
      <w:r w:rsidR="7356EE6F" w:rsidRPr="00C332F1">
        <w:rPr>
          <w:rFonts w:eastAsia="Cambria" w:cs="Cambria"/>
          <w:color w:val="000000" w:themeColor="text1"/>
          <w:lang w:val="es-ES"/>
        </w:rPr>
        <w:t>n particular, e</w:t>
      </w:r>
      <w:r w:rsidR="0FFDF03C" w:rsidRPr="00C332F1">
        <w:rPr>
          <w:rFonts w:eastAsia="Cambria" w:cs="Cambria"/>
          <w:color w:val="000000" w:themeColor="text1"/>
          <w:lang w:val="es-ES"/>
        </w:rPr>
        <w:t>ntre el 28 de julio y el 30 de septiembre de 2024, Aula Abierta documentó 51 incidentes de represalias contra miembros de la comunidad universitaria, incluidos 12 profesores detenidos por su participación en protestas poselectorales, 22 estudiantes privados de libertad, 31 casos de hostigamiento y 71 estudiantes expulsados de la Universidad Nacional Experimental de la Seguridad (UNES)</w:t>
      </w:r>
      <w:r w:rsidR="00A14F05">
        <w:rPr>
          <w:rFonts w:ascii="ZWAdobeF" w:eastAsia="Cambria" w:hAnsi="ZWAdobeF" w:cs="ZWAdobeF"/>
          <w:color w:val="auto"/>
          <w:sz w:val="2"/>
          <w:szCs w:val="2"/>
          <w:lang w:val="es-ES"/>
        </w:rPr>
        <w:t>252F</w:t>
      </w:r>
      <w:r w:rsidR="00013886" w:rsidRPr="005C52BD">
        <w:rPr>
          <w:rFonts w:eastAsia="Cambria" w:cs="Cambria"/>
          <w:color w:val="000000" w:themeColor="text1"/>
          <w:vertAlign w:val="superscript"/>
          <w:lang w:val="es-ES"/>
        </w:rPr>
        <w:footnoteReference w:id="254"/>
      </w:r>
      <w:r w:rsidR="0FFDF03C" w:rsidRPr="00C332F1">
        <w:rPr>
          <w:rFonts w:eastAsia="Cambria" w:cs="Cambria"/>
          <w:color w:val="000000" w:themeColor="text1"/>
          <w:lang w:val="es-ES"/>
        </w:rPr>
        <w:t>. También se registraron actos como la anulación del pasaporte de un docente y 18 protestas estudiantiles exigiendo mejoras en los servicios universitarios.</w:t>
      </w:r>
    </w:p>
    <w:p w14:paraId="167CAB52" w14:textId="4A3D8438" w:rsidR="00DC4A32" w:rsidRPr="00C332F1" w:rsidRDefault="3D6AC83D" w:rsidP="5F060105">
      <w:pPr>
        <w:pStyle w:val="IAPrrafo"/>
        <w:rPr>
          <w:rFonts w:eastAsia="Cambria" w:cs="Cambria"/>
          <w:lang w:val="es-ES"/>
        </w:rPr>
      </w:pPr>
      <w:r w:rsidRPr="00C332F1">
        <w:rPr>
          <w:rFonts w:eastAsia="Cambria" w:cs="Cambria"/>
          <w:lang w:val="es-ES"/>
        </w:rPr>
        <w:t>Asimismo, el</w:t>
      </w:r>
      <w:r w:rsidR="0CBDCA03" w:rsidRPr="00C332F1">
        <w:rPr>
          <w:rFonts w:eastAsia="Cambria" w:cs="Cambria"/>
          <w:lang w:val="es-ES"/>
        </w:rPr>
        <w:t xml:space="preserve"> 28 de julio de 2024, se denunciaron irregularidades en la Universidad Nacional Experimental de Seguridad (UNES) en Caracas, donde estudiantes fueron presionados a votar por Nicolás Maduro bajo amenaza de represalias. Al menos 25 estudiantes que se negaron a votar por el mandatario permanecen desaparecidos, y sus familiares han denunciado la falta de información oficial sobre su paradero</w:t>
      </w:r>
      <w:r w:rsidR="00A14F05">
        <w:rPr>
          <w:rFonts w:ascii="ZWAdobeF" w:eastAsia="Cambria" w:hAnsi="ZWAdobeF" w:cs="ZWAdobeF"/>
          <w:color w:val="auto"/>
          <w:sz w:val="2"/>
          <w:szCs w:val="2"/>
          <w:lang w:val="es-ES"/>
        </w:rPr>
        <w:t>253F</w:t>
      </w:r>
      <w:r w:rsidR="0CBDCA03" w:rsidRPr="005C52BD">
        <w:rPr>
          <w:rFonts w:eastAsia="Cambria" w:cs="Cambria"/>
          <w:vertAlign w:val="superscript"/>
          <w:lang w:val="es-ES"/>
        </w:rPr>
        <w:footnoteReference w:id="255"/>
      </w:r>
      <w:r w:rsidR="0CBDCA03" w:rsidRPr="00C332F1">
        <w:rPr>
          <w:rFonts w:eastAsia="Cambria" w:cs="Cambria"/>
          <w:lang w:val="es-ES"/>
        </w:rPr>
        <w:t>. Asimismo, el 1 de agosto de 2024, se reportó un ataque a la Biblioteca Gustavo Leal de la Universidad Central de Venezuela (UCV) tras un pronunciamiento crítico de la universidad respecto a las elecciones</w:t>
      </w:r>
      <w:r w:rsidR="00A14F05">
        <w:rPr>
          <w:rFonts w:ascii="ZWAdobeF" w:eastAsia="Cambria" w:hAnsi="ZWAdobeF" w:cs="ZWAdobeF"/>
          <w:color w:val="auto"/>
          <w:sz w:val="2"/>
          <w:szCs w:val="2"/>
          <w:lang w:val="es-ES"/>
        </w:rPr>
        <w:t>254F</w:t>
      </w:r>
      <w:r w:rsidR="0CBDCA03" w:rsidRPr="005C52BD">
        <w:rPr>
          <w:rFonts w:eastAsia="Cambria" w:cs="Cambria"/>
          <w:vertAlign w:val="superscript"/>
          <w:lang w:val="es-ES"/>
        </w:rPr>
        <w:footnoteReference w:id="256"/>
      </w:r>
      <w:r w:rsidR="0CBDCA03" w:rsidRPr="00C332F1">
        <w:rPr>
          <w:rFonts w:eastAsia="Cambria" w:cs="Cambria"/>
          <w:lang w:val="es-ES"/>
        </w:rPr>
        <w:t xml:space="preserve">. Asimismo, grupos armados afines al </w:t>
      </w:r>
      <w:r w:rsidR="0DA53591" w:rsidRPr="00C332F1">
        <w:rPr>
          <w:rFonts w:eastAsia="Cambria" w:cs="Cambria"/>
          <w:lang w:val="es-ES"/>
        </w:rPr>
        <w:t>gobierno</w:t>
      </w:r>
      <w:r w:rsidR="0CBDCA03" w:rsidRPr="00C332F1">
        <w:rPr>
          <w:rFonts w:eastAsia="Cambria" w:cs="Cambria"/>
          <w:lang w:val="es-ES"/>
        </w:rPr>
        <w:t xml:space="preserve"> habrían interceptado a estudiantes y docentes, amenazando y acusando a miembros de la comunidad educativa de ser “terroristas”.</w:t>
      </w:r>
    </w:p>
    <w:p w14:paraId="09732AFF" w14:textId="74166717" w:rsidR="000139D6" w:rsidRPr="00C332F1" w:rsidRDefault="00480A69" w:rsidP="00A4594F">
      <w:pPr>
        <w:pStyle w:val="IATtulo"/>
        <w:jc w:val="both"/>
        <w:rPr>
          <w:rFonts w:eastAsia="Cambria"/>
          <w:lang w:val="es-CO"/>
        </w:rPr>
      </w:pPr>
      <w:bookmarkStart w:id="29" w:name="_Toc195617474"/>
      <w:r w:rsidRPr="00C332F1">
        <w:rPr>
          <w:rFonts w:eastAsia="Cambria"/>
          <w:lang w:val="es-CO"/>
        </w:rPr>
        <w:t xml:space="preserve">situaciones estructurales </w:t>
      </w:r>
      <w:r w:rsidR="00DD6C2F" w:rsidRPr="00C332F1">
        <w:rPr>
          <w:rFonts w:eastAsia="Cambria"/>
          <w:lang w:val="es-CO"/>
        </w:rPr>
        <w:t>con</w:t>
      </w:r>
      <w:r w:rsidRPr="00C332F1">
        <w:rPr>
          <w:rFonts w:eastAsia="Cambria"/>
          <w:lang w:val="es-CO"/>
        </w:rPr>
        <w:t xml:space="preserve"> </w:t>
      </w:r>
      <w:r w:rsidR="00454B42" w:rsidRPr="00C332F1">
        <w:rPr>
          <w:rFonts w:eastAsia="Cambria"/>
          <w:lang w:val="es-CO"/>
        </w:rPr>
        <w:t xml:space="preserve">GRAVE </w:t>
      </w:r>
      <w:r w:rsidRPr="00C332F1">
        <w:rPr>
          <w:rFonts w:eastAsia="Cambria"/>
          <w:lang w:val="es-CO"/>
        </w:rPr>
        <w:t>afectaci</w:t>
      </w:r>
      <w:r w:rsidR="31E4EDBC" w:rsidRPr="00C332F1">
        <w:rPr>
          <w:rFonts w:eastAsia="Cambria"/>
          <w:lang w:val="es-CO"/>
        </w:rPr>
        <w:t>O</w:t>
      </w:r>
      <w:r w:rsidRPr="00C332F1">
        <w:rPr>
          <w:rFonts w:eastAsia="Cambria"/>
          <w:lang w:val="es-CO"/>
        </w:rPr>
        <w:t>N A</w:t>
      </w:r>
      <w:r w:rsidR="00454B42" w:rsidRPr="00C332F1">
        <w:rPr>
          <w:rFonts w:eastAsia="Cambria"/>
          <w:lang w:val="es-CO"/>
        </w:rPr>
        <w:t>L</w:t>
      </w:r>
      <w:r w:rsidR="00DC4A32" w:rsidRPr="00C332F1">
        <w:rPr>
          <w:rFonts w:eastAsia="Cambria"/>
          <w:lang w:val="es-CO"/>
        </w:rPr>
        <w:t xml:space="preserve"> </w:t>
      </w:r>
      <w:r w:rsidRPr="00C332F1">
        <w:rPr>
          <w:rFonts w:eastAsia="Cambria"/>
          <w:lang w:val="es-CO"/>
        </w:rPr>
        <w:t xml:space="preserve">goce y disfrute de los derechos </w:t>
      </w:r>
      <w:r w:rsidR="00454B42" w:rsidRPr="00C332F1">
        <w:rPr>
          <w:rFonts w:eastAsia="Cambria"/>
          <w:lang w:val="es-CO"/>
        </w:rPr>
        <w:t>HUMANOS</w:t>
      </w:r>
      <w:bookmarkEnd w:id="29"/>
    </w:p>
    <w:p w14:paraId="3CCA9076" w14:textId="0751C548" w:rsidR="00544E1A" w:rsidRPr="00C332F1" w:rsidRDefault="00544E1A">
      <w:pPr>
        <w:pStyle w:val="IAPrrafo"/>
        <w:rPr>
          <w:szCs w:val="20"/>
          <w:lang w:val="es-ES"/>
        </w:rPr>
      </w:pPr>
      <w:r w:rsidRPr="00C332F1">
        <w:rPr>
          <w:szCs w:val="20"/>
          <w:lang w:val="es-ES"/>
        </w:rPr>
        <w:t xml:space="preserve">En este capítulo se analiza cómo la crisis política en Venezuela, </w:t>
      </w:r>
      <w:r w:rsidR="00214980" w:rsidRPr="00C332F1">
        <w:rPr>
          <w:szCs w:val="20"/>
          <w:lang w:val="es-ES"/>
        </w:rPr>
        <w:t>provocada por l</w:t>
      </w:r>
      <w:r w:rsidRPr="00C332F1">
        <w:rPr>
          <w:szCs w:val="20"/>
          <w:lang w:val="es-ES"/>
        </w:rPr>
        <w:t>a cooptación de las instituciones estatales</w:t>
      </w:r>
      <w:r w:rsidR="00D60B68" w:rsidRPr="00C332F1">
        <w:rPr>
          <w:szCs w:val="20"/>
          <w:lang w:val="es-ES"/>
        </w:rPr>
        <w:t xml:space="preserve">, </w:t>
      </w:r>
      <w:r w:rsidR="00493203" w:rsidRPr="00C332F1">
        <w:rPr>
          <w:szCs w:val="20"/>
          <w:lang w:val="es-ES"/>
        </w:rPr>
        <w:t xml:space="preserve">el </w:t>
      </w:r>
      <w:r w:rsidR="00D60B68" w:rsidRPr="00C332F1">
        <w:rPr>
          <w:szCs w:val="20"/>
          <w:lang w:val="es-ES"/>
        </w:rPr>
        <w:t xml:space="preserve">colapso de los servicios públicos </w:t>
      </w:r>
      <w:r w:rsidRPr="00C332F1">
        <w:rPr>
          <w:szCs w:val="20"/>
          <w:lang w:val="es-ES"/>
        </w:rPr>
        <w:t xml:space="preserve">y el uso de la </w:t>
      </w:r>
      <w:r w:rsidR="00C3580A" w:rsidRPr="00C332F1">
        <w:rPr>
          <w:szCs w:val="20"/>
          <w:lang w:val="es-ES"/>
        </w:rPr>
        <w:t>corrupción</w:t>
      </w:r>
      <w:r w:rsidRPr="00C332F1">
        <w:rPr>
          <w:szCs w:val="20"/>
          <w:lang w:val="es-ES"/>
        </w:rPr>
        <w:t xml:space="preserve"> </w:t>
      </w:r>
      <w:r w:rsidR="00493203" w:rsidRPr="00C332F1">
        <w:rPr>
          <w:szCs w:val="20"/>
          <w:lang w:val="es-ES"/>
        </w:rPr>
        <w:t>menoscabó</w:t>
      </w:r>
      <w:r w:rsidRPr="00C332F1">
        <w:rPr>
          <w:szCs w:val="20"/>
          <w:lang w:val="es-ES"/>
        </w:rPr>
        <w:t xml:space="preserve"> la capacidad del </w:t>
      </w:r>
      <w:r w:rsidR="00214980" w:rsidRPr="00C332F1">
        <w:rPr>
          <w:szCs w:val="20"/>
          <w:lang w:val="es-ES"/>
        </w:rPr>
        <w:t>Estado</w:t>
      </w:r>
      <w:r w:rsidRPr="00C332F1">
        <w:rPr>
          <w:szCs w:val="20"/>
          <w:lang w:val="es-ES"/>
        </w:rPr>
        <w:t xml:space="preserve"> para </w:t>
      </w:r>
      <w:r w:rsidR="003A2C8E" w:rsidRPr="00C332F1">
        <w:rPr>
          <w:szCs w:val="20"/>
          <w:lang w:val="es-ES"/>
        </w:rPr>
        <w:t>la garantía y goce</w:t>
      </w:r>
      <w:r w:rsidRPr="00C332F1">
        <w:rPr>
          <w:szCs w:val="20"/>
          <w:lang w:val="es-ES"/>
        </w:rPr>
        <w:t xml:space="preserve"> de derechos humanos. Esto tuvo un impacto especial en los grupos en situación de vulnerabilidad</w:t>
      </w:r>
      <w:r w:rsidR="00094C56" w:rsidRPr="00C332F1">
        <w:rPr>
          <w:szCs w:val="20"/>
          <w:lang w:val="es-ES"/>
        </w:rPr>
        <w:t xml:space="preserve"> y discriminación histórica</w:t>
      </w:r>
      <w:r w:rsidRPr="00C332F1">
        <w:rPr>
          <w:szCs w:val="20"/>
          <w:lang w:val="es-ES"/>
        </w:rPr>
        <w:t>, como los pueblos indígenas, personas afrodescendientes, mujeres, personas LGBTI, niñas, niños, adolescentes y personas en situación de pobreza.</w:t>
      </w:r>
    </w:p>
    <w:p w14:paraId="69C7293F" w14:textId="3506352E" w:rsidR="00F424B0" w:rsidRPr="00C332F1" w:rsidRDefault="38311C1A" w:rsidP="3E5B68BC">
      <w:pPr>
        <w:pStyle w:val="IAPrrafo"/>
        <w:rPr>
          <w:color w:val="auto"/>
          <w:szCs w:val="20"/>
          <w:lang w:val="es-ES"/>
        </w:rPr>
      </w:pPr>
      <w:r w:rsidRPr="00C332F1">
        <w:rPr>
          <w:color w:val="auto"/>
          <w:lang w:val="es-ES"/>
        </w:rPr>
        <w:t>Gran parte de la población venezolana continúa enfrentando una crisis humanitaria compleja, grave y multidimensional, caracterizada por altos índices de pobreza, desigualdad e inseguridad alimentaria, así como por el colapso del sistema de salud y el impacto en diversos derechos económicos, sociales, culturales y ambientales. En este contexto, a pesar de los informes sobre una mejora en la situación económica del país</w:t>
      </w:r>
      <w:r w:rsidR="07B5AF59" w:rsidRPr="00C332F1">
        <w:rPr>
          <w:color w:val="auto"/>
          <w:lang w:val="es-ES"/>
        </w:rPr>
        <w:t xml:space="preserve"> —</w:t>
      </w:r>
      <w:r w:rsidRPr="00C332F1">
        <w:rPr>
          <w:color w:val="auto"/>
          <w:lang w:val="es-ES"/>
        </w:rPr>
        <w:t>con proyecciones de crecimiento del PIB de un 4% para 202</w:t>
      </w:r>
      <w:r w:rsidR="0D3C9F32" w:rsidRPr="00C332F1">
        <w:rPr>
          <w:color w:val="auto"/>
          <w:lang w:val="es-ES"/>
        </w:rPr>
        <w:t>4</w:t>
      </w:r>
      <w:r w:rsidR="1B336D41" w:rsidRPr="00C332F1">
        <w:rPr>
          <w:color w:val="auto"/>
          <w:lang w:val="es-ES"/>
        </w:rPr>
        <w:t>—</w:t>
      </w:r>
      <w:r w:rsidRPr="00C332F1">
        <w:rPr>
          <w:color w:val="auto"/>
          <w:lang w:val="es-ES"/>
        </w:rPr>
        <w:t>, se ha señalado que esta recuperación no se ha traducido en una mejora sustancial de las condiciones para la población. Según los reportes, múltiples regiones del país seguirían sumidas en una depresión económica y una severa crisis de servicios públicos, con una tasa de pobreza de ingresos que afectaría al 85% de la población</w:t>
      </w:r>
      <w:r w:rsidR="00A14F05">
        <w:rPr>
          <w:rFonts w:ascii="ZWAdobeF" w:hAnsi="ZWAdobeF" w:cs="ZWAdobeF"/>
          <w:color w:val="auto"/>
          <w:sz w:val="2"/>
          <w:szCs w:val="2"/>
          <w:lang w:val="es-ES"/>
        </w:rPr>
        <w:t>255F</w:t>
      </w:r>
      <w:r w:rsidR="00F424B0" w:rsidRPr="005C52BD">
        <w:rPr>
          <w:rStyle w:val="FootnoteReference"/>
          <w:color w:val="auto"/>
          <w:sz w:val="20"/>
          <w:szCs w:val="20"/>
          <w:lang w:val="es-ES"/>
        </w:rPr>
        <w:footnoteReference w:id="257"/>
      </w:r>
      <w:r w:rsidRPr="00C332F1">
        <w:rPr>
          <w:color w:val="auto"/>
          <w:lang w:val="es-ES"/>
        </w:rPr>
        <w:t>.</w:t>
      </w:r>
    </w:p>
    <w:p w14:paraId="07ABCDDE" w14:textId="21D03268" w:rsidR="000F4C77" w:rsidRPr="00C332F1" w:rsidRDefault="7970AE70" w:rsidP="00785475">
      <w:pPr>
        <w:pStyle w:val="IAPrrafo"/>
        <w:rPr>
          <w:color w:val="auto"/>
          <w:szCs w:val="20"/>
        </w:rPr>
      </w:pPr>
      <w:r w:rsidRPr="00C332F1">
        <w:rPr>
          <w:color w:val="auto"/>
          <w:lang w:val="es-US"/>
        </w:rPr>
        <w:t xml:space="preserve">De acuerdo con el </w:t>
      </w:r>
      <w:r w:rsidR="4799F3F5" w:rsidRPr="00C332F1">
        <w:rPr>
          <w:color w:val="auto"/>
          <w:lang w:val="es-US"/>
        </w:rPr>
        <w:t>R</w:t>
      </w:r>
      <w:r w:rsidRPr="00C332F1">
        <w:rPr>
          <w:color w:val="auto"/>
          <w:lang w:val="es-US"/>
        </w:rPr>
        <w:t xml:space="preserve">elator </w:t>
      </w:r>
      <w:r w:rsidR="3B8F250A" w:rsidRPr="00C332F1">
        <w:rPr>
          <w:color w:val="auto"/>
          <w:lang w:val="es-US"/>
        </w:rPr>
        <w:t>E</w:t>
      </w:r>
      <w:r w:rsidRPr="00C332F1">
        <w:rPr>
          <w:color w:val="auto"/>
          <w:lang w:val="es-US"/>
        </w:rPr>
        <w:t xml:space="preserve">special de la ONU sobre el </w:t>
      </w:r>
      <w:r w:rsidR="22ADE03D" w:rsidRPr="00C332F1">
        <w:rPr>
          <w:color w:val="auto"/>
          <w:lang w:val="es-US"/>
        </w:rPr>
        <w:t>D</w:t>
      </w:r>
      <w:r w:rsidRPr="00C332F1">
        <w:rPr>
          <w:color w:val="auto"/>
          <w:lang w:val="es-US"/>
        </w:rPr>
        <w:t xml:space="preserve">erecho a la </w:t>
      </w:r>
      <w:r w:rsidR="06CDF8E3" w:rsidRPr="00C332F1">
        <w:rPr>
          <w:color w:val="auto"/>
          <w:lang w:val="es-US"/>
        </w:rPr>
        <w:t>A</w:t>
      </w:r>
      <w:r w:rsidRPr="00C332F1">
        <w:rPr>
          <w:color w:val="auto"/>
          <w:lang w:val="es-US"/>
        </w:rPr>
        <w:t xml:space="preserve">limentación, </w:t>
      </w:r>
      <w:r w:rsidRPr="00C332F1">
        <w:rPr>
          <w:color w:val="auto"/>
          <w:lang w:val="es-ES"/>
        </w:rPr>
        <w:t>el 82% de la población viviría en condiciones de pobreza y el 53% en pobreza extrema, con ingresos insuficientes para acceder a una canasta básica de alimentos</w:t>
      </w:r>
      <w:r w:rsidR="00A14F05">
        <w:rPr>
          <w:rFonts w:ascii="ZWAdobeF" w:hAnsi="ZWAdobeF" w:cs="ZWAdobeF"/>
          <w:color w:val="auto"/>
          <w:sz w:val="2"/>
          <w:szCs w:val="2"/>
          <w:lang w:val="es-ES"/>
        </w:rPr>
        <w:t>256F</w:t>
      </w:r>
      <w:r w:rsidR="000F4C77" w:rsidRPr="005C52BD">
        <w:rPr>
          <w:rStyle w:val="FootnoteReference"/>
          <w:color w:val="auto"/>
          <w:sz w:val="20"/>
          <w:szCs w:val="20"/>
          <w:lang w:val="es-ES"/>
        </w:rPr>
        <w:footnoteReference w:id="258"/>
      </w:r>
      <w:r w:rsidRPr="00C332F1">
        <w:rPr>
          <w:color w:val="auto"/>
          <w:lang w:val="es-ES"/>
        </w:rPr>
        <w:t>. Por su parte, según los resultados obtenidos de la Encuesta Nacional de Condiciones Vida 2023, realizada por la Universidad Católica Andrés Bello, el 51,9% de la población viviría en pobreza multidimensional</w:t>
      </w:r>
      <w:r w:rsidR="00A14F05">
        <w:rPr>
          <w:rFonts w:ascii="ZWAdobeF" w:hAnsi="ZWAdobeF" w:cs="ZWAdobeF"/>
          <w:color w:val="auto"/>
          <w:sz w:val="2"/>
          <w:szCs w:val="2"/>
          <w:lang w:val="es-ES"/>
        </w:rPr>
        <w:t>257F</w:t>
      </w:r>
      <w:r w:rsidR="000F4C77" w:rsidRPr="005C52BD">
        <w:rPr>
          <w:rStyle w:val="FootnoteReference"/>
          <w:color w:val="auto"/>
          <w:sz w:val="20"/>
          <w:szCs w:val="20"/>
          <w:lang w:val="es-ES"/>
        </w:rPr>
        <w:footnoteReference w:id="259"/>
      </w:r>
      <w:r w:rsidRPr="00C332F1">
        <w:rPr>
          <w:color w:val="auto"/>
          <w:lang w:val="es-ES"/>
        </w:rPr>
        <w:t>.</w:t>
      </w:r>
    </w:p>
    <w:p w14:paraId="650579E4" w14:textId="5BDF62C6" w:rsidR="000F4C77" w:rsidRPr="00C332F1" w:rsidRDefault="7970AE70" w:rsidP="00785475">
      <w:pPr>
        <w:pStyle w:val="IAPrrafo"/>
        <w:rPr>
          <w:color w:val="auto"/>
          <w:szCs w:val="20"/>
        </w:rPr>
      </w:pPr>
      <w:r w:rsidRPr="00C332F1">
        <w:rPr>
          <w:color w:val="auto"/>
          <w:lang w:val="es-ES"/>
        </w:rPr>
        <w:t xml:space="preserve">En la misma línea, persisten altos niveles de desigualdad económica, que siguen ubicando al país en sus máximos </w:t>
      </w:r>
      <w:r w:rsidRPr="00C332F1">
        <w:rPr>
          <w:color w:val="auto"/>
          <w:lang w:val="es-US"/>
        </w:rPr>
        <w:t>históricos y como uno de los países con mayor desigualdad en América Latina</w:t>
      </w:r>
      <w:r w:rsidRPr="00C332F1">
        <w:rPr>
          <w:color w:val="auto"/>
          <w:lang w:val="es-ES"/>
        </w:rPr>
        <w:t>. En consecuencia, pese a la disminución del Gini en 2023</w:t>
      </w:r>
      <w:r w:rsidR="28047CB7" w:rsidRPr="00C332F1">
        <w:rPr>
          <w:color w:val="auto"/>
          <w:lang w:val="es-ES"/>
        </w:rPr>
        <w:t xml:space="preserve"> —</w:t>
      </w:r>
      <w:r w:rsidRPr="00C332F1">
        <w:rPr>
          <w:color w:val="auto"/>
          <w:lang w:val="es-US"/>
        </w:rPr>
        <w:t>del 60,3 a 51,2</w:t>
      </w:r>
      <w:r w:rsidR="00A14F05">
        <w:rPr>
          <w:rFonts w:ascii="ZWAdobeF" w:hAnsi="ZWAdobeF" w:cs="ZWAdobeF"/>
          <w:color w:val="auto"/>
          <w:sz w:val="2"/>
          <w:szCs w:val="2"/>
          <w:lang w:val="es-US"/>
        </w:rPr>
        <w:t>258F</w:t>
      </w:r>
      <w:r w:rsidR="000F4C77" w:rsidRPr="005C52BD">
        <w:rPr>
          <w:rStyle w:val="FootnoteReference"/>
          <w:color w:val="auto"/>
          <w:sz w:val="20"/>
          <w:szCs w:val="20"/>
          <w:lang w:val="es-US"/>
        </w:rPr>
        <w:footnoteReference w:id="260"/>
      </w:r>
      <w:r w:rsidRPr="00C332F1">
        <w:rPr>
          <w:color w:val="auto"/>
          <w:lang w:val="es-US"/>
        </w:rPr>
        <w:t>, la diferencia de ingresos promedio per cápita es de casi 35 veces (10 dólares frente a 347,2 dólares)</w:t>
      </w:r>
      <w:r w:rsidR="00A14F05">
        <w:rPr>
          <w:rFonts w:ascii="ZWAdobeF" w:hAnsi="ZWAdobeF" w:cs="ZWAdobeF"/>
          <w:color w:val="auto"/>
          <w:sz w:val="2"/>
          <w:szCs w:val="2"/>
          <w:lang w:val="es-US"/>
        </w:rPr>
        <w:t>259F</w:t>
      </w:r>
      <w:r w:rsidR="000F4C77" w:rsidRPr="005C52BD">
        <w:rPr>
          <w:rStyle w:val="FootnoteReference"/>
          <w:color w:val="auto"/>
          <w:sz w:val="20"/>
          <w:szCs w:val="20"/>
          <w:lang w:val="es-US"/>
        </w:rPr>
        <w:footnoteReference w:id="261"/>
      </w:r>
      <w:r w:rsidRPr="00C332F1">
        <w:rPr>
          <w:color w:val="auto"/>
          <w:lang w:val="es-US"/>
        </w:rPr>
        <w:t>. En este marco, la Comisión y la REDESCA notan que los altos niveles de inflación, del 30,4%, entre enero y septiembre de 2024</w:t>
      </w:r>
      <w:r w:rsidR="00A14F05">
        <w:rPr>
          <w:rFonts w:ascii="ZWAdobeF" w:hAnsi="ZWAdobeF" w:cs="ZWAdobeF"/>
          <w:color w:val="auto"/>
          <w:sz w:val="2"/>
          <w:szCs w:val="2"/>
          <w:lang w:val="es-US"/>
        </w:rPr>
        <w:t>260F</w:t>
      </w:r>
      <w:r w:rsidR="000F4C77" w:rsidRPr="005C52BD">
        <w:rPr>
          <w:rStyle w:val="FootnoteReference"/>
          <w:color w:val="auto"/>
          <w:sz w:val="20"/>
          <w:szCs w:val="20"/>
          <w:lang w:val="es-US"/>
        </w:rPr>
        <w:footnoteReference w:id="262"/>
      </w:r>
      <w:r w:rsidRPr="00C332F1">
        <w:rPr>
          <w:color w:val="auto"/>
          <w:lang w:val="es-US"/>
        </w:rPr>
        <w:t xml:space="preserve"> </w:t>
      </w:r>
      <w:r w:rsidRPr="00C332F1">
        <w:rPr>
          <w:color w:val="auto"/>
          <w:lang w:val="es-ES"/>
        </w:rPr>
        <w:t>sigue disminuyendo el poder adquisitivo de los hogares y</w:t>
      </w:r>
      <w:r w:rsidR="293FB418" w:rsidRPr="00C332F1">
        <w:rPr>
          <w:color w:val="auto"/>
          <w:lang w:val="es-ES"/>
        </w:rPr>
        <w:t>,</w:t>
      </w:r>
      <w:r w:rsidRPr="00C332F1">
        <w:rPr>
          <w:color w:val="auto"/>
          <w:lang w:val="es-ES"/>
        </w:rPr>
        <w:t xml:space="preserve"> con ello, sus condiciones de vida</w:t>
      </w:r>
      <w:r w:rsidRPr="00C332F1">
        <w:rPr>
          <w:color w:val="auto"/>
          <w:lang w:val="es-US"/>
        </w:rPr>
        <w:t>.</w:t>
      </w:r>
    </w:p>
    <w:p w14:paraId="1E21FB2B" w14:textId="2BD6C4E7" w:rsidR="000F4C77" w:rsidRPr="00C332F1" w:rsidRDefault="00747B40" w:rsidP="00C27B1B">
      <w:pPr>
        <w:pStyle w:val="IASubttulo2"/>
        <w:numPr>
          <w:ilvl w:val="0"/>
          <w:numId w:val="20"/>
        </w:numPr>
        <w:rPr>
          <w:lang w:val="es-US"/>
        </w:rPr>
      </w:pPr>
      <w:bookmarkStart w:id="30" w:name="_Toc195617475"/>
      <w:r w:rsidRPr="00C332F1">
        <w:rPr>
          <w:lang w:val="es-US"/>
        </w:rPr>
        <w:t>Desafíos en el acceso y goce del derecho a la salud, al agua, a la alimentación y a la educación</w:t>
      </w:r>
      <w:bookmarkEnd w:id="30"/>
      <w:r w:rsidRPr="00C332F1">
        <w:rPr>
          <w:lang w:val="es-US"/>
        </w:rPr>
        <w:t xml:space="preserve"> </w:t>
      </w:r>
    </w:p>
    <w:p w14:paraId="79975DC1" w14:textId="02C1454F" w:rsidR="003C5484" w:rsidRPr="00C332F1" w:rsidRDefault="45185623" w:rsidP="003C5484">
      <w:pPr>
        <w:pStyle w:val="IAPrrafo"/>
        <w:rPr>
          <w:color w:val="auto"/>
          <w:szCs w:val="20"/>
          <w:lang w:val="es-US"/>
        </w:rPr>
      </w:pPr>
      <w:r w:rsidRPr="00C332F1">
        <w:rPr>
          <w:color w:val="auto"/>
          <w:lang w:val="es-US"/>
        </w:rPr>
        <w:t>P</w:t>
      </w:r>
      <w:r w:rsidR="7970AE70" w:rsidRPr="00C332F1">
        <w:rPr>
          <w:color w:val="auto"/>
          <w:lang w:val="es-US"/>
        </w:rPr>
        <w:t>ersiste el colapso en el sistema de salud</w:t>
      </w:r>
      <w:r w:rsidRPr="00C332F1">
        <w:rPr>
          <w:color w:val="auto"/>
          <w:lang w:val="es-US"/>
        </w:rPr>
        <w:t>. M</w:t>
      </w:r>
      <w:r w:rsidR="7970AE70" w:rsidRPr="00C332F1">
        <w:rPr>
          <w:color w:val="auto"/>
          <w:lang w:val="es-US"/>
        </w:rPr>
        <w:t>illones de personas no cuentan con acceso a servicios básicos</w:t>
      </w:r>
      <w:r w:rsidR="00A14F05">
        <w:rPr>
          <w:rFonts w:ascii="ZWAdobeF" w:hAnsi="ZWAdobeF" w:cs="ZWAdobeF"/>
          <w:color w:val="auto"/>
          <w:sz w:val="2"/>
          <w:szCs w:val="2"/>
          <w:lang w:val="es-US"/>
        </w:rPr>
        <w:t>261F</w:t>
      </w:r>
      <w:r w:rsidR="000F4C77" w:rsidRPr="005C52BD">
        <w:rPr>
          <w:rStyle w:val="FootnoteReference"/>
          <w:color w:val="auto"/>
          <w:sz w:val="20"/>
          <w:szCs w:val="20"/>
        </w:rPr>
        <w:footnoteReference w:id="263"/>
      </w:r>
      <w:r w:rsidR="7970AE70" w:rsidRPr="00C332F1">
        <w:rPr>
          <w:color w:val="auto"/>
          <w:lang w:val="es-US"/>
        </w:rPr>
        <w:t xml:space="preserve">, derivados de la escasez de insumos </w:t>
      </w:r>
      <w:r w:rsidR="65AEA1E8" w:rsidRPr="00C332F1">
        <w:rPr>
          <w:color w:val="auto"/>
          <w:lang w:val="es-US"/>
        </w:rPr>
        <w:t>elementales</w:t>
      </w:r>
      <w:r w:rsidR="7970AE70" w:rsidRPr="00C332F1">
        <w:rPr>
          <w:color w:val="auto"/>
          <w:lang w:val="es-US"/>
        </w:rPr>
        <w:t>, medicamentos y equipos, así como falta de acceso al agua en los hospitales</w:t>
      </w:r>
      <w:r w:rsidR="00A14F05">
        <w:rPr>
          <w:rFonts w:ascii="ZWAdobeF" w:hAnsi="ZWAdobeF" w:cs="ZWAdobeF"/>
          <w:color w:val="auto"/>
          <w:sz w:val="2"/>
          <w:szCs w:val="2"/>
          <w:lang w:val="es-US"/>
        </w:rPr>
        <w:t>262F</w:t>
      </w:r>
      <w:r w:rsidR="000F4C77" w:rsidRPr="005C52BD">
        <w:rPr>
          <w:rStyle w:val="FootnoteReference"/>
          <w:color w:val="auto"/>
          <w:sz w:val="20"/>
          <w:szCs w:val="20"/>
        </w:rPr>
        <w:footnoteReference w:id="264"/>
      </w:r>
      <w:r w:rsidR="7970AE70" w:rsidRPr="00C332F1">
        <w:rPr>
          <w:color w:val="auto"/>
          <w:lang w:val="es-US"/>
        </w:rPr>
        <w:t xml:space="preserve"> y la escasez del personal de salud</w:t>
      </w:r>
      <w:r w:rsidR="00A14F05">
        <w:rPr>
          <w:rFonts w:ascii="ZWAdobeF" w:hAnsi="ZWAdobeF" w:cs="ZWAdobeF"/>
          <w:color w:val="auto"/>
          <w:sz w:val="2"/>
          <w:szCs w:val="2"/>
          <w:lang w:val="es-US"/>
        </w:rPr>
        <w:t>263F</w:t>
      </w:r>
      <w:r w:rsidR="000F4C77" w:rsidRPr="005C52BD">
        <w:rPr>
          <w:rStyle w:val="FootnoteReference"/>
          <w:color w:val="auto"/>
          <w:sz w:val="20"/>
          <w:szCs w:val="20"/>
        </w:rPr>
        <w:footnoteReference w:id="265"/>
      </w:r>
      <w:r w:rsidR="7970AE70" w:rsidRPr="00C332F1">
        <w:rPr>
          <w:color w:val="auto"/>
          <w:lang w:val="es-US"/>
        </w:rPr>
        <w:t>. Según UNICEF, el 75% de los centros de salud en el país no cuenta con médicos y el 74% no tiene suficiente personal de enfermería</w:t>
      </w:r>
      <w:r w:rsidR="00A14F05">
        <w:rPr>
          <w:rFonts w:ascii="ZWAdobeF" w:hAnsi="ZWAdobeF" w:cs="ZWAdobeF"/>
          <w:color w:val="auto"/>
          <w:sz w:val="2"/>
          <w:szCs w:val="2"/>
          <w:lang w:val="es-US"/>
        </w:rPr>
        <w:t>264F</w:t>
      </w:r>
      <w:r w:rsidR="000F4C77" w:rsidRPr="005C52BD">
        <w:rPr>
          <w:rStyle w:val="FootnoteReference"/>
          <w:color w:val="auto"/>
          <w:sz w:val="20"/>
          <w:szCs w:val="20"/>
        </w:rPr>
        <w:footnoteReference w:id="266"/>
      </w:r>
      <w:r w:rsidR="7970AE70" w:rsidRPr="00C332F1">
        <w:rPr>
          <w:color w:val="auto"/>
          <w:lang w:val="es-US"/>
        </w:rPr>
        <w:t>. As</w:t>
      </w:r>
      <w:r w:rsidR="2EC45BD7" w:rsidRPr="00C332F1">
        <w:rPr>
          <w:color w:val="auto"/>
          <w:lang w:val="es-US"/>
        </w:rPr>
        <w:t>i</w:t>
      </w:r>
      <w:r w:rsidR="7970AE70" w:rsidRPr="00C332F1">
        <w:rPr>
          <w:color w:val="auto"/>
          <w:lang w:val="es-US"/>
        </w:rPr>
        <w:t>mismo, se ha señalado que el 72</w:t>
      </w:r>
      <w:r w:rsidR="5F5FBB69" w:rsidRPr="00C332F1">
        <w:rPr>
          <w:color w:val="auto"/>
          <w:lang w:val="es-US"/>
        </w:rPr>
        <w:t>,</w:t>
      </w:r>
      <w:r w:rsidR="7970AE70" w:rsidRPr="00C332F1">
        <w:rPr>
          <w:color w:val="auto"/>
          <w:lang w:val="es-US"/>
        </w:rPr>
        <w:t>4% de los centros públicos de salud enfrentan escasez de medicamentos, personal y material, mientras que el 88</w:t>
      </w:r>
      <w:r w:rsidR="63738E54" w:rsidRPr="00C332F1">
        <w:rPr>
          <w:color w:val="auto"/>
          <w:lang w:val="es-US"/>
        </w:rPr>
        <w:t>,</w:t>
      </w:r>
      <w:r w:rsidR="7970AE70" w:rsidRPr="00C332F1">
        <w:rPr>
          <w:color w:val="auto"/>
          <w:lang w:val="es-US"/>
        </w:rPr>
        <w:t>9% de los servicios públicos no funcionarían y el 55% de establecimientos públicos carecen de acceso de agua. En consecuencia, el 90% de pacientes tendrían que llevar sus propios insumos médicos para poder acceder a la atención en salud</w:t>
      </w:r>
      <w:r w:rsidR="00A14F05">
        <w:rPr>
          <w:rFonts w:ascii="ZWAdobeF" w:hAnsi="ZWAdobeF" w:cs="ZWAdobeF"/>
          <w:color w:val="auto"/>
          <w:sz w:val="2"/>
          <w:szCs w:val="2"/>
          <w:lang w:val="es-US"/>
        </w:rPr>
        <w:t>265F</w:t>
      </w:r>
      <w:r w:rsidR="000F4C77" w:rsidRPr="005C52BD">
        <w:rPr>
          <w:rStyle w:val="FootnoteReference"/>
          <w:color w:val="auto"/>
          <w:sz w:val="20"/>
          <w:szCs w:val="20"/>
        </w:rPr>
        <w:footnoteReference w:id="267"/>
      </w:r>
      <w:r w:rsidR="7970AE70" w:rsidRPr="00C332F1">
        <w:rPr>
          <w:color w:val="auto"/>
          <w:lang w:val="es-US"/>
        </w:rPr>
        <w:t>.</w:t>
      </w:r>
    </w:p>
    <w:p w14:paraId="673CBF67" w14:textId="07981AC3" w:rsidR="003C5484" w:rsidRPr="00C332F1" w:rsidRDefault="7970AE70" w:rsidP="003C5484">
      <w:pPr>
        <w:pStyle w:val="IAPrrafo"/>
        <w:rPr>
          <w:color w:val="auto"/>
          <w:szCs w:val="20"/>
          <w:lang w:val="es-US"/>
        </w:rPr>
      </w:pPr>
      <w:r w:rsidRPr="00C332F1">
        <w:rPr>
          <w:color w:val="auto"/>
          <w:lang w:val="es-US"/>
        </w:rPr>
        <w:t>En este marco, la Oficina del Alto Comisionado de Naciones Unidas</w:t>
      </w:r>
      <w:r w:rsidR="11A0EB44" w:rsidRPr="00C332F1">
        <w:rPr>
          <w:color w:val="auto"/>
          <w:lang w:val="es-US"/>
        </w:rPr>
        <w:t xml:space="preserve"> para </w:t>
      </w:r>
      <w:r w:rsidR="0C519678" w:rsidRPr="00C332F1">
        <w:rPr>
          <w:color w:val="auto"/>
          <w:lang w:val="es-US"/>
        </w:rPr>
        <w:t xml:space="preserve">los Derechos </w:t>
      </w:r>
      <w:r w:rsidR="507E8163" w:rsidRPr="00C332F1">
        <w:rPr>
          <w:color w:val="auto"/>
          <w:lang w:val="es-US"/>
        </w:rPr>
        <w:t>Humanos</w:t>
      </w:r>
      <w:r w:rsidRPr="00C332F1">
        <w:rPr>
          <w:color w:val="auto"/>
          <w:lang w:val="es-US"/>
        </w:rPr>
        <w:t xml:space="preserve"> (OACNUDH) reportó que, entre el 1 de mayo de 2023 y el 30 de abril de 2024, existió aproximadamente un 35% escasez de equipos y suministros médicos en los hospitales y de un 27,2% de los medicamentos necesarios para el tratamiento de enfermedades comunes como la diabetes, las convulsiones y las infecciones respiratorias.</w:t>
      </w:r>
      <w:r w:rsidR="040E1101" w:rsidRPr="00C332F1">
        <w:rPr>
          <w:color w:val="auto"/>
          <w:lang w:val="es-US"/>
        </w:rPr>
        <w:t xml:space="preserve"> </w:t>
      </w:r>
      <w:r w:rsidRPr="00C332F1">
        <w:rPr>
          <w:color w:val="auto"/>
          <w:lang w:val="es-US"/>
        </w:rPr>
        <w:t>Esta situación afecta de forma diferenciada y desproporcional a diversos grupos, incluyendo pueblos indígenas, comunidades rurales y personas con VIH</w:t>
      </w:r>
      <w:r w:rsidR="00A14F05">
        <w:rPr>
          <w:rFonts w:ascii="ZWAdobeF" w:hAnsi="ZWAdobeF" w:cs="ZWAdobeF"/>
          <w:color w:val="auto"/>
          <w:sz w:val="2"/>
          <w:szCs w:val="2"/>
          <w:lang w:val="es-US"/>
        </w:rPr>
        <w:t>266F</w:t>
      </w:r>
      <w:r w:rsidR="000F4C77" w:rsidRPr="005C52BD">
        <w:rPr>
          <w:rStyle w:val="FootnoteReference"/>
          <w:color w:val="auto"/>
          <w:sz w:val="20"/>
          <w:szCs w:val="20"/>
        </w:rPr>
        <w:footnoteReference w:id="268"/>
      </w:r>
      <w:r w:rsidRPr="00C332F1">
        <w:rPr>
          <w:color w:val="auto"/>
          <w:lang w:val="es-US"/>
        </w:rPr>
        <w:t>.</w:t>
      </w:r>
      <w:r w:rsidRPr="00C332F1">
        <w:rPr>
          <w:color w:val="auto"/>
          <w:lang w:val="es-ES"/>
        </w:rPr>
        <w:t xml:space="preserve"> A su vez, se toma nota de la baja tasa de vacunación en el país, con apenas el 50,5% de niñas y niños de 5 años vacunados</w:t>
      </w:r>
      <w:r w:rsidR="00A14F05">
        <w:rPr>
          <w:rFonts w:ascii="ZWAdobeF" w:hAnsi="ZWAdobeF" w:cs="ZWAdobeF"/>
          <w:color w:val="auto"/>
          <w:sz w:val="2"/>
          <w:szCs w:val="2"/>
          <w:lang w:val="es-ES"/>
        </w:rPr>
        <w:t>267F</w:t>
      </w:r>
      <w:r w:rsidR="000F4C77" w:rsidRPr="005C52BD">
        <w:rPr>
          <w:rStyle w:val="FootnoteReference"/>
          <w:color w:val="auto"/>
          <w:sz w:val="20"/>
          <w:szCs w:val="20"/>
          <w:lang w:val="es-ES"/>
        </w:rPr>
        <w:footnoteReference w:id="269"/>
      </w:r>
      <w:r w:rsidRPr="00C332F1">
        <w:rPr>
          <w:color w:val="auto"/>
          <w:lang w:val="es-ES"/>
        </w:rPr>
        <w:t xml:space="preserve">. Respecto a niños y niñas, también se sigue con preocupación la muerte de </w:t>
      </w:r>
      <w:r w:rsidRPr="00C332F1">
        <w:rPr>
          <w:color w:val="auto"/>
          <w:lang w:val="es-US"/>
        </w:rPr>
        <w:t xml:space="preserve">al menos 85 niñas y niños que han fallecido en los últimos siete años a la espera de un trasplante en el contexto de la suspensión del </w:t>
      </w:r>
      <w:r w:rsidRPr="00C332F1">
        <w:rPr>
          <w:color w:val="auto"/>
          <w:lang w:val="es-ES"/>
        </w:rPr>
        <w:t>Sistema de Procura de Órganos y Tejidos (SPOT) en Venezuela</w:t>
      </w:r>
      <w:r w:rsidR="00A14F05">
        <w:rPr>
          <w:rFonts w:ascii="ZWAdobeF" w:hAnsi="ZWAdobeF" w:cs="ZWAdobeF"/>
          <w:color w:val="auto"/>
          <w:sz w:val="2"/>
          <w:szCs w:val="2"/>
          <w:lang w:val="es-ES"/>
        </w:rPr>
        <w:t>268F</w:t>
      </w:r>
      <w:r w:rsidR="000F4C77" w:rsidRPr="005C52BD">
        <w:rPr>
          <w:rStyle w:val="FootnoteReference"/>
          <w:color w:val="auto"/>
          <w:sz w:val="20"/>
          <w:szCs w:val="20"/>
          <w:lang w:val="es-ES"/>
        </w:rPr>
        <w:footnoteReference w:id="270"/>
      </w:r>
      <w:r w:rsidRPr="00C332F1">
        <w:rPr>
          <w:color w:val="auto"/>
          <w:lang w:val="es-ES"/>
        </w:rPr>
        <w:t>.</w:t>
      </w:r>
    </w:p>
    <w:p w14:paraId="2A4FBBAC" w14:textId="19005EFB" w:rsidR="002E68F0" w:rsidRPr="00C332F1" w:rsidRDefault="7970AE70" w:rsidP="00BF0380">
      <w:pPr>
        <w:pStyle w:val="IAPrrafo"/>
        <w:rPr>
          <w:color w:val="auto"/>
          <w:szCs w:val="20"/>
          <w:lang w:val="es-US"/>
        </w:rPr>
      </w:pPr>
      <w:r w:rsidRPr="00C332F1">
        <w:rPr>
          <w:color w:val="auto"/>
          <w:lang w:val="es-US"/>
        </w:rPr>
        <w:t>Esta situación es agravada por la falta de acceso a la información, en la que el Estado sigue sin publicar el boletín semanal epidemiológico desde 2016</w:t>
      </w:r>
      <w:r w:rsidR="00A14F05">
        <w:rPr>
          <w:rFonts w:ascii="ZWAdobeF" w:hAnsi="ZWAdobeF" w:cs="ZWAdobeF"/>
          <w:color w:val="auto"/>
          <w:sz w:val="2"/>
          <w:szCs w:val="2"/>
          <w:lang w:val="es-US"/>
        </w:rPr>
        <w:t>269F</w:t>
      </w:r>
      <w:r w:rsidR="000F4C77" w:rsidRPr="005C52BD">
        <w:rPr>
          <w:rStyle w:val="FootnoteReference"/>
          <w:color w:val="auto"/>
          <w:sz w:val="20"/>
          <w:szCs w:val="20"/>
        </w:rPr>
        <w:footnoteReference w:id="271"/>
      </w:r>
      <w:r w:rsidR="68B10E71" w:rsidRPr="00C332F1">
        <w:rPr>
          <w:color w:val="auto"/>
          <w:lang w:val="es-US"/>
        </w:rPr>
        <w:t>;</w:t>
      </w:r>
      <w:r w:rsidRPr="00C332F1">
        <w:rPr>
          <w:color w:val="auto"/>
          <w:lang w:val="es-US"/>
        </w:rPr>
        <w:t xml:space="preserve"> l</w:t>
      </w:r>
      <w:r w:rsidRPr="00C332F1">
        <w:rPr>
          <w:color w:val="auto"/>
          <w:lang w:val="es-ES"/>
        </w:rPr>
        <w:t>o que obstaculiza que se haga una adecuada identificación de las áreas de mejora en el sistema sanitario de salud pública en Venezuela</w:t>
      </w:r>
      <w:r w:rsidRPr="00C332F1">
        <w:rPr>
          <w:color w:val="auto"/>
          <w:lang w:val="es-US"/>
        </w:rPr>
        <w:t>.</w:t>
      </w:r>
      <w:r w:rsidR="002B5E0C" w:rsidRPr="00C332F1">
        <w:rPr>
          <w:color w:val="auto"/>
          <w:lang w:val="es-US"/>
        </w:rPr>
        <w:t xml:space="preserve"> </w:t>
      </w:r>
      <w:r w:rsidRPr="00C332F1">
        <w:rPr>
          <w:color w:val="auto"/>
          <w:lang w:val="es-US"/>
        </w:rPr>
        <w:t>También persiste la denuncia sobre la falta de acceso a agua potable</w:t>
      </w:r>
      <w:r w:rsidR="00A14F05">
        <w:rPr>
          <w:rFonts w:ascii="ZWAdobeF" w:hAnsi="ZWAdobeF" w:cs="ZWAdobeF"/>
          <w:color w:val="auto"/>
          <w:sz w:val="2"/>
          <w:szCs w:val="2"/>
          <w:lang w:val="es-US"/>
        </w:rPr>
        <w:t>270F</w:t>
      </w:r>
      <w:r w:rsidR="000F4C77" w:rsidRPr="005C52BD">
        <w:rPr>
          <w:rStyle w:val="FootnoteReference"/>
          <w:color w:val="auto"/>
          <w:sz w:val="20"/>
          <w:szCs w:val="20"/>
        </w:rPr>
        <w:footnoteReference w:id="272"/>
      </w:r>
      <w:r w:rsidRPr="00C332F1">
        <w:rPr>
          <w:color w:val="auto"/>
          <w:lang w:val="es-US"/>
        </w:rPr>
        <w:t>, lo que ha llevado al 69% de la población a sufrir la falta de abastecimiento de agua</w:t>
      </w:r>
      <w:r w:rsidR="00A14F05">
        <w:rPr>
          <w:rFonts w:ascii="ZWAdobeF" w:hAnsi="ZWAdobeF" w:cs="ZWAdobeF"/>
          <w:color w:val="auto"/>
          <w:sz w:val="2"/>
          <w:szCs w:val="2"/>
          <w:lang w:val="es-US"/>
        </w:rPr>
        <w:t>271F</w:t>
      </w:r>
      <w:r w:rsidR="000F4C77" w:rsidRPr="005C52BD">
        <w:rPr>
          <w:rStyle w:val="FootnoteReference"/>
          <w:color w:val="auto"/>
          <w:sz w:val="20"/>
          <w:szCs w:val="20"/>
        </w:rPr>
        <w:footnoteReference w:id="273"/>
      </w:r>
      <w:r w:rsidRPr="00C332F1">
        <w:rPr>
          <w:color w:val="auto"/>
          <w:lang w:val="es-US"/>
        </w:rPr>
        <w:t>. En esta línea, se ha señalado que 4</w:t>
      </w:r>
      <w:r w:rsidR="5DE2DA6D" w:rsidRPr="00C332F1">
        <w:rPr>
          <w:color w:val="auto"/>
          <w:lang w:val="es-US"/>
        </w:rPr>
        <w:t>,</w:t>
      </w:r>
      <w:r w:rsidRPr="00C332F1">
        <w:rPr>
          <w:color w:val="auto"/>
          <w:lang w:val="es-US"/>
        </w:rPr>
        <w:t>3 millones de personas en Venezuela requieren acceder a agua potable, mientras que el 27% de la población recibiría agua menos de una vez al mes</w:t>
      </w:r>
      <w:r w:rsidR="00A14F05">
        <w:rPr>
          <w:rFonts w:ascii="ZWAdobeF" w:hAnsi="ZWAdobeF" w:cs="ZWAdobeF"/>
          <w:color w:val="auto"/>
          <w:sz w:val="2"/>
          <w:szCs w:val="2"/>
          <w:lang w:val="es-US"/>
        </w:rPr>
        <w:t>272F</w:t>
      </w:r>
      <w:r w:rsidR="000F4C77" w:rsidRPr="005C52BD">
        <w:rPr>
          <w:rStyle w:val="FootnoteReference"/>
          <w:color w:val="auto"/>
          <w:sz w:val="20"/>
          <w:szCs w:val="20"/>
        </w:rPr>
        <w:footnoteReference w:id="274"/>
      </w:r>
      <w:r w:rsidRPr="00C332F1">
        <w:rPr>
          <w:color w:val="auto"/>
          <w:lang w:val="es-US"/>
        </w:rPr>
        <w:t xml:space="preserve">. </w:t>
      </w:r>
    </w:p>
    <w:p w14:paraId="551F1FB7" w14:textId="00559C88" w:rsidR="002D471B" w:rsidRPr="00C332F1" w:rsidRDefault="7970AE70" w:rsidP="001D265E">
      <w:pPr>
        <w:pStyle w:val="IAPrrafo"/>
        <w:rPr>
          <w:color w:val="auto"/>
          <w:szCs w:val="20"/>
          <w:lang w:val="es-US"/>
        </w:rPr>
      </w:pPr>
      <w:r w:rsidRPr="00C332F1">
        <w:rPr>
          <w:color w:val="auto"/>
          <w:lang w:val="es-US"/>
        </w:rPr>
        <w:t>En la misma línea, la Comisión y la REDESCA mantienen su preocupación por la grave crisis de inseguridad alimentaria en el país. Según Hum Venezuela, para 2023, el 91,6% de los hogares tuvo que utilizar estrategias de sobrevivencia para alimentarse, destacando que 45,2% de la población experimentaría inseguridad alimentaria</w:t>
      </w:r>
      <w:r w:rsidR="5D93FE06" w:rsidRPr="00C332F1">
        <w:rPr>
          <w:color w:val="auto"/>
          <w:lang w:val="es-US"/>
        </w:rPr>
        <w:t xml:space="preserve"> —</w:t>
      </w:r>
      <w:r w:rsidRPr="00C332F1">
        <w:rPr>
          <w:color w:val="auto"/>
          <w:lang w:val="es-US"/>
        </w:rPr>
        <w:t>lo que representaría un estimado de 13 millones de personas</w:t>
      </w:r>
      <w:r w:rsidR="00A14F05">
        <w:rPr>
          <w:rFonts w:ascii="ZWAdobeF" w:hAnsi="ZWAdobeF" w:cs="ZWAdobeF"/>
          <w:color w:val="auto"/>
          <w:sz w:val="2"/>
          <w:szCs w:val="2"/>
          <w:lang w:val="es-US"/>
        </w:rPr>
        <w:t>273F</w:t>
      </w:r>
      <w:r w:rsidR="000F4C77" w:rsidRPr="005C52BD">
        <w:rPr>
          <w:rStyle w:val="FootnoteReference"/>
          <w:color w:val="auto"/>
          <w:sz w:val="20"/>
          <w:szCs w:val="20"/>
          <w:lang w:val="es-US"/>
        </w:rPr>
        <w:footnoteReference w:id="275"/>
      </w:r>
      <w:r w:rsidRPr="00C332F1">
        <w:rPr>
          <w:color w:val="auto"/>
          <w:lang w:val="es-US"/>
        </w:rPr>
        <w:t>. Asimismo, el 25,7% de las familias realizarían menos de tres comidas al día y 22,8% pasarían días enteros sin comer</w:t>
      </w:r>
      <w:r w:rsidR="00A14F05">
        <w:rPr>
          <w:rFonts w:ascii="ZWAdobeF" w:hAnsi="ZWAdobeF" w:cs="ZWAdobeF"/>
          <w:color w:val="auto"/>
          <w:sz w:val="2"/>
          <w:szCs w:val="2"/>
          <w:lang w:val="es-US"/>
        </w:rPr>
        <w:t>274F</w:t>
      </w:r>
      <w:r w:rsidR="000F4C77" w:rsidRPr="005C52BD">
        <w:rPr>
          <w:rStyle w:val="FootnoteReference"/>
          <w:color w:val="auto"/>
          <w:sz w:val="20"/>
          <w:szCs w:val="20"/>
        </w:rPr>
        <w:footnoteReference w:id="276"/>
      </w:r>
      <w:r w:rsidRPr="00C332F1">
        <w:rPr>
          <w:color w:val="auto"/>
          <w:lang w:val="es-US"/>
        </w:rPr>
        <w:t>.</w:t>
      </w:r>
    </w:p>
    <w:p w14:paraId="256DD5F7" w14:textId="3A6BF154" w:rsidR="003C5484" w:rsidRPr="00C332F1" w:rsidRDefault="5D36A969" w:rsidP="001D265E">
      <w:pPr>
        <w:pStyle w:val="IAPrrafo"/>
        <w:rPr>
          <w:color w:val="auto"/>
          <w:szCs w:val="20"/>
          <w:lang w:val="es-US"/>
        </w:rPr>
      </w:pPr>
      <w:r w:rsidRPr="00C332F1">
        <w:rPr>
          <w:color w:val="auto"/>
          <w:lang w:val="es-US"/>
        </w:rPr>
        <w:t>L</w:t>
      </w:r>
      <w:r w:rsidR="79E3A571" w:rsidRPr="00C332F1">
        <w:rPr>
          <w:color w:val="auto"/>
          <w:lang w:val="es-US"/>
        </w:rPr>
        <w:t>os prog</w:t>
      </w:r>
      <w:r w:rsidR="75219611" w:rsidRPr="00C332F1">
        <w:rPr>
          <w:color w:val="auto"/>
          <w:lang w:val="es-US"/>
        </w:rPr>
        <w:t>rama</w:t>
      </w:r>
      <w:r w:rsidR="03783CD6" w:rsidRPr="00C332F1">
        <w:rPr>
          <w:color w:val="auto"/>
          <w:lang w:val="es-US"/>
        </w:rPr>
        <w:t>s de gobi</w:t>
      </w:r>
      <w:r w:rsidR="60998FF4" w:rsidRPr="00C332F1">
        <w:rPr>
          <w:color w:val="auto"/>
          <w:lang w:val="es-US"/>
        </w:rPr>
        <w:t>ern</w:t>
      </w:r>
      <w:r w:rsidR="0006589A" w:rsidRPr="00C332F1">
        <w:rPr>
          <w:color w:val="auto"/>
          <w:lang w:val="es-US"/>
        </w:rPr>
        <w:t>o</w:t>
      </w:r>
      <w:r w:rsidR="0FD206F4" w:rsidRPr="00C332F1">
        <w:rPr>
          <w:color w:val="auto"/>
          <w:lang w:val="es-US"/>
        </w:rPr>
        <w:t xml:space="preserve"> </w:t>
      </w:r>
      <w:r w:rsidR="6F18823B" w:rsidRPr="00C332F1">
        <w:rPr>
          <w:color w:val="auto"/>
          <w:lang w:val="es-US"/>
        </w:rPr>
        <w:t xml:space="preserve">no </w:t>
      </w:r>
      <w:r w:rsidR="7F904095" w:rsidRPr="00C332F1">
        <w:rPr>
          <w:color w:val="auto"/>
          <w:lang w:val="es-US"/>
        </w:rPr>
        <w:t>resuelven</w:t>
      </w:r>
      <w:r w:rsidR="6F18823B" w:rsidRPr="00C332F1">
        <w:rPr>
          <w:color w:val="auto"/>
          <w:lang w:val="es-US"/>
        </w:rPr>
        <w:t xml:space="preserve"> esta situa</w:t>
      </w:r>
      <w:r w:rsidR="65EAB0D6" w:rsidRPr="00C332F1">
        <w:rPr>
          <w:color w:val="auto"/>
          <w:lang w:val="es-US"/>
        </w:rPr>
        <w:t>ci</w:t>
      </w:r>
      <w:r w:rsidR="22305221" w:rsidRPr="00C332F1">
        <w:rPr>
          <w:color w:val="auto"/>
          <w:lang w:val="es-US"/>
        </w:rPr>
        <w:t>ón</w:t>
      </w:r>
      <w:r w:rsidR="02B54E08" w:rsidRPr="00C332F1">
        <w:rPr>
          <w:color w:val="auto"/>
          <w:lang w:val="es-US"/>
        </w:rPr>
        <w:t xml:space="preserve"> </w:t>
      </w:r>
      <w:r w:rsidR="354EAD9E" w:rsidRPr="00C332F1">
        <w:rPr>
          <w:color w:val="auto"/>
          <w:lang w:val="es-US"/>
        </w:rPr>
        <w:t xml:space="preserve">pues, </w:t>
      </w:r>
      <w:r w:rsidR="7970AE70" w:rsidRPr="00C332F1">
        <w:rPr>
          <w:color w:val="auto"/>
          <w:lang w:val="es-US"/>
        </w:rPr>
        <w:t>además de tener un condicionamiento político, no atienden las causas estructurales del hambre</w:t>
      </w:r>
      <w:r w:rsidR="00A14F05">
        <w:rPr>
          <w:rFonts w:ascii="ZWAdobeF" w:hAnsi="ZWAdobeF" w:cs="ZWAdobeF"/>
          <w:color w:val="auto"/>
          <w:sz w:val="2"/>
          <w:szCs w:val="2"/>
          <w:lang w:val="es-US"/>
        </w:rPr>
        <w:t>275F</w:t>
      </w:r>
      <w:r w:rsidR="000F4C77" w:rsidRPr="005C52BD">
        <w:rPr>
          <w:rStyle w:val="FootnoteReference"/>
          <w:color w:val="auto"/>
          <w:sz w:val="20"/>
          <w:szCs w:val="20"/>
          <w:lang w:val="es-US"/>
        </w:rPr>
        <w:footnoteReference w:id="277"/>
      </w:r>
      <w:r w:rsidR="7970AE70" w:rsidRPr="00C332F1">
        <w:rPr>
          <w:color w:val="auto"/>
          <w:lang w:val="es-US"/>
        </w:rPr>
        <w:t>. Respecto a este punto, se toma nota también de las denuncias sobre la calidad de los alimentos proporcionados por los CLAP. De esta manera, se ha advertido sobre el alarmante retroceso en los indicadores nutricionales, con millones de personas en desnutrición</w:t>
      </w:r>
      <w:r w:rsidR="00A14F05">
        <w:rPr>
          <w:rFonts w:ascii="ZWAdobeF" w:hAnsi="ZWAdobeF" w:cs="ZWAdobeF"/>
          <w:color w:val="auto"/>
          <w:sz w:val="2"/>
          <w:szCs w:val="2"/>
          <w:lang w:val="es-US"/>
        </w:rPr>
        <w:t>276F</w:t>
      </w:r>
      <w:r w:rsidR="00736D95" w:rsidRPr="008D5C45">
        <w:rPr>
          <w:rStyle w:val="FootnoteReference"/>
          <w:color w:val="auto"/>
          <w:sz w:val="20"/>
          <w:szCs w:val="20"/>
          <w:lang w:val="es-US"/>
        </w:rPr>
        <w:footnoteReference w:id="278"/>
      </w:r>
      <w:r w:rsidR="7970AE70" w:rsidRPr="00C332F1">
        <w:rPr>
          <w:color w:val="auto"/>
          <w:lang w:val="es-US"/>
        </w:rPr>
        <w:t>.</w:t>
      </w:r>
    </w:p>
    <w:p w14:paraId="4F755D2F" w14:textId="5A15F004" w:rsidR="000F4C77" w:rsidRPr="00C332F1" w:rsidRDefault="7970AE70" w:rsidP="001D265E">
      <w:pPr>
        <w:pStyle w:val="IAPrrafo"/>
        <w:rPr>
          <w:color w:val="auto"/>
          <w:szCs w:val="20"/>
          <w:lang w:val="es-US"/>
        </w:rPr>
      </w:pPr>
      <w:r w:rsidRPr="00C332F1">
        <w:rPr>
          <w:color w:val="auto"/>
          <w:lang w:val="es-US"/>
        </w:rPr>
        <w:t>En este preocupante escenario, se toma nota que, tal como ha indicado la OACNUDH, los pueblos Indígenas del país se ven desproporcionadamente afectados por la malnutrición, la exposición a enfermedades y la degradación medioambiental, lo que se debe en parte a las actividades extractivas que se llevan a cabo en sus territorios</w:t>
      </w:r>
      <w:r w:rsidR="00A14F05">
        <w:rPr>
          <w:rFonts w:ascii="ZWAdobeF" w:hAnsi="ZWAdobeF" w:cs="ZWAdobeF"/>
          <w:color w:val="auto"/>
          <w:sz w:val="2"/>
          <w:szCs w:val="2"/>
          <w:lang w:val="es-US"/>
        </w:rPr>
        <w:t>277F</w:t>
      </w:r>
      <w:r w:rsidR="000F4C77" w:rsidRPr="005C52BD">
        <w:rPr>
          <w:rStyle w:val="FootnoteReference"/>
          <w:color w:val="auto"/>
          <w:sz w:val="20"/>
          <w:szCs w:val="20"/>
          <w:lang w:val="es-US"/>
        </w:rPr>
        <w:footnoteReference w:id="279"/>
      </w:r>
      <w:r w:rsidRPr="00C332F1">
        <w:rPr>
          <w:color w:val="auto"/>
          <w:lang w:val="es-US"/>
        </w:rPr>
        <w:t>.</w:t>
      </w:r>
    </w:p>
    <w:p w14:paraId="29581B9D" w14:textId="6E1407C8" w:rsidR="00DB673A" w:rsidRPr="00C332F1" w:rsidRDefault="00BD4081" w:rsidP="00A106E1">
      <w:pPr>
        <w:pStyle w:val="IAPrrafo"/>
        <w:rPr>
          <w:color w:val="auto"/>
          <w:szCs w:val="20"/>
          <w:lang w:val="es-US"/>
        </w:rPr>
      </w:pPr>
      <w:r w:rsidRPr="00C332F1">
        <w:rPr>
          <w:color w:val="auto"/>
          <w:lang w:val="es-US"/>
        </w:rPr>
        <w:t>De otra parte,</w:t>
      </w:r>
      <w:r w:rsidR="00A106E1" w:rsidRPr="00C332F1">
        <w:rPr>
          <w:color w:val="auto"/>
          <w:lang w:val="es-US"/>
        </w:rPr>
        <w:t xml:space="preserve"> en Venezuela </w:t>
      </w:r>
      <w:r w:rsidR="00DB673A" w:rsidRPr="00C332F1">
        <w:rPr>
          <w:lang w:val="es-US"/>
        </w:rPr>
        <w:t>se observa una disminución del 40% en la asistencia escolar debido a la falta de personal por los salarios insuficientes.</w:t>
      </w:r>
      <w:r w:rsidR="00D02C5C" w:rsidRPr="00C332F1">
        <w:rPr>
          <w:lang w:val="es-US"/>
        </w:rPr>
        <w:t xml:space="preserve"> </w:t>
      </w:r>
      <w:r w:rsidR="00DB673A" w:rsidRPr="00C332F1">
        <w:rPr>
          <w:lang w:val="es-US"/>
        </w:rPr>
        <w:t>Además, las difíciles condiciones de vida en el país han llevado a que bastantes estudiantes abandonen sus estudios para contribuir económicamente a sus familias</w:t>
      </w:r>
      <w:r w:rsidR="00A14F05">
        <w:rPr>
          <w:rFonts w:ascii="ZWAdobeF" w:hAnsi="ZWAdobeF" w:cs="ZWAdobeF"/>
          <w:color w:val="auto"/>
          <w:sz w:val="2"/>
          <w:szCs w:val="2"/>
          <w:lang w:val="es-US"/>
        </w:rPr>
        <w:t>278F</w:t>
      </w:r>
      <w:r w:rsidR="00DB673A" w:rsidRPr="005C52BD">
        <w:rPr>
          <w:rStyle w:val="FootnoteReference"/>
          <w:sz w:val="20"/>
          <w:szCs w:val="20"/>
        </w:rPr>
        <w:footnoteReference w:id="280"/>
      </w:r>
      <w:r w:rsidR="00DB673A" w:rsidRPr="00C332F1">
        <w:rPr>
          <w:lang w:val="es-US"/>
        </w:rPr>
        <w:t>. Según UNICEF, el 75% de docentes y el 61% de estudiantes han considerado dejar la universidad debido a la precariedad</w:t>
      </w:r>
      <w:r w:rsidR="00A14F05">
        <w:rPr>
          <w:rFonts w:ascii="ZWAdobeF" w:hAnsi="ZWAdobeF" w:cs="ZWAdobeF"/>
          <w:color w:val="auto"/>
          <w:sz w:val="2"/>
          <w:szCs w:val="2"/>
          <w:lang w:val="es-US"/>
        </w:rPr>
        <w:t>279F</w:t>
      </w:r>
      <w:r w:rsidR="00DB673A" w:rsidRPr="005C52BD">
        <w:rPr>
          <w:rStyle w:val="FootnoteReference"/>
          <w:sz w:val="20"/>
          <w:szCs w:val="20"/>
        </w:rPr>
        <w:footnoteReference w:id="281"/>
      </w:r>
      <w:r w:rsidR="00DB673A" w:rsidRPr="00C332F1">
        <w:rPr>
          <w:lang w:val="es-US"/>
        </w:rPr>
        <w:t xml:space="preserve">. </w:t>
      </w:r>
    </w:p>
    <w:p w14:paraId="34283220" w14:textId="4A420376" w:rsidR="00DB673A" w:rsidRPr="00C332F1" w:rsidRDefault="00DB673A" w:rsidP="00DB673A">
      <w:pPr>
        <w:pStyle w:val="IAPrrafo"/>
        <w:rPr>
          <w:szCs w:val="20"/>
          <w:lang w:val="es-US"/>
        </w:rPr>
      </w:pPr>
      <w:r w:rsidRPr="00C332F1">
        <w:rPr>
          <w:lang w:val="es-US"/>
        </w:rPr>
        <w:t xml:space="preserve">La Comisión y la Relatoría también han recibido información preocupante sobre los impactos del </w:t>
      </w:r>
      <w:r w:rsidRPr="00C332F1">
        <w:rPr>
          <w:lang w:val="es-ES"/>
        </w:rPr>
        <w:t>horario mosaico establecido en el país, que implica la programación de clases presenciales en las escuelas durante dos o tres días a la semana para cada grado, lo que ha amplificado las desigualdades educativas afectando a los estudiantes de más bajos ingresos</w:t>
      </w:r>
      <w:r w:rsidR="00A14F05">
        <w:rPr>
          <w:rFonts w:ascii="ZWAdobeF" w:hAnsi="ZWAdobeF" w:cs="ZWAdobeF"/>
          <w:color w:val="auto"/>
          <w:sz w:val="2"/>
          <w:szCs w:val="2"/>
          <w:lang w:val="es-ES"/>
        </w:rPr>
        <w:t>280F</w:t>
      </w:r>
      <w:r w:rsidRPr="005C52BD">
        <w:rPr>
          <w:rStyle w:val="FootnoteReference"/>
          <w:sz w:val="20"/>
          <w:szCs w:val="20"/>
          <w:lang w:val="es-ES"/>
        </w:rPr>
        <w:footnoteReference w:id="282"/>
      </w:r>
      <w:r w:rsidRPr="00C332F1">
        <w:rPr>
          <w:lang w:val="es-ES"/>
        </w:rPr>
        <w:t>. Ello</w:t>
      </w:r>
      <w:r w:rsidR="00205980" w:rsidRPr="00C332F1">
        <w:rPr>
          <w:lang w:val="es-ES"/>
        </w:rPr>
        <w:t>, afecta</w:t>
      </w:r>
      <w:r w:rsidRPr="00C332F1">
        <w:rPr>
          <w:lang w:val="es-ES"/>
        </w:rPr>
        <w:t xml:space="preserve"> la</w:t>
      </w:r>
      <w:r w:rsidR="00205980" w:rsidRPr="00C332F1">
        <w:rPr>
          <w:lang w:val="es-ES"/>
        </w:rPr>
        <w:t xml:space="preserve"> calidad de la</w:t>
      </w:r>
      <w:r w:rsidRPr="00C332F1">
        <w:rPr>
          <w:lang w:val="es-ES"/>
        </w:rPr>
        <w:t xml:space="preserve"> educación que reciben estudiantes, </w:t>
      </w:r>
      <w:r w:rsidR="00205980" w:rsidRPr="00C332F1">
        <w:rPr>
          <w:lang w:val="es-ES"/>
        </w:rPr>
        <w:t xml:space="preserve">siendo a la vez una consecuencia de la insuficiencia salarial </w:t>
      </w:r>
      <w:r w:rsidR="00B41051" w:rsidRPr="00C332F1">
        <w:rPr>
          <w:lang w:val="es-ES"/>
        </w:rPr>
        <w:t xml:space="preserve">de docentes </w:t>
      </w:r>
      <w:r w:rsidR="00205980" w:rsidRPr="00C332F1">
        <w:rPr>
          <w:lang w:val="es-ES"/>
        </w:rPr>
        <w:t xml:space="preserve">y </w:t>
      </w:r>
      <w:r w:rsidR="00B41051" w:rsidRPr="00C332F1">
        <w:rPr>
          <w:lang w:val="es-ES"/>
        </w:rPr>
        <w:t>su</w:t>
      </w:r>
      <w:r w:rsidRPr="00C332F1">
        <w:rPr>
          <w:lang w:val="es-ES"/>
        </w:rPr>
        <w:t xml:space="preserve"> dificultad para </w:t>
      </w:r>
      <w:r w:rsidR="00B24DF7" w:rsidRPr="00C332F1">
        <w:rPr>
          <w:lang w:val="es-ES"/>
        </w:rPr>
        <w:t>pagar</w:t>
      </w:r>
      <w:r w:rsidRPr="00C332F1">
        <w:rPr>
          <w:lang w:val="es-ES"/>
        </w:rPr>
        <w:t xml:space="preserve"> el transporte diario hacia </w:t>
      </w:r>
      <w:r w:rsidR="00B24DF7" w:rsidRPr="00C332F1">
        <w:rPr>
          <w:lang w:val="es-ES"/>
        </w:rPr>
        <w:t xml:space="preserve">el </w:t>
      </w:r>
      <w:r w:rsidRPr="00C332F1">
        <w:rPr>
          <w:lang w:val="es-ES"/>
        </w:rPr>
        <w:t>lugar de trabajo</w:t>
      </w:r>
      <w:r w:rsidR="00A14F05">
        <w:rPr>
          <w:rFonts w:ascii="ZWAdobeF" w:hAnsi="ZWAdobeF" w:cs="ZWAdobeF"/>
          <w:color w:val="auto"/>
          <w:sz w:val="2"/>
          <w:szCs w:val="2"/>
          <w:lang w:val="es-ES"/>
        </w:rPr>
        <w:t>281F</w:t>
      </w:r>
      <w:r w:rsidRPr="005C52BD">
        <w:rPr>
          <w:rStyle w:val="FootnoteReference"/>
          <w:sz w:val="20"/>
          <w:szCs w:val="20"/>
        </w:rPr>
        <w:footnoteReference w:id="283"/>
      </w:r>
      <w:r w:rsidRPr="00C332F1">
        <w:rPr>
          <w:lang w:val="es-ES"/>
        </w:rPr>
        <w:t xml:space="preserve">. </w:t>
      </w:r>
    </w:p>
    <w:p w14:paraId="3E99B240" w14:textId="4238EE6C" w:rsidR="00DB673A" w:rsidRPr="00C332F1" w:rsidRDefault="00DB673A" w:rsidP="00A106E1">
      <w:pPr>
        <w:pStyle w:val="IAPrrafo"/>
        <w:rPr>
          <w:szCs w:val="20"/>
          <w:lang w:val="es-US"/>
        </w:rPr>
      </w:pPr>
      <w:r w:rsidRPr="00C332F1">
        <w:rPr>
          <w:lang w:val="es-ES"/>
        </w:rPr>
        <w:t>Aunado a esto, según Hum Venezuela, el 74</w:t>
      </w:r>
      <w:r w:rsidR="00E9261C" w:rsidRPr="00C332F1">
        <w:rPr>
          <w:lang w:val="es-ES"/>
        </w:rPr>
        <w:t>,</w:t>
      </w:r>
      <w:r w:rsidRPr="00C332F1">
        <w:rPr>
          <w:lang w:val="es-ES"/>
        </w:rPr>
        <w:t>6% de las 28</w:t>
      </w:r>
      <w:r w:rsidR="00431DF8" w:rsidRPr="00C332F1">
        <w:rPr>
          <w:lang w:val="es-ES"/>
        </w:rPr>
        <w:t>.</w:t>
      </w:r>
      <w:r w:rsidRPr="00C332F1">
        <w:rPr>
          <w:lang w:val="es-ES"/>
        </w:rPr>
        <w:t>000 escuelas en el país enfrentan problemas de infraestructura, el 73</w:t>
      </w:r>
      <w:r w:rsidR="00E9261C" w:rsidRPr="00C332F1">
        <w:rPr>
          <w:lang w:val="es-ES"/>
        </w:rPr>
        <w:t>,</w:t>
      </w:r>
      <w:r w:rsidRPr="00C332F1">
        <w:rPr>
          <w:lang w:val="es-ES"/>
        </w:rPr>
        <w:t>4 % no tienen acceso constante a servicio eléctrico y el 80</w:t>
      </w:r>
      <w:r w:rsidR="00431DF8" w:rsidRPr="00C332F1">
        <w:rPr>
          <w:lang w:val="es-ES"/>
        </w:rPr>
        <w:t>,</w:t>
      </w:r>
      <w:r w:rsidRPr="00C332F1">
        <w:rPr>
          <w:lang w:val="es-ES"/>
        </w:rPr>
        <w:t>9 % carece de un suministro regular de agua potable</w:t>
      </w:r>
      <w:r w:rsidR="00A14F05">
        <w:rPr>
          <w:rFonts w:ascii="ZWAdobeF" w:hAnsi="ZWAdobeF" w:cs="ZWAdobeF"/>
          <w:color w:val="auto"/>
          <w:sz w:val="2"/>
          <w:szCs w:val="2"/>
          <w:lang w:val="es-ES"/>
        </w:rPr>
        <w:t>282F</w:t>
      </w:r>
      <w:r w:rsidRPr="005C52BD">
        <w:rPr>
          <w:rStyle w:val="FootnoteReference"/>
          <w:sz w:val="20"/>
          <w:szCs w:val="20"/>
          <w:lang w:val="es-ES"/>
        </w:rPr>
        <w:footnoteReference w:id="284"/>
      </w:r>
      <w:r w:rsidRPr="00C332F1">
        <w:rPr>
          <w:lang w:val="es-ES"/>
        </w:rPr>
        <w:t xml:space="preserve">. </w:t>
      </w:r>
      <w:r w:rsidRPr="00C332F1">
        <w:rPr>
          <w:lang w:val="es-US"/>
        </w:rPr>
        <w:t>Como resultado, el 87%</w:t>
      </w:r>
      <w:r w:rsidR="00442FE0" w:rsidRPr="00C332F1">
        <w:rPr>
          <w:lang w:val="es-US"/>
        </w:rPr>
        <w:t xml:space="preserve"> </w:t>
      </w:r>
      <w:r w:rsidRPr="00C332F1">
        <w:rPr>
          <w:lang w:val="es-US"/>
        </w:rPr>
        <w:t>de docentes percibe que sus instituciones están estancadas o en retroceso</w:t>
      </w:r>
      <w:r w:rsidR="00B536F1" w:rsidRPr="00C332F1">
        <w:rPr>
          <w:lang w:val="es-US"/>
        </w:rPr>
        <w:t>.</w:t>
      </w:r>
      <w:r w:rsidRPr="00C332F1">
        <w:rPr>
          <w:lang w:val="es-US"/>
        </w:rPr>
        <w:t xml:space="preserve"> </w:t>
      </w:r>
      <w:r w:rsidR="00B536F1" w:rsidRPr="00C332F1">
        <w:rPr>
          <w:lang w:val="es-US"/>
        </w:rPr>
        <w:t>E</w:t>
      </w:r>
      <w:r w:rsidRPr="00C332F1">
        <w:rPr>
          <w:lang w:val="es-US"/>
        </w:rPr>
        <w:t xml:space="preserve">l </w:t>
      </w:r>
      <w:r w:rsidR="000914EC" w:rsidRPr="00C332F1">
        <w:rPr>
          <w:lang w:val="es-US"/>
        </w:rPr>
        <w:t xml:space="preserve">91% indica que no se tiene acceso a agua potable, y el </w:t>
      </w:r>
      <w:r w:rsidRPr="00C332F1">
        <w:rPr>
          <w:lang w:val="es-US"/>
        </w:rPr>
        <w:t xml:space="preserve">85% reporta </w:t>
      </w:r>
      <w:r w:rsidR="00B7518B" w:rsidRPr="00C332F1">
        <w:rPr>
          <w:lang w:val="es-US"/>
        </w:rPr>
        <w:t xml:space="preserve">problemas de </w:t>
      </w:r>
      <w:r w:rsidR="00DB4246" w:rsidRPr="00C332F1">
        <w:rPr>
          <w:lang w:val="es-US"/>
        </w:rPr>
        <w:t>funcionamiento en</w:t>
      </w:r>
      <w:r w:rsidRPr="00C332F1">
        <w:rPr>
          <w:lang w:val="es-US"/>
        </w:rPr>
        <w:t xml:space="preserve"> los ba</w:t>
      </w:r>
      <w:r w:rsidR="00B536F1" w:rsidRPr="00C332F1">
        <w:rPr>
          <w:lang w:val="es-US"/>
        </w:rPr>
        <w:t>ñ</w:t>
      </w:r>
      <w:r w:rsidRPr="00C332F1">
        <w:rPr>
          <w:lang w:val="es-US"/>
        </w:rPr>
        <w:t>os</w:t>
      </w:r>
      <w:r w:rsidR="00A14F05">
        <w:rPr>
          <w:rFonts w:ascii="ZWAdobeF" w:hAnsi="ZWAdobeF" w:cs="ZWAdobeF"/>
          <w:color w:val="auto"/>
          <w:sz w:val="2"/>
          <w:szCs w:val="2"/>
          <w:lang w:val="es-US"/>
        </w:rPr>
        <w:t>283F</w:t>
      </w:r>
      <w:r w:rsidRPr="005C52BD">
        <w:rPr>
          <w:rStyle w:val="FootnoteReference"/>
          <w:sz w:val="20"/>
          <w:szCs w:val="20"/>
        </w:rPr>
        <w:footnoteReference w:id="285"/>
      </w:r>
      <w:r w:rsidRPr="00C332F1">
        <w:rPr>
          <w:lang w:val="es-US"/>
        </w:rPr>
        <w:t>.</w:t>
      </w:r>
    </w:p>
    <w:p w14:paraId="5155B893" w14:textId="02088DB3" w:rsidR="000F4C77" w:rsidRPr="00C332F1" w:rsidRDefault="000F4C77" w:rsidP="00406037">
      <w:pPr>
        <w:pStyle w:val="IASubttulo2"/>
        <w:rPr>
          <w:lang w:val="es-US"/>
        </w:rPr>
      </w:pPr>
      <w:bookmarkStart w:id="31" w:name="_Toc195617476"/>
      <w:r w:rsidRPr="00C332F1">
        <w:rPr>
          <w:lang w:val="es-US"/>
        </w:rPr>
        <w:t>Precariedad laboral y ambiente hostil para la defensa de los derechos laborales y sindicales</w:t>
      </w:r>
      <w:bookmarkEnd w:id="31"/>
      <w:r w:rsidRPr="00C332F1">
        <w:rPr>
          <w:lang w:val="es-US"/>
        </w:rPr>
        <w:t xml:space="preserve"> </w:t>
      </w:r>
    </w:p>
    <w:p w14:paraId="40E3847D" w14:textId="59F0C961" w:rsidR="005F5AE5" w:rsidRPr="00C332F1" w:rsidRDefault="0577EB33" w:rsidP="001D265E">
      <w:pPr>
        <w:pStyle w:val="IAPrrafo"/>
        <w:rPr>
          <w:color w:val="auto"/>
          <w:szCs w:val="20"/>
          <w:lang w:val="es-US"/>
        </w:rPr>
      </w:pPr>
      <w:r w:rsidRPr="00C332F1">
        <w:rPr>
          <w:color w:val="auto"/>
          <w:lang w:val="es-US"/>
        </w:rPr>
        <w:t>La</w:t>
      </w:r>
      <w:r w:rsidR="7970AE70" w:rsidRPr="00C332F1">
        <w:rPr>
          <w:color w:val="auto"/>
          <w:lang w:val="es-US"/>
        </w:rPr>
        <w:t xml:space="preserve"> defensa de los derechos laborales y sindicales</w:t>
      </w:r>
      <w:r w:rsidRPr="00C332F1">
        <w:rPr>
          <w:color w:val="auto"/>
          <w:lang w:val="es-US"/>
        </w:rPr>
        <w:t xml:space="preserve"> sigue enfrentando un </w:t>
      </w:r>
      <w:r w:rsidR="7970AE70" w:rsidRPr="00C332F1">
        <w:rPr>
          <w:color w:val="auto"/>
          <w:lang w:val="es-US"/>
        </w:rPr>
        <w:t>ambiente hostil</w:t>
      </w:r>
      <w:r w:rsidR="58571E58" w:rsidRPr="00C332F1">
        <w:rPr>
          <w:color w:val="auto"/>
          <w:lang w:val="es-US"/>
        </w:rPr>
        <w:t xml:space="preserve"> en </w:t>
      </w:r>
      <w:r w:rsidR="72DB2DFD" w:rsidRPr="00C332F1">
        <w:rPr>
          <w:color w:val="auto"/>
          <w:lang w:val="es-US"/>
        </w:rPr>
        <w:t>el</w:t>
      </w:r>
      <w:r w:rsidR="01DD78E1" w:rsidRPr="00C332F1">
        <w:rPr>
          <w:color w:val="auto"/>
          <w:lang w:val="es-US"/>
        </w:rPr>
        <w:t xml:space="preserve"> </w:t>
      </w:r>
      <w:r w:rsidR="58571E58" w:rsidRPr="00C332F1">
        <w:rPr>
          <w:color w:val="auto"/>
          <w:lang w:val="es-US"/>
        </w:rPr>
        <w:t>que</w:t>
      </w:r>
      <w:r w:rsidR="7970AE70" w:rsidRPr="00C332F1">
        <w:rPr>
          <w:color w:val="auto"/>
          <w:lang w:val="es-US"/>
        </w:rPr>
        <w:t xml:space="preserve"> </w:t>
      </w:r>
      <w:r w:rsidR="58571E58" w:rsidRPr="00C332F1">
        <w:rPr>
          <w:color w:val="auto"/>
          <w:lang w:val="es-US"/>
        </w:rPr>
        <w:t>sindicalistas y trabajadores</w:t>
      </w:r>
      <w:r w:rsidR="3193BB3E" w:rsidRPr="00C332F1">
        <w:rPr>
          <w:color w:val="auto"/>
          <w:lang w:val="es-US"/>
        </w:rPr>
        <w:t xml:space="preserve"> —</w:t>
      </w:r>
      <w:r w:rsidR="58571E58" w:rsidRPr="00C332F1">
        <w:rPr>
          <w:color w:val="auto"/>
          <w:lang w:val="es-US"/>
        </w:rPr>
        <w:t>entre otros grupo</w:t>
      </w:r>
      <w:r w:rsidR="798BCFD4" w:rsidRPr="00C332F1">
        <w:rPr>
          <w:color w:val="auto"/>
          <w:lang w:val="es-US"/>
        </w:rPr>
        <w:t>s—</w:t>
      </w:r>
      <w:r w:rsidR="7970AE70" w:rsidRPr="00C332F1">
        <w:rPr>
          <w:color w:val="auto"/>
          <w:lang w:val="es-US"/>
        </w:rPr>
        <w:t xml:space="preserve"> ha</w:t>
      </w:r>
      <w:r w:rsidR="7164B814" w:rsidRPr="00C332F1">
        <w:rPr>
          <w:color w:val="auto"/>
          <w:lang w:val="es-US"/>
        </w:rPr>
        <w:t>n</w:t>
      </w:r>
      <w:r w:rsidR="7970AE70" w:rsidRPr="00C332F1">
        <w:rPr>
          <w:color w:val="auto"/>
          <w:lang w:val="es-US"/>
        </w:rPr>
        <w:t xml:space="preserve"> denunciado la persecución, intimidación, hostigamiento y otros actos de violencia </w:t>
      </w:r>
      <w:r w:rsidR="7164B814" w:rsidRPr="00C332F1">
        <w:rPr>
          <w:color w:val="auto"/>
          <w:lang w:val="es-US"/>
        </w:rPr>
        <w:t xml:space="preserve">en su </w:t>
      </w:r>
      <w:r w:rsidR="7970AE70" w:rsidRPr="00C332F1">
        <w:rPr>
          <w:color w:val="auto"/>
          <w:lang w:val="es-US"/>
        </w:rPr>
        <w:t>contra</w:t>
      </w:r>
      <w:r w:rsidR="00A14F05">
        <w:rPr>
          <w:rFonts w:ascii="ZWAdobeF" w:hAnsi="ZWAdobeF" w:cs="ZWAdobeF"/>
          <w:color w:val="auto"/>
          <w:sz w:val="2"/>
          <w:szCs w:val="2"/>
          <w:lang w:val="es-US"/>
        </w:rPr>
        <w:t>284F</w:t>
      </w:r>
      <w:r w:rsidR="000F4C77" w:rsidRPr="005C52BD">
        <w:rPr>
          <w:rStyle w:val="FootnoteReference"/>
          <w:color w:val="auto"/>
          <w:sz w:val="20"/>
          <w:szCs w:val="20"/>
          <w:lang w:val="es"/>
        </w:rPr>
        <w:footnoteReference w:id="286"/>
      </w:r>
      <w:r w:rsidR="7970AE70" w:rsidRPr="00C332F1">
        <w:rPr>
          <w:color w:val="auto"/>
          <w:lang w:val="es-US"/>
        </w:rPr>
        <w:t>. As</w:t>
      </w:r>
      <w:r w:rsidR="7D216B07" w:rsidRPr="00C332F1">
        <w:rPr>
          <w:color w:val="auto"/>
          <w:lang w:val="es-US"/>
        </w:rPr>
        <w:t>i</w:t>
      </w:r>
      <w:r w:rsidR="7970AE70" w:rsidRPr="00C332F1">
        <w:rPr>
          <w:color w:val="auto"/>
          <w:lang w:val="es-US"/>
        </w:rPr>
        <w:t xml:space="preserve">mismo, </w:t>
      </w:r>
      <w:r w:rsidR="7970AE70" w:rsidRPr="00C332F1">
        <w:rPr>
          <w:color w:val="auto"/>
          <w:lang w:val="es-ES"/>
        </w:rPr>
        <w:t>la Confederación Sindical Internacional ha señalado que Venezuela se encuentra entre los 13 países del mundo con la peor garantía de derechos de huelga, negociación colectiva, sindicalización, acceso a la justicia, libertad de expresión y asociación, entre otros</w:t>
      </w:r>
      <w:r w:rsidR="00A14F05">
        <w:rPr>
          <w:rFonts w:ascii="ZWAdobeF" w:hAnsi="ZWAdobeF" w:cs="ZWAdobeF"/>
          <w:color w:val="auto"/>
          <w:sz w:val="2"/>
          <w:szCs w:val="2"/>
          <w:lang w:val="es-ES"/>
        </w:rPr>
        <w:t>285F</w:t>
      </w:r>
      <w:r w:rsidR="000F4C77" w:rsidRPr="005C52BD">
        <w:rPr>
          <w:rStyle w:val="FootnoteReference"/>
          <w:color w:val="auto"/>
          <w:sz w:val="20"/>
          <w:szCs w:val="20"/>
          <w:lang w:val="es-ES"/>
        </w:rPr>
        <w:footnoteReference w:id="287"/>
      </w:r>
      <w:r w:rsidR="7970AE70" w:rsidRPr="00C332F1">
        <w:rPr>
          <w:color w:val="auto"/>
          <w:lang w:val="es-ES"/>
        </w:rPr>
        <w:t>.</w:t>
      </w:r>
    </w:p>
    <w:p w14:paraId="13A8F60A" w14:textId="5EA33360" w:rsidR="002E68F0" w:rsidRPr="00C332F1" w:rsidRDefault="7970AE70" w:rsidP="001D265E">
      <w:pPr>
        <w:pStyle w:val="IAPrrafo"/>
        <w:rPr>
          <w:color w:val="auto"/>
          <w:szCs w:val="20"/>
          <w:lang w:val="es-US"/>
        </w:rPr>
      </w:pPr>
      <w:r w:rsidRPr="00C332F1">
        <w:rPr>
          <w:color w:val="auto"/>
          <w:lang w:val="es-US"/>
        </w:rPr>
        <w:t>Dicha situación es particularmente compleja cuando la mayoría de</w:t>
      </w:r>
      <w:r w:rsidR="38BD2D0D" w:rsidRPr="00C332F1">
        <w:rPr>
          <w:color w:val="auto"/>
          <w:lang w:val="es-US"/>
        </w:rPr>
        <w:t xml:space="preserve"> las personas </w:t>
      </w:r>
      <w:r w:rsidRPr="00C332F1">
        <w:rPr>
          <w:color w:val="auto"/>
          <w:lang w:val="es-US"/>
        </w:rPr>
        <w:t>trabajador</w:t>
      </w:r>
      <w:r w:rsidR="38BD2D0D" w:rsidRPr="00C332F1">
        <w:rPr>
          <w:color w:val="auto"/>
          <w:lang w:val="es-US"/>
        </w:rPr>
        <w:t>a</w:t>
      </w:r>
      <w:r w:rsidRPr="00C332F1">
        <w:rPr>
          <w:color w:val="auto"/>
          <w:lang w:val="es-US"/>
        </w:rPr>
        <w:t xml:space="preserve">s no vive una vida decorosa, en </w:t>
      </w:r>
      <w:r w:rsidR="3631A9E2" w:rsidRPr="00C332F1">
        <w:rPr>
          <w:color w:val="auto"/>
          <w:lang w:val="es-US"/>
        </w:rPr>
        <w:t>tanto</w:t>
      </w:r>
      <w:r w:rsidR="74438D02" w:rsidRPr="00C332F1">
        <w:rPr>
          <w:color w:val="auto"/>
          <w:lang w:val="es-US"/>
        </w:rPr>
        <w:t xml:space="preserve"> </w:t>
      </w:r>
      <w:r w:rsidRPr="00C332F1">
        <w:rPr>
          <w:color w:val="auto"/>
          <w:lang w:val="es-US"/>
        </w:rPr>
        <w:t>el salario mínimo es de 130 bolívares mensuales y sin cambios desde el 2022</w:t>
      </w:r>
      <w:r w:rsidR="00A14F05">
        <w:rPr>
          <w:rFonts w:ascii="ZWAdobeF" w:hAnsi="ZWAdobeF" w:cs="ZWAdobeF"/>
          <w:color w:val="auto"/>
          <w:sz w:val="2"/>
          <w:szCs w:val="2"/>
          <w:lang w:val="es-US"/>
        </w:rPr>
        <w:t>286F</w:t>
      </w:r>
      <w:r w:rsidR="000F4C77" w:rsidRPr="005C52BD">
        <w:rPr>
          <w:rStyle w:val="FootnoteReference"/>
          <w:color w:val="auto"/>
          <w:sz w:val="20"/>
          <w:szCs w:val="20"/>
          <w:lang w:val="es-US"/>
        </w:rPr>
        <w:footnoteReference w:id="288"/>
      </w:r>
      <w:r w:rsidRPr="00C332F1">
        <w:rPr>
          <w:color w:val="auto"/>
          <w:lang w:val="es-US"/>
        </w:rPr>
        <w:t xml:space="preserve"> mientras las personas pensionadas también reciben ingresos insuficientes. En dicho marco, se reitera que los salarios y pensiones deben asegurar la garantía de una </w:t>
      </w:r>
      <w:r w:rsidR="2DEC0D89" w:rsidRPr="00C332F1">
        <w:rPr>
          <w:color w:val="auto"/>
          <w:lang w:val="es-US"/>
        </w:rPr>
        <w:t xml:space="preserve">vida </w:t>
      </w:r>
      <w:r w:rsidRPr="00C332F1">
        <w:rPr>
          <w:color w:val="auto"/>
          <w:lang w:val="es-US"/>
        </w:rPr>
        <w:t>digna. Debido a la</w:t>
      </w:r>
      <w:r w:rsidR="38BD2D0D" w:rsidRPr="00C332F1">
        <w:rPr>
          <w:color w:val="auto"/>
          <w:lang w:val="es-US"/>
        </w:rPr>
        <w:t>s</w:t>
      </w:r>
      <w:r w:rsidRPr="00C332F1">
        <w:rPr>
          <w:color w:val="auto"/>
          <w:lang w:val="es-US"/>
        </w:rPr>
        <w:t xml:space="preserve"> serias privaciones en este sentido, tan solo en el primer semestre del 2024 se presentaron 2.383 manifestaciones, de las cuales el 70% se centraron en la exigencia de derechos económicos, sociales, culturales y ambientales</w:t>
      </w:r>
      <w:r w:rsidR="00A14F05">
        <w:rPr>
          <w:rFonts w:ascii="ZWAdobeF" w:hAnsi="ZWAdobeF" w:cs="ZWAdobeF"/>
          <w:color w:val="auto"/>
          <w:sz w:val="2"/>
          <w:szCs w:val="2"/>
          <w:lang w:val="es-US"/>
        </w:rPr>
        <w:t>287F</w:t>
      </w:r>
      <w:r w:rsidR="000F4C77" w:rsidRPr="005C52BD">
        <w:rPr>
          <w:rStyle w:val="FootnoteReference"/>
          <w:color w:val="auto"/>
          <w:sz w:val="20"/>
          <w:szCs w:val="20"/>
        </w:rPr>
        <w:footnoteReference w:id="289"/>
      </w:r>
      <w:r w:rsidRPr="00C332F1">
        <w:rPr>
          <w:color w:val="auto"/>
          <w:lang w:val="es-US"/>
        </w:rPr>
        <w:t>.</w:t>
      </w:r>
    </w:p>
    <w:p w14:paraId="3DE42CF7" w14:textId="0F51F64F" w:rsidR="000F4C77" w:rsidRPr="00C332F1" w:rsidRDefault="000F4C77" w:rsidP="00406037">
      <w:pPr>
        <w:pStyle w:val="IASubttulo2"/>
        <w:rPr>
          <w:lang w:val="es-US"/>
        </w:rPr>
      </w:pPr>
      <w:bookmarkStart w:id="32" w:name="_Toc195617477"/>
      <w:r w:rsidRPr="00C332F1">
        <w:rPr>
          <w:lang w:val="es-ES"/>
        </w:rPr>
        <w:t>Emergencia climática y protección al medio ambiente</w:t>
      </w:r>
      <w:bookmarkEnd w:id="32"/>
    </w:p>
    <w:p w14:paraId="08D9A000" w14:textId="56A7B8D7" w:rsidR="003F66FB" w:rsidRPr="00C332F1" w:rsidRDefault="7970AE70" w:rsidP="00232567">
      <w:pPr>
        <w:pStyle w:val="IAPrrafo"/>
        <w:rPr>
          <w:color w:val="auto"/>
          <w:szCs w:val="20"/>
          <w:lang w:val="es-US"/>
        </w:rPr>
      </w:pPr>
      <w:r w:rsidRPr="00C332F1">
        <w:rPr>
          <w:color w:val="auto"/>
          <w:lang w:val="es-ES"/>
        </w:rPr>
        <w:t xml:space="preserve">En relación con el medio ambiente, la REDESCA y la Comisión </w:t>
      </w:r>
      <w:r w:rsidR="0317D9E8" w:rsidRPr="00C332F1">
        <w:rPr>
          <w:color w:val="auto"/>
          <w:lang w:val="es-ES"/>
        </w:rPr>
        <w:t>siguen</w:t>
      </w:r>
      <w:r w:rsidRPr="00C332F1">
        <w:rPr>
          <w:color w:val="auto"/>
          <w:lang w:val="es-US"/>
        </w:rPr>
        <w:t xml:space="preserve"> con </w:t>
      </w:r>
      <w:r w:rsidR="0317D9E8" w:rsidRPr="00C332F1">
        <w:rPr>
          <w:color w:val="auto"/>
          <w:lang w:val="es-US"/>
        </w:rPr>
        <w:t>atención</w:t>
      </w:r>
      <w:r w:rsidRPr="00C332F1">
        <w:rPr>
          <w:color w:val="auto"/>
          <w:lang w:val="es-US"/>
        </w:rPr>
        <w:t xml:space="preserve"> los </w:t>
      </w:r>
      <w:r w:rsidR="24ADBD49" w:rsidRPr="00C332F1">
        <w:rPr>
          <w:color w:val="auto"/>
          <w:lang w:val="es-US"/>
        </w:rPr>
        <w:t xml:space="preserve">efectos </w:t>
      </w:r>
      <w:r w:rsidRPr="00C332F1">
        <w:rPr>
          <w:color w:val="auto"/>
          <w:lang w:val="es-US"/>
        </w:rPr>
        <w:t xml:space="preserve">de la emergencia climática en el país, así como casos de degradación medioambiental, incluyendo deforestación e incendios. </w:t>
      </w:r>
      <w:r w:rsidR="5BD5D444" w:rsidRPr="00C332F1">
        <w:rPr>
          <w:color w:val="auto"/>
          <w:lang w:val="es-US"/>
        </w:rPr>
        <w:t>E</w:t>
      </w:r>
      <w:r w:rsidRPr="00C332F1">
        <w:rPr>
          <w:color w:val="auto"/>
          <w:lang w:val="es-US"/>
        </w:rPr>
        <w:t xml:space="preserve">ntre otros, se ha reportado la </w:t>
      </w:r>
      <w:r w:rsidR="0317D9E8" w:rsidRPr="00C332F1">
        <w:rPr>
          <w:color w:val="auto"/>
          <w:lang w:val="es-US"/>
        </w:rPr>
        <w:t>pérdida</w:t>
      </w:r>
      <w:r w:rsidRPr="00C332F1">
        <w:rPr>
          <w:color w:val="auto"/>
          <w:lang w:val="es-US"/>
        </w:rPr>
        <w:t xml:space="preserve"> de glaciares en la </w:t>
      </w:r>
      <w:r w:rsidR="0317D9E8" w:rsidRPr="00C332F1">
        <w:rPr>
          <w:color w:val="auto"/>
          <w:lang w:val="es-US"/>
        </w:rPr>
        <w:t>región</w:t>
      </w:r>
      <w:r w:rsidRPr="00C332F1">
        <w:rPr>
          <w:color w:val="auto"/>
          <w:lang w:val="es-US"/>
        </w:rPr>
        <w:t xml:space="preserve"> de los Andes de Venezuela</w:t>
      </w:r>
      <w:r w:rsidR="00A14F05">
        <w:rPr>
          <w:rFonts w:ascii="ZWAdobeF" w:hAnsi="ZWAdobeF" w:cs="ZWAdobeF"/>
          <w:color w:val="auto"/>
          <w:sz w:val="2"/>
          <w:szCs w:val="2"/>
          <w:lang w:val="es-US"/>
        </w:rPr>
        <w:t>288F</w:t>
      </w:r>
      <w:r w:rsidR="000F4C77" w:rsidRPr="005C52BD">
        <w:rPr>
          <w:rStyle w:val="FootnoteReference"/>
          <w:color w:val="auto"/>
          <w:sz w:val="20"/>
          <w:szCs w:val="20"/>
        </w:rPr>
        <w:footnoteReference w:id="290"/>
      </w:r>
      <w:r w:rsidR="766FFC93" w:rsidRPr="00C332F1">
        <w:rPr>
          <w:color w:val="auto"/>
          <w:lang w:val="es-US"/>
        </w:rPr>
        <w:t>,</w:t>
      </w:r>
      <w:r w:rsidRPr="00C332F1">
        <w:rPr>
          <w:color w:val="auto"/>
          <w:lang w:val="es-US"/>
        </w:rPr>
        <w:t xml:space="preserve"> y </w:t>
      </w:r>
      <w:r w:rsidR="21E8A414" w:rsidRPr="00C332F1">
        <w:rPr>
          <w:color w:val="auto"/>
          <w:lang w:val="es-US"/>
        </w:rPr>
        <w:t>más</w:t>
      </w:r>
      <w:r w:rsidRPr="00C332F1">
        <w:rPr>
          <w:color w:val="auto"/>
          <w:lang w:val="es-US"/>
        </w:rPr>
        <w:t xml:space="preserve"> de 11.000 focos de incendios</w:t>
      </w:r>
      <w:r w:rsidR="00A14F05">
        <w:rPr>
          <w:rFonts w:ascii="ZWAdobeF" w:hAnsi="ZWAdobeF" w:cs="ZWAdobeF"/>
          <w:color w:val="auto"/>
          <w:sz w:val="2"/>
          <w:szCs w:val="2"/>
          <w:lang w:val="es-US"/>
        </w:rPr>
        <w:t>289F</w:t>
      </w:r>
      <w:r w:rsidR="000F4C77" w:rsidRPr="005C52BD">
        <w:rPr>
          <w:rStyle w:val="FootnoteReference"/>
          <w:color w:val="auto"/>
          <w:sz w:val="20"/>
          <w:szCs w:val="20"/>
        </w:rPr>
        <w:footnoteReference w:id="291"/>
      </w:r>
      <w:r w:rsidRPr="00C332F1">
        <w:rPr>
          <w:color w:val="auto"/>
          <w:lang w:val="es-US"/>
        </w:rPr>
        <w:t xml:space="preserve">. </w:t>
      </w:r>
      <w:r w:rsidR="1108BDF5" w:rsidRPr="00C332F1">
        <w:rPr>
          <w:color w:val="auto"/>
          <w:lang w:val="es-US"/>
        </w:rPr>
        <w:t>E</w:t>
      </w:r>
      <w:r w:rsidRPr="00C332F1">
        <w:rPr>
          <w:color w:val="auto"/>
          <w:lang w:val="es-US"/>
        </w:rPr>
        <w:t>l Huracán Beryl habría dejado alrededor de 400 viviendas afectadas y un aproximado de 8.000 personas afectadas al mes de julio</w:t>
      </w:r>
      <w:r w:rsidR="00A14F05">
        <w:rPr>
          <w:rFonts w:ascii="ZWAdobeF" w:hAnsi="ZWAdobeF" w:cs="ZWAdobeF"/>
          <w:color w:val="auto"/>
          <w:sz w:val="2"/>
          <w:szCs w:val="2"/>
          <w:lang w:val="es-US"/>
        </w:rPr>
        <w:t>290F</w:t>
      </w:r>
      <w:r w:rsidR="000F4C77" w:rsidRPr="005C52BD">
        <w:rPr>
          <w:rStyle w:val="FootnoteReference"/>
          <w:color w:val="auto"/>
          <w:sz w:val="20"/>
          <w:szCs w:val="20"/>
        </w:rPr>
        <w:footnoteReference w:id="292"/>
      </w:r>
      <w:r w:rsidRPr="00C332F1">
        <w:rPr>
          <w:color w:val="auto"/>
          <w:lang w:val="es-US"/>
        </w:rPr>
        <w:t xml:space="preserve">. En esta línea, se toma nota con preocupación de los impactos que padecieron las comunidades </w:t>
      </w:r>
      <w:r w:rsidR="21E8A414" w:rsidRPr="00C332F1">
        <w:rPr>
          <w:color w:val="auto"/>
          <w:lang w:val="es-US"/>
        </w:rPr>
        <w:t>indígenas</w:t>
      </w:r>
      <w:r w:rsidRPr="00C332F1">
        <w:rPr>
          <w:color w:val="auto"/>
          <w:lang w:val="es-US"/>
        </w:rPr>
        <w:t xml:space="preserve"> de la </w:t>
      </w:r>
      <w:r w:rsidR="21E8A414" w:rsidRPr="00C332F1">
        <w:rPr>
          <w:color w:val="auto"/>
          <w:lang w:val="es-US"/>
        </w:rPr>
        <w:t>región</w:t>
      </w:r>
      <w:r w:rsidRPr="00C332F1">
        <w:rPr>
          <w:color w:val="auto"/>
          <w:lang w:val="es-US"/>
        </w:rPr>
        <w:t xml:space="preserve">, como los Wayuu, quienes sufrieron pérdidas de hasta 10 </w:t>
      </w:r>
      <w:r w:rsidR="21E8A414" w:rsidRPr="00C332F1">
        <w:rPr>
          <w:color w:val="auto"/>
          <w:lang w:val="es-US"/>
        </w:rPr>
        <w:t>hectáreas</w:t>
      </w:r>
      <w:r w:rsidRPr="00C332F1">
        <w:rPr>
          <w:color w:val="auto"/>
          <w:lang w:val="es-US"/>
        </w:rPr>
        <w:t xml:space="preserve"> de cultivos</w:t>
      </w:r>
      <w:r w:rsidR="00A14F05">
        <w:rPr>
          <w:rFonts w:ascii="ZWAdobeF" w:hAnsi="ZWAdobeF" w:cs="ZWAdobeF"/>
          <w:color w:val="auto"/>
          <w:sz w:val="2"/>
          <w:szCs w:val="2"/>
          <w:lang w:val="es-US"/>
        </w:rPr>
        <w:t>291F</w:t>
      </w:r>
      <w:r w:rsidR="000F4C77" w:rsidRPr="005C52BD">
        <w:rPr>
          <w:rStyle w:val="FootnoteReference"/>
          <w:color w:val="auto"/>
          <w:sz w:val="20"/>
          <w:szCs w:val="20"/>
        </w:rPr>
        <w:footnoteReference w:id="293"/>
      </w:r>
      <w:r w:rsidRPr="00C332F1">
        <w:rPr>
          <w:color w:val="auto"/>
          <w:lang w:val="es-US"/>
        </w:rPr>
        <w:t xml:space="preserve">. En este marco, </w:t>
      </w:r>
      <w:r w:rsidRPr="00C332F1">
        <w:rPr>
          <w:rFonts w:eastAsia="Cambria" w:cs="Cambria"/>
          <w:color w:val="auto"/>
          <w:lang w:val="es-US"/>
        </w:rPr>
        <w:t>la</w:t>
      </w:r>
      <w:r w:rsidR="499FC68C" w:rsidRPr="00C332F1">
        <w:rPr>
          <w:rFonts w:eastAsia="Cambria" w:cs="Cambria"/>
          <w:color w:val="auto"/>
          <w:lang w:val="es-US"/>
        </w:rPr>
        <w:t xml:space="preserve"> CIDH y la</w:t>
      </w:r>
      <w:r w:rsidRPr="00C332F1">
        <w:rPr>
          <w:rFonts w:eastAsia="Cambria" w:cs="Cambria"/>
          <w:color w:val="auto"/>
          <w:lang w:val="es-US"/>
        </w:rPr>
        <w:t xml:space="preserve"> Relatoría recuerda</w:t>
      </w:r>
      <w:r w:rsidR="715D639E" w:rsidRPr="00C332F1">
        <w:rPr>
          <w:rFonts w:eastAsia="Cambria" w:cs="Cambria"/>
          <w:color w:val="auto"/>
          <w:lang w:val="es-US"/>
        </w:rPr>
        <w:t>n</w:t>
      </w:r>
      <w:r w:rsidRPr="00C332F1">
        <w:rPr>
          <w:rFonts w:eastAsia="Cambria" w:cs="Cambria"/>
          <w:color w:val="auto"/>
          <w:lang w:val="es-US"/>
        </w:rPr>
        <w:t xml:space="preserve"> que el aumento en la frecuencia e intensidad de huracanes y otros desastres naturales es una consecuencia directa del cambio climático, que altera las condiciones globales del clima y exacerba los riesgos </w:t>
      </w:r>
      <w:r w:rsidR="062F39A8" w:rsidRPr="00C332F1">
        <w:rPr>
          <w:rFonts w:eastAsia="Cambria" w:cs="Cambria"/>
          <w:color w:val="auto"/>
          <w:lang w:val="es-US"/>
        </w:rPr>
        <w:t>y afectaciones</w:t>
      </w:r>
      <w:r w:rsidRPr="00C332F1">
        <w:rPr>
          <w:rFonts w:eastAsia="Cambria" w:cs="Cambria"/>
          <w:color w:val="auto"/>
          <w:lang w:val="es-US"/>
        </w:rPr>
        <w:t xml:space="preserve"> en la vida, la salud y los medios de subsistencia de las poblaciones más vulnerables</w:t>
      </w:r>
      <w:r w:rsidR="00A14F05">
        <w:rPr>
          <w:rFonts w:ascii="ZWAdobeF" w:eastAsia="Cambria" w:hAnsi="ZWAdobeF" w:cs="ZWAdobeF"/>
          <w:color w:val="auto"/>
          <w:sz w:val="2"/>
          <w:szCs w:val="2"/>
          <w:lang w:val="es-US"/>
        </w:rPr>
        <w:t>292F</w:t>
      </w:r>
      <w:r w:rsidR="000F4C77" w:rsidRPr="005C52BD">
        <w:rPr>
          <w:rStyle w:val="FootnoteReference"/>
          <w:rFonts w:eastAsia="Cambria" w:cs="Cambria"/>
          <w:color w:val="auto"/>
          <w:sz w:val="20"/>
          <w:szCs w:val="20"/>
          <w:lang w:val="es-US"/>
        </w:rPr>
        <w:footnoteReference w:id="294"/>
      </w:r>
      <w:r w:rsidRPr="00C332F1">
        <w:rPr>
          <w:rFonts w:eastAsia="Cambria" w:cs="Cambria"/>
          <w:color w:val="auto"/>
          <w:lang w:val="es-US"/>
        </w:rPr>
        <w:t>.</w:t>
      </w:r>
    </w:p>
    <w:p w14:paraId="41AB1EFD" w14:textId="5055BFF2" w:rsidR="000F4C77" w:rsidRPr="00D83E65" w:rsidRDefault="1F7F67CC" w:rsidP="00232567">
      <w:pPr>
        <w:pStyle w:val="IAPrrafo"/>
        <w:rPr>
          <w:color w:val="auto"/>
          <w:szCs w:val="20"/>
          <w:lang w:val="es-US"/>
        </w:rPr>
      </w:pPr>
      <w:r w:rsidRPr="00C332F1">
        <w:rPr>
          <w:color w:val="auto"/>
          <w:lang w:val="es-US"/>
        </w:rPr>
        <w:t>En especial,</w:t>
      </w:r>
      <w:r w:rsidR="7970AE70" w:rsidRPr="00C332F1">
        <w:rPr>
          <w:color w:val="auto"/>
          <w:lang w:val="es-US"/>
        </w:rPr>
        <w:t xml:space="preserve"> el Lago de Maracaibo ha enfrentado graves problemas en los </w:t>
      </w:r>
      <w:r w:rsidR="5EFA856E" w:rsidRPr="00C332F1">
        <w:rPr>
          <w:color w:val="auto"/>
          <w:lang w:val="es-US"/>
        </w:rPr>
        <w:t>últimos</w:t>
      </w:r>
      <w:r w:rsidR="7970AE70" w:rsidRPr="00C332F1">
        <w:rPr>
          <w:color w:val="auto"/>
          <w:lang w:val="es-US"/>
        </w:rPr>
        <w:t xml:space="preserve"> </w:t>
      </w:r>
      <w:r w:rsidR="5EFA856E" w:rsidRPr="00C332F1">
        <w:rPr>
          <w:color w:val="auto"/>
          <w:lang w:val="es-US"/>
        </w:rPr>
        <w:t>años</w:t>
      </w:r>
      <w:r w:rsidR="7970AE70" w:rsidRPr="00C332F1">
        <w:rPr>
          <w:color w:val="auto"/>
          <w:lang w:val="es-US"/>
        </w:rPr>
        <w:t xml:space="preserve"> debido a los derrames petroleros. Estos derrames han tenido </w:t>
      </w:r>
      <w:r w:rsidR="1108BDF5" w:rsidRPr="00C332F1">
        <w:rPr>
          <w:color w:val="auto"/>
          <w:lang w:val="es-US"/>
        </w:rPr>
        <w:t>consecuencias</w:t>
      </w:r>
      <w:r w:rsidR="7970AE70" w:rsidRPr="00C332F1">
        <w:rPr>
          <w:color w:val="auto"/>
          <w:lang w:val="es-US"/>
        </w:rPr>
        <w:t xml:space="preserve"> negativ</w:t>
      </w:r>
      <w:r w:rsidR="1108BDF5" w:rsidRPr="00C332F1">
        <w:rPr>
          <w:color w:val="auto"/>
          <w:lang w:val="es-US"/>
        </w:rPr>
        <w:t>as</w:t>
      </w:r>
      <w:r w:rsidR="7970AE70" w:rsidRPr="00C332F1">
        <w:rPr>
          <w:color w:val="auto"/>
          <w:lang w:val="es-US"/>
        </w:rPr>
        <w:t xml:space="preserve"> en las comunidades de la región, debido al exceso de crudo en el agua, afectando a más de 5.000 trabajadores del sector pesquero</w:t>
      </w:r>
      <w:r w:rsidR="00A14F05">
        <w:rPr>
          <w:rFonts w:ascii="ZWAdobeF" w:hAnsi="ZWAdobeF" w:cs="ZWAdobeF"/>
          <w:color w:val="auto"/>
          <w:sz w:val="2"/>
          <w:szCs w:val="2"/>
          <w:lang w:val="es-US"/>
        </w:rPr>
        <w:t>293F</w:t>
      </w:r>
      <w:r w:rsidR="000F4C77" w:rsidRPr="005C52BD">
        <w:rPr>
          <w:rStyle w:val="FootnoteReference"/>
          <w:color w:val="auto"/>
          <w:sz w:val="20"/>
          <w:szCs w:val="20"/>
        </w:rPr>
        <w:footnoteReference w:id="295"/>
      </w:r>
      <w:r w:rsidR="7970AE70" w:rsidRPr="00C332F1">
        <w:rPr>
          <w:color w:val="auto"/>
          <w:lang w:val="es-US"/>
        </w:rPr>
        <w:t xml:space="preserve">. Desde enero a agosto, se reportaron aproximadamente 35 derrames, lo que ha tenido un impacto negativo en el ecosistema y la economía de la </w:t>
      </w:r>
      <w:r w:rsidR="5EFA856E" w:rsidRPr="00C332F1">
        <w:rPr>
          <w:color w:val="auto"/>
          <w:lang w:val="es-US"/>
        </w:rPr>
        <w:t>región</w:t>
      </w:r>
      <w:r w:rsidR="7970AE70" w:rsidRPr="00C332F1">
        <w:rPr>
          <w:color w:val="auto"/>
          <w:lang w:val="es-US"/>
        </w:rPr>
        <w:t xml:space="preserve">. Además, existen preocupaciones sobre los efectos en la salud de las comunidades aledañas, quienes podrían estar consumiendo alimentos contaminados con sustancias </w:t>
      </w:r>
      <w:r w:rsidR="5EFA856E" w:rsidRPr="00C332F1">
        <w:rPr>
          <w:color w:val="auto"/>
          <w:lang w:val="es-US"/>
        </w:rPr>
        <w:t>toxicas</w:t>
      </w:r>
      <w:r w:rsidR="7970AE70" w:rsidRPr="00C332F1">
        <w:rPr>
          <w:color w:val="auto"/>
          <w:lang w:val="es-US"/>
        </w:rPr>
        <w:t xml:space="preserve"> derivadas de estos derrames</w:t>
      </w:r>
      <w:r w:rsidR="00A14F05">
        <w:rPr>
          <w:rFonts w:ascii="ZWAdobeF" w:hAnsi="ZWAdobeF" w:cs="ZWAdobeF"/>
          <w:color w:val="auto"/>
          <w:sz w:val="2"/>
          <w:szCs w:val="2"/>
          <w:lang w:val="es-US"/>
        </w:rPr>
        <w:t>294F</w:t>
      </w:r>
      <w:r w:rsidR="000F4C77" w:rsidRPr="005C52BD">
        <w:rPr>
          <w:rStyle w:val="FootnoteReference"/>
          <w:color w:val="auto"/>
          <w:sz w:val="20"/>
          <w:szCs w:val="20"/>
        </w:rPr>
        <w:footnoteReference w:id="296"/>
      </w:r>
      <w:r w:rsidR="7970AE70" w:rsidRPr="00C332F1">
        <w:rPr>
          <w:color w:val="auto"/>
          <w:lang w:val="es-US"/>
        </w:rPr>
        <w:t>.</w:t>
      </w:r>
    </w:p>
    <w:p w14:paraId="249731C9" w14:textId="77777777" w:rsidR="00D83E65" w:rsidRPr="00C332F1" w:rsidRDefault="00D83E65" w:rsidP="00D83E65">
      <w:pPr>
        <w:pStyle w:val="IAPrrafo"/>
        <w:numPr>
          <w:ilvl w:val="0"/>
          <w:numId w:val="0"/>
        </w:numPr>
        <w:ind w:firstLine="720"/>
        <w:rPr>
          <w:color w:val="auto"/>
          <w:szCs w:val="20"/>
          <w:lang w:val="es-US"/>
        </w:rPr>
      </w:pPr>
    </w:p>
    <w:p w14:paraId="5CD0B656" w14:textId="64D787E4" w:rsidR="000F4C77" w:rsidRPr="00C332F1" w:rsidRDefault="000F4C77" w:rsidP="00406037">
      <w:pPr>
        <w:pStyle w:val="IASubttulo2"/>
        <w:rPr>
          <w:lang w:val="es-ES"/>
        </w:rPr>
      </w:pPr>
      <w:bookmarkStart w:id="33" w:name="_Toc195617478"/>
      <w:r w:rsidRPr="00C332F1">
        <w:rPr>
          <w:lang w:val="es-ES"/>
        </w:rPr>
        <w:t>Empresas y Derechos Humanos: explotación de minería e impactos a comunidades</w:t>
      </w:r>
      <w:bookmarkEnd w:id="33"/>
    </w:p>
    <w:p w14:paraId="3CC4A72C" w14:textId="29A23268" w:rsidR="002E68F0" w:rsidRPr="00C332F1" w:rsidRDefault="7970AE70" w:rsidP="002B2F49">
      <w:pPr>
        <w:pStyle w:val="IAPrrafo"/>
        <w:rPr>
          <w:color w:val="auto"/>
          <w:szCs w:val="20"/>
          <w:lang w:val="es-US"/>
        </w:rPr>
      </w:pPr>
      <w:r w:rsidRPr="00C332F1">
        <w:rPr>
          <w:color w:val="auto"/>
          <w:lang w:val="es-US"/>
        </w:rPr>
        <w:t>La Comisión y la REDESCA reiteran su profunda preocupación por los impactos en los derechos humanos de la explotación de recursos minerales en el Arco Minero del Orinoco, afectando principalmente a pueblos indígenas</w:t>
      </w:r>
      <w:r w:rsidRPr="00C332F1">
        <w:rPr>
          <w:color w:val="auto"/>
          <w:position w:val="6"/>
          <w:lang w:val="es-US"/>
        </w:rPr>
        <w:t xml:space="preserve"> </w:t>
      </w:r>
      <w:r w:rsidRPr="00C332F1">
        <w:rPr>
          <w:color w:val="auto"/>
          <w:lang w:val="es-US"/>
        </w:rPr>
        <w:t xml:space="preserve">en sus medios de subsistencia, con la </w:t>
      </w:r>
      <w:r w:rsidR="5872CD47" w:rsidRPr="00C332F1">
        <w:rPr>
          <w:color w:val="auto"/>
          <w:lang w:val="es-US"/>
        </w:rPr>
        <w:t>precarización</w:t>
      </w:r>
      <w:r w:rsidRPr="00C332F1">
        <w:rPr>
          <w:color w:val="auto"/>
          <w:lang w:val="es-US"/>
        </w:rPr>
        <w:t xml:space="preserve"> de sus formas de vida y múltiples vulneraciones</w:t>
      </w:r>
      <w:r w:rsidR="00A14F05">
        <w:rPr>
          <w:rFonts w:ascii="ZWAdobeF" w:hAnsi="ZWAdobeF" w:cs="ZWAdobeF"/>
          <w:color w:val="auto"/>
          <w:sz w:val="2"/>
          <w:szCs w:val="2"/>
          <w:lang w:val="es-US"/>
        </w:rPr>
        <w:t>295F</w:t>
      </w:r>
      <w:r w:rsidR="000F4C77" w:rsidRPr="005C52BD">
        <w:rPr>
          <w:rStyle w:val="FootnoteReference"/>
          <w:color w:val="auto"/>
          <w:sz w:val="20"/>
          <w:szCs w:val="20"/>
        </w:rPr>
        <w:footnoteReference w:id="297"/>
      </w:r>
      <w:r w:rsidRPr="00C332F1">
        <w:rPr>
          <w:color w:val="auto"/>
          <w:lang w:val="es-US"/>
        </w:rPr>
        <w:t xml:space="preserve">. Al respecto, se observa que, tal como indicó el </w:t>
      </w:r>
      <w:r w:rsidR="5872CD47" w:rsidRPr="00C332F1">
        <w:rPr>
          <w:color w:val="auto"/>
          <w:lang w:val="es-US"/>
        </w:rPr>
        <w:t>Comité</w:t>
      </w:r>
      <w:r w:rsidRPr="00C332F1">
        <w:rPr>
          <w:color w:val="auto"/>
          <w:lang w:val="es-US"/>
        </w:rPr>
        <w:t xml:space="preserve">́ para la </w:t>
      </w:r>
      <w:r w:rsidR="5872CD47" w:rsidRPr="00C332F1">
        <w:rPr>
          <w:color w:val="auto"/>
          <w:lang w:val="es-US"/>
        </w:rPr>
        <w:t>Eliminación</w:t>
      </w:r>
      <w:r w:rsidRPr="00C332F1">
        <w:rPr>
          <w:color w:val="auto"/>
          <w:lang w:val="es-US"/>
        </w:rPr>
        <w:t xml:space="preserve"> de la </w:t>
      </w:r>
      <w:r w:rsidR="5872CD47" w:rsidRPr="00C332F1">
        <w:rPr>
          <w:color w:val="auto"/>
          <w:lang w:val="es-US"/>
        </w:rPr>
        <w:t>Discriminación</w:t>
      </w:r>
      <w:r w:rsidRPr="00C332F1">
        <w:rPr>
          <w:color w:val="auto"/>
          <w:lang w:val="es-US"/>
        </w:rPr>
        <w:t xml:space="preserve"> Racial, con el establecimiento de la Zona de Desarrollo Estratégico Nacional Arco Minero del Orinoco, hay una militarización de los territorios indígenas y realización de operativos militares sin la debida consulta previa de los pueblos afectados. A ello se suman abusos y violaciones de derechos humanos cometidas por agentes estatales, como miembros de la Fuerza Armada Nacional, y por grupos armados no estatales</w:t>
      </w:r>
      <w:r w:rsidR="00A14F05">
        <w:rPr>
          <w:rFonts w:ascii="ZWAdobeF" w:hAnsi="ZWAdobeF" w:cs="ZWAdobeF"/>
          <w:color w:val="auto"/>
          <w:sz w:val="2"/>
          <w:szCs w:val="2"/>
          <w:lang w:val="es-US"/>
        </w:rPr>
        <w:t>296F</w:t>
      </w:r>
      <w:r w:rsidR="000F4C77" w:rsidRPr="005C52BD">
        <w:rPr>
          <w:rStyle w:val="FootnoteReference"/>
          <w:color w:val="auto"/>
          <w:sz w:val="20"/>
          <w:szCs w:val="20"/>
        </w:rPr>
        <w:footnoteReference w:id="298"/>
      </w:r>
      <w:r w:rsidRPr="00C332F1">
        <w:rPr>
          <w:color w:val="auto"/>
          <w:lang w:val="es-US"/>
        </w:rPr>
        <w:t xml:space="preserve">. </w:t>
      </w:r>
    </w:p>
    <w:p w14:paraId="10D5E6B6" w14:textId="37F61BBD" w:rsidR="001D13F6" w:rsidRPr="00C332F1" w:rsidRDefault="7970AE70" w:rsidP="000139D6">
      <w:pPr>
        <w:pStyle w:val="IAPrrafo"/>
        <w:rPr>
          <w:color w:val="auto"/>
          <w:szCs w:val="20"/>
          <w:lang w:val="es-US"/>
        </w:rPr>
      </w:pPr>
      <w:r w:rsidRPr="00C332F1">
        <w:rPr>
          <w:color w:val="auto"/>
          <w:lang w:val="es-US"/>
        </w:rPr>
        <w:t>A su vez, se toma nota de la contaminación de los recursos híbridos por la minería de oro que continúa afectando gravemente la salud y modos tradicionales de vida de estas comunidades, incrementando además la alteración del ecosistema</w:t>
      </w:r>
      <w:r w:rsidR="00A14F05">
        <w:rPr>
          <w:rFonts w:ascii="ZWAdobeF" w:hAnsi="ZWAdobeF" w:cs="ZWAdobeF"/>
          <w:color w:val="auto"/>
          <w:sz w:val="2"/>
          <w:szCs w:val="2"/>
          <w:lang w:val="es-US"/>
        </w:rPr>
        <w:t>297F</w:t>
      </w:r>
      <w:r w:rsidR="000F4C77" w:rsidRPr="005C52BD">
        <w:rPr>
          <w:rStyle w:val="FootnoteReference"/>
          <w:color w:val="auto"/>
          <w:sz w:val="20"/>
          <w:szCs w:val="20"/>
        </w:rPr>
        <w:footnoteReference w:id="299"/>
      </w:r>
      <w:r w:rsidRPr="00C332F1">
        <w:rPr>
          <w:color w:val="auto"/>
          <w:lang w:val="es-US"/>
        </w:rPr>
        <w:t>. Así, se han denunciado vulneraciones para niños, niñas, adolescentes, mujeres, indígenas y trabajadores de la región por la intoxicación por mercurio</w:t>
      </w:r>
      <w:r w:rsidR="00A14F05">
        <w:rPr>
          <w:rFonts w:ascii="ZWAdobeF" w:hAnsi="ZWAdobeF" w:cs="ZWAdobeF"/>
          <w:color w:val="auto"/>
          <w:sz w:val="2"/>
          <w:szCs w:val="2"/>
          <w:lang w:val="es-US"/>
        </w:rPr>
        <w:t>298F</w:t>
      </w:r>
      <w:r w:rsidR="000F4C77" w:rsidRPr="005C52BD">
        <w:rPr>
          <w:rStyle w:val="FootnoteReference"/>
          <w:color w:val="auto"/>
          <w:sz w:val="20"/>
          <w:szCs w:val="20"/>
        </w:rPr>
        <w:footnoteReference w:id="300"/>
      </w:r>
      <w:r w:rsidRPr="00C332F1">
        <w:rPr>
          <w:color w:val="auto"/>
          <w:lang w:val="es-US"/>
        </w:rPr>
        <w:t>. Igualmente, se han señalado afectaciones de salud tales como alergias crónicas, daño pulmonar, insuficiencia renal, respiratoria y cardiaca, embarazos problemáticos, entre otros, así como la acumulación de mercurio en plantas comestibles primordiales en la región, como la yuca y el ají</w:t>
      </w:r>
      <w:r w:rsidR="00A14F05">
        <w:rPr>
          <w:rFonts w:ascii="ZWAdobeF" w:hAnsi="ZWAdobeF" w:cs="ZWAdobeF"/>
          <w:color w:val="auto"/>
          <w:sz w:val="2"/>
          <w:szCs w:val="2"/>
          <w:lang w:val="es-US"/>
        </w:rPr>
        <w:t>299F</w:t>
      </w:r>
      <w:r w:rsidR="00566EF9" w:rsidRPr="005C52BD">
        <w:rPr>
          <w:rStyle w:val="FootnoteReference"/>
          <w:color w:val="auto"/>
          <w:sz w:val="20"/>
          <w:szCs w:val="20"/>
          <w:lang w:val="es-US"/>
        </w:rPr>
        <w:footnoteReference w:id="301"/>
      </w:r>
      <w:r w:rsidR="782883E8" w:rsidRPr="00C332F1">
        <w:rPr>
          <w:color w:val="auto"/>
          <w:lang w:val="es-US"/>
        </w:rPr>
        <w:t>.</w:t>
      </w:r>
      <w:r w:rsidRPr="00C332F1">
        <w:rPr>
          <w:color w:val="auto"/>
          <w:lang w:val="es-US"/>
        </w:rPr>
        <w:t xml:space="preserve"> </w:t>
      </w:r>
    </w:p>
    <w:p w14:paraId="7AE8A4FE" w14:textId="1A1EBD8C" w:rsidR="000F4C77" w:rsidRPr="00C332F1" w:rsidRDefault="7970AE70" w:rsidP="000139D6">
      <w:pPr>
        <w:pStyle w:val="IAPrrafo"/>
        <w:rPr>
          <w:color w:val="auto"/>
          <w:szCs w:val="20"/>
          <w:lang w:val="es-US"/>
        </w:rPr>
      </w:pPr>
      <w:r w:rsidRPr="00C332F1">
        <w:rPr>
          <w:color w:val="auto"/>
          <w:lang w:val="es-US"/>
        </w:rPr>
        <w:t>En cuanto a las consecuencias para el medio ambiente, la minería ilegal también sería una de las principales causas de pérdida de vegetación al sur de Orinoco, con una reducción de hasta 520.900 hectáreas entre los años 2000 y 2020</w:t>
      </w:r>
      <w:r w:rsidR="00A14F05">
        <w:rPr>
          <w:rFonts w:ascii="ZWAdobeF" w:hAnsi="ZWAdobeF" w:cs="ZWAdobeF"/>
          <w:color w:val="auto"/>
          <w:sz w:val="2"/>
          <w:szCs w:val="2"/>
          <w:lang w:val="es-US"/>
        </w:rPr>
        <w:t>300F</w:t>
      </w:r>
      <w:r w:rsidR="006518B9" w:rsidRPr="005C52BD">
        <w:rPr>
          <w:rStyle w:val="FootnoteReference"/>
          <w:color w:val="auto"/>
          <w:sz w:val="20"/>
          <w:szCs w:val="20"/>
          <w:lang w:val="es-US"/>
        </w:rPr>
        <w:footnoteReference w:id="302"/>
      </w:r>
      <w:r w:rsidRPr="00C332F1">
        <w:rPr>
          <w:color w:val="auto"/>
          <w:lang w:val="es-US"/>
        </w:rPr>
        <w:t>. Aunque estas cifras se reflejan en deforestación, también se traducen en múltiples formas de violencia y explotación asociadas a la minería ilegal, tales como la trata de personas, esclavitud sexual, ejecuciones extrajudiciales</w:t>
      </w:r>
      <w:r w:rsidR="00A14F05">
        <w:rPr>
          <w:rFonts w:ascii="ZWAdobeF" w:hAnsi="ZWAdobeF" w:cs="ZWAdobeF"/>
          <w:color w:val="auto"/>
          <w:sz w:val="2"/>
          <w:szCs w:val="2"/>
          <w:lang w:val="es-US"/>
        </w:rPr>
        <w:t>301F</w:t>
      </w:r>
      <w:r w:rsidR="000F4C77" w:rsidRPr="005C52BD">
        <w:rPr>
          <w:rStyle w:val="FootnoteReference"/>
          <w:color w:val="auto"/>
          <w:sz w:val="20"/>
          <w:szCs w:val="20"/>
        </w:rPr>
        <w:footnoteReference w:id="303"/>
      </w:r>
      <w:r w:rsidRPr="00C332F1">
        <w:rPr>
          <w:color w:val="auto"/>
          <w:lang w:val="es-US"/>
        </w:rPr>
        <w:t>. En la misma línea, se toma nota que, entre 2017 y febrero de 2024, ocurrieron 47 accidentes mineros, con un saldo de 131 personas fallecidas y un número indeterminado de personas heridas</w:t>
      </w:r>
      <w:r w:rsidR="00A14F05">
        <w:rPr>
          <w:rFonts w:ascii="ZWAdobeF" w:hAnsi="ZWAdobeF" w:cs="ZWAdobeF"/>
          <w:color w:val="auto"/>
          <w:sz w:val="2"/>
          <w:szCs w:val="2"/>
          <w:lang w:val="es-US"/>
        </w:rPr>
        <w:t>302F</w:t>
      </w:r>
      <w:r w:rsidR="000F4C77" w:rsidRPr="005C52BD">
        <w:rPr>
          <w:rStyle w:val="FootnoteReference"/>
          <w:color w:val="auto"/>
          <w:sz w:val="20"/>
          <w:szCs w:val="20"/>
        </w:rPr>
        <w:footnoteReference w:id="304"/>
      </w:r>
      <w:r w:rsidRPr="00C332F1">
        <w:rPr>
          <w:color w:val="auto"/>
          <w:lang w:val="es-US"/>
        </w:rPr>
        <w:t>.</w:t>
      </w:r>
    </w:p>
    <w:p w14:paraId="686F866B" w14:textId="56821943" w:rsidR="00FB1506" w:rsidRPr="00C332F1" w:rsidRDefault="00D40B4D" w:rsidP="004643B8">
      <w:pPr>
        <w:pStyle w:val="IASubttulo2"/>
      </w:pPr>
      <w:bookmarkStart w:id="34" w:name="_Toc195617479"/>
      <w:r w:rsidRPr="00C332F1">
        <w:t>Grupos en situación de discriminación histórica</w:t>
      </w:r>
      <w:bookmarkEnd w:id="34"/>
    </w:p>
    <w:p w14:paraId="60523E85" w14:textId="7A3D60ED" w:rsidR="00C27E45" w:rsidRPr="00C332F1" w:rsidRDefault="00C27E45" w:rsidP="00C27B1B">
      <w:pPr>
        <w:pStyle w:val="IASubttulo3"/>
        <w:numPr>
          <w:ilvl w:val="0"/>
          <w:numId w:val="22"/>
        </w:numPr>
        <w:rPr>
          <w:lang w:val="es-US"/>
        </w:rPr>
      </w:pPr>
      <w:bookmarkStart w:id="35" w:name="_Toc195617480"/>
      <w:r w:rsidRPr="00C332F1">
        <w:rPr>
          <w:lang w:val="es-US"/>
        </w:rPr>
        <w:t>Niñ</w:t>
      </w:r>
      <w:r w:rsidR="00457895" w:rsidRPr="00C332F1">
        <w:rPr>
          <w:lang w:val="es-US"/>
        </w:rPr>
        <w:t>a</w:t>
      </w:r>
      <w:r w:rsidRPr="00C332F1">
        <w:rPr>
          <w:lang w:val="es-US"/>
        </w:rPr>
        <w:t>s, niñ</w:t>
      </w:r>
      <w:r w:rsidR="00457895" w:rsidRPr="00C332F1">
        <w:rPr>
          <w:lang w:val="es-US"/>
        </w:rPr>
        <w:t>o</w:t>
      </w:r>
      <w:r w:rsidRPr="00C332F1">
        <w:rPr>
          <w:lang w:val="es-US"/>
        </w:rPr>
        <w:t>s y adolescentes</w:t>
      </w:r>
      <w:bookmarkEnd w:id="35"/>
    </w:p>
    <w:p w14:paraId="0623EBB3" w14:textId="0A845809" w:rsidR="00B74327" w:rsidRPr="00C332F1" w:rsidRDefault="00B74327" w:rsidP="00232567">
      <w:pPr>
        <w:pStyle w:val="IAPrrafo"/>
        <w:rPr>
          <w:rStyle w:val="normaltextrun"/>
          <w:color w:val="auto"/>
          <w:szCs w:val="20"/>
          <w:lang w:val="es-US"/>
        </w:rPr>
      </w:pPr>
      <w:r w:rsidRPr="00C332F1">
        <w:rPr>
          <w:rStyle w:val="normaltextrun"/>
          <w:color w:val="auto"/>
          <w:szCs w:val="20"/>
          <w:lang w:val="es-CR"/>
        </w:rPr>
        <w:t>Los</w:t>
      </w:r>
      <w:r w:rsidR="00CB6864" w:rsidRPr="00C332F1">
        <w:rPr>
          <w:rStyle w:val="normaltextrun"/>
          <w:color w:val="auto"/>
          <w:szCs w:val="20"/>
          <w:lang w:val="es-CR"/>
        </w:rPr>
        <w:t xml:space="preserve"> niñ</w:t>
      </w:r>
      <w:r w:rsidRPr="00C332F1">
        <w:rPr>
          <w:rStyle w:val="normaltextrun"/>
          <w:color w:val="auto"/>
          <w:szCs w:val="20"/>
          <w:lang w:val="es-CR"/>
        </w:rPr>
        <w:t>o</w:t>
      </w:r>
      <w:r w:rsidR="00CB6864" w:rsidRPr="00C332F1">
        <w:rPr>
          <w:rStyle w:val="normaltextrun"/>
          <w:color w:val="auto"/>
          <w:szCs w:val="20"/>
          <w:lang w:val="es-CR"/>
        </w:rPr>
        <w:t>s, niñ</w:t>
      </w:r>
      <w:r w:rsidRPr="00C332F1">
        <w:rPr>
          <w:rStyle w:val="normaltextrun"/>
          <w:color w:val="auto"/>
          <w:szCs w:val="20"/>
          <w:lang w:val="es-CR"/>
        </w:rPr>
        <w:t>a</w:t>
      </w:r>
      <w:r w:rsidR="00CB6864" w:rsidRPr="00C332F1">
        <w:rPr>
          <w:rStyle w:val="normaltextrun"/>
          <w:color w:val="auto"/>
          <w:szCs w:val="20"/>
          <w:lang w:val="es-CR"/>
        </w:rPr>
        <w:t>s y adolescentes en Venezuela enfrenta</w:t>
      </w:r>
      <w:r w:rsidR="00A8528F" w:rsidRPr="00C332F1">
        <w:rPr>
          <w:rStyle w:val="normaltextrun"/>
          <w:color w:val="auto"/>
          <w:szCs w:val="20"/>
          <w:lang w:val="es-CR"/>
        </w:rPr>
        <w:t>n</w:t>
      </w:r>
      <w:r w:rsidR="00CB6864" w:rsidRPr="00C332F1">
        <w:rPr>
          <w:rStyle w:val="normaltextrun"/>
          <w:color w:val="auto"/>
          <w:szCs w:val="20"/>
          <w:lang w:val="es-CR"/>
        </w:rPr>
        <w:t xml:space="preserve"> serias limitaciones</w:t>
      </w:r>
      <w:r w:rsidR="00BC03DD" w:rsidRPr="00C332F1">
        <w:rPr>
          <w:rStyle w:val="normaltextrun"/>
          <w:color w:val="auto"/>
          <w:szCs w:val="20"/>
          <w:lang w:val="es-CR"/>
        </w:rPr>
        <w:t xml:space="preserve"> a sus</w:t>
      </w:r>
      <w:r w:rsidR="00B13E8B" w:rsidRPr="00C332F1">
        <w:rPr>
          <w:rStyle w:val="normaltextrun"/>
          <w:color w:val="auto"/>
          <w:szCs w:val="20"/>
          <w:lang w:val="es-CR"/>
        </w:rPr>
        <w:t xml:space="preserve"> derechos</w:t>
      </w:r>
      <w:r w:rsidR="00AD714B" w:rsidRPr="00C332F1">
        <w:rPr>
          <w:rStyle w:val="normaltextrun"/>
          <w:color w:val="auto"/>
          <w:szCs w:val="20"/>
          <w:lang w:val="es-CR"/>
        </w:rPr>
        <w:t xml:space="preserve">. La CIDH observa </w:t>
      </w:r>
      <w:r w:rsidRPr="00C332F1">
        <w:rPr>
          <w:rStyle w:val="normaltextrun"/>
          <w:color w:val="auto"/>
          <w:szCs w:val="20"/>
          <w:lang w:val="es-CR"/>
        </w:rPr>
        <w:t xml:space="preserve">con gran preocupación </w:t>
      </w:r>
      <w:r w:rsidR="00AD714B" w:rsidRPr="00C332F1">
        <w:rPr>
          <w:rStyle w:val="normaltextrun"/>
          <w:color w:val="auto"/>
          <w:szCs w:val="20"/>
          <w:lang w:val="es-CR"/>
        </w:rPr>
        <w:t xml:space="preserve">que no existen </w:t>
      </w:r>
      <w:r w:rsidR="00CB6864" w:rsidRPr="00C332F1">
        <w:rPr>
          <w:rStyle w:val="normaltextrun"/>
          <w:color w:val="auto"/>
          <w:szCs w:val="20"/>
          <w:lang w:val="es-CR"/>
        </w:rPr>
        <w:t xml:space="preserve">datos oficiales </w:t>
      </w:r>
      <w:r w:rsidR="00AD714B" w:rsidRPr="00C332F1">
        <w:rPr>
          <w:rStyle w:val="normaltextrun"/>
          <w:color w:val="auto"/>
          <w:szCs w:val="20"/>
          <w:lang w:val="es-CR"/>
        </w:rPr>
        <w:t xml:space="preserve">de público acceso </w:t>
      </w:r>
      <w:r w:rsidR="00CB6864" w:rsidRPr="00C332F1">
        <w:rPr>
          <w:rStyle w:val="normaltextrun"/>
          <w:color w:val="auto"/>
          <w:szCs w:val="20"/>
          <w:lang w:val="es-CR"/>
        </w:rPr>
        <w:t>sobre la garantía de sus derechos.</w:t>
      </w:r>
    </w:p>
    <w:p w14:paraId="2DDBA380" w14:textId="311C7EA4" w:rsidR="00081561" w:rsidRPr="001A2903" w:rsidRDefault="00CB6864" w:rsidP="6FA49167">
      <w:pPr>
        <w:pStyle w:val="IAPrrafo"/>
        <w:rPr>
          <w:rStyle w:val="eop"/>
          <w:color w:val="auto"/>
          <w:lang w:val="es-ES"/>
        </w:rPr>
      </w:pPr>
      <w:r w:rsidRPr="001A2903">
        <w:rPr>
          <w:rStyle w:val="normaltextrun"/>
          <w:color w:val="auto"/>
          <w:lang w:val="es-ES"/>
        </w:rPr>
        <w:t>En cuanto al derecho a la educación, para junio de 2024</w:t>
      </w:r>
      <w:r w:rsidR="00B7285E" w:rsidRPr="001A2903">
        <w:rPr>
          <w:rStyle w:val="normaltextrun"/>
          <w:color w:val="auto"/>
          <w:lang w:val="es-ES"/>
        </w:rPr>
        <w:t>, e</w:t>
      </w:r>
      <w:r w:rsidR="00640DC5" w:rsidRPr="001A2903">
        <w:rPr>
          <w:rStyle w:val="normaltextrun"/>
          <w:color w:val="auto"/>
          <w:lang w:val="es-ES"/>
        </w:rPr>
        <w:t>l</w:t>
      </w:r>
      <w:r w:rsidRPr="001A2903">
        <w:rPr>
          <w:rStyle w:val="normaltextrun"/>
          <w:color w:val="auto"/>
          <w:lang w:val="es-ES"/>
        </w:rPr>
        <w:t xml:space="preserve"> </w:t>
      </w:r>
      <w:r w:rsidR="00F11DA4" w:rsidRPr="001A2903">
        <w:rPr>
          <w:color w:val="auto"/>
          <w:lang w:val="es-ES"/>
        </w:rPr>
        <w:t>Fondo de las Naciones Unidas para la Infancia (</w:t>
      </w:r>
      <w:r w:rsidRPr="001A2903">
        <w:rPr>
          <w:rStyle w:val="normaltextrun"/>
          <w:color w:val="auto"/>
          <w:lang w:val="es-ES"/>
        </w:rPr>
        <w:t>UNICEF</w:t>
      </w:r>
      <w:r w:rsidR="00F11DA4" w:rsidRPr="001A2903">
        <w:rPr>
          <w:rStyle w:val="normaltextrun"/>
          <w:color w:val="auto"/>
          <w:lang w:val="es-ES"/>
        </w:rPr>
        <w:t>)</w:t>
      </w:r>
      <w:r w:rsidRPr="001A2903">
        <w:rPr>
          <w:rStyle w:val="normaltextrun"/>
          <w:color w:val="auto"/>
          <w:lang w:val="es-ES"/>
        </w:rPr>
        <w:t xml:space="preserve"> reportó que el 40% de los estudiantes asistía a la escuela de forma irregular</w:t>
      </w:r>
      <w:r w:rsidR="00A14F05">
        <w:rPr>
          <w:rStyle w:val="normaltextrun"/>
          <w:rFonts w:ascii="ZWAdobeF" w:hAnsi="ZWAdobeF" w:cs="ZWAdobeF"/>
          <w:color w:val="auto"/>
          <w:sz w:val="2"/>
          <w:szCs w:val="2"/>
          <w:lang w:val="es-ES"/>
        </w:rPr>
        <w:t>303F</w:t>
      </w:r>
      <w:r w:rsidR="009712AD" w:rsidRPr="001A2903">
        <w:rPr>
          <w:rStyle w:val="FootnoteReference"/>
          <w:color w:val="auto"/>
          <w:sz w:val="20"/>
          <w:szCs w:val="20"/>
          <w:lang w:val="es-ES"/>
        </w:rPr>
        <w:footnoteReference w:id="305"/>
      </w:r>
      <w:r w:rsidRPr="001A2903">
        <w:rPr>
          <w:rStyle w:val="normaltextrun"/>
          <w:color w:val="auto"/>
          <w:lang w:val="es-ES"/>
        </w:rPr>
        <w:t>. Al respecto, la Comisión recibió información sobre la falta de inversión en educación, especialmente en el nivel secundario. En particular,</w:t>
      </w:r>
      <w:r w:rsidR="006154D2" w:rsidRPr="001A2903">
        <w:rPr>
          <w:rStyle w:val="normaltextrun"/>
          <w:color w:val="auto"/>
          <w:lang w:val="es-ES"/>
        </w:rPr>
        <w:t xml:space="preserve"> co</w:t>
      </w:r>
      <w:r w:rsidR="006F3F43" w:rsidRPr="001A2903">
        <w:rPr>
          <w:rStyle w:val="normaltextrun"/>
          <w:color w:val="auto"/>
          <w:lang w:val="es-ES"/>
        </w:rPr>
        <w:t xml:space="preserve">mo ya se </w:t>
      </w:r>
      <w:r w:rsidR="00B31747" w:rsidRPr="001A2903">
        <w:rPr>
          <w:rStyle w:val="normaltextrun"/>
          <w:color w:val="auto"/>
          <w:lang w:val="es-ES"/>
        </w:rPr>
        <w:t>expuso,</w:t>
      </w:r>
      <w:r w:rsidRPr="001A2903">
        <w:rPr>
          <w:rStyle w:val="normaltextrun"/>
          <w:color w:val="auto"/>
          <w:lang w:val="es-ES"/>
        </w:rPr>
        <w:t xml:space="preserve"> la CIDH fue informada sobre los bajos salarios del personal educativo, que rondan los 10 dólares mensuales. Esto ha generado alto ausentismo docente, con un estimado de 2</w:t>
      </w:r>
      <w:r w:rsidR="00572FD8" w:rsidRPr="001A2903">
        <w:rPr>
          <w:rStyle w:val="normaltextrun"/>
          <w:color w:val="auto"/>
          <w:lang w:val="es-ES"/>
        </w:rPr>
        <w:t>,</w:t>
      </w:r>
      <w:r w:rsidRPr="001A2903">
        <w:rPr>
          <w:rStyle w:val="normaltextrun"/>
          <w:color w:val="auto"/>
          <w:lang w:val="es-ES"/>
        </w:rPr>
        <w:t>5 maestros para cada una de las 40.000 escuelas del país</w:t>
      </w:r>
      <w:r w:rsidR="00AD714B" w:rsidRPr="001A2903">
        <w:rPr>
          <w:rStyle w:val="normaltextrun"/>
          <w:color w:val="auto"/>
          <w:lang w:val="es-ES"/>
        </w:rPr>
        <w:t>,</w:t>
      </w:r>
      <w:r w:rsidRPr="001A2903">
        <w:rPr>
          <w:rStyle w:val="normaltextrun"/>
          <w:color w:val="auto"/>
          <w:lang w:val="es-ES"/>
        </w:rPr>
        <w:t xml:space="preserve"> lo cual ha limitado la asistencia escolar a tres días semanales, dejando sin atención </w:t>
      </w:r>
      <w:r w:rsidR="006008F2" w:rsidRPr="001A2903">
        <w:rPr>
          <w:rStyle w:val="normaltextrun"/>
          <w:color w:val="auto"/>
          <w:lang w:val="es-ES"/>
        </w:rPr>
        <w:t xml:space="preserve">continua </w:t>
      </w:r>
      <w:r w:rsidRPr="001A2903">
        <w:rPr>
          <w:rStyle w:val="normaltextrun"/>
          <w:color w:val="auto"/>
          <w:lang w:val="es-ES"/>
        </w:rPr>
        <w:t>a unos 3 millones de estudiantes</w:t>
      </w:r>
      <w:r w:rsidR="00A14F05">
        <w:rPr>
          <w:rStyle w:val="normaltextrun"/>
          <w:rFonts w:ascii="ZWAdobeF" w:hAnsi="ZWAdobeF" w:cs="ZWAdobeF"/>
          <w:color w:val="auto"/>
          <w:sz w:val="2"/>
          <w:szCs w:val="2"/>
          <w:lang w:val="es-ES"/>
        </w:rPr>
        <w:t>304F</w:t>
      </w:r>
      <w:r w:rsidR="00540407" w:rsidRPr="001A2903">
        <w:rPr>
          <w:rStyle w:val="FootnoteReference"/>
          <w:color w:val="auto"/>
          <w:sz w:val="20"/>
          <w:szCs w:val="20"/>
          <w:lang w:val="es-ES"/>
        </w:rPr>
        <w:footnoteReference w:id="306"/>
      </w:r>
      <w:r w:rsidRPr="001A2903">
        <w:rPr>
          <w:rStyle w:val="normaltextrun"/>
          <w:color w:val="auto"/>
          <w:lang w:val="es-ES"/>
        </w:rPr>
        <w:t>.</w:t>
      </w:r>
    </w:p>
    <w:p w14:paraId="6AB34CD9" w14:textId="20A17D89" w:rsidR="00180325" w:rsidRPr="007B5B42" w:rsidRDefault="00CB6864" w:rsidP="000731D7">
      <w:pPr>
        <w:pStyle w:val="IAPrrafo"/>
        <w:rPr>
          <w:rStyle w:val="eop"/>
          <w:color w:val="auto"/>
          <w:szCs w:val="20"/>
          <w:lang w:val="es-US"/>
        </w:rPr>
      </w:pPr>
      <w:r w:rsidRPr="007B5B42">
        <w:rPr>
          <w:rStyle w:val="normaltextrun"/>
          <w:color w:val="auto"/>
          <w:szCs w:val="20"/>
          <w:lang w:val="es-CR"/>
        </w:rPr>
        <w:t>Por otra parte, en cuanto al acceso a alimentos, estimaciones de UNICEF de junio de 2024 señalan que las tasas de malnutrición en niñas y niños menores de cinco años podrían ser de las más altas de la región</w:t>
      </w:r>
      <w:r w:rsidR="00A14F05">
        <w:rPr>
          <w:rStyle w:val="normaltextrun"/>
          <w:rFonts w:ascii="ZWAdobeF" w:hAnsi="ZWAdobeF" w:cs="ZWAdobeF"/>
          <w:color w:val="auto"/>
          <w:sz w:val="2"/>
          <w:szCs w:val="2"/>
          <w:lang w:val="es-CR"/>
        </w:rPr>
        <w:t>305F</w:t>
      </w:r>
      <w:r w:rsidR="00552F71" w:rsidRPr="007B5B42">
        <w:rPr>
          <w:rStyle w:val="FootnoteReference"/>
          <w:color w:val="auto"/>
          <w:sz w:val="20"/>
          <w:szCs w:val="20"/>
          <w:lang w:val="es-CR"/>
        </w:rPr>
        <w:footnoteReference w:id="307"/>
      </w:r>
      <w:r w:rsidRPr="007B5B42">
        <w:rPr>
          <w:rStyle w:val="normaltextrun"/>
          <w:color w:val="auto"/>
          <w:szCs w:val="20"/>
          <w:lang w:val="es-CR"/>
        </w:rPr>
        <w:t>. En esta línea, la Comisión recibió información sobre la inoperatividad de los programas de alimentación estatales y la baja calidad del agua. Esto habría resultado en casos de desnutrición aguda y moderada en esta población, con una pérdida de peso progresiva en los últimos cinco años. Además, aun cuando se aplican tratamientos nutricionales, la falta de acceso continuo a una alimentación adecuada provocaría que, en seis meses, estas niñas y niños vuelvan a situaciones críticas de salud</w:t>
      </w:r>
      <w:r w:rsidR="00A14F05">
        <w:rPr>
          <w:rStyle w:val="normaltextrun"/>
          <w:rFonts w:ascii="ZWAdobeF" w:hAnsi="ZWAdobeF" w:cs="ZWAdobeF"/>
          <w:color w:val="auto"/>
          <w:sz w:val="2"/>
          <w:szCs w:val="2"/>
          <w:lang w:val="es-CR"/>
        </w:rPr>
        <w:t>306F</w:t>
      </w:r>
      <w:r w:rsidR="00BC72ED" w:rsidRPr="007B5B42">
        <w:rPr>
          <w:rStyle w:val="FootnoteReference"/>
          <w:color w:val="auto"/>
          <w:sz w:val="20"/>
          <w:szCs w:val="20"/>
          <w:lang w:val="es-CR"/>
        </w:rPr>
        <w:footnoteReference w:id="308"/>
      </w:r>
      <w:r w:rsidRPr="007B5B42">
        <w:rPr>
          <w:rStyle w:val="normaltextrun"/>
          <w:color w:val="auto"/>
          <w:szCs w:val="20"/>
          <w:lang w:val="es-CR"/>
        </w:rPr>
        <w:t>.</w:t>
      </w:r>
    </w:p>
    <w:p w14:paraId="04AEFF37" w14:textId="62E6D2C1" w:rsidR="00CB6864" w:rsidRPr="00E877FB" w:rsidRDefault="00CB6864" w:rsidP="00081561">
      <w:pPr>
        <w:pStyle w:val="IAPrrafo"/>
        <w:rPr>
          <w:color w:val="auto"/>
          <w:szCs w:val="20"/>
          <w:lang w:val="es-US"/>
        </w:rPr>
      </w:pPr>
      <w:r w:rsidRPr="00E877FB">
        <w:rPr>
          <w:rStyle w:val="normaltextrun"/>
          <w:color w:val="auto"/>
          <w:szCs w:val="20"/>
          <w:lang w:val="es-CR"/>
        </w:rPr>
        <w:t>En este contexto, la Comisión insta al Estado venezolano a tomar medidas para garantizar el acceso y la calidad de la educación, promoviendo en niñas, niños y adolescentes el conocimiento de sus derechos, el desarrollo de habilidades para la vida y una participación social responsable. Asimismo, reitera su llamado a cumplir con la obligación de adoptar medidas legales, técnicas y económicas que aseguren la vida, integridad y salud de esta población, especialmente en cuanto a la satisfacción de sus necesidades nutricionales conforme a su interés superior.</w:t>
      </w:r>
    </w:p>
    <w:p w14:paraId="5EC15F7D" w14:textId="3060F300" w:rsidR="00316378" w:rsidRPr="00C332F1" w:rsidRDefault="00316378" w:rsidP="004643B8">
      <w:pPr>
        <w:pStyle w:val="IASubttulo3"/>
        <w:rPr>
          <w:lang w:val="es-US"/>
        </w:rPr>
      </w:pPr>
      <w:bookmarkStart w:id="36" w:name="_Toc195617481"/>
      <w:r w:rsidRPr="00C332F1">
        <w:rPr>
          <w:lang w:val="es-US"/>
        </w:rPr>
        <w:t>Mujeres</w:t>
      </w:r>
      <w:bookmarkEnd w:id="36"/>
    </w:p>
    <w:p w14:paraId="7998F558" w14:textId="31A41D09" w:rsidR="00616270" w:rsidRPr="00C332F1" w:rsidRDefault="04A7B408" w:rsidP="004B4BB6">
      <w:pPr>
        <w:pStyle w:val="IAPrrafo"/>
        <w:rPr>
          <w:color w:val="auto"/>
          <w:szCs w:val="20"/>
          <w:lang w:val="es-SV"/>
        </w:rPr>
      </w:pPr>
      <w:r w:rsidRPr="00C332F1">
        <w:rPr>
          <w:color w:val="auto"/>
          <w:lang w:val="es-SV"/>
        </w:rPr>
        <w:t xml:space="preserve">Persisten los desafíos estructurales para la garantía de los derechos de las mujeres. </w:t>
      </w:r>
      <w:r w:rsidR="38FC60F0" w:rsidRPr="00C332F1">
        <w:rPr>
          <w:color w:val="auto"/>
          <w:lang w:val="es-SV"/>
        </w:rPr>
        <w:t>En particular,</w:t>
      </w:r>
      <w:r w:rsidR="35C72962" w:rsidRPr="00C332F1">
        <w:rPr>
          <w:color w:val="auto"/>
          <w:lang w:val="es-US"/>
        </w:rPr>
        <w:t xml:space="preserve"> la ausencia de un registro </w:t>
      </w:r>
      <w:r w:rsidR="35C72962" w:rsidRPr="00C332F1">
        <w:rPr>
          <w:color w:val="auto"/>
          <w:lang w:val="es-SV"/>
        </w:rPr>
        <w:t>oficial de datos y estadísticas que permita diseñar políticas públicas adecuadas de prevención. Si bien el Ministerio Público informó sobre 317</w:t>
      </w:r>
      <w:r w:rsidR="0074528F" w:rsidRPr="00C332F1">
        <w:rPr>
          <w:color w:val="auto"/>
          <w:lang w:val="es-SV"/>
        </w:rPr>
        <w:t>.</w:t>
      </w:r>
      <w:r w:rsidR="35C72962" w:rsidRPr="00C332F1">
        <w:rPr>
          <w:color w:val="auto"/>
          <w:lang w:val="es-SV"/>
        </w:rPr>
        <w:t>584 denuncias de violencia de género desde el año 2017 hasta octubre de 2024, se desconocen los tipos de violencia denunciados y cuántas de ellas corresponden al año 2024</w:t>
      </w:r>
      <w:r w:rsidR="00A14F05">
        <w:rPr>
          <w:rFonts w:ascii="ZWAdobeF" w:hAnsi="ZWAdobeF" w:cs="ZWAdobeF"/>
          <w:color w:val="auto"/>
          <w:sz w:val="2"/>
          <w:szCs w:val="2"/>
          <w:lang w:val="es-SV"/>
        </w:rPr>
        <w:t>307F</w:t>
      </w:r>
      <w:r w:rsidR="00616270" w:rsidRPr="005C52BD">
        <w:rPr>
          <w:rStyle w:val="FootnoteReference"/>
          <w:color w:val="auto"/>
          <w:sz w:val="20"/>
          <w:szCs w:val="20"/>
          <w:lang w:val="es-SV"/>
        </w:rPr>
        <w:footnoteReference w:id="309"/>
      </w:r>
      <w:r w:rsidR="35C72962" w:rsidRPr="00C332F1">
        <w:rPr>
          <w:color w:val="auto"/>
          <w:lang w:val="es-SV"/>
        </w:rPr>
        <w:t xml:space="preserve">. Por lo anterior, se toma de los registros e informes realizados por organizaciones de la sociedad civil. Al respecto, una </w:t>
      </w:r>
      <w:r w:rsidR="4FAADDF1" w:rsidRPr="00C332F1">
        <w:rPr>
          <w:color w:val="auto"/>
          <w:lang w:val="es-SV"/>
        </w:rPr>
        <w:t>organización de sociedad civil</w:t>
      </w:r>
      <w:r w:rsidR="35C72962" w:rsidRPr="00C332F1">
        <w:rPr>
          <w:color w:val="auto"/>
          <w:lang w:val="es-SV"/>
        </w:rPr>
        <w:t xml:space="preserve"> reportó 58 muertes de mujeres y 27 tentativas de feminicidio hasta julio de 2024</w:t>
      </w:r>
      <w:r w:rsidR="00A14F05">
        <w:rPr>
          <w:rFonts w:ascii="ZWAdobeF" w:hAnsi="ZWAdobeF" w:cs="ZWAdobeF"/>
          <w:color w:val="auto"/>
          <w:sz w:val="2"/>
          <w:szCs w:val="2"/>
          <w:lang w:val="es-SV"/>
        </w:rPr>
        <w:t>308F</w:t>
      </w:r>
      <w:r w:rsidR="00616270" w:rsidRPr="005C52BD">
        <w:rPr>
          <w:rStyle w:val="FootnoteReference"/>
          <w:color w:val="auto"/>
          <w:sz w:val="20"/>
          <w:szCs w:val="20"/>
          <w:lang w:val="es-SV"/>
        </w:rPr>
        <w:footnoteReference w:id="310"/>
      </w:r>
      <w:r w:rsidR="35C72962" w:rsidRPr="00C332F1">
        <w:rPr>
          <w:color w:val="auto"/>
          <w:lang w:val="es-SV"/>
        </w:rPr>
        <w:t xml:space="preserve">, mientras que otra </w:t>
      </w:r>
      <w:r w:rsidR="7DAD93C8" w:rsidRPr="00C332F1">
        <w:rPr>
          <w:color w:val="auto"/>
          <w:lang w:val="es-SV"/>
        </w:rPr>
        <w:t>organización</w:t>
      </w:r>
      <w:r w:rsidR="35C72962" w:rsidRPr="00C332F1">
        <w:rPr>
          <w:color w:val="auto"/>
          <w:lang w:val="es-SV"/>
        </w:rPr>
        <w:t xml:space="preserve"> </w:t>
      </w:r>
      <w:r w:rsidR="65D01169" w:rsidRPr="00C332F1">
        <w:rPr>
          <w:color w:val="auto"/>
          <w:lang w:val="es-SV"/>
        </w:rPr>
        <w:t xml:space="preserve">de sociedad civil </w:t>
      </w:r>
      <w:r w:rsidR="35C72962" w:rsidRPr="00C332F1">
        <w:rPr>
          <w:color w:val="auto"/>
          <w:lang w:val="es-SV"/>
        </w:rPr>
        <w:t>reportó 108 muertes de mujeres en el mismo periodo</w:t>
      </w:r>
      <w:r w:rsidR="00A14F05">
        <w:rPr>
          <w:rFonts w:ascii="ZWAdobeF" w:hAnsi="ZWAdobeF" w:cs="ZWAdobeF"/>
          <w:color w:val="auto"/>
          <w:sz w:val="2"/>
          <w:szCs w:val="2"/>
          <w:lang w:val="es-SV"/>
        </w:rPr>
        <w:t>309F</w:t>
      </w:r>
      <w:r w:rsidR="00616270" w:rsidRPr="005C52BD">
        <w:rPr>
          <w:rStyle w:val="FootnoteReference"/>
          <w:color w:val="auto"/>
          <w:sz w:val="20"/>
          <w:szCs w:val="20"/>
          <w:lang w:val="es-SV"/>
        </w:rPr>
        <w:footnoteReference w:id="311"/>
      </w:r>
      <w:r w:rsidR="35C72962" w:rsidRPr="00C332F1">
        <w:rPr>
          <w:color w:val="auto"/>
          <w:lang w:val="es-SV"/>
        </w:rPr>
        <w:t xml:space="preserve">. También, </w:t>
      </w:r>
      <w:r w:rsidR="129BD23E" w:rsidRPr="00C332F1">
        <w:rPr>
          <w:color w:val="auto"/>
          <w:lang w:val="es-SV"/>
        </w:rPr>
        <w:t xml:space="preserve">resaltan </w:t>
      </w:r>
      <w:r w:rsidR="35C72962" w:rsidRPr="00C332F1">
        <w:rPr>
          <w:color w:val="auto"/>
          <w:lang w:val="es-SV"/>
        </w:rPr>
        <w:t xml:space="preserve">que </w:t>
      </w:r>
      <w:r w:rsidR="35C72962" w:rsidRPr="00C332F1">
        <w:rPr>
          <w:color w:val="auto"/>
          <w:lang w:val="es-US"/>
        </w:rPr>
        <w:t>los casos de violencia sexual contra niñas constituyen el 81% del total registrado hasta julio de 2024</w:t>
      </w:r>
      <w:r w:rsidR="00A14F05">
        <w:rPr>
          <w:rFonts w:ascii="ZWAdobeF" w:hAnsi="ZWAdobeF" w:cs="ZWAdobeF"/>
          <w:color w:val="auto"/>
          <w:sz w:val="2"/>
          <w:szCs w:val="2"/>
          <w:lang w:val="es-US"/>
        </w:rPr>
        <w:t>310F</w:t>
      </w:r>
      <w:r w:rsidR="00616270" w:rsidRPr="005C52BD">
        <w:rPr>
          <w:rStyle w:val="FootnoteReference"/>
          <w:color w:val="auto"/>
          <w:sz w:val="20"/>
          <w:szCs w:val="20"/>
        </w:rPr>
        <w:footnoteReference w:id="312"/>
      </w:r>
      <w:r w:rsidR="35C72962" w:rsidRPr="00C332F1">
        <w:rPr>
          <w:color w:val="auto"/>
          <w:lang w:val="es-US"/>
        </w:rPr>
        <w:t xml:space="preserve">. </w:t>
      </w:r>
    </w:p>
    <w:p w14:paraId="7C0925A1" w14:textId="4EB3AB00" w:rsidR="00616270" w:rsidRPr="00C332F1" w:rsidRDefault="35C72962" w:rsidP="004B4BB6">
      <w:pPr>
        <w:pStyle w:val="IAPrrafo"/>
        <w:rPr>
          <w:color w:val="auto"/>
          <w:szCs w:val="20"/>
          <w:lang w:val="es-SV"/>
        </w:rPr>
      </w:pPr>
      <w:r w:rsidRPr="00C332F1">
        <w:rPr>
          <w:color w:val="auto"/>
          <w:lang w:val="es-US"/>
        </w:rPr>
        <w:t>De igual forma, un informe de la Universidad de los Andes reportó una alta incidencia de la violencia contra las mujeres en entornos digitales, la cual, según indican, muchas veces es propiciada por las propias autoridades, pues exponen a las mujeres acusadas de cometer delitos al escarnio público recurriendo a mensajes estereotipados y sexistas</w:t>
      </w:r>
      <w:r w:rsidR="00A14F05">
        <w:rPr>
          <w:rFonts w:ascii="ZWAdobeF" w:hAnsi="ZWAdobeF" w:cs="ZWAdobeF"/>
          <w:color w:val="auto"/>
          <w:sz w:val="2"/>
          <w:szCs w:val="2"/>
          <w:lang w:val="es-US"/>
        </w:rPr>
        <w:t>311F</w:t>
      </w:r>
      <w:r w:rsidR="00616270" w:rsidRPr="005C52BD">
        <w:rPr>
          <w:rStyle w:val="FootnoteReference"/>
          <w:color w:val="auto"/>
          <w:sz w:val="20"/>
          <w:szCs w:val="20"/>
        </w:rPr>
        <w:footnoteReference w:id="313"/>
      </w:r>
      <w:r w:rsidRPr="00C332F1">
        <w:rPr>
          <w:color w:val="auto"/>
          <w:lang w:val="es-US"/>
        </w:rPr>
        <w:t>. En esa línea, se advierten los señalamientos de la sociedad civil respecto a la condena impuesta a una mujer por supuesta complicidad en el asesinato de su hijo, sin tomarse en cuenta que ella misma era víctima de violencia de género, concretamente de violencia vicaria, por parte del perpetrador</w:t>
      </w:r>
      <w:r w:rsidR="00A14F05">
        <w:rPr>
          <w:rFonts w:ascii="ZWAdobeF" w:hAnsi="ZWAdobeF" w:cs="ZWAdobeF"/>
          <w:color w:val="auto"/>
          <w:sz w:val="2"/>
          <w:szCs w:val="2"/>
          <w:lang w:val="es-US"/>
        </w:rPr>
        <w:t>312F</w:t>
      </w:r>
      <w:r w:rsidR="00616270" w:rsidRPr="005C52BD">
        <w:rPr>
          <w:rStyle w:val="FootnoteReference"/>
          <w:color w:val="auto"/>
          <w:sz w:val="20"/>
          <w:szCs w:val="20"/>
        </w:rPr>
        <w:footnoteReference w:id="314"/>
      </w:r>
      <w:r w:rsidRPr="00C332F1">
        <w:rPr>
          <w:color w:val="auto"/>
          <w:lang w:val="es-US"/>
        </w:rPr>
        <w:t>.</w:t>
      </w:r>
    </w:p>
    <w:p w14:paraId="05F58AA7" w14:textId="0DC5C894" w:rsidR="00616270" w:rsidRPr="00C332F1" w:rsidRDefault="35C72962" w:rsidP="004B4BB6">
      <w:pPr>
        <w:pStyle w:val="IAPrrafo"/>
        <w:rPr>
          <w:color w:val="auto"/>
          <w:szCs w:val="20"/>
          <w:lang w:val="es-SV"/>
        </w:rPr>
      </w:pPr>
      <w:r w:rsidRPr="00C332F1">
        <w:rPr>
          <w:color w:val="auto"/>
          <w:lang w:val="es-US"/>
        </w:rPr>
        <w:t>Por otra parte, las mujeres que residen o transitan por los estados fronterizos de Venezuela continúan enfrentándose a peligros provocados por la presencia de grupos armados irregulares y organizaciones criminales</w:t>
      </w:r>
      <w:r w:rsidR="00A14F05">
        <w:rPr>
          <w:rFonts w:ascii="ZWAdobeF" w:hAnsi="ZWAdobeF" w:cs="ZWAdobeF"/>
          <w:color w:val="auto"/>
          <w:sz w:val="2"/>
          <w:szCs w:val="2"/>
          <w:lang w:val="es-US"/>
        </w:rPr>
        <w:t>313F</w:t>
      </w:r>
      <w:r w:rsidR="00616270" w:rsidRPr="005C52BD">
        <w:rPr>
          <w:rStyle w:val="FootnoteReference"/>
          <w:color w:val="auto"/>
          <w:sz w:val="20"/>
          <w:szCs w:val="20"/>
        </w:rPr>
        <w:footnoteReference w:id="315"/>
      </w:r>
      <w:r w:rsidRPr="00C332F1">
        <w:rPr>
          <w:color w:val="auto"/>
          <w:lang w:val="es-US"/>
        </w:rPr>
        <w:t>. Se reportan forman contemporáneas de esclavitud como trata de personas con fines de explotación sexual, extorsión, desapariciones y feminicidios</w:t>
      </w:r>
      <w:r w:rsidR="00A14F05">
        <w:rPr>
          <w:rFonts w:ascii="ZWAdobeF" w:hAnsi="ZWAdobeF" w:cs="ZWAdobeF"/>
          <w:color w:val="auto"/>
          <w:sz w:val="2"/>
          <w:szCs w:val="2"/>
          <w:lang w:val="es-US"/>
        </w:rPr>
        <w:t>314F</w:t>
      </w:r>
      <w:r w:rsidR="00616270" w:rsidRPr="005C52BD">
        <w:rPr>
          <w:rStyle w:val="FootnoteReference"/>
          <w:color w:val="auto"/>
          <w:sz w:val="20"/>
          <w:szCs w:val="20"/>
        </w:rPr>
        <w:footnoteReference w:id="316"/>
      </w:r>
      <w:r w:rsidRPr="00C332F1">
        <w:rPr>
          <w:color w:val="auto"/>
          <w:lang w:val="es-US"/>
        </w:rPr>
        <w:t>. En este contexto, la Comisión advierte la ausencia de legislación especializada y de protocolos de asistencia para víctimas de trata de personas</w:t>
      </w:r>
      <w:r w:rsidR="00A14F05">
        <w:rPr>
          <w:rFonts w:ascii="ZWAdobeF" w:hAnsi="ZWAdobeF" w:cs="ZWAdobeF"/>
          <w:color w:val="auto"/>
          <w:sz w:val="2"/>
          <w:szCs w:val="2"/>
          <w:lang w:val="es-US"/>
        </w:rPr>
        <w:t>315F</w:t>
      </w:r>
      <w:r w:rsidR="00616270" w:rsidRPr="005C52BD">
        <w:rPr>
          <w:rStyle w:val="FootnoteReference"/>
          <w:color w:val="auto"/>
          <w:sz w:val="20"/>
          <w:szCs w:val="20"/>
        </w:rPr>
        <w:footnoteReference w:id="317"/>
      </w:r>
      <w:r w:rsidRPr="00C332F1">
        <w:rPr>
          <w:color w:val="auto"/>
          <w:lang w:val="es-US"/>
        </w:rPr>
        <w:t>.</w:t>
      </w:r>
      <w:r w:rsidR="040E1101" w:rsidRPr="00C332F1">
        <w:rPr>
          <w:color w:val="auto"/>
          <w:lang w:val="es-US"/>
        </w:rPr>
        <w:t xml:space="preserve"> </w:t>
      </w:r>
      <w:r w:rsidRPr="00C332F1">
        <w:rPr>
          <w:color w:val="auto"/>
          <w:lang w:val="es-US"/>
        </w:rPr>
        <w:t>Además, preocupa el impacto desproporcionado de la inseguridad alimentaria sobre las mujeres, que se ven obligadas a intercambiar sexo por comida, quedando expuestas a otras formas de explotación</w:t>
      </w:r>
      <w:r w:rsidR="00A14F05">
        <w:rPr>
          <w:rFonts w:ascii="ZWAdobeF" w:hAnsi="ZWAdobeF" w:cs="ZWAdobeF"/>
          <w:color w:val="auto"/>
          <w:sz w:val="2"/>
          <w:szCs w:val="2"/>
          <w:lang w:val="es-US"/>
        </w:rPr>
        <w:t>316F</w:t>
      </w:r>
      <w:r w:rsidR="00616270" w:rsidRPr="005C52BD">
        <w:rPr>
          <w:rStyle w:val="FootnoteReference"/>
          <w:color w:val="auto"/>
          <w:sz w:val="20"/>
          <w:szCs w:val="20"/>
          <w:lang w:val="es-US"/>
        </w:rPr>
        <w:footnoteReference w:id="318"/>
      </w:r>
      <w:r w:rsidRPr="00C332F1">
        <w:rPr>
          <w:color w:val="auto"/>
          <w:lang w:val="es-US"/>
        </w:rPr>
        <w:t>.</w:t>
      </w:r>
    </w:p>
    <w:p w14:paraId="37D4D134" w14:textId="3854848F" w:rsidR="00616270" w:rsidRPr="00C332F1" w:rsidRDefault="00616270" w:rsidP="004B4BB6">
      <w:pPr>
        <w:pStyle w:val="IAPrrafo"/>
        <w:rPr>
          <w:color w:val="auto"/>
          <w:lang w:val="es-MX"/>
        </w:rPr>
      </w:pPr>
      <w:r w:rsidRPr="00C332F1">
        <w:rPr>
          <w:color w:val="auto"/>
          <w:lang w:val="es-ES"/>
        </w:rPr>
        <w:t>En esa línea, la Comisión llama al Estado a adoptar políticas de prevención de la violencia contra las mujeres, las cuales deben tener como sustento datos y estadísticas actualizadas sobre las causas, consecuencias y frecuencia de la violencia contra las mujeres, con un enfoque integral que aborde las distintas manifestaciones y contextos en los que se produce. Asimismo, llama al Estado a establecer medidas para prevenir y proteger a mujeres en situación de violencia de género, así como a investigar, sancionar y reparar con debida diligencia los actos de violencia contra las mujeres, adolescentes y niñas con enfoque de género.</w:t>
      </w:r>
    </w:p>
    <w:p w14:paraId="7A6A9BFE" w14:textId="0728D242" w:rsidR="00616270" w:rsidRPr="00C332F1" w:rsidRDefault="35C72962" w:rsidP="004B4BB6">
      <w:pPr>
        <w:pStyle w:val="IAPrrafo"/>
        <w:rPr>
          <w:color w:val="auto"/>
          <w:szCs w:val="20"/>
          <w:lang w:val="es-SV"/>
        </w:rPr>
      </w:pPr>
      <w:r w:rsidRPr="00C332F1">
        <w:rPr>
          <w:color w:val="auto"/>
          <w:lang w:val="es-SV"/>
        </w:rPr>
        <w:t>En materia de salud sexual y reproductiva, se toma nota de la campaña “Ámate, cuídate, examínate”, en el marco de la lucha contra el cáncer de mama</w:t>
      </w:r>
      <w:r w:rsidR="00A14F05">
        <w:rPr>
          <w:rFonts w:ascii="ZWAdobeF" w:hAnsi="ZWAdobeF" w:cs="ZWAdobeF"/>
          <w:color w:val="auto"/>
          <w:sz w:val="2"/>
          <w:szCs w:val="2"/>
          <w:lang w:val="es-SV"/>
        </w:rPr>
        <w:t>317F</w:t>
      </w:r>
      <w:r w:rsidR="00616270" w:rsidRPr="005C52BD">
        <w:rPr>
          <w:rStyle w:val="FootnoteReference"/>
          <w:color w:val="auto"/>
          <w:sz w:val="20"/>
          <w:szCs w:val="20"/>
          <w:lang w:val="es-SV"/>
        </w:rPr>
        <w:footnoteReference w:id="319"/>
      </w:r>
      <w:r w:rsidRPr="00C332F1">
        <w:rPr>
          <w:color w:val="auto"/>
          <w:lang w:val="es-SV"/>
        </w:rPr>
        <w:t xml:space="preserve">. Sin embargo, </w:t>
      </w:r>
      <w:r w:rsidR="15D8A592" w:rsidRPr="00C332F1">
        <w:rPr>
          <w:color w:val="auto"/>
          <w:lang w:val="es-SV"/>
        </w:rPr>
        <w:t>organizaciones de sociedad civil</w:t>
      </w:r>
      <w:r w:rsidRPr="00C332F1">
        <w:rPr>
          <w:color w:val="auto"/>
          <w:lang w:val="es-SV"/>
        </w:rPr>
        <w:t xml:space="preserve"> señalan que persisten algunas deficiencias al respecto, como que el protocolo de atención para el diagnóstico oportuno estaría desactualizado</w:t>
      </w:r>
      <w:r w:rsidR="00A14F05">
        <w:rPr>
          <w:rFonts w:ascii="ZWAdobeF" w:hAnsi="ZWAdobeF" w:cs="ZWAdobeF"/>
          <w:color w:val="auto"/>
          <w:sz w:val="2"/>
          <w:szCs w:val="2"/>
          <w:lang w:val="es-SV"/>
        </w:rPr>
        <w:t>318F</w:t>
      </w:r>
      <w:r w:rsidR="00616270" w:rsidRPr="005C52BD">
        <w:rPr>
          <w:rStyle w:val="FootnoteReference"/>
          <w:color w:val="auto"/>
          <w:sz w:val="20"/>
          <w:szCs w:val="20"/>
          <w:lang w:val="es-SV"/>
        </w:rPr>
        <w:footnoteReference w:id="320"/>
      </w:r>
      <w:r w:rsidRPr="00C332F1">
        <w:rPr>
          <w:color w:val="auto"/>
          <w:lang w:val="es-SV"/>
        </w:rPr>
        <w:t xml:space="preserve">; la falta de acceso </w:t>
      </w:r>
      <w:r w:rsidRPr="00C332F1">
        <w:rPr>
          <w:color w:val="auto"/>
          <w:lang w:val="es-US"/>
        </w:rPr>
        <w:t xml:space="preserve">a información y servicios de </w:t>
      </w:r>
      <w:r w:rsidRPr="00C332F1">
        <w:rPr>
          <w:color w:val="auto"/>
          <w:lang w:val="es-SV"/>
        </w:rPr>
        <w:t>mamografías y radioterapias</w:t>
      </w:r>
      <w:r w:rsidR="00A14F05">
        <w:rPr>
          <w:rFonts w:ascii="ZWAdobeF" w:hAnsi="ZWAdobeF" w:cs="ZWAdobeF"/>
          <w:color w:val="auto"/>
          <w:sz w:val="2"/>
          <w:szCs w:val="2"/>
          <w:lang w:val="es-SV"/>
        </w:rPr>
        <w:t>319F</w:t>
      </w:r>
      <w:r w:rsidR="00616270" w:rsidRPr="005C52BD">
        <w:rPr>
          <w:rStyle w:val="FootnoteReference"/>
          <w:color w:val="auto"/>
          <w:sz w:val="20"/>
          <w:szCs w:val="20"/>
          <w:lang w:val="es-SV"/>
        </w:rPr>
        <w:footnoteReference w:id="321"/>
      </w:r>
      <w:r w:rsidRPr="00C332F1">
        <w:rPr>
          <w:color w:val="auto"/>
          <w:lang w:val="es-SV"/>
        </w:rPr>
        <w:t>; y la falta de personal capacitado para manipular los escasos equipos disponibles</w:t>
      </w:r>
      <w:r w:rsidR="00A14F05">
        <w:rPr>
          <w:rFonts w:ascii="ZWAdobeF" w:hAnsi="ZWAdobeF" w:cs="ZWAdobeF"/>
          <w:color w:val="auto"/>
          <w:sz w:val="2"/>
          <w:szCs w:val="2"/>
          <w:lang w:val="es-SV"/>
        </w:rPr>
        <w:t>320F</w:t>
      </w:r>
      <w:r w:rsidR="00616270" w:rsidRPr="005C52BD">
        <w:rPr>
          <w:rStyle w:val="FootnoteReference"/>
          <w:color w:val="auto"/>
          <w:sz w:val="20"/>
          <w:szCs w:val="20"/>
          <w:lang w:val="es-SV"/>
        </w:rPr>
        <w:footnoteReference w:id="322"/>
      </w:r>
      <w:r w:rsidRPr="00C332F1">
        <w:rPr>
          <w:color w:val="auto"/>
          <w:lang w:val="es-SV"/>
        </w:rPr>
        <w:t>. A ello se sumarían las grandes distancias que deben recorrer las mujeres que viven en zonas rurales y en zonas fronterizas para acceder a estos servicios.</w:t>
      </w:r>
    </w:p>
    <w:p w14:paraId="66EF52E3" w14:textId="07009428" w:rsidR="00616270" w:rsidRPr="00C332F1" w:rsidRDefault="35C72962" w:rsidP="004B4BB6">
      <w:pPr>
        <w:pStyle w:val="IAPrrafo"/>
        <w:rPr>
          <w:color w:val="auto"/>
          <w:szCs w:val="20"/>
          <w:lang w:val="es-SV"/>
        </w:rPr>
      </w:pPr>
      <w:r w:rsidRPr="00C332F1">
        <w:rPr>
          <w:color w:val="auto"/>
          <w:lang w:val="es-US"/>
        </w:rPr>
        <w:t xml:space="preserve">En la misma línea, informaciones de medios </w:t>
      </w:r>
      <w:r w:rsidRPr="00C332F1">
        <w:rPr>
          <w:color w:val="auto"/>
          <w:lang w:val="es-SV"/>
        </w:rPr>
        <w:t>reportan un acceso limitado a métodos anticonceptivos por parte de mujeres que habitan en zonas rurales y comunidades indígenas, donde se presentan las tasas más elevadas de embarazos adolescentes</w:t>
      </w:r>
      <w:r w:rsidR="00A14F05">
        <w:rPr>
          <w:rFonts w:ascii="ZWAdobeF" w:hAnsi="ZWAdobeF" w:cs="ZWAdobeF"/>
          <w:color w:val="auto"/>
          <w:sz w:val="2"/>
          <w:szCs w:val="2"/>
          <w:lang w:val="es-SV"/>
        </w:rPr>
        <w:t>321F</w:t>
      </w:r>
      <w:r w:rsidR="00616270" w:rsidRPr="005C52BD">
        <w:rPr>
          <w:rStyle w:val="FootnoteReference"/>
          <w:color w:val="auto"/>
          <w:sz w:val="20"/>
          <w:szCs w:val="20"/>
          <w:lang w:val="es-SV"/>
        </w:rPr>
        <w:footnoteReference w:id="323"/>
      </w:r>
      <w:r w:rsidRPr="00C332F1">
        <w:rPr>
          <w:color w:val="auto"/>
          <w:lang w:val="es-SV"/>
        </w:rPr>
        <w:t xml:space="preserve">. </w:t>
      </w:r>
      <w:r w:rsidR="22BFDD3E" w:rsidRPr="00C332F1">
        <w:rPr>
          <w:color w:val="auto"/>
          <w:lang w:val="es-SV"/>
        </w:rPr>
        <w:t>Indican</w:t>
      </w:r>
      <w:r w:rsidRPr="00C332F1">
        <w:rPr>
          <w:color w:val="auto"/>
          <w:lang w:val="es-SV"/>
        </w:rPr>
        <w:t>, además, que el Programa Nacional de Parto Humanizado no se está implementando adecuadamente</w:t>
      </w:r>
      <w:r w:rsidR="60495CC3" w:rsidRPr="00C332F1">
        <w:rPr>
          <w:color w:val="auto"/>
          <w:lang w:val="es-SV"/>
        </w:rPr>
        <w:t>;</w:t>
      </w:r>
      <w:r w:rsidRPr="00C332F1">
        <w:rPr>
          <w:color w:val="auto"/>
          <w:lang w:val="es-SV"/>
        </w:rPr>
        <w:t xml:space="preserve"> sino que, por el contrario, persisten las prácticas constitutivas de violencia obstétrica</w:t>
      </w:r>
      <w:r w:rsidR="00A14F05">
        <w:rPr>
          <w:rFonts w:ascii="ZWAdobeF" w:hAnsi="ZWAdobeF" w:cs="ZWAdobeF"/>
          <w:color w:val="auto"/>
          <w:sz w:val="2"/>
          <w:szCs w:val="2"/>
          <w:lang w:val="es-SV"/>
        </w:rPr>
        <w:t>322F</w:t>
      </w:r>
      <w:r w:rsidR="00616270" w:rsidRPr="005C52BD">
        <w:rPr>
          <w:rStyle w:val="FootnoteReference"/>
          <w:color w:val="auto"/>
          <w:sz w:val="20"/>
          <w:szCs w:val="20"/>
          <w:lang w:val="es-SV"/>
        </w:rPr>
        <w:footnoteReference w:id="324"/>
      </w:r>
      <w:r w:rsidRPr="00C332F1">
        <w:rPr>
          <w:color w:val="auto"/>
          <w:lang w:val="es-SV"/>
        </w:rPr>
        <w:t xml:space="preserve">. </w:t>
      </w:r>
      <w:r w:rsidRPr="00C332F1">
        <w:rPr>
          <w:color w:val="auto"/>
          <w:lang w:val="es-US"/>
        </w:rPr>
        <w:t>Por otro lado, persiste la falta de protocolos médicos para la provisión de servicios de aborto terapéutico</w:t>
      </w:r>
      <w:r w:rsidR="00A14F05">
        <w:rPr>
          <w:rFonts w:ascii="ZWAdobeF" w:hAnsi="ZWAdobeF" w:cs="ZWAdobeF"/>
          <w:color w:val="auto"/>
          <w:sz w:val="2"/>
          <w:szCs w:val="2"/>
          <w:lang w:val="es-US"/>
        </w:rPr>
        <w:t>323F</w:t>
      </w:r>
      <w:r w:rsidR="00616270" w:rsidRPr="005C52BD">
        <w:rPr>
          <w:rStyle w:val="FootnoteReference"/>
          <w:color w:val="auto"/>
          <w:sz w:val="20"/>
          <w:szCs w:val="20"/>
        </w:rPr>
        <w:footnoteReference w:id="325"/>
      </w:r>
      <w:r w:rsidRPr="00C332F1">
        <w:rPr>
          <w:color w:val="auto"/>
          <w:lang w:val="es-US"/>
        </w:rPr>
        <w:t>, el único permitido en la ley</w:t>
      </w:r>
      <w:r w:rsidR="00A14F05">
        <w:rPr>
          <w:rFonts w:ascii="ZWAdobeF" w:hAnsi="ZWAdobeF" w:cs="ZWAdobeF"/>
          <w:color w:val="auto"/>
          <w:sz w:val="2"/>
          <w:szCs w:val="2"/>
          <w:lang w:val="es-US"/>
        </w:rPr>
        <w:t>324F</w:t>
      </w:r>
      <w:r w:rsidR="00616270" w:rsidRPr="005C52BD">
        <w:rPr>
          <w:rStyle w:val="FootnoteReference"/>
          <w:color w:val="auto"/>
          <w:sz w:val="20"/>
          <w:szCs w:val="20"/>
        </w:rPr>
        <w:footnoteReference w:id="326"/>
      </w:r>
      <w:r w:rsidR="61B67750" w:rsidRPr="00C332F1">
        <w:rPr>
          <w:color w:val="auto"/>
          <w:lang w:val="es-US"/>
        </w:rPr>
        <w:t>;</w:t>
      </w:r>
      <w:r w:rsidRPr="00C332F1">
        <w:rPr>
          <w:color w:val="auto"/>
          <w:lang w:val="es-US"/>
        </w:rPr>
        <w:t xml:space="preserve"> por lo tanto, las personas que buscan un aborto recurren a prácticas inseguras, o deben trasladarse a otros países, para acceder a este servicio de salud</w:t>
      </w:r>
      <w:r w:rsidR="00A14F05">
        <w:rPr>
          <w:rFonts w:ascii="ZWAdobeF" w:hAnsi="ZWAdobeF" w:cs="ZWAdobeF"/>
          <w:color w:val="auto"/>
          <w:sz w:val="2"/>
          <w:szCs w:val="2"/>
          <w:lang w:val="es-US"/>
        </w:rPr>
        <w:t>325F</w:t>
      </w:r>
      <w:r w:rsidR="00616270" w:rsidRPr="005C52BD">
        <w:rPr>
          <w:rStyle w:val="FootnoteReference"/>
          <w:color w:val="auto"/>
          <w:sz w:val="20"/>
          <w:szCs w:val="20"/>
        </w:rPr>
        <w:footnoteReference w:id="327"/>
      </w:r>
      <w:r w:rsidRPr="00C332F1">
        <w:rPr>
          <w:color w:val="auto"/>
          <w:lang w:val="es-US"/>
        </w:rPr>
        <w:t>.</w:t>
      </w:r>
    </w:p>
    <w:p w14:paraId="228C3822" w14:textId="2EF4E947" w:rsidR="00032748" w:rsidRPr="00C332F1" w:rsidRDefault="00616270" w:rsidP="003E72BE">
      <w:pPr>
        <w:pStyle w:val="IAPrrafo"/>
        <w:rPr>
          <w:color w:val="auto"/>
          <w:szCs w:val="20"/>
          <w:lang w:val="es-ES"/>
        </w:rPr>
      </w:pPr>
      <w:r w:rsidRPr="00C332F1">
        <w:rPr>
          <w:color w:val="auto"/>
          <w:szCs w:val="20"/>
          <w:lang w:val="es-ES"/>
        </w:rPr>
        <w:t>En el marco de lo anterior, la Comisión urge al Estado a adoptar medidas legislativas, presupuestarias, de política pública y cualquier otra medida que sea necesaria para garantizar, sin discriminación alguna, la disponibilidad, accesibilidad, pertinencia y calidad de los establecimientos, bienes y servicios de salud sexual y reproductiva, bajo un enfoque interseccional y de género, incluyendo el acceso a los servicios de salud para la interrupción voluntaria del embarazo.</w:t>
      </w:r>
      <w:r w:rsidR="003E72BE" w:rsidRPr="00C332F1">
        <w:rPr>
          <w:color w:val="auto"/>
          <w:szCs w:val="20"/>
          <w:lang w:val="es-ES"/>
        </w:rPr>
        <w:t xml:space="preserve"> </w:t>
      </w:r>
      <w:r w:rsidR="00F20172" w:rsidRPr="00C332F1">
        <w:rPr>
          <w:color w:val="auto"/>
          <w:szCs w:val="20"/>
          <w:lang w:val="es-ES"/>
        </w:rPr>
        <w:t xml:space="preserve">Al mismo tiempo, señala que </w:t>
      </w:r>
      <w:r w:rsidR="00EC11CC" w:rsidRPr="00C332F1">
        <w:rPr>
          <w:color w:val="auto"/>
          <w:szCs w:val="20"/>
          <w:lang w:val="es-ES"/>
        </w:rPr>
        <w:t>e</w:t>
      </w:r>
      <w:r w:rsidR="00032748" w:rsidRPr="00C332F1">
        <w:rPr>
          <w:color w:val="auto"/>
          <w:szCs w:val="20"/>
          <w:lang w:val="es-ES"/>
        </w:rPr>
        <w:t xml:space="preserve">stas medidas deben ir acompañadas de iniciativas sólidas de educación y sensibilización que aborden tanto el uso adecuado de los métodos anticonceptivos como su impacto en el derecho a la salud. </w:t>
      </w:r>
      <w:r w:rsidR="00F01F85" w:rsidRPr="00C332F1">
        <w:rPr>
          <w:color w:val="auto"/>
          <w:szCs w:val="20"/>
          <w:lang w:val="es-ES"/>
        </w:rPr>
        <w:t>De esta forma</w:t>
      </w:r>
      <w:r w:rsidR="00852662" w:rsidRPr="00C332F1">
        <w:rPr>
          <w:color w:val="auto"/>
          <w:szCs w:val="20"/>
          <w:lang w:val="es-ES"/>
        </w:rPr>
        <w:t>,</w:t>
      </w:r>
      <w:r w:rsidR="00F01F85" w:rsidRPr="00C332F1">
        <w:rPr>
          <w:color w:val="auto"/>
          <w:szCs w:val="20"/>
          <w:lang w:val="es-ES"/>
        </w:rPr>
        <w:t xml:space="preserve"> s</w:t>
      </w:r>
      <w:r w:rsidR="006074BA" w:rsidRPr="00C332F1">
        <w:rPr>
          <w:color w:val="auto"/>
          <w:szCs w:val="20"/>
          <w:lang w:val="es-ES"/>
        </w:rPr>
        <w:t>e</w:t>
      </w:r>
      <w:r w:rsidR="00852662" w:rsidRPr="00C332F1">
        <w:rPr>
          <w:color w:val="auto"/>
          <w:szCs w:val="20"/>
          <w:lang w:val="es-ES"/>
        </w:rPr>
        <w:t xml:space="preserve"> brinda</w:t>
      </w:r>
      <w:r w:rsidR="006074BA" w:rsidRPr="00C332F1">
        <w:rPr>
          <w:color w:val="auto"/>
          <w:szCs w:val="20"/>
          <w:lang w:val="es-ES"/>
        </w:rPr>
        <w:t xml:space="preserve"> </w:t>
      </w:r>
      <w:r w:rsidR="00032748" w:rsidRPr="00C332F1">
        <w:rPr>
          <w:color w:val="auto"/>
          <w:szCs w:val="20"/>
          <w:lang w:val="es-ES"/>
        </w:rPr>
        <w:t>información clara, suficiente y accesible que permita</w:t>
      </w:r>
      <w:r w:rsidR="00852662" w:rsidRPr="00C332F1">
        <w:rPr>
          <w:color w:val="auto"/>
          <w:szCs w:val="20"/>
          <w:lang w:val="es-ES"/>
        </w:rPr>
        <w:t xml:space="preserve"> a las mujeres</w:t>
      </w:r>
      <w:r w:rsidR="00032748" w:rsidRPr="00C332F1">
        <w:rPr>
          <w:color w:val="auto"/>
          <w:szCs w:val="20"/>
          <w:lang w:val="es-ES"/>
        </w:rPr>
        <w:t xml:space="preserve"> tomar decisiones informadas y autónomas</w:t>
      </w:r>
      <w:r w:rsidR="00EC11CC" w:rsidRPr="00C332F1">
        <w:rPr>
          <w:color w:val="auto"/>
          <w:szCs w:val="20"/>
          <w:lang w:val="es-ES"/>
        </w:rPr>
        <w:t>.</w:t>
      </w:r>
    </w:p>
    <w:p w14:paraId="4AF07118" w14:textId="04F147B0" w:rsidR="0021586A" w:rsidRPr="00C332F1" w:rsidRDefault="0021586A" w:rsidP="004643B8">
      <w:pPr>
        <w:pStyle w:val="IASubttulo3"/>
        <w:rPr>
          <w:szCs w:val="20"/>
          <w:lang w:val="es-US"/>
        </w:rPr>
      </w:pPr>
      <w:bookmarkStart w:id="37" w:name="_Toc195617482"/>
      <w:r w:rsidRPr="00C332F1">
        <w:rPr>
          <w:szCs w:val="20"/>
          <w:lang w:val="es-US"/>
        </w:rPr>
        <w:t>Personas defensoras de derechos humanos</w:t>
      </w:r>
      <w:bookmarkEnd w:id="37"/>
    </w:p>
    <w:p w14:paraId="0C342DD0" w14:textId="4B92E674" w:rsidR="00AB1B38" w:rsidRPr="00C332F1" w:rsidRDefault="00AB1B38" w:rsidP="004B4BB6">
      <w:pPr>
        <w:pStyle w:val="IAPrrafo"/>
        <w:rPr>
          <w:color w:val="auto"/>
          <w:szCs w:val="20"/>
          <w:lang w:val="es-ES"/>
        </w:rPr>
      </w:pPr>
      <w:r w:rsidRPr="00C332F1">
        <w:rPr>
          <w:color w:val="auto"/>
          <w:szCs w:val="20"/>
          <w:lang w:val="es-ES"/>
        </w:rPr>
        <w:t>La defensa de derechos humanos en Venezuela se desarrolla en un ambiente hostil caracterizado por la estigmatización, el desprestigio y la comisión de actos de hostigamiento, persecución y criminalización por parte de autoridades estatales en contra de estos grupos. Durante el 2024 estas agresiones y obstáculos se intensificaron, en particular luego de las elecciones celebradas el 28 de julio.</w:t>
      </w:r>
    </w:p>
    <w:p w14:paraId="48CE2921" w14:textId="3C40807F" w:rsidR="00AB1B38" w:rsidRPr="00C332F1" w:rsidRDefault="50B0CD6E" w:rsidP="004B4BB6">
      <w:pPr>
        <w:pStyle w:val="IAPrrafo"/>
        <w:rPr>
          <w:color w:val="auto"/>
          <w:szCs w:val="20"/>
          <w:lang w:val="es-ES"/>
        </w:rPr>
      </w:pPr>
      <w:r w:rsidRPr="00C332F1">
        <w:rPr>
          <w:color w:val="auto"/>
          <w:lang w:val="es-ES"/>
        </w:rPr>
        <w:t>La Comisión continuó recibiendo información sobre actos de violencia, criminalización y estigmatización hacia personas defensoras de derechos humanos. Entre el 1 de mayo de 2023 y el 30 de abril de 2024, la Oficina del Alto Comisionado de las Naciones Unidas para los Derechos Humanos documentó 30 casos de amenazas y hostigamientos, un intento de secuestro dos casos de agresiones físicas, 38 casos de detención arbitraria (27 hombres y 11 mujeres), así como 13 casos de otras formas de criminalización de actores de la sociedad civil, incluidos periodistas, sindicalistas, dirigentes campesinos y otras voces consideradas críticas</w:t>
      </w:r>
      <w:r w:rsidR="00A14F05">
        <w:rPr>
          <w:rFonts w:ascii="ZWAdobeF" w:hAnsi="ZWAdobeF" w:cs="ZWAdobeF"/>
          <w:color w:val="auto"/>
          <w:sz w:val="2"/>
          <w:szCs w:val="2"/>
          <w:lang w:val="es-ES"/>
        </w:rPr>
        <w:t>326F</w:t>
      </w:r>
      <w:r w:rsidR="00AB1B38" w:rsidRPr="005C52BD">
        <w:rPr>
          <w:rStyle w:val="FootnoteReference"/>
          <w:color w:val="auto"/>
          <w:sz w:val="20"/>
          <w:szCs w:val="20"/>
          <w:lang w:val="es-ES"/>
        </w:rPr>
        <w:footnoteReference w:id="328"/>
      </w:r>
      <w:r w:rsidRPr="00C332F1">
        <w:rPr>
          <w:color w:val="auto"/>
          <w:lang w:val="es-ES"/>
        </w:rPr>
        <w:t>.</w:t>
      </w:r>
    </w:p>
    <w:p w14:paraId="280CA30B" w14:textId="1F909724" w:rsidR="00AB1B38" w:rsidRPr="00C332F1" w:rsidRDefault="50B0CD6E" w:rsidP="004B4BB6">
      <w:pPr>
        <w:pStyle w:val="IAPrrafo"/>
        <w:rPr>
          <w:color w:val="auto"/>
          <w:szCs w:val="20"/>
          <w:lang w:val="es-ES"/>
        </w:rPr>
      </w:pPr>
      <w:r w:rsidRPr="00C332F1">
        <w:rPr>
          <w:color w:val="auto"/>
          <w:lang w:val="es-ES"/>
        </w:rPr>
        <w:t>Se observa que</w:t>
      </w:r>
      <w:r w:rsidR="00A161CC" w:rsidRPr="00C332F1">
        <w:rPr>
          <w:color w:val="auto"/>
          <w:lang w:val="es-ES"/>
        </w:rPr>
        <w:t>,</w:t>
      </w:r>
      <w:r w:rsidRPr="00C332F1">
        <w:rPr>
          <w:color w:val="auto"/>
          <w:lang w:val="es-ES"/>
        </w:rPr>
        <w:t xml:space="preserve"> en el marco del contexto post electoral</w:t>
      </w:r>
      <w:r w:rsidR="00A161CC" w:rsidRPr="00C332F1">
        <w:rPr>
          <w:color w:val="auto"/>
          <w:lang w:val="es-ES"/>
        </w:rPr>
        <w:t>,</w:t>
      </w:r>
      <w:r w:rsidRPr="00C332F1">
        <w:rPr>
          <w:color w:val="auto"/>
          <w:lang w:val="es-ES"/>
        </w:rPr>
        <w:t xml:space="preserve"> se presentó un incremento en las agresiones contra personas defensoras. Cifras del Centro para los Defensores y la Justicia (CDJ) indican que durante el mes de julio se registraron 56 ataques e incidentes de seguridad contra personas que defienden derechos humanos; de los cuales un 20% ocurrió en los tres días posteriores a la elección</w:t>
      </w:r>
      <w:r w:rsidR="00A14F05">
        <w:rPr>
          <w:rFonts w:ascii="ZWAdobeF" w:hAnsi="ZWAdobeF" w:cs="ZWAdobeF"/>
          <w:color w:val="auto"/>
          <w:sz w:val="2"/>
          <w:szCs w:val="2"/>
          <w:lang w:val="es-ES"/>
        </w:rPr>
        <w:t>327F</w:t>
      </w:r>
      <w:r w:rsidR="00AB1B38" w:rsidRPr="005C52BD">
        <w:rPr>
          <w:rStyle w:val="FootnoteReference"/>
          <w:color w:val="auto"/>
          <w:sz w:val="20"/>
          <w:szCs w:val="20"/>
          <w:lang w:val="es-ES"/>
        </w:rPr>
        <w:footnoteReference w:id="329"/>
      </w:r>
      <w:r w:rsidRPr="00C332F1">
        <w:rPr>
          <w:color w:val="auto"/>
          <w:lang w:val="es-ES"/>
        </w:rPr>
        <w:t>. En agosto, el CDJ documentó 134 ataques e incidentes de seguridad</w:t>
      </w:r>
      <w:r w:rsidR="00A14F05">
        <w:rPr>
          <w:rFonts w:ascii="ZWAdobeF" w:hAnsi="ZWAdobeF" w:cs="ZWAdobeF"/>
          <w:color w:val="auto"/>
          <w:sz w:val="2"/>
          <w:szCs w:val="2"/>
          <w:lang w:val="es-ES"/>
        </w:rPr>
        <w:t>328F</w:t>
      </w:r>
      <w:r w:rsidR="00AB1B38" w:rsidRPr="005C52BD">
        <w:rPr>
          <w:rStyle w:val="FootnoteReference"/>
          <w:color w:val="auto"/>
          <w:sz w:val="20"/>
          <w:szCs w:val="20"/>
          <w:lang w:val="es-ES"/>
        </w:rPr>
        <w:footnoteReference w:id="330"/>
      </w:r>
      <w:r w:rsidRPr="00C332F1">
        <w:rPr>
          <w:color w:val="auto"/>
          <w:lang w:val="es-ES"/>
        </w:rPr>
        <w:t>.</w:t>
      </w:r>
    </w:p>
    <w:p w14:paraId="037A509A" w14:textId="51A53BFD" w:rsidR="00D72CCA" w:rsidRPr="00C332F1" w:rsidRDefault="78C5A8DA" w:rsidP="004B4BB6">
      <w:pPr>
        <w:pStyle w:val="IAPrrafo"/>
        <w:rPr>
          <w:color w:val="auto"/>
          <w:szCs w:val="20"/>
          <w:lang w:val="es-ES"/>
        </w:rPr>
      </w:pPr>
      <w:r w:rsidRPr="00C332F1">
        <w:rPr>
          <w:color w:val="auto"/>
          <w:lang w:val="es-ES"/>
        </w:rPr>
        <w:t>A través de la imputación de delitos como terrorismo se</w:t>
      </w:r>
      <w:r w:rsidR="50B0CD6E" w:rsidRPr="00C332F1">
        <w:rPr>
          <w:color w:val="auto"/>
          <w:lang w:val="es-ES"/>
        </w:rPr>
        <w:t xml:space="preserve"> continuó recibiendo información detenciones arbitrarias y criminalización de personas defensoras. </w:t>
      </w:r>
      <w:r w:rsidRPr="00C332F1">
        <w:rPr>
          <w:color w:val="auto"/>
          <w:lang w:val="es-ES"/>
        </w:rPr>
        <w:t>Entre estas,</w:t>
      </w:r>
      <w:r w:rsidR="50B0CD6E" w:rsidRPr="00C332F1">
        <w:rPr>
          <w:color w:val="auto"/>
          <w:lang w:val="es-ES"/>
        </w:rPr>
        <w:t xml:space="preserve"> la detención y privación de la libertad del defensor e integrante de la organización Foro Penal, Kennedy Tejeda que se encuentra privado de libertad desde el 2 de agosto en el estado Carabobo, luego de preguntar por el paradero de personas manifestantes en un comando militar</w:t>
      </w:r>
      <w:r w:rsidR="00A14F05">
        <w:rPr>
          <w:rFonts w:ascii="ZWAdobeF" w:hAnsi="ZWAdobeF" w:cs="ZWAdobeF"/>
          <w:color w:val="auto"/>
          <w:sz w:val="2"/>
          <w:szCs w:val="2"/>
          <w:lang w:val="es-ES"/>
        </w:rPr>
        <w:t>329F</w:t>
      </w:r>
      <w:r w:rsidR="00AB1B38" w:rsidRPr="005C52BD">
        <w:rPr>
          <w:rStyle w:val="FootnoteReference"/>
          <w:color w:val="auto"/>
          <w:sz w:val="20"/>
          <w:szCs w:val="20"/>
          <w:lang w:val="es-ES"/>
        </w:rPr>
        <w:footnoteReference w:id="331"/>
      </w:r>
      <w:r w:rsidR="50B0CD6E" w:rsidRPr="00C332F1">
        <w:rPr>
          <w:color w:val="auto"/>
          <w:lang w:val="es-ES"/>
        </w:rPr>
        <w:t>. El defensor habría sido presentado ante tribunales con competencia de terrorismo, sin que se conozca los delitos que se le imputan</w:t>
      </w:r>
      <w:r w:rsidR="00A14F05">
        <w:rPr>
          <w:rFonts w:ascii="ZWAdobeF" w:hAnsi="ZWAdobeF" w:cs="ZWAdobeF"/>
          <w:color w:val="auto"/>
          <w:sz w:val="2"/>
          <w:szCs w:val="2"/>
          <w:lang w:val="es-ES"/>
        </w:rPr>
        <w:t>330F</w:t>
      </w:r>
      <w:r w:rsidR="00AB1B38" w:rsidRPr="005C52BD">
        <w:rPr>
          <w:rStyle w:val="FootnoteReference"/>
          <w:color w:val="auto"/>
          <w:sz w:val="20"/>
          <w:szCs w:val="20"/>
          <w:lang w:val="es-ES"/>
        </w:rPr>
        <w:footnoteReference w:id="332"/>
      </w:r>
      <w:r w:rsidR="50B0CD6E" w:rsidRPr="00C332F1">
        <w:rPr>
          <w:color w:val="auto"/>
          <w:lang w:val="es-ES"/>
        </w:rPr>
        <w:t>.</w:t>
      </w:r>
    </w:p>
    <w:p w14:paraId="7DE8CB06" w14:textId="0F370ACF" w:rsidR="00180325" w:rsidRPr="00C332F1" w:rsidRDefault="50B0CD6E" w:rsidP="00FC0EA0">
      <w:pPr>
        <w:pStyle w:val="IAPrrafo"/>
        <w:rPr>
          <w:color w:val="auto"/>
          <w:szCs w:val="20"/>
          <w:lang w:val="es-ES"/>
        </w:rPr>
      </w:pPr>
      <w:r w:rsidRPr="00C332F1">
        <w:rPr>
          <w:color w:val="auto"/>
          <w:lang w:val="es-ES"/>
        </w:rPr>
        <w:t>El 2 de agosto fue detenido el líder comunitario Edward Ocariz quien se encontraría privado de su libertad en la cárcel de Tocuyito, en Carabobo</w:t>
      </w:r>
      <w:r w:rsidR="00A14F05">
        <w:rPr>
          <w:rFonts w:ascii="ZWAdobeF" w:hAnsi="ZWAdobeF" w:cs="ZWAdobeF"/>
          <w:color w:val="auto"/>
          <w:sz w:val="2"/>
          <w:szCs w:val="2"/>
          <w:lang w:val="es-ES"/>
        </w:rPr>
        <w:t>331F</w:t>
      </w:r>
      <w:r w:rsidR="00AB1B38" w:rsidRPr="005C52BD">
        <w:rPr>
          <w:rStyle w:val="FootnoteReference"/>
          <w:color w:val="auto"/>
          <w:sz w:val="20"/>
          <w:szCs w:val="20"/>
          <w:lang w:val="es-ES"/>
        </w:rPr>
        <w:footnoteReference w:id="333"/>
      </w:r>
      <w:r w:rsidRPr="00C332F1">
        <w:rPr>
          <w:color w:val="auto"/>
          <w:lang w:val="es-ES"/>
        </w:rPr>
        <w:t>; en tanto que el 17 de agosto se detuvo a Henry Gómez, defensor de derechos humanos en el estado de Amazonas</w:t>
      </w:r>
      <w:r w:rsidR="00A14F05">
        <w:rPr>
          <w:rFonts w:ascii="ZWAdobeF" w:hAnsi="ZWAdobeF" w:cs="ZWAdobeF"/>
          <w:color w:val="auto"/>
          <w:sz w:val="2"/>
          <w:szCs w:val="2"/>
          <w:lang w:val="es-ES"/>
        </w:rPr>
        <w:t>332F</w:t>
      </w:r>
      <w:r w:rsidR="00AB1B38" w:rsidRPr="005C52BD">
        <w:rPr>
          <w:rStyle w:val="FootnoteReference"/>
          <w:color w:val="auto"/>
          <w:sz w:val="20"/>
          <w:szCs w:val="20"/>
          <w:lang w:val="es-ES"/>
        </w:rPr>
        <w:footnoteReference w:id="334"/>
      </w:r>
      <w:r w:rsidRPr="00C332F1">
        <w:rPr>
          <w:color w:val="auto"/>
          <w:lang w:val="es-ES"/>
        </w:rPr>
        <w:t xml:space="preserve">. El defensor habría sido presentado en una audiencia con un defensor público y se le habrían imputado delitos de terrorismo. El </w:t>
      </w:r>
      <w:r w:rsidR="737AF989" w:rsidRPr="00C332F1">
        <w:rPr>
          <w:color w:val="auto"/>
          <w:lang w:val="es-ES"/>
        </w:rPr>
        <w:t>se</w:t>
      </w:r>
      <w:r w:rsidR="1A7CF59F" w:rsidRPr="00C332F1">
        <w:rPr>
          <w:color w:val="auto"/>
          <w:lang w:val="es-ES"/>
        </w:rPr>
        <w:t>ñor</w:t>
      </w:r>
      <w:r w:rsidRPr="00C332F1">
        <w:rPr>
          <w:color w:val="auto"/>
          <w:lang w:val="es-ES"/>
        </w:rPr>
        <w:t xml:space="preserve"> Gómez estaría detenido en la cárcel de Tocorón</w:t>
      </w:r>
      <w:r w:rsidR="00A14F05">
        <w:rPr>
          <w:rFonts w:ascii="ZWAdobeF" w:hAnsi="ZWAdobeF" w:cs="ZWAdobeF"/>
          <w:color w:val="auto"/>
          <w:sz w:val="2"/>
          <w:szCs w:val="2"/>
          <w:lang w:val="es-ES"/>
        </w:rPr>
        <w:t>333F</w:t>
      </w:r>
      <w:r w:rsidR="00AB1B38" w:rsidRPr="005C52BD">
        <w:rPr>
          <w:rStyle w:val="FootnoteReference"/>
          <w:color w:val="auto"/>
          <w:sz w:val="20"/>
          <w:szCs w:val="20"/>
          <w:lang w:val="es-ES"/>
        </w:rPr>
        <w:footnoteReference w:id="335"/>
      </w:r>
      <w:r w:rsidRPr="00C332F1">
        <w:rPr>
          <w:color w:val="auto"/>
          <w:lang w:val="es-ES"/>
        </w:rPr>
        <w:t>.</w:t>
      </w:r>
    </w:p>
    <w:p w14:paraId="75E7CB71" w14:textId="325C4485" w:rsidR="00AB1B38" w:rsidRPr="00C332F1" w:rsidRDefault="50B0CD6E" w:rsidP="004B4BB6">
      <w:pPr>
        <w:pStyle w:val="IAPrrafo"/>
        <w:rPr>
          <w:color w:val="auto"/>
          <w:szCs w:val="20"/>
          <w:lang w:val="es-ES"/>
        </w:rPr>
      </w:pPr>
      <w:r w:rsidRPr="00C332F1">
        <w:rPr>
          <w:color w:val="auto"/>
          <w:lang w:val="es-ES"/>
        </w:rPr>
        <w:t>A estos casos se suman aquellos documentados previos al proceso electoral, como el de la defensora Rocío San Miguel</w:t>
      </w:r>
      <w:r w:rsidR="00A14F05">
        <w:rPr>
          <w:rFonts w:ascii="ZWAdobeF" w:hAnsi="ZWAdobeF" w:cs="ZWAdobeF"/>
          <w:color w:val="auto"/>
          <w:sz w:val="2"/>
          <w:szCs w:val="2"/>
          <w:lang w:val="es-ES"/>
        </w:rPr>
        <w:t>334F</w:t>
      </w:r>
      <w:r w:rsidR="003E0A9B" w:rsidRPr="005C52BD">
        <w:rPr>
          <w:rStyle w:val="FootnoteReference"/>
          <w:color w:val="auto"/>
          <w:lang w:val="es-ES"/>
        </w:rPr>
        <w:footnoteReference w:id="336"/>
      </w:r>
      <w:r w:rsidRPr="00C332F1">
        <w:rPr>
          <w:color w:val="auto"/>
          <w:lang w:val="es-ES"/>
        </w:rPr>
        <w:t>, detenida el 15 febrero de 2024 y presentada cinco días después ante el Tribunal Segundo Contra Terrorismo de Caracas por delitos de traición a la patria, conspiración, terrorismo, entre otros</w:t>
      </w:r>
      <w:r w:rsidR="00A14F05">
        <w:rPr>
          <w:rFonts w:ascii="ZWAdobeF" w:hAnsi="ZWAdobeF" w:cs="ZWAdobeF"/>
          <w:color w:val="auto"/>
          <w:sz w:val="2"/>
          <w:szCs w:val="2"/>
          <w:lang w:val="es-ES"/>
        </w:rPr>
        <w:t>335F</w:t>
      </w:r>
      <w:r w:rsidR="00AB1B38" w:rsidRPr="005C52BD">
        <w:rPr>
          <w:rStyle w:val="FootnoteReference"/>
          <w:color w:val="auto"/>
          <w:sz w:val="20"/>
          <w:szCs w:val="20"/>
          <w:lang w:val="es-ES"/>
        </w:rPr>
        <w:footnoteReference w:id="337"/>
      </w:r>
      <w:r w:rsidRPr="00C332F1">
        <w:rPr>
          <w:color w:val="auto"/>
          <w:lang w:val="es-ES"/>
        </w:rPr>
        <w:t>; y Javier Tarazona, privado de su libertad desde 2021 y acusado de incitación al odio, traición a la patria y terrorismo</w:t>
      </w:r>
      <w:r w:rsidR="00A14F05">
        <w:rPr>
          <w:rFonts w:ascii="ZWAdobeF" w:hAnsi="ZWAdobeF" w:cs="ZWAdobeF"/>
          <w:color w:val="auto"/>
          <w:sz w:val="2"/>
          <w:szCs w:val="2"/>
          <w:lang w:val="es-ES"/>
        </w:rPr>
        <w:t>336F</w:t>
      </w:r>
      <w:r w:rsidR="00AB1B38" w:rsidRPr="005C52BD">
        <w:rPr>
          <w:rStyle w:val="FootnoteReference"/>
          <w:color w:val="auto"/>
          <w:sz w:val="20"/>
          <w:szCs w:val="20"/>
          <w:lang w:val="es-ES"/>
        </w:rPr>
        <w:footnoteReference w:id="338"/>
      </w:r>
      <w:r w:rsidRPr="00C332F1">
        <w:rPr>
          <w:color w:val="auto"/>
          <w:lang w:val="es-ES"/>
        </w:rPr>
        <w:t>.</w:t>
      </w:r>
    </w:p>
    <w:p w14:paraId="5874AA6E" w14:textId="341AF834" w:rsidR="00AB1B38" w:rsidRPr="00C332F1" w:rsidRDefault="50B0CD6E" w:rsidP="004B4BB6">
      <w:pPr>
        <w:pStyle w:val="IAPrrafo"/>
        <w:rPr>
          <w:color w:val="auto"/>
          <w:szCs w:val="20"/>
          <w:lang w:val="es-ES"/>
        </w:rPr>
      </w:pPr>
      <w:r w:rsidRPr="00C332F1">
        <w:rPr>
          <w:color w:val="auto"/>
          <w:lang w:val="es-ES"/>
        </w:rPr>
        <w:t xml:space="preserve">También se conoció sobre la realización de detenciones de corta duración como forma de intimidación, como fue el caso </w:t>
      </w:r>
      <w:r w:rsidRPr="00C332F1">
        <w:rPr>
          <w:color w:val="auto"/>
          <w:lang w:val="es-MX"/>
        </w:rPr>
        <w:t>del defensor de las personas LGBTI, Yendri Velásquez, quien fue detenido arbitrariamente en el aeropuerto cuando se disponía a realizar un viaje para participar ante el Comité para la Eliminación de la Discriminación Racial de las Naciones Unidas</w:t>
      </w:r>
      <w:r w:rsidR="00A14F05">
        <w:rPr>
          <w:rFonts w:ascii="ZWAdobeF" w:hAnsi="ZWAdobeF" w:cs="ZWAdobeF"/>
          <w:color w:val="auto"/>
          <w:sz w:val="2"/>
          <w:szCs w:val="2"/>
          <w:lang w:val="es-MX"/>
        </w:rPr>
        <w:t>337F</w:t>
      </w:r>
      <w:r w:rsidR="00AB1B38" w:rsidRPr="005C52BD">
        <w:rPr>
          <w:rStyle w:val="FootnoteReference"/>
          <w:color w:val="auto"/>
          <w:sz w:val="20"/>
          <w:szCs w:val="20"/>
          <w:lang w:val="es-MX"/>
        </w:rPr>
        <w:footnoteReference w:id="339"/>
      </w:r>
      <w:r w:rsidRPr="00C332F1">
        <w:rPr>
          <w:color w:val="auto"/>
          <w:lang w:val="es-MX"/>
        </w:rPr>
        <w:t>. Posteriormente se conoció sobre su liberación</w:t>
      </w:r>
      <w:r w:rsidR="00A14F05">
        <w:rPr>
          <w:rFonts w:ascii="ZWAdobeF" w:hAnsi="ZWAdobeF" w:cs="ZWAdobeF"/>
          <w:color w:val="auto"/>
          <w:sz w:val="2"/>
          <w:szCs w:val="2"/>
          <w:lang w:val="es-MX"/>
        </w:rPr>
        <w:t>338F</w:t>
      </w:r>
      <w:r w:rsidR="003E0A9B" w:rsidRPr="005C52BD">
        <w:rPr>
          <w:rStyle w:val="FootnoteReference"/>
          <w:color w:val="auto"/>
          <w:lang w:val="es-US"/>
        </w:rPr>
        <w:footnoteReference w:id="340"/>
      </w:r>
      <w:r w:rsidRPr="00C332F1">
        <w:rPr>
          <w:color w:val="auto"/>
          <w:lang w:val="es-MX"/>
        </w:rPr>
        <w:t>.</w:t>
      </w:r>
    </w:p>
    <w:p w14:paraId="0EBB2BE2" w14:textId="5A46EA8F" w:rsidR="00AB1B38" w:rsidRPr="00C332F1" w:rsidRDefault="50B0CD6E" w:rsidP="004B4BB6">
      <w:pPr>
        <w:pStyle w:val="IAPrrafo"/>
        <w:rPr>
          <w:color w:val="auto"/>
          <w:szCs w:val="20"/>
          <w:lang w:val="es-MX"/>
        </w:rPr>
      </w:pPr>
      <w:r w:rsidRPr="00C332F1">
        <w:rPr>
          <w:color w:val="auto"/>
          <w:lang w:val="es-MX"/>
        </w:rPr>
        <w:t>Además, se advierte de una nueva forma de intimidación y represalia contra personas defensoras a través de la cancelación de sus pasaportes, y el de sus familiares sin que se les comunique oficialmente sobre este hecho ni el motivo de la medida adoptada por el Estado</w:t>
      </w:r>
      <w:r w:rsidR="00A14F05">
        <w:rPr>
          <w:rFonts w:ascii="ZWAdobeF" w:hAnsi="ZWAdobeF" w:cs="ZWAdobeF"/>
          <w:color w:val="auto"/>
          <w:sz w:val="2"/>
          <w:szCs w:val="2"/>
          <w:lang w:val="es-MX"/>
        </w:rPr>
        <w:t>339F</w:t>
      </w:r>
      <w:r w:rsidR="00AB1B38" w:rsidRPr="005C52BD">
        <w:rPr>
          <w:rStyle w:val="FootnoteReference"/>
          <w:color w:val="auto"/>
          <w:sz w:val="20"/>
          <w:szCs w:val="20"/>
          <w:lang w:val="es-MX"/>
        </w:rPr>
        <w:footnoteReference w:id="341"/>
      </w:r>
      <w:r w:rsidRPr="00C332F1">
        <w:rPr>
          <w:color w:val="auto"/>
          <w:lang w:val="es-MX"/>
        </w:rPr>
        <w:t xml:space="preserve">. </w:t>
      </w:r>
      <w:r w:rsidRPr="00C332F1">
        <w:rPr>
          <w:color w:val="000000" w:themeColor="text1"/>
          <w:lang w:val="es-MX"/>
        </w:rPr>
        <w:t xml:space="preserve">Según información disponible, al menos </w:t>
      </w:r>
      <w:r w:rsidR="329CF88E" w:rsidRPr="00C332F1">
        <w:rPr>
          <w:color w:val="000000" w:themeColor="text1"/>
          <w:lang w:val="es-MX"/>
        </w:rPr>
        <w:t>40</w:t>
      </w:r>
      <w:r w:rsidRPr="00C332F1">
        <w:rPr>
          <w:color w:val="000000" w:themeColor="text1"/>
          <w:lang w:val="es-MX"/>
        </w:rPr>
        <w:t xml:space="preserve"> pasaportes han sido cancelados</w:t>
      </w:r>
      <w:r w:rsidRPr="00C332F1">
        <w:rPr>
          <w:color w:val="auto"/>
          <w:lang w:val="es-MX"/>
        </w:rPr>
        <w:t>. Estas medidas tendrían como finalidad obstruir las actividades de incidencia realizadas por personas defensoras fuera de Venezuela y estaría generando temor en las personas defensoras y representantes de la sociedad civil, de salir del país ante la posibilidad de que su pasaporte sea anulado</w:t>
      </w:r>
      <w:r w:rsidR="00A14F05">
        <w:rPr>
          <w:rFonts w:ascii="ZWAdobeF" w:hAnsi="ZWAdobeF" w:cs="ZWAdobeF"/>
          <w:color w:val="auto"/>
          <w:sz w:val="2"/>
          <w:szCs w:val="2"/>
          <w:lang w:val="es-MX"/>
        </w:rPr>
        <w:t>340F</w:t>
      </w:r>
      <w:r w:rsidR="00C07E43" w:rsidRPr="005C52BD">
        <w:rPr>
          <w:rStyle w:val="FootnoteReference"/>
          <w:color w:val="auto"/>
          <w:sz w:val="20"/>
          <w:szCs w:val="20"/>
          <w:lang w:val="es-MX"/>
        </w:rPr>
        <w:footnoteReference w:id="342"/>
      </w:r>
      <w:r w:rsidRPr="00C332F1">
        <w:rPr>
          <w:color w:val="auto"/>
          <w:lang w:val="es-MX"/>
        </w:rPr>
        <w:t>.</w:t>
      </w:r>
    </w:p>
    <w:p w14:paraId="3D8F427C" w14:textId="6DA15F1A" w:rsidR="00AB1B38" w:rsidRPr="00C332F1" w:rsidRDefault="50B0CD6E" w:rsidP="3C28C854">
      <w:pPr>
        <w:pStyle w:val="IAPrrafo"/>
        <w:rPr>
          <w:color w:val="auto"/>
          <w:lang w:val="es-US"/>
        </w:rPr>
      </w:pPr>
      <w:r w:rsidRPr="00C332F1">
        <w:rPr>
          <w:color w:val="auto"/>
          <w:lang w:val="es-US"/>
        </w:rPr>
        <w:t xml:space="preserve">El </w:t>
      </w:r>
      <w:r w:rsidR="6B0BE640" w:rsidRPr="00C332F1">
        <w:rPr>
          <w:color w:val="auto"/>
          <w:lang w:val="es-US"/>
        </w:rPr>
        <w:t>gobierno de turno</w:t>
      </w:r>
      <w:r w:rsidRPr="00C332F1">
        <w:rPr>
          <w:color w:val="auto"/>
          <w:lang w:val="es-US"/>
        </w:rPr>
        <w:t xml:space="preserve"> también ha intensificado la represión en el ámbito digital, utilizando tecnología para perfilar, vigilar e intimidar a opositores y voces críticas, incluyendo personas defensoras. En particular, la aplicación VenApp, originalmente destinada a la gestión de servicios públicos, ha sido reconfigurada con funciones para delatar a personas ante el </w:t>
      </w:r>
      <w:r w:rsidR="6B0BE640" w:rsidRPr="00C332F1">
        <w:rPr>
          <w:color w:val="auto"/>
          <w:lang w:val="es-US"/>
        </w:rPr>
        <w:t>gobierno de turno</w:t>
      </w:r>
      <w:r w:rsidRPr="00C332F1">
        <w:rPr>
          <w:color w:val="auto"/>
          <w:lang w:val="es-US"/>
        </w:rPr>
        <w:t xml:space="preserve"> bajo etiquetas como actividades </w:t>
      </w:r>
      <w:r w:rsidR="734246A0" w:rsidRPr="00C332F1">
        <w:rPr>
          <w:color w:val="auto"/>
          <w:lang w:val="es-US"/>
        </w:rPr>
        <w:t>“</w:t>
      </w:r>
      <w:r w:rsidRPr="00C332F1">
        <w:rPr>
          <w:color w:val="auto"/>
          <w:lang w:val="es-US"/>
        </w:rPr>
        <w:t>sospechosas</w:t>
      </w:r>
      <w:r w:rsidR="18823822" w:rsidRPr="00C332F1">
        <w:rPr>
          <w:color w:val="auto"/>
          <w:lang w:val="es-US"/>
        </w:rPr>
        <w:t>”</w:t>
      </w:r>
      <w:r w:rsidRPr="00C332F1">
        <w:rPr>
          <w:color w:val="auto"/>
          <w:lang w:val="es-US"/>
        </w:rPr>
        <w:t xml:space="preserve">, </w:t>
      </w:r>
      <w:r w:rsidR="7329A650" w:rsidRPr="00C332F1">
        <w:rPr>
          <w:color w:val="auto"/>
          <w:lang w:val="es-US"/>
        </w:rPr>
        <w:t>“</w:t>
      </w:r>
      <w:r w:rsidRPr="00C332F1">
        <w:rPr>
          <w:color w:val="auto"/>
          <w:lang w:val="es-US"/>
        </w:rPr>
        <w:t>guarimba fascista</w:t>
      </w:r>
      <w:r w:rsidR="4A52E86D" w:rsidRPr="00C332F1">
        <w:rPr>
          <w:color w:val="auto"/>
          <w:lang w:val="es-US"/>
        </w:rPr>
        <w:t>”</w:t>
      </w:r>
      <w:r w:rsidRPr="00C332F1">
        <w:rPr>
          <w:color w:val="auto"/>
          <w:lang w:val="es-US"/>
        </w:rPr>
        <w:t xml:space="preserve">, </w:t>
      </w:r>
      <w:r w:rsidR="60F720B2" w:rsidRPr="00C332F1">
        <w:rPr>
          <w:color w:val="auto"/>
          <w:lang w:val="es-US"/>
        </w:rPr>
        <w:t>“</w:t>
      </w:r>
      <w:r w:rsidRPr="00C332F1">
        <w:rPr>
          <w:color w:val="auto"/>
          <w:lang w:val="es-US"/>
        </w:rPr>
        <w:t>desinformación</w:t>
      </w:r>
      <w:r w:rsidR="12B64F22" w:rsidRPr="00C332F1">
        <w:rPr>
          <w:color w:val="auto"/>
          <w:lang w:val="es-US"/>
        </w:rPr>
        <w:t>”</w:t>
      </w:r>
      <w:r w:rsidRPr="00C332F1">
        <w:rPr>
          <w:color w:val="auto"/>
          <w:lang w:val="es-US"/>
        </w:rPr>
        <w:t xml:space="preserve"> y </w:t>
      </w:r>
      <w:r w:rsidR="58AEFD77" w:rsidRPr="00C332F1">
        <w:rPr>
          <w:color w:val="auto"/>
          <w:lang w:val="es-US"/>
        </w:rPr>
        <w:t>“</w:t>
      </w:r>
      <w:r w:rsidRPr="00C332F1">
        <w:rPr>
          <w:color w:val="auto"/>
          <w:lang w:val="es-US"/>
        </w:rPr>
        <w:t>desorden público</w:t>
      </w:r>
      <w:r w:rsidR="46408C87" w:rsidRPr="00C332F1">
        <w:rPr>
          <w:color w:val="auto"/>
          <w:lang w:val="es-US"/>
        </w:rPr>
        <w:t>”</w:t>
      </w:r>
      <w:r w:rsidR="00A14F05">
        <w:rPr>
          <w:rFonts w:ascii="ZWAdobeF" w:hAnsi="ZWAdobeF" w:cs="ZWAdobeF"/>
          <w:color w:val="auto"/>
          <w:sz w:val="2"/>
          <w:szCs w:val="2"/>
          <w:lang w:val="es-US"/>
        </w:rPr>
        <w:t>341F</w:t>
      </w:r>
      <w:r w:rsidR="00AB1B38" w:rsidRPr="005C52BD">
        <w:rPr>
          <w:rStyle w:val="FootnoteReference"/>
          <w:color w:val="auto"/>
          <w:sz w:val="20"/>
          <w:szCs w:val="20"/>
        </w:rPr>
        <w:footnoteReference w:id="343"/>
      </w:r>
      <w:r w:rsidRPr="00C332F1">
        <w:rPr>
          <w:color w:val="auto"/>
          <w:lang w:val="es-US"/>
        </w:rPr>
        <w:t xml:space="preserve">. Esta situación </w:t>
      </w:r>
      <w:r w:rsidR="4DF4B7A9" w:rsidRPr="00C332F1">
        <w:rPr>
          <w:color w:val="auto"/>
          <w:lang w:val="es-US"/>
        </w:rPr>
        <w:t xml:space="preserve">fue </w:t>
      </w:r>
      <w:r w:rsidRPr="00C332F1">
        <w:rPr>
          <w:color w:val="auto"/>
          <w:lang w:val="es-US"/>
        </w:rPr>
        <w:t>abordada en la sección de la Relatoría Especial para la Libertad de Expresión.</w:t>
      </w:r>
    </w:p>
    <w:p w14:paraId="4F777176" w14:textId="09E6DC70" w:rsidR="00A161CC" w:rsidRPr="00C332F1" w:rsidRDefault="7383C3A8" w:rsidP="00A161CC">
      <w:pPr>
        <w:pStyle w:val="IAPrrafo"/>
        <w:rPr>
          <w:rFonts w:eastAsia="Cambria" w:cs="Cambria"/>
          <w:color w:val="000000" w:themeColor="text1"/>
          <w:szCs w:val="20"/>
          <w:lang w:val="es-MX"/>
        </w:rPr>
      </w:pPr>
      <w:r w:rsidRPr="00C332F1">
        <w:rPr>
          <w:rFonts w:eastAsia="Cambria" w:cs="Cambria"/>
          <w:color w:val="000000" w:themeColor="text1"/>
          <w:lang w:val="es-MX"/>
        </w:rPr>
        <w:t xml:space="preserve">La defensa de los derechos humanos en Venezuela durante 2024 se desarrolló en un entorno cívico cada vez más restringido. Las organizaciones no gubernamentales (ONG) que operan en el país enfrentaron mayores dificultades para llevar a cabo su labor, especialmente tras la aprobación, el 15 de agosto, de la Ley de </w:t>
      </w:r>
      <w:bookmarkStart w:id="38" w:name="_Hlk185594210"/>
      <w:r w:rsidR="00D03BA7" w:rsidRPr="00C332F1">
        <w:rPr>
          <w:rFonts w:eastAsia="Cambria" w:cs="Cambria"/>
          <w:color w:val="000000" w:themeColor="text1"/>
          <w:lang w:val="es-MX"/>
        </w:rPr>
        <w:t>“</w:t>
      </w:r>
      <w:bookmarkEnd w:id="38"/>
      <w:r w:rsidR="00D03BA7" w:rsidRPr="00C332F1">
        <w:rPr>
          <w:rFonts w:eastAsia="Cambria" w:cs="Cambria"/>
          <w:color w:val="000000" w:themeColor="text1"/>
          <w:lang w:val="es-MX"/>
        </w:rPr>
        <w:t>Fiscalización, Regularización, Actuación y Financiamiento de las Organizaciones No Gubernamentales (ONG) y Organizaciones Sociales Sin Fines de Lucro”</w:t>
      </w:r>
      <w:r w:rsidR="00A14F05">
        <w:rPr>
          <w:rFonts w:ascii="ZWAdobeF" w:eastAsia="Cambria" w:hAnsi="ZWAdobeF" w:cs="ZWAdobeF"/>
          <w:color w:val="auto"/>
          <w:sz w:val="2"/>
          <w:szCs w:val="2"/>
          <w:lang w:val="es-MX"/>
        </w:rPr>
        <w:t>342F</w:t>
      </w:r>
      <w:r w:rsidR="00237EA8" w:rsidRPr="005C52BD">
        <w:rPr>
          <w:rFonts w:eastAsia="Cambria" w:cs="Cambria"/>
          <w:color w:val="000000" w:themeColor="text1"/>
          <w:vertAlign w:val="superscript"/>
          <w:lang w:val="es-MX"/>
        </w:rPr>
        <w:footnoteReference w:id="344"/>
      </w:r>
      <w:r w:rsidRPr="00C332F1">
        <w:rPr>
          <w:rFonts w:eastAsia="Cambria" w:cs="Cambria"/>
          <w:color w:val="000000" w:themeColor="text1"/>
          <w:lang w:val="es-MX"/>
        </w:rPr>
        <w:t>. Esta normativa, en sus artículos 1 y 2, establece como objetivo regular la constitución, el registro, el funcionamiento y el financiamiento de las ONG que se constituyan y operen en Venezuela</w:t>
      </w:r>
      <w:r w:rsidR="00A14F05">
        <w:rPr>
          <w:rFonts w:ascii="ZWAdobeF" w:eastAsia="Cambria" w:hAnsi="ZWAdobeF" w:cs="ZWAdobeF"/>
          <w:color w:val="auto"/>
          <w:sz w:val="2"/>
          <w:szCs w:val="2"/>
          <w:lang w:val="es-MX"/>
        </w:rPr>
        <w:t>343F</w:t>
      </w:r>
      <w:r w:rsidR="00237EA8" w:rsidRPr="005C52BD">
        <w:rPr>
          <w:rFonts w:eastAsia="Cambria" w:cs="Cambria"/>
          <w:color w:val="000000" w:themeColor="text1"/>
          <w:vertAlign w:val="superscript"/>
          <w:lang w:val="es-MX"/>
        </w:rPr>
        <w:footnoteReference w:id="345"/>
      </w:r>
      <w:r w:rsidRPr="00C332F1">
        <w:rPr>
          <w:rFonts w:eastAsia="Cambria" w:cs="Cambria"/>
          <w:color w:val="000000" w:themeColor="text1"/>
          <w:lang w:val="es-MX"/>
        </w:rPr>
        <w:t>.</w:t>
      </w:r>
    </w:p>
    <w:p w14:paraId="6C03BC8B" w14:textId="78A36949" w:rsidR="00000C11" w:rsidRPr="00C332F1" w:rsidRDefault="007F1BB0" w:rsidP="00C27B1B">
      <w:pPr>
        <w:pStyle w:val="IAPrrafo"/>
        <w:rPr>
          <w:rFonts w:eastAsia="Cambria" w:cs="Cambria"/>
          <w:color w:val="000000" w:themeColor="text1"/>
          <w:szCs w:val="20"/>
          <w:lang w:val="es-MX"/>
        </w:rPr>
      </w:pPr>
      <w:r w:rsidRPr="00C332F1">
        <w:rPr>
          <w:rFonts w:eastAsia="Cambria" w:cs="Cambria"/>
          <w:color w:val="000000" w:themeColor="text1"/>
          <w:lang w:val="es-MX"/>
        </w:rPr>
        <w:t>O</w:t>
      </w:r>
      <w:r w:rsidR="7383C3A8" w:rsidRPr="00C332F1">
        <w:rPr>
          <w:rFonts w:eastAsia="Cambria" w:cs="Cambria"/>
          <w:color w:val="000000" w:themeColor="text1"/>
          <w:lang w:val="es-MX"/>
        </w:rPr>
        <w:t>rganizaciones de la sociedad civil han expresado su preocupación, señalando que esta ley podría poner en riesgo la existencia de organizaciones comunitarias, humanitarias y de derechos humanos. En particular, los artículos ambiguos de la ley podrían limitar de manera desproporcionada las actividades de las ONG, imponiendo sanciones severas e incluso otorgando a las autoridades estatales la facultad de disolver unilateralmente aquellas organizaciones que, según su criterio, participen en actividades políticas o que sean consideradas una amenaza para la estabilidad nacional o las instituciones del Estado</w:t>
      </w:r>
      <w:r w:rsidR="00A14F05">
        <w:rPr>
          <w:rFonts w:ascii="ZWAdobeF" w:eastAsia="Cambria" w:hAnsi="ZWAdobeF" w:cs="ZWAdobeF"/>
          <w:color w:val="auto"/>
          <w:sz w:val="2"/>
          <w:szCs w:val="2"/>
          <w:lang w:val="es-MX"/>
        </w:rPr>
        <w:t>344F</w:t>
      </w:r>
      <w:r w:rsidR="00237EA8" w:rsidRPr="005C52BD">
        <w:rPr>
          <w:rFonts w:eastAsia="Cambria" w:cs="Cambria"/>
          <w:color w:val="000000" w:themeColor="text1"/>
          <w:vertAlign w:val="superscript"/>
          <w:lang w:val="es-MX"/>
        </w:rPr>
        <w:footnoteReference w:id="346"/>
      </w:r>
      <w:r w:rsidR="3FB37507" w:rsidRPr="00C332F1">
        <w:rPr>
          <w:rFonts w:eastAsia="Cambria" w:cs="Cambria"/>
          <w:color w:val="000000" w:themeColor="text1"/>
          <w:lang w:val="es-MX"/>
        </w:rPr>
        <w:t>.</w:t>
      </w:r>
    </w:p>
    <w:p w14:paraId="2F6BBA7A" w14:textId="317E8C49" w:rsidR="00000C11" w:rsidRPr="00C332F1" w:rsidRDefault="7383C3A8" w:rsidP="007F4739">
      <w:pPr>
        <w:pStyle w:val="IAPrrafo"/>
        <w:rPr>
          <w:rFonts w:eastAsia="Cambria" w:cs="Cambria"/>
          <w:color w:val="000000" w:themeColor="text1"/>
          <w:szCs w:val="20"/>
          <w:lang w:val="es-MX"/>
        </w:rPr>
      </w:pPr>
      <w:r w:rsidRPr="00C332F1">
        <w:rPr>
          <w:rFonts w:eastAsia="Cambria" w:cs="Cambria"/>
          <w:color w:val="000000" w:themeColor="text1"/>
          <w:lang w:val="es-MX"/>
        </w:rPr>
        <w:t>Según los informes disponibles, la ley fue aprobada inicialmente en primera discusión el 24 de enero de 2023, sin haber sido sometida a una consulta pública previa</w:t>
      </w:r>
      <w:r w:rsidR="00A14F05">
        <w:rPr>
          <w:rFonts w:ascii="ZWAdobeF" w:eastAsia="Cambria" w:hAnsi="ZWAdobeF" w:cs="ZWAdobeF"/>
          <w:color w:val="auto"/>
          <w:sz w:val="2"/>
          <w:szCs w:val="2"/>
          <w:lang w:val="es-MX"/>
        </w:rPr>
        <w:t>345F</w:t>
      </w:r>
      <w:r w:rsidR="00237EA8" w:rsidRPr="005C52BD">
        <w:rPr>
          <w:rFonts w:eastAsia="Cambria" w:cs="Cambria"/>
          <w:color w:val="000000" w:themeColor="text1"/>
          <w:vertAlign w:val="superscript"/>
          <w:lang w:val="es-MX"/>
        </w:rPr>
        <w:footnoteReference w:id="347"/>
      </w:r>
      <w:r w:rsidRPr="00C332F1">
        <w:rPr>
          <w:rFonts w:eastAsia="Cambria" w:cs="Cambria"/>
          <w:color w:val="000000" w:themeColor="text1"/>
          <w:lang w:val="es-MX"/>
        </w:rPr>
        <w:t>. Aunque se anunció que se llevaría a cabo una consulta formal el 12 de enero de 2024, no existen evidencias de que dicha consulta haya sido realizada de manera amplia, inclusiva y transparente, según los reportes públicos</w:t>
      </w:r>
      <w:r w:rsidR="00A14F05">
        <w:rPr>
          <w:rFonts w:ascii="ZWAdobeF" w:eastAsia="Cambria" w:hAnsi="ZWAdobeF" w:cs="ZWAdobeF"/>
          <w:color w:val="auto"/>
          <w:sz w:val="2"/>
          <w:szCs w:val="2"/>
          <w:lang w:val="es-MX"/>
        </w:rPr>
        <w:t>346F</w:t>
      </w:r>
      <w:r w:rsidR="00237EA8" w:rsidRPr="005C52BD">
        <w:rPr>
          <w:rFonts w:eastAsia="Cambria" w:cs="Cambria"/>
          <w:color w:val="000000" w:themeColor="text1"/>
          <w:vertAlign w:val="superscript"/>
          <w:lang w:val="es-MX"/>
        </w:rPr>
        <w:footnoteReference w:id="348"/>
      </w:r>
      <w:r w:rsidRPr="00C332F1">
        <w:rPr>
          <w:rFonts w:eastAsia="Cambria" w:cs="Cambria"/>
          <w:color w:val="000000" w:themeColor="text1"/>
          <w:lang w:val="es-MX"/>
        </w:rPr>
        <w:t>.</w:t>
      </w:r>
    </w:p>
    <w:p w14:paraId="262F1CAB" w14:textId="3898476A" w:rsidR="007F1BB0" w:rsidRPr="00C332F1" w:rsidRDefault="7383C3A8" w:rsidP="004B4BB6">
      <w:pPr>
        <w:pStyle w:val="IAPrrafo"/>
        <w:rPr>
          <w:color w:val="auto"/>
          <w:szCs w:val="20"/>
          <w:lang w:val="es-MX"/>
        </w:rPr>
      </w:pPr>
      <w:r w:rsidRPr="00C332F1">
        <w:rPr>
          <w:rFonts w:eastAsia="Cambria" w:cs="Cambria"/>
          <w:lang w:val="es-MX"/>
        </w:rPr>
        <w:t>En enero de 2024, la CIDH y su Relatoría Especial expresaron preocupación por las declaraciones realizadas durante las discusiones del proyecto de ley, en las que diputados oficialistas calificaron a las organizaciones de la sociedad civil como “enemigas”, “desestabilizadoras”, “traidoras de la patria” y “fachadas de partidos”, entre otros términos estigmatizantes</w:t>
      </w:r>
      <w:r w:rsidR="00A14F05">
        <w:rPr>
          <w:rFonts w:ascii="ZWAdobeF" w:eastAsia="Cambria" w:hAnsi="ZWAdobeF" w:cs="ZWAdobeF"/>
          <w:color w:val="auto"/>
          <w:sz w:val="2"/>
          <w:szCs w:val="2"/>
          <w:lang w:val="es-MX"/>
        </w:rPr>
        <w:t>347F</w:t>
      </w:r>
      <w:r w:rsidR="00237EA8" w:rsidRPr="005C52BD">
        <w:rPr>
          <w:rFonts w:eastAsia="Cambria" w:cs="Cambria"/>
          <w:vertAlign w:val="superscript"/>
          <w:lang w:val="es-MX"/>
        </w:rPr>
        <w:footnoteReference w:id="349"/>
      </w:r>
      <w:r w:rsidR="13E67A29" w:rsidRPr="00C332F1">
        <w:rPr>
          <w:rFonts w:eastAsia="Cambria" w:cs="Cambria"/>
          <w:lang w:val="es-MX"/>
        </w:rPr>
        <w:t>.</w:t>
      </w:r>
      <w:r w:rsidRPr="00C332F1">
        <w:rPr>
          <w:rFonts w:eastAsia="Cambria" w:cs="Cambria"/>
          <w:lang w:val="es-MX"/>
        </w:rPr>
        <w:t xml:space="preserve"> Estas afirmaciones reflejan un clima de hostilidad hacia quienes defienden los derechos humanos o ejercen el periodismo en Venezuela. En ese sentido, instaron al Estado venezolano a abstenerse de aprobar cualquier tipo de legislación o reglamentación que limite arbitrariamente el derecho de asociación, la libertad de expresión y la participación pública</w:t>
      </w:r>
      <w:r w:rsidR="00A14F05">
        <w:rPr>
          <w:rFonts w:ascii="ZWAdobeF" w:eastAsia="Cambria" w:hAnsi="ZWAdobeF" w:cs="ZWAdobeF"/>
          <w:color w:val="auto"/>
          <w:sz w:val="2"/>
          <w:szCs w:val="2"/>
          <w:lang w:val="es-MX"/>
        </w:rPr>
        <w:t>348F</w:t>
      </w:r>
      <w:r w:rsidR="00237EA8" w:rsidRPr="005C52BD">
        <w:rPr>
          <w:rFonts w:eastAsia="Cambria" w:cs="Cambria"/>
          <w:vertAlign w:val="superscript"/>
          <w:lang w:val="es-MX"/>
        </w:rPr>
        <w:footnoteReference w:id="350"/>
      </w:r>
      <w:r w:rsidR="49BE106B" w:rsidRPr="00C332F1">
        <w:rPr>
          <w:rFonts w:eastAsia="Cambria" w:cs="Cambria"/>
          <w:vertAlign w:val="superscript"/>
          <w:lang w:val="es-MX"/>
        </w:rPr>
        <w:t>.</w:t>
      </w:r>
    </w:p>
    <w:p w14:paraId="22570415" w14:textId="0B146E09" w:rsidR="00AB1B38" w:rsidRPr="00C332F1" w:rsidRDefault="00DD4546" w:rsidP="004B4BB6">
      <w:pPr>
        <w:pStyle w:val="IAPrrafo"/>
        <w:rPr>
          <w:color w:val="auto"/>
          <w:szCs w:val="20"/>
          <w:lang w:val="es-MX"/>
        </w:rPr>
      </w:pPr>
      <w:r w:rsidRPr="00C332F1">
        <w:rPr>
          <w:color w:val="auto"/>
          <w:lang w:val="es-MX"/>
        </w:rPr>
        <w:t>A</w:t>
      </w:r>
      <w:r w:rsidR="50B0CD6E" w:rsidRPr="00C332F1">
        <w:rPr>
          <w:color w:val="auto"/>
          <w:lang w:val="es-MX"/>
        </w:rPr>
        <w:t>simismo</w:t>
      </w:r>
      <w:r w:rsidRPr="00C332F1">
        <w:rPr>
          <w:color w:val="auto"/>
          <w:lang w:val="es-MX"/>
        </w:rPr>
        <w:t xml:space="preserve">, </w:t>
      </w:r>
      <w:r w:rsidR="50B0CD6E" w:rsidRPr="00C332F1">
        <w:rPr>
          <w:color w:val="auto"/>
          <w:lang w:val="es-MX"/>
        </w:rPr>
        <w:t>el proyecto de ley contra el fascismo, neofascismo y expresiones similares, aprobado en una primera discusión ante la Asamblea Nacional el 2 de abril</w:t>
      </w:r>
      <w:r w:rsidR="00A14F05">
        <w:rPr>
          <w:rFonts w:ascii="ZWAdobeF" w:hAnsi="ZWAdobeF" w:cs="ZWAdobeF"/>
          <w:color w:val="auto"/>
          <w:sz w:val="2"/>
          <w:szCs w:val="2"/>
          <w:lang w:val="es-MX"/>
        </w:rPr>
        <w:t>349F</w:t>
      </w:r>
      <w:r w:rsidR="00AB1B38" w:rsidRPr="005C52BD">
        <w:rPr>
          <w:rStyle w:val="FootnoteReference"/>
          <w:color w:val="auto"/>
          <w:sz w:val="20"/>
          <w:szCs w:val="20"/>
          <w:lang w:val="es-MX"/>
        </w:rPr>
        <w:footnoteReference w:id="351"/>
      </w:r>
      <w:r w:rsidR="1CB26C55" w:rsidRPr="00C332F1">
        <w:rPr>
          <w:color w:val="auto"/>
          <w:lang w:val="es-MX"/>
        </w:rPr>
        <w:t>,</w:t>
      </w:r>
      <w:r w:rsidR="50B0CD6E" w:rsidRPr="00C332F1">
        <w:rPr>
          <w:color w:val="auto"/>
          <w:lang w:val="es-MX"/>
        </w:rPr>
        <w:t xml:space="preserve"> </w:t>
      </w:r>
      <w:r w:rsidR="27486812" w:rsidRPr="00C332F1">
        <w:rPr>
          <w:color w:val="auto"/>
          <w:lang w:val="es-MX"/>
        </w:rPr>
        <w:t>ya</w:t>
      </w:r>
      <w:r w:rsidR="25109F8A" w:rsidRPr="00C332F1">
        <w:rPr>
          <w:color w:val="auto"/>
          <w:lang w:val="es-MX"/>
        </w:rPr>
        <w:t xml:space="preserve"> refer</w:t>
      </w:r>
      <w:r w:rsidR="3B8349A4" w:rsidRPr="00C332F1">
        <w:rPr>
          <w:color w:val="auto"/>
          <w:lang w:val="es-MX"/>
        </w:rPr>
        <w:t>enciado en e</w:t>
      </w:r>
      <w:r w:rsidR="46BF10C2" w:rsidRPr="00C332F1">
        <w:rPr>
          <w:color w:val="auto"/>
          <w:lang w:val="es-MX"/>
        </w:rPr>
        <w:t>l apartado sobre libertad de expresi</w:t>
      </w:r>
      <w:r w:rsidR="491DF4D8" w:rsidRPr="00C332F1">
        <w:rPr>
          <w:color w:val="auto"/>
          <w:lang w:val="es-MX"/>
        </w:rPr>
        <w:t xml:space="preserve">ón, </w:t>
      </w:r>
      <w:r w:rsidR="50B0CD6E" w:rsidRPr="00C332F1">
        <w:rPr>
          <w:color w:val="auto"/>
          <w:lang w:val="es-MX"/>
        </w:rPr>
        <w:t>contiene una redacción vaga y ambigua sobre los conceptos de fascismo y neofascismo, así como en la aplicación de sus penas, lo cual podría derivar en una mayor censura y restricción al derecho a defender derechos humanos</w:t>
      </w:r>
      <w:r w:rsidR="00A14F05">
        <w:rPr>
          <w:rFonts w:ascii="ZWAdobeF" w:hAnsi="ZWAdobeF" w:cs="ZWAdobeF"/>
          <w:color w:val="auto"/>
          <w:sz w:val="2"/>
          <w:szCs w:val="2"/>
          <w:lang w:val="es-MX"/>
        </w:rPr>
        <w:t>350F</w:t>
      </w:r>
      <w:r w:rsidR="00AB1B38" w:rsidRPr="005C52BD">
        <w:rPr>
          <w:rStyle w:val="FootnoteReference"/>
          <w:color w:val="auto"/>
          <w:sz w:val="20"/>
          <w:szCs w:val="20"/>
          <w:lang w:val="es-MX"/>
        </w:rPr>
        <w:footnoteReference w:id="352"/>
      </w:r>
      <w:r w:rsidR="50B0CD6E" w:rsidRPr="00C332F1">
        <w:rPr>
          <w:color w:val="auto"/>
          <w:lang w:val="es-MX"/>
        </w:rPr>
        <w:t>.</w:t>
      </w:r>
    </w:p>
    <w:p w14:paraId="553FA896" w14:textId="77777777" w:rsidR="00626AEC" w:rsidRPr="00C332F1" w:rsidRDefault="00626AEC" w:rsidP="00B512BB">
      <w:pPr>
        <w:pStyle w:val="IASubttulo3"/>
        <w:rPr>
          <w:lang w:val="es-US"/>
        </w:rPr>
      </w:pPr>
      <w:bookmarkStart w:id="39" w:name="_Toc195617483"/>
      <w:r w:rsidRPr="00C332F1">
        <w:rPr>
          <w:lang w:val="es-US"/>
        </w:rPr>
        <w:t>Personas lesbianas, gay, bisexuales, trans e intersex (LGBTI)</w:t>
      </w:r>
      <w:bookmarkEnd w:id="39"/>
    </w:p>
    <w:p w14:paraId="063366AD" w14:textId="13C105C6" w:rsidR="00626AEC" w:rsidRPr="00C332F1" w:rsidRDefault="00626AEC" w:rsidP="004B4BB6">
      <w:pPr>
        <w:pStyle w:val="IAPrrafo"/>
        <w:spacing w:line="259" w:lineRule="auto"/>
        <w:rPr>
          <w:color w:val="auto"/>
          <w:szCs w:val="20"/>
          <w:lang w:val="es-ES"/>
        </w:rPr>
      </w:pPr>
      <w:r w:rsidRPr="00C332F1">
        <w:rPr>
          <w:color w:val="auto"/>
          <w:szCs w:val="20"/>
          <w:lang w:val="es-ES"/>
        </w:rPr>
        <w:t xml:space="preserve">Venezuela continua sin producir datos oficiales sobre la violencia y discriminación que afecta a las personas LGBTI. </w:t>
      </w:r>
      <w:r w:rsidR="003B0039" w:rsidRPr="00C332F1">
        <w:rPr>
          <w:color w:val="auto"/>
          <w:szCs w:val="20"/>
          <w:lang w:val="es-ES"/>
        </w:rPr>
        <w:t>N</w:t>
      </w:r>
      <w:r w:rsidRPr="00C332F1">
        <w:rPr>
          <w:color w:val="auto"/>
          <w:szCs w:val="20"/>
          <w:lang w:val="es-ES"/>
        </w:rPr>
        <w:t>o existe un marco legal que garantice sus derechos fundamentales</w:t>
      </w:r>
      <w:r w:rsidR="000F369C" w:rsidRPr="00C332F1">
        <w:rPr>
          <w:color w:val="auto"/>
          <w:szCs w:val="20"/>
          <w:lang w:val="es-ES"/>
        </w:rPr>
        <w:t xml:space="preserve">, bajo el principio de igualdad y no discriminación, </w:t>
      </w:r>
      <w:r w:rsidRPr="00C332F1">
        <w:rPr>
          <w:color w:val="auto"/>
          <w:szCs w:val="20"/>
          <w:lang w:val="es-ES"/>
        </w:rPr>
        <w:t>incluidos</w:t>
      </w:r>
      <w:r w:rsidR="00811B00" w:rsidRPr="00C332F1">
        <w:rPr>
          <w:color w:val="auto"/>
          <w:szCs w:val="20"/>
          <w:lang w:val="es-ES"/>
        </w:rPr>
        <w:t xml:space="preserve"> el reconocimiento a</w:t>
      </w:r>
      <w:r w:rsidRPr="00C332F1">
        <w:rPr>
          <w:color w:val="auto"/>
          <w:szCs w:val="20"/>
          <w:lang w:val="es-ES"/>
        </w:rPr>
        <w:t xml:space="preserve"> familias diversas y </w:t>
      </w:r>
      <w:r w:rsidR="00811B00" w:rsidRPr="00C332F1">
        <w:rPr>
          <w:color w:val="auto"/>
          <w:szCs w:val="20"/>
          <w:lang w:val="es-ES"/>
        </w:rPr>
        <w:t xml:space="preserve">a </w:t>
      </w:r>
      <w:r w:rsidRPr="00C332F1">
        <w:rPr>
          <w:color w:val="auto"/>
          <w:szCs w:val="20"/>
          <w:lang w:val="es-ES"/>
        </w:rPr>
        <w:t>la identidad de género</w:t>
      </w:r>
      <w:r w:rsidR="00E16C4D" w:rsidRPr="00C332F1">
        <w:rPr>
          <w:color w:val="auto"/>
          <w:szCs w:val="20"/>
          <w:lang w:val="es-ES"/>
        </w:rPr>
        <w:t>.</w:t>
      </w:r>
      <w:r w:rsidR="00CE69D9" w:rsidRPr="00C332F1">
        <w:rPr>
          <w:color w:val="auto"/>
          <w:szCs w:val="20"/>
          <w:lang w:val="es-ES"/>
        </w:rPr>
        <w:t xml:space="preserve"> </w:t>
      </w:r>
      <w:r w:rsidR="006C2F05" w:rsidRPr="00C332F1">
        <w:rPr>
          <w:color w:val="auto"/>
          <w:szCs w:val="20"/>
          <w:lang w:val="es-ES"/>
        </w:rPr>
        <w:t>A</w:t>
      </w:r>
      <w:r w:rsidR="003B0039" w:rsidRPr="00C332F1">
        <w:rPr>
          <w:color w:val="auto"/>
          <w:szCs w:val="20"/>
          <w:lang w:val="es-ES"/>
        </w:rPr>
        <w:t>dicionalmente,</w:t>
      </w:r>
      <w:r w:rsidR="006C2F05" w:rsidRPr="00C332F1">
        <w:rPr>
          <w:color w:val="auto"/>
          <w:szCs w:val="20"/>
          <w:lang w:val="es-ES"/>
        </w:rPr>
        <w:t xml:space="preserve"> la Comisión Interamericana recibió </w:t>
      </w:r>
      <w:r w:rsidR="00227BFC" w:rsidRPr="00C332F1">
        <w:rPr>
          <w:color w:val="auto"/>
          <w:szCs w:val="20"/>
          <w:lang w:val="es-ES"/>
        </w:rPr>
        <w:t>información</w:t>
      </w:r>
      <w:r w:rsidR="006C2F05" w:rsidRPr="00C332F1">
        <w:rPr>
          <w:color w:val="auto"/>
          <w:szCs w:val="20"/>
          <w:lang w:val="es-ES"/>
        </w:rPr>
        <w:t xml:space="preserve"> sobre afectaciones a </w:t>
      </w:r>
      <w:r w:rsidR="00CE69D9" w:rsidRPr="00C332F1">
        <w:rPr>
          <w:color w:val="auto"/>
          <w:szCs w:val="20"/>
          <w:lang w:val="es-ES"/>
        </w:rPr>
        <w:t>las libertades de asociación y expresión</w:t>
      </w:r>
      <w:r w:rsidR="006C2F05" w:rsidRPr="00C332F1">
        <w:rPr>
          <w:color w:val="auto"/>
          <w:szCs w:val="20"/>
          <w:lang w:val="es-ES"/>
        </w:rPr>
        <w:t xml:space="preserve"> de personas LGBTI.</w:t>
      </w:r>
    </w:p>
    <w:p w14:paraId="7CF6A8B3" w14:textId="61D2EDF5" w:rsidR="00626AEC" w:rsidRPr="00C332F1" w:rsidRDefault="5E5E34B1" w:rsidP="004B4BB6">
      <w:pPr>
        <w:pStyle w:val="IAPrrafo"/>
        <w:spacing w:line="259" w:lineRule="auto"/>
        <w:rPr>
          <w:color w:val="auto"/>
          <w:szCs w:val="20"/>
          <w:lang w:val="es-ES"/>
        </w:rPr>
      </w:pPr>
      <w:r w:rsidRPr="00C332F1">
        <w:rPr>
          <w:color w:val="auto"/>
          <w:lang w:val="es-ES"/>
        </w:rPr>
        <w:t>En 2024, se observaron acciones de persecución por prejuicios contra las personas LGBTI y aquellas personas que defienden sus derechos en Venezuela. En particular, se han registrado acciones de agentes de seguridad del Estado y discursos estigmatizantes pronunciados por altas autoridades que no solo alimentan un clima de discriminación, sino que también erosionan la confianza en las instituciones gubernamentales</w:t>
      </w:r>
      <w:r w:rsidR="00A14F05">
        <w:rPr>
          <w:rFonts w:ascii="ZWAdobeF" w:hAnsi="ZWAdobeF" w:cs="ZWAdobeF"/>
          <w:color w:val="auto"/>
          <w:sz w:val="2"/>
          <w:szCs w:val="2"/>
          <w:lang w:val="es-ES"/>
        </w:rPr>
        <w:t>351F</w:t>
      </w:r>
      <w:r w:rsidR="00626AEC" w:rsidRPr="005C52BD">
        <w:rPr>
          <w:rStyle w:val="FootnoteReference"/>
          <w:color w:val="auto"/>
          <w:sz w:val="20"/>
          <w:szCs w:val="20"/>
          <w:lang w:val="es-ES"/>
        </w:rPr>
        <w:footnoteReference w:id="353"/>
      </w:r>
      <w:r w:rsidRPr="00C332F1">
        <w:rPr>
          <w:color w:val="auto"/>
          <w:lang w:val="es-ES"/>
        </w:rPr>
        <w:t>. Aunado a ello, la sociedad civil ha documentado al menos 3 asesinatos de personas LGBTI en 2024</w:t>
      </w:r>
      <w:r w:rsidR="00A14F05">
        <w:rPr>
          <w:rFonts w:ascii="ZWAdobeF" w:hAnsi="ZWAdobeF" w:cs="ZWAdobeF"/>
          <w:color w:val="auto"/>
          <w:sz w:val="2"/>
          <w:szCs w:val="2"/>
          <w:lang w:val="es-ES"/>
        </w:rPr>
        <w:t>352F</w:t>
      </w:r>
      <w:r w:rsidR="00626AEC" w:rsidRPr="005C52BD">
        <w:rPr>
          <w:rStyle w:val="FootnoteReference"/>
          <w:color w:val="auto"/>
          <w:sz w:val="20"/>
          <w:szCs w:val="20"/>
          <w:lang w:val="es-ES"/>
        </w:rPr>
        <w:footnoteReference w:id="354"/>
      </w:r>
      <w:r w:rsidRPr="00C332F1">
        <w:rPr>
          <w:color w:val="auto"/>
          <w:lang w:val="es-ES"/>
        </w:rPr>
        <w:t>.</w:t>
      </w:r>
    </w:p>
    <w:p w14:paraId="561015B6" w14:textId="175CAFBC" w:rsidR="00180325" w:rsidRPr="00C332F1" w:rsidRDefault="5E5E34B1" w:rsidP="00655B50">
      <w:pPr>
        <w:pStyle w:val="IAPrrafo"/>
        <w:spacing w:line="259" w:lineRule="auto"/>
        <w:rPr>
          <w:color w:val="auto"/>
          <w:szCs w:val="20"/>
          <w:lang w:val="es-ES"/>
        </w:rPr>
      </w:pPr>
      <w:r w:rsidRPr="00C332F1">
        <w:rPr>
          <w:color w:val="auto"/>
          <w:lang w:val="es-ES"/>
        </w:rPr>
        <w:t>En 2024, se registraron allanamientos y detenciones en contra personas defensoras de derechos LGBTI. Nelson Merino fue reportado como desaparecido el 30 de julio de tras un allanamiento en su casa por parte de cuerpos de seguridad del Estado</w:t>
      </w:r>
      <w:r w:rsidR="00A14F05">
        <w:rPr>
          <w:rFonts w:ascii="ZWAdobeF" w:hAnsi="ZWAdobeF" w:cs="ZWAdobeF"/>
          <w:color w:val="auto"/>
          <w:sz w:val="2"/>
          <w:szCs w:val="2"/>
          <w:lang w:val="es-ES"/>
        </w:rPr>
        <w:t>353F</w:t>
      </w:r>
      <w:r w:rsidR="00626AEC" w:rsidRPr="005C52BD">
        <w:rPr>
          <w:rStyle w:val="FootnoteReference"/>
          <w:color w:val="auto"/>
          <w:sz w:val="20"/>
          <w:szCs w:val="20"/>
          <w:lang w:val="es-ES"/>
        </w:rPr>
        <w:footnoteReference w:id="355"/>
      </w:r>
      <w:r w:rsidRPr="00C332F1">
        <w:rPr>
          <w:color w:val="auto"/>
          <w:lang w:val="es-ES"/>
        </w:rPr>
        <w:t>. Según información de sociedad civil, Merino fue trasladado hacia el penal de Tocorón</w:t>
      </w:r>
      <w:r w:rsidR="5E0F9A6C" w:rsidRPr="00C332F1">
        <w:rPr>
          <w:color w:val="auto"/>
          <w:lang w:val="es-ES"/>
        </w:rPr>
        <w:t>,</w:t>
      </w:r>
      <w:r w:rsidRPr="00C332F1">
        <w:rPr>
          <w:color w:val="auto"/>
          <w:lang w:val="es-ES"/>
        </w:rPr>
        <w:t xml:space="preserve"> a pesar de estar en un grave estado de salud</w:t>
      </w:r>
      <w:r w:rsidR="00A14F05">
        <w:rPr>
          <w:rFonts w:ascii="ZWAdobeF" w:hAnsi="ZWAdobeF" w:cs="ZWAdobeF"/>
          <w:color w:val="auto"/>
          <w:sz w:val="2"/>
          <w:szCs w:val="2"/>
          <w:lang w:val="es-ES"/>
        </w:rPr>
        <w:t>354F</w:t>
      </w:r>
      <w:r w:rsidR="00626AEC" w:rsidRPr="005C52BD">
        <w:rPr>
          <w:rStyle w:val="FootnoteReference"/>
          <w:color w:val="auto"/>
          <w:sz w:val="20"/>
          <w:szCs w:val="20"/>
          <w:lang w:val="es-ES"/>
        </w:rPr>
        <w:footnoteReference w:id="356"/>
      </w:r>
      <w:r w:rsidRPr="00C332F1">
        <w:rPr>
          <w:color w:val="auto"/>
          <w:lang w:val="es-ES"/>
        </w:rPr>
        <w:t>. De otra parte, en agosto de este año, el activista Koddy Campos denunció que funcionarios de la DIE intentaron allanar de manera ilegal su vivienda al oeste de Caracas</w:t>
      </w:r>
      <w:r w:rsidR="00A14F05">
        <w:rPr>
          <w:rFonts w:ascii="ZWAdobeF" w:hAnsi="ZWAdobeF" w:cs="ZWAdobeF"/>
          <w:color w:val="auto"/>
          <w:sz w:val="2"/>
          <w:szCs w:val="2"/>
          <w:lang w:val="es-ES"/>
        </w:rPr>
        <w:t>355F</w:t>
      </w:r>
      <w:r w:rsidR="00626AEC" w:rsidRPr="005C52BD">
        <w:rPr>
          <w:rStyle w:val="FootnoteReference"/>
          <w:color w:val="auto"/>
          <w:sz w:val="20"/>
          <w:szCs w:val="20"/>
          <w:lang w:val="es-ES"/>
        </w:rPr>
        <w:footnoteReference w:id="357"/>
      </w:r>
      <w:r w:rsidRPr="00C332F1">
        <w:rPr>
          <w:color w:val="auto"/>
          <w:lang w:val="es-ES"/>
        </w:rPr>
        <w:t>.</w:t>
      </w:r>
    </w:p>
    <w:p w14:paraId="7282AD50" w14:textId="5FEAC98A" w:rsidR="00626AEC" w:rsidRPr="00C332F1" w:rsidRDefault="5E5E34B1" w:rsidP="00626AEC">
      <w:pPr>
        <w:pStyle w:val="IAPrrafo"/>
        <w:spacing w:line="259" w:lineRule="auto"/>
        <w:rPr>
          <w:color w:val="auto"/>
          <w:szCs w:val="20"/>
          <w:lang w:val="es-ES"/>
        </w:rPr>
      </w:pPr>
      <w:r w:rsidRPr="00C332F1">
        <w:rPr>
          <w:color w:val="auto"/>
          <w:lang w:val="es-ES"/>
        </w:rPr>
        <w:t>El cierre de dos organizaciones derechos humanos de personas LGBTI en el país también ha sido un tema de preocupación. El 12 de octubre la organización Venezuela Igualitaria informó el cese de sus actividades debido a “el actual contexto económico, social y político”</w:t>
      </w:r>
      <w:r w:rsidR="00A14F05">
        <w:rPr>
          <w:rFonts w:ascii="ZWAdobeF" w:hAnsi="ZWAdobeF" w:cs="ZWAdobeF"/>
          <w:color w:val="auto"/>
          <w:sz w:val="2"/>
          <w:szCs w:val="2"/>
          <w:lang w:val="es-ES"/>
        </w:rPr>
        <w:t>356F</w:t>
      </w:r>
      <w:r w:rsidR="00626AEC" w:rsidRPr="005C52BD">
        <w:rPr>
          <w:rStyle w:val="FootnoteReference"/>
          <w:color w:val="auto"/>
          <w:sz w:val="20"/>
          <w:szCs w:val="20"/>
          <w:lang w:val="es-ES"/>
        </w:rPr>
        <w:footnoteReference w:id="358"/>
      </w:r>
      <w:r w:rsidRPr="00C332F1">
        <w:rPr>
          <w:color w:val="auto"/>
          <w:lang w:val="es-ES"/>
        </w:rPr>
        <w:t>. El 14 de octubre, la organización País Narrado anunció también el fin de sus actividades, indicando como motivo “La situación sociopolítica y económica venezolana, así como los nuevos desafíos que enfrenta el país”</w:t>
      </w:r>
      <w:r w:rsidR="00A14F05">
        <w:rPr>
          <w:rFonts w:ascii="ZWAdobeF" w:hAnsi="ZWAdobeF" w:cs="ZWAdobeF"/>
          <w:color w:val="auto"/>
          <w:sz w:val="2"/>
          <w:szCs w:val="2"/>
          <w:lang w:val="es-ES"/>
        </w:rPr>
        <w:t>357F</w:t>
      </w:r>
      <w:r w:rsidR="00626AEC" w:rsidRPr="005C52BD">
        <w:rPr>
          <w:rStyle w:val="FootnoteReference"/>
          <w:color w:val="auto"/>
          <w:sz w:val="20"/>
          <w:szCs w:val="20"/>
          <w:lang w:val="es-ES"/>
        </w:rPr>
        <w:footnoteReference w:id="359"/>
      </w:r>
      <w:r w:rsidRPr="00C332F1">
        <w:rPr>
          <w:color w:val="auto"/>
          <w:lang w:val="es-ES"/>
        </w:rPr>
        <w:t>. El cierre de estas organizaciones se da en un contexto de persecución contra personas defensoras y violencia estructural contra personas LGBTIQ+ que requieren la atención inmediata del Estado.</w:t>
      </w:r>
    </w:p>
    <w:p w14:paraId="6DC430D7" w14:textId="77777777" w:rsidR="00B512BB" w:rsidRPr="00C332F1" w:rsidRDefault="00B512BB" w:rsidP="00B512BB">
      <w:pPr>
        <w:pStyle w:val="IASubttulo3"/>
        <w:rPr>
          <w:rFonts w:eastAsia="Cambria" w:cs="Cambria"/>
          <w:color w:val="000000" w:themeColor="text1"/>
          <w:szCs w:val="20"/>
          <w:lang w:val="es-US"/>
        </w:rPr>
      </w:pPr>
      <w:bookmarkStart w:id="40" w:name="_Toc195617484"/>
      <w:r w:rsidRPr="00C332F1">
        <w:rPr>
          <w:lang w:val="es-US"/>
        </w:rPr>
        <w:t>Personas mayores</w:t>
      </w:r>
      <w:bookmarkEnd w:id="40"/>
    </w:p>
    <w:p w14:paraId="1A92A10B" w14:textId="1099766E" w:rsidR="00B512BB" w:rsidRPr="00C332F1" w:rsidRDefault="6AFB7145" w:rsidP="004B4BB6">
      <w:pPr>
        <w:pStyle w:val="IAPrrafo"/>
        <w:rPr>
          <w:rFonts w:eastAsia="Cambria" w:cs="Cambria"/>
          <w:color w:val="000000" w:themeColor="text1"/>
          <w:szCs w:val="20"/>
          <w:lang w:val="es-ES"/>
        </w:rPr>
      </w:pPr>
      <w:r w:rsidRPr="00C332F1">
        <w:rPr>
          <w:rFonts w:eastAsia="Cambria" w:cs="Cambria"/>
          <w:color w:val="000000" w:themeColor="text1"/>
          <w:lang w:val="es-ES"/>
        </w:rPr>
        <w:t>Las personas mayores en Venezuela continúan enfrentando grandes desafíos para llevar una vida digna. Si bien el país cuenta con pensiones contributivas y no contributivas que son complementadas a través de bonos, el monto básico percibido sería inferior a 5 dólares</w:t>
      </w:r>
      <w:r w:rsidR="00A14F05">
        <w:rPr>
          <w:rFonts w:ascii="ZWAdobeF" w:eastAsia="Cambria" w:hAnsi="ZWAdobeF" w:cs="ZWAdobeF"/>
          <w:color w:val="auto"/>
          <w:sz w:val="2"/>
          <w:szCs w:val="2"/>
          <w:lang w:val="es-ES"/>
        </w:rPr>
        <w:t>358F</w:t>
      </w:r>
      <w:r w:rsidR="00B512BB" w:rsidRPr="005C52BD">
        <w:rPr>
          <w:rStyle w:val="FootnoteReference"/>
          <w:color w:val="auto"/>
          <w:sz w:val="20"/>
          <w:szCs w:val="20"/>
          <w:lang w:val="es-US"/>
        </w:rPr>
        <w:footnoteReference w:id="360"/>
      </w:r>
      <w:r w:rsidRPr="00C332F1">
        <w:rPr>
          <w:rFonts w:eastAsia="Cambria" w:cs="Cambria"/>
          <w:color w:val="000000" w:themeColor="text1"/>
          <w:lang w:val="es-MX"/>
        </w:rPr>
        <w:t>.</w:t>
      </w:r>
      <w:r w:rsidRPr="00C332F1">
        <w:rPr>
          <w:rFonts w:eastAsia="Cambria" w:cs="Cambria"/>
          <w:color w:val="000000" w:themeColor="text1"/>
          <w:lang w:val="es-ES"/>
        </w:rPr>
        <w:t xml:space="preserve"> Sumado a lo anterior, las personas mayores jubiladas, residentes en el exterior, se encontrarían con pensiones suspendidas desde hace casi nueve años</w:t>
      </w:r>
      <w:r w:rsidR="00A14F05">
        <w:rPr>
          <w:rFonts w:ascii="ZWAdobeF" w:eastAsia="Cambria" w:hAnsi="ZWAdobeF" w:cs="ZWAdobeF"/>
          <w:color w:val="auto"/>
          <w:sz w:val="2"/>
          <w:szCs w:val="2"/>
          <w:lang w:val="es-ES"/>
        </w:rPr>
        <w:t>359F</w:t>
      </w:r>
      <w:r w:rsidR="00B512BB" w:rsidRPr="005C52BD">
        <w:rPr>
          <w:rStyle w:val="FootnoteReference"/>
          <w:color w:val="auto"/>
          <w:sz w:val="20"/>
          <w:szCs w:val="20"/>
          <w:lang w:val="es-US"/>
        </w:rPr>
        <w:footnoteReference w:id="361"/>
      </w:r>
      <w:r w:rsidRPr="00C332F1">
        <w:rPr>
          <w:rFonts w:eastAsia="Cambria" w:cs="Cambria"/>
          <w:color w:val="000000" w:themeColor="text1"/>
          <w:lang w:val="es-MX"/>
        </w:rPr>
        <w:t>.</w:t>
      </w:r>
    </w:p>
    <w:p w14:paraId="0638DD12" w14:textId="6A610DCF" w:rsidR="00B512BB" w:rsidRPr="00C332F1" w:rsidRDefault="6AFB7145" w:rsidP="004B4BB6">
      <w:pPr>
        <w:pStyle w:val="IAPrrafo"/>
        <w:rPr>
          <w:rFonts w:eastAsia="Cambria" w:cs="Cambria"/>
          <w:color w:val="000000" w:themeColor="text1"/>
          <w:szCs w:val="20"/>
          <w:lang w:val="es-ES"/>
        </w:rPr>
      </w:pPr>
      <w:r w:rsidRPr="00C332F1">
        <w:rPr>
          <w:rFonts w:eastAsia="Cambria" w:cs="Cambria"/>
          <w:color w:val="000000" w:themeColor="text1"/>
          <w:lang w:val="es-ES"/>
        </w:rPr>
        <w:t>En relación con la situación de pobreza de las personas mayores, especialistas han mostrado su preocupación por lo extendido de la precariedad en dicho grupo etario. Según datos provenientes de la sociedad civil, más de 5 millones de personas mayores estarían en situación de pobreza extrema, además de que no existiría un sistema de seguridad social que ampare a las personas mayores mediante un gobierno de turno prestacional ni políticas efectivas de protección social con enfoque en derechos humanos</w:t>
      </w:r>
      <w:r w:rsidR="00A14F05">
        <w:rPr>
          <w:rFonts w:ascii="ZWAdobeF" w:eastAsia="Cambria" w:hAnsi="ZWAdobeF" w:cs="ZWAdobeF"/>
          <w:color w:val="auto"/>
          <w:sz w:val="2"/>
          <w:szCs w:val="2"/>
          <w:lang w:val="es-ES"/>
        </w:rPr>
        <w:t>360F</w:t>
      </w:r>
      <w:r w:rsidR="00B512BB" w:rsidRPr="005C52BD">
        <w:rPr>
          <w:rStyle w:val="FootnoteReference"/>
          <w:color w:val="auto"/>
          <w:sz w:val="20"/>
          <w:szCs w:val="20"/>
          <w:lang w:val="es-US"/>
        </w:rPr>
        <w:footnoteReference w:id="362"/>
      </w:r>
      <w:r w:rsidRPr="00C332F1">
        <w:rPr>
          <w:rFonts w:eastAsia="Cambria" w:cs="Cambria"/>
          <w:color w:val="000000" w:themeColor="text1"/>
          <w:lang w:val="es-MX"/>
        </w:rPr>
        <w:t>.</w:t>
      </w:r>
    </w:p>
    <w:p w14:paraId="4E85A63F" w14:textId="60E3DB43" w:rsidR="00B512BB" w:rsidRPr="00C332F1" w:rsidRDefault="6AFB7145" w:rsidP="004B4BB6">
      <w:pPr>
        <w:pStyle w:val="IAPrrafo"/>
        <w:rPr>
          <w:rFonts w:eastAsia="Cambria" w:cs="Cambria"/>
          <w:color w:val="000000" w:themeColor="text1"/>
          <w:szCs w:val="20"/>
          <w:lang w:val="es-ES"/>
        </w:rPr>
      </w:pPr>
      <w:r w:rsidRPr="00C332F1">
        <w:rPr>
          <w:rFonts w:eastAsia="Cambria" w:cs="Cambria"/>
          <w:color w:val="000000" w:themeColor="text1"/>
          <w:lang w:val="es-ES"/>
        </w:rPr>
        <w:t>Finalmente, la Misión Internacional independiente de determinación de hechos sobre Venezuela de las Naciones Unidas reportó que, con el anuncio parcial de los resultados electorales, miles de personas, incluyendo personas mayores, formaron parte de manifestaciones sociales de rechazo</w:t>
      </w:r>
      <w:r w:rsidR="00A14F05">
        <w:rPr>
          <w:rFonts w:ascii="ZWAdobeF" w:eastAsia="Cambria" w:hAnsi="ZWAdobeF" w:cs="ZWAdobeF"/>
          <w:color w:val="auto"/>
          <w:sz w:val="2"/>
          <w:szCs w:val="2"/>
          <w:lang w:val="es-ES"/>
        </w:rPr>
        <w:t>361F</w:t>
      </w:r>
      <w:r w:rsidR="00B512BB" w:rsidRPr="005C52BD">
        <w:rPr>
          <w:rStyle w:val="FootnoteReference"/>
          <w:color w:val="auto"/>
          <w:sz w:val="20"/>
          <w:szCs w:val="20"/>
          <w:lang w:val="es-US"/>
        </w:rPr>
        <w:footnoteReference w:id="363"/>
      </w:r>
      <w:r w:rsidRPr="00C332F1">
        <w:rPr>
          <w:rFonts w:eastAsia="Cambria" w:cs="Cambria"/>
          <w:color w:val="000000" w:themeColor="text1"/>
          <w:lang w:val="es-ES"/>
        </w:rPr>
        <w:t>.</w:t>
      </w:r>
      <w:r w:rsidR="00D02C5C" w:rsidRPr="00C332F1">
        <w:rPr>
          <w:rFonts w:eastAsia="Cambria" w:cs="Cambria"/>
          <w:color w:val="000000" w:themeColor="text1"/>
          <w:lang w:val="es-ES"/>
        </w:rPr>
        <w:t xml:space="preserve"> </w:t>
      </w:r>
      <w:r w:rsidRPr="00C332F1">
        <w:rPr>
          <w:rFonts w:eastAsia="Cambria" w:cs="Cambria"/>
          <w:color w:val="000000" w:themeColor="text1"/>
          <w:lang w:val="es-ES"/>
        </w:rPr>
        <w:t>Ricardo Albacete Vidal, empresario venezolano de 72 años, habría sido detenido arbitrariamente por el hecho de haber hospedado a la líder opositora, María Corina Machado, en un domicilio de su propiedad. Este hecho contravendría la propia ley venezolana que indica que no se puede decretar la prisión preventiva a personas mayores de 70 años</w:t>
      </w:r>
      <w:r w:rsidR="00A14F05">
        <w:rPr>
          <w:rFonts w:ascii="ZWAdobeF" w:eastAsia="Cambria" w:hAnsi="ZWAdobeF" w:cs="ZWAdobeF"/>
          <w:color w:val="auto"/>
          <w:sz w:val="2"/>
          <w:szCs w:val="2"/>
          <w:lang w:val="es-ES"/>
        </w:rPr>
        <w:t>362F</w:t>
      </w:r>
      <w:r w:rsidR="00B512BB" w:rsidRPr="005C52BD">
        <w:rPr>
          <w:rStyle w:val="FootnoteReference"/>
          <w:color w:val="auto"/>
          <w:sz w:val="20"/>
          <w:szCs w:val="20"/>
          <w:lang w:val="es-US"/>
        </w:rPr>
        <w:footnoteReference w:id="364"/>
      </w:r>
      <w:r w:rsidRPr="00C332F1">
        <w:rPr>
          <w:rFonts w:eastAsia="Cambria" w:cs="Cambria"/>
          <w:color w:val="000000" w:themeColor="text1"/>
          <w:lang w:val="es-ES"/>
        </w:rPr>
        <w:t>.</w:t>
      </w:r>
    </w:p>
    <w:p w14:paraId="217F8158" w14:textId="6AD74B23" w:rsidR="0021586A" w:rsidRPr="00C332F1" w:rsidRDefault="0021586A" w:rsidP="00B512BB">
      <w:pPr>
        <w:pStyle w:val="IASubttulo3"/>
        <w:rPr>
          <w:lang w:val="es-US"/>
        </w:rPr>
      </w:pPr>
      <w:bookmarkStart w:id="41" w:name="_Toc195617485"/>
      <w:r w:rsidRPr="00C332F1">
        <w:rPr>
          <w:lang w:val="es-US"/>
        </w:rPr>
        <w:t>Personas privadas de libertad</w:t>
      </w:r>
      <w:bookmarkEnd w:id="41"/>
    </w:p>
    <w:p w14:paraId="05F4C49B" w14:textId="5212E0DB" w:rsidR="004B4BB6" w:rsidRPr="00C332F1" w:rsidRDefault="00B85E8A" w:rsidP="00655B50">
      <w:pPr>
        <w:pStyle w:val="IAPrrafo"/>
        <w:rPr>
          <w:color w:val="auto"/>
          <w:lang w:val="es-AR"/>
        </w:rPr>
      </w:pPr>
      <w:r w:rsidRPr="00C332F1">
        <w:rPr>
          <w:color w:val="auto"/>
          <w:lang w:val="es-AR"/>
        </w:rPr>
        <w:t>La situación</w:t>
      </w:r>
      <w:r w:rsidR="004F4CDE" w:rsidRPr="00C332F1">
        <w:rPr>
          <w:color w:val="auto"/>
          <w:lang w:val="es-AR"/>
        </w:rPr>
        <w:t xml:space="preserve"> de las personas privadas de libertad en Venezuela</w:t>
      </w:r>
      <w:r w:rsidR="007F54FF" w:rsidRPr="00C332F1">
        <w:rPr>
          <w:color w:val="auto"/>
          <w:lang w:val="es-AR"/>
        </w:rPr>
        <w:t xml:space="preserve"> sigue</w:t>
      </w:r>
      <w:r w:rsidR="004F4CDE" w:rsidRPr="00C332F1">
        <w:rPr>
          <w:color w:val="auto"/>
          <w:lang w:val="es-AR"/>
        </w:rPr>
        <w:t xml:space="preserve"> caracterizada por ausencia de estadísticas oficiales actualizadas, dualidad de sistemas penitenciarios,</w:t>
      </w:r>
      <w:r w:rsidR="004F4CDE" w:rsidRPr="00C332F1">
        <w:rPr>
          <w:b/>
          <w:bCs/>
          <w:color w:val="auto"/>
          <w:lang w:val="es-AR"/>
        </w:rPr>
        <w:t xml:space="preserve"> </w:t>
      </w:r>
      <w:r w:rsidR="004F4CDE" w:rsidRPr="00C332F1">
        <w:rPr>
          <w:color w:val="auto"/>
          <w:lang w:val="es-AR"/>
        </w:rPr>
        <w:t>hacinamiento, elevado uso de la prisión preventiva, corrupción, autogobierno en las unidades, deplorables condiciones de detención, y malos tratos.</w:t>
      </w:r>
      <w:r w:rsidR="00227EB2" w:rsidRPr="00C332F1">
        <w:rPr>
          <w:color w:val="auto"/>
          <w:lang w:val="es-AR"/>
        </w:rPr>
        <w:t xml:space="preserve"> </w:t>
      </w:r>
      <w:r w:rsidR="00B769AA" w:rsidRPr="00C332F1">
        <w:rPr>
          <w:color w:val="auto"/>
          <w:lang w:val="es-AR"/>
        </w:rPr>
        <w:t>La Comisión Interamericana resalta que, las detenciones masivas realizadas en 2024, en el marco de las protestas electorales, podría haber agravado el preexistente hacinamiento carcelario</w:t>
      </w:r>
      <w:r w:rsidR="00C51BC4" w:rsidRPr="00C332F1">
        <w:rPr>
          <w:color w:val="auto"/>
          <w:lang w:val="es-AR"/>
        </w:rPr>
        <w:t xml:space="preserve"> y precarias condiciones de detención.</w:t>
      </w:r>
    </w:p>
    <w:p w14:paraId="2E632868" w14:textId="0D1C8BFC" w:rsidR="004F4CDE" w:rsidRPr="00C332F1" w:rsidRDefault="68CBDDE1" w:rsidP="005B0E59">
      <w:pPr>
        <w:pStyle w:val="IAPrrafo"/>
        <w:rPr>
          <w:color w:val="auto"/>
          <w:szCs w:val="20"/>
          <w:lang w:val="es-US"/>
        </w:rPr>
      </w:pPr>
      <w:r w:rsidRPr="00C332F1">
        <w:rPr>
          <w:color w:val="auto"/>
          <w:lang w:val="es-AR"/>
        </w:rPr>
        <w:t xml:space="preserve">En especial, </w:t>
      </w:r>
      <w:r w:rsidR="40D93CFB" w:rsidRPr="00C332F1">
        <w:rPr>
          <w:color w:val="auto"/>
          <w:lang w:val="es-AR"/>
        </w:rPr>
        <w:t>el Estado continua sin producir o publicar</w:t>
      </w:r>
      <w:r w:rsidR="70EE5698" w:rsidRPr="00C332F1">
        <w:rPr>
          <w:color w:val="auto"/>
          <w:lang w:val="es-AR"/>
        </w:rPr>
        <w:t xml:space="preserve"> datos oficiales sobre la población privada de la libertad en el país</w:t>
      </w:r>
      <w:r w:rsidR="5A91CF0B" w:rsidRPr="00C332F1">
        <w:rPr>
          <w:color w:val="auto"/>
          <w:lang w:val="es-AR"/>
        </w:rPr>
        <w:t xml:space="preserve"> y</w:t>
      </w:r>
      <w:r w:rsidR="70EE5698" w:rsidRPr="00C332F1">
        <w:rPr>
          <w:color w:val="auto"/>
          <w:lang w:val="es-AR"/>
        </w:rPr>
        <w:t xml:space="preserve"> la existencia de una dualidad de sistemas penitenciarios. Uno oficial que</w:t>
      </w:r>
      <w:r w:rsidR="175948A2" w:rsidRPr="00C332F1">
        <w:rPr>
          <w:color w:val="auto"/>
          <w:lang w:val="es-AR"/>
        </w:rPr>
        <w:t>,</w:t>
      </w:r>
      <w:r w:rsidR="70EE5698" w:rsidRPr="00C332F1">
        <w:rPr>
          <w:color w:val="auto"/>
          <w:lang w:val="es-AR"/>
        </w:rPr>
        <w:t xml:space="preserve"> según sociedad civil, a septiembre de 2024, alojaba a aproximadamente 30.000 personas en los centros de reclusión a cargo del Ministerio del Poder Popular para el Servicio Penitenciario</w:t>
      </w:r>
      <w:r w:rsidR="00A14F05">
        <w:rPr>
          <w:rFonts w:ascii="ZWAdobeF" w:hAnsi="ZWAdobeF" w:cs="ZWAdobeF"/>
          <w:color w:val="auto"/>
          <w:sz w:val="2"/>
          <w:szCs w:val="2"/>
          <w:lang w:val="es-AR"/>
        </w:rPr>
        <w:t>363F</w:t>
      </w:r>
      <w:r w:rsidR="004F4CDE" w:rsidRPr="005C52BD">
        <w:rPr>
          <w:rStyle w:val="IAPiedepginaChar"/>
          <w:color w:val="auto"/>
          <w:sz w:val="20"/>
          <w:szCs w:val="20"/>
          <w:vertAlign w:val="superscript"/>
          <w:lang w:val="es-AR"/>
        </w:rPr>
        <w:footnoteReference w:id="365"/>
      </w:r>
      <w:r w:rsidR="533EBC92" w:rsidRPr="00C332F1">
        <w:rPr>
          <w:color w:val="auto"/>
          <w:lang w:val="es-AR"/>
        </w:rPr>
        <w:t>;</w:t>
      </w:r>
      <w:r w:rsidR="70EE5698" w:rsidRPr="00C332F1">
        <w:rPr>
          <w:color w:val="auto"/>
          <w:lang w:val="es-AR"/>
        </w:rPr>
        <w:t xml:space="preserve"> y otro paralelo, compuesto de aproximadamente 500 espacios de detención preventiva que, a la misma fecha, albergarían a 28.000 personas</w:t>
      </w:r>
      <w:r w:rsidR="00A14F05">
        <w:rPr>
          <w:rFonts w:ascii="ZWAdobeF" w:hAnsi="ZWAdobeF" w:cs="ZWAdobeF"/>
          <w:color w:val="auto"/>
          <w:sz w:val="2"/>
          <w:szCs w:val="2"/>
          <w:lang w:val="es-AR"/>
        </w:rPr>
        <w:t>364F</w:t>
      </w:r>
      <w:r w:rsidR="004F4CDE" w:rsidRPr="005C52BD">
        <w:rPr>
          <w:rStyle w:val="IAPiedepginaChar"/>
          <w:color w:val="auto"/>
          <w:sz w:val="20"/>
          <w:szCs w:val="20"/>
          <w:vertAlign w:val="superscript"/>
          <w:lang w:val="es-AR"/>
        </w:rPr>
        <w:footnoteReference w:id="366"/>
      </w:r>
      <w:r w:rsidR="70EE5698" w:rsidRPr="00C332F1">
        <w:rPr>
          <w:color w:val="auto"/>
          <w:lang w:val="es-AR"/>
        </w:rPr>
        <w:t>.</w:t>
      </w:r>
    </w:p>
    <w:p w14:paraId="2D11E710" w14:textId="6E2B34D9" w:rsidR="004F4CDE" w:rsidRPr="00C332F1" w:rsidRDefault="70EE5698" w:rsidP="005B0E59">
      <w:pPr>
        <w:pStyle w:val="IAPrrafo"/>
        <w:rPr>
          <w:color w:val="auto"/>
          <w:szCs w:val="20"/>
          <w:lang w:val="es-US"/>
        </w:rPr>
      </w:pPr>
      <w:r w:rsidRPr="00C332F1">
        <w:rPr>
          <w:color w:val="auto"/>
          <w:lang w:val="es-AR"/>
        </w:rPr>
        <w:t>En materia de hacinamiento, el plan piloto de “impulso procesal” con el objetivo de combatir el hacinamiento tanto en los centros penitenciarios</w:t>
      </w:r>
      <w:r w:rsidR="02DDDF73" w:rsidRPr="00C332F1">
        <w:rPr>
          <w:color w:val="auto"/>
          <w:lang w:val="es-AR"/>
        </w:rPr>
        <w:t>,</w:t>
      </w:r>
      <w:r w:rsidRPr="00C332F1">
        <w:rPr>
          <w:color w:val="auto"/>
          <w:lang w:val="es-AR"/>
        </w:rPr>
        <w:t xml:space="preserve"> como en los centros de detención preventiva</w:t>
      </w:r>
      <w:r w:rsidR="2E00AA77" w:rsidRPr="00C332F1">
        <w:rPr>
          <w:color w:val="auto"/>
          <w:lang w:val="es-AR"/>
        </w:rPr>
        <w:t xml:space="preserve"> ha sido </w:t>
      </w:r>
      <w:r w:rsidRPr="00C332F1">
        <w:rPr>
          <w:color w:val="auto"/>
          <w:lang w:val="es-AR"/>
        </w:rPr>
        <w:t>puesto en marcha en 2024</w:t>
      </w:r>
      <w:r w:rsidR="00A14F05">
        <w:rPr>
          <w:rFonts w:ascii="ZWAdobeF" w:hAnsi="ZWAdobeF" w:cs="ZWAdobeF"/>
          <w:color w:val="auto"/>
          <w:sz w:val="2"/>
          <w:szCs w:val="2"/>
          <w:lang w:val="es-AR"/>
        </w:rPr>
        <w:t>365F</w:t>
      </w:r>
      <w:r w:rsidR="004F4CDE" w:rsidRPr="005C52BD">
        <w:rPr>
          <w:rStyle w:val="IAPiedepginaChar"/>
          <w:color w:val="auto"/>
          <w:sz w:val="20"/>
          <w:szCs w:val="20"/>
          <w:vertAlign w:val="superscript"/>
          <w:lang w:val="es-AR"/>
        </w:rPr>
        <w:footnoteReference w:id="367"/>
      </w:r>
      <w:r w:rsidRPr="00C332F1">
        <w:rPr>
          <w:color w:val="auto"/>
          <w:lang w:val="es-AR"/>
        </w:rPr>
        <w:t>. No obstante, preocupa que, de acuerdo con información de organizaciones de la sociedad civil, a septiembre de 2024, la ocupación carcelaria era de 30.000 personas, mientras que la capacidad real era de 16.230, frente a la clausura de 18 recintos penitenciarios que resultó en la pérdida de 10.008 plazas</w:t>
      </w:r>
      <w:r w:rsidR="00A14F05">
        <w:rPr>
          <w:rFonts w:ascii="ZWAdobeF" w:hAnsi="ZWAdobeF" w:cs="ZWAdobeF"/>
          <w:color w:val="auto"/>
          <w:sz w:val="2"/>
          <w:szCs w:val="2"/>
          <w:lang w:val="es-AR"/>
        </w:rPr>
        <w:t>366F</w:t>
      </w:r>
      <w:r w:rsidR="004F4CDE" w:rsidRPr="005C52BD">
        <w:rPr>
          <w:rStyle w:val="IAPiedepginaChar"/>
          <w:color w:val="auto"/>
          <w:sz w:val="20"/>
          <w:szCs w:val="20"/>
          <w:vertAlign w:val="superscript"/>
          <w:lang w:val="es-AR"/>
        </w:rPr>
        <w:footnoteReference w:id="368"/>
      </w:r>
      <w:r w:rsidRPr="00C332F1">
        <w:rPr>
          <w:color w:val="auto"/>
          <w:lang w:val="es-AR"/>
        </w:rPr>
        <w:t>. Dichas cifras indican que la tasa de hacinamiento actual es del 85%</w:t>
      </w:r>
      <w:r w:rsidR="00A14F05">
        <w:rPr>
          <w:rFonts w:ascii="ZWAdobeF" w:hAnsi="ZWAdobeF" w:cs="ZWAdobeF"/>
          <w:color w:val="auto"/>
          <w:sz w:val="2"/>
          <w:szCs w:val="2"/>
          <w:lang w:val="es-AR"/>
        </w:rPr>
        <w:t>367F</w:t>
      </w:r>
      <w:r w:rsidR="004F4CDE" w:rsidRPr="005C52BD">
        <w:rPr>
          <w:rStyle w:val="IAPiedepginaChar"/>
          <w:color w:val="auto"/>
          <w:sz w:val="20"/>
          <w:szCs w:val="20"/>
          <w:vertAlign w:val="superscript"/>
          <w:lang w:val="es-AR"/>
        </w:rPr>
        <w:footnoteReference w:id="369"/>
      </w:r>
      <w:r w:rsidRPr="00C332F1">
        <w:rPr>
          <w:color w:val="auto"/>
          <w:lang w:val="es-AR"/>
        </w:rPr>
        <w:t>. Al respecto, l</w:t>
      </w:r>
      <w:r w:rsidRPr="00C332F1">
        <w:rPr>
          <w:color w:val="auto"/>
          <w:lang w:val="es"/>
        </w:rPr>
        <w:t>a CIDH reitera que cuando el colapso de un sistema penitenciario o de un centro penitenciario conlleva a la imposibilidad material de ofrecer condiciones dignas a las personas detenidas, no le es dable al Estado seguir ingresando personas a esos espacios</w:t>
      </w:r>
      <w:r w:rsidR="00A14F05">
        <w:rPr>
          <w:rFonts w:ascii="ZWAdobeF" w:hAnsi="ZWAdobeF" w:cs="ZWAdobeF"/>
          <w:color w:val="auto"/>
          <w:sz w:val="2"/>
          <w:szCs w:val="2"/>
          <w:lang w:val="es"/>
        </w:rPr>
        <w:t>368F</w:t>
      </w:r>
      <w:r w:rsidR="004F4CDE" w:rsidRPr="005C52BD">
        <w:rPr>
          <w:rStyle w:val="IAPiedepginaChar"/>
          <w:color w:val="auto"/>
          <w:sz w:val="20"/>
          <w:szCs w:val="20"/>
          <w:vertAlign w:val="superscript"/>
          <w:lang w:val="es"/>
        </w:rPr>
        <w:footnoteReference w:id="370"/>
      </w:r>
      <w:r w:rsidRPr="00C332F1">
        <w:rPr>
          <w:color w:val="auto"/>
          <w:lang w:val="es"/>
        </w:rPr>
        <w:t>.</w:t>
      </w:r>
    </w:p>
    <w:p w14:paraId="22DA1D04" w14:textId="6CB3DAE1" w:rsidR="004F4CDE" w:rsidRPr="00C332F1" w:rsidRDefault="70EE5698" w:rsidP="005B0E59">
      <w:pPr>
        <w:pStyle w:val="IAPrrafo"/>
        <w:rPr>
          <w:color w:val="auto"/>
          <w:szCs w:val="20"/>
          <w:lang w:val="es-US"/>
        </w:rPr>
      </w:pPr>
      <w:r w:rsidRPr="00C332F1">
        <w:rPr>
          <w:color w:val="auto"/>
          <w:lang w:val="es-AR"/>
        </w:rPr>
        <w:t>El uso excesivo de la prisión preventiva se presenta como una de las principales causas de este fenómeno. Según datos de organizaciones de la sociedad civil, del total de personas detenidas en centros penitenciarios a diciembre de 2023, 19.217 se encontraban procesadas y 10.348 condenadas</w:t>
      </w:r>
      <w:r w:rsidR="00A14F05">
        <w:rPr>
          <w:rFonts w:ascii="ZWAdobeF" w:hAnsi="ZWAdobeF" w:cs="ZWAdobeF"/>
          <w:color w:val="auto"/>
          <w:sz w:val="2"/>
          <w:szCs w:val="2"/>
          <w:lang w:val="es-AR"/>
        </w:rPr>
        <w:t>369F</w:t>
      </w:r>
      <w:r w:rsidR="004F4CDE" w:rsidRPr="005C52BD">
        <w:rPr>
          <w:rStyle w:val="IAPiedepginaChar"/>
          <w:color w:val="auto"/>
          <w:sz w:val="20"/>
          <w:szCs w:val="20"/>
          <w:vertAlign w:val="superscript"/>
          <w:lang w:val="es-AR"/>
        </w:rPr>
        <w:footnoteReference w:id="371"/>
      </w:r>
      <w:r w:rsidRPr="00C332F1">
        <w:rPr>
          <w:color w:val="auto"/>
          <w:lang w:val="es-AR"/>
        </w:rPr>
        <w:t>. Dichas cifras indican que la tasa de aplicación de la prisión preventiva en el sistema penitenciario es del 65%. La CIDH recuerda que la aplicación de la detención preventiva debe partir del derecho a la presunción de inocencia, y aplicarse de conformidad con los criterios de excepcionalidad, legalidad, necesidad y proporcionalidad</w:t>
      </w:r>
      <w:r w:rsidR="00A14F05">
        <w:rPr>
          <w:rFonts w:ascii="ZWAdobeF" w:hAnsi="ZWAdobeF" w:cs="ZWAdobeF"/>
          <w:color w:val="auto"/>
          <w:sz w:val="2"/>
          <w:szCs w:val="2"/>
          <w:lang w:val="es-AR"/>
        </w:rPr>
        <w:t>370F</w:t>
      </w:r>
      <w:r w:rsidR="004F4CDE" w:rsidRPr="005C52BD">
        <w:rPr>
          <w:rStyle w:val="IAPiedepginaChar"/>
          <w:color w:val="auto"/>
          <w:sz w:val="20"/>
          <w:szCs w:val="20"/>
          <w:vertAlign w:val="superscript"/>
          <w:lang w:val="es-AR"/>
        </w:rPr>
        <w:footnoteReference w:id="372"/>
      </w:r>
      <w:r w:rsidRPr="00C332F1">
        <w:rPr>
          <w:color w:val="auto"/>
          <w:lang w:val="es-AR"/>
        </w:rPr>
        <w:t>.</w:t>
      </w:r>
    </w:p>
    <w:p w14:paraId="5B350673" w14:textId="2B688559" w:rsidR="00180325" w:rsidRPr="00C332F1" w:rsidRDefault="70EE5698" w:rsidP="00655B50">
      <w:pPr>
        <w:pStyle w:val="IAPrrafo"/>
        <w:rPr>
          <w:color w:val="auto"/>
          <w:szCs w:val="20"/>
          <w:lang w:val="es-AR"/>
        </w:rPr>
      </w:pPr>
      <w:r w:rsidRPr="00C332F1">
        <w:rPr>
          <w:color w:val="auto"/>
          <w:lang w:val="es-AR"/>
        </w:rPr>
        <w:t xml:space="preserve">En materia de corrupción, </w:t>
      </w:r>
      <w:r w:rsidR="3322E851" w:rsidRPr="00C332F1">
        <w:rPr>
          <w:color w:val="auto"/>
          <w:lang w:val="es-AR"/>
        </w:rPr>
        <w:t>denuncias dan cuenta de</w:t>
      </w:r>
      <w:r w:rsidRPr="00C332F1">
        <w:rPr>
          <w:color w:val="auto"/>
          <w:lang w:val="es-AR"/>
        </w:rPr>
        <w:t xml:space="preserve"> que las personas detenidas pagarían a agentes penitenciarios sumas de dinero para acceder a alimentos, agua, visitas y traslados, entre otros</w:t>
      </w:r>
      <w:r w:rsidR="00A14F05">
        <w:rPr>
          <w:rFonts w:ascii="ZWAdobeF" w:hAnsi="ZWAdobeF" w:cs="ZWAdobeF"/>
          <w:color w:val="auto"/>
          <w:sz w:val="2"/>
          <w:szCs w:val="2"/>
          <w:lang w:val="es-AR"/>
        </w:rPr>
        <w:t>371F</w:t>
      </w:r>
      <w:r w:rsidR="004F4CDE" w:rsidRPr="005C52BD">
        <w:rPr>
          <w:rStyle w:val="IAPiedepginaChar"/>
          <w:color w:val="auto"/>
          <w:sz w:val="20"/>
          <w:szCs w:val="20"/>
          <w:vertAlign w:val="superscript"/>
          <w:lang w:val="es-AR"/>
        </w:rPr>
        <w:footnoteReference w:id="373"/>
      </w:r>
      <w:r w:rsidRPr="00C332F1">
        <w:rPr>
          <w:color w:val="auto"/>
          <w:lang w:val="es-AR"/>
        </w:rPr>
        <w:t>. Ello, en un contexto caracterizado por el “autogobierno”</w:t>
      </w:r>
      <w:r w:rsidR="00A14F05">
        <w:rPr>
          <w:rFonts w:ascii="ZWAdobeF" w:hAnsi="ZWAdobeF" w:cs="ZWAdobeF"/>
          <w:color w:val="auto"/>
          <w:sz w:val="2"/>
          <w:szCs w:val="2"/>
          <w:lang w:val="es-AR"/>
        </w:rPr>
        <w:t>372F</w:t>
      </w:r>
      <w:r w:rsidR="004F4CDE" w:rsidRPr="005C52BD">
        <w:rPr>
          <w:rStyle w:val="IAPiedepginaChar"/>
          <w:color w:val="auto"/>
          <w:sz w:val="20"/>
          <w:szCs w:val="20"/>
          <w:vertAlign w:val="superscript"/>
          <w:lang w:val="es-AR"/>
        </w:rPr>
        <w:footnoteReference w:id="374"/>
      </w:r>
      <w:r w:rsidRPr="00C332F1">
        <w:rPr>
          <w:color w:val="auto"/>
          <w:lang w:val="es-AR"/>
        </w:rPr>
        <w:t>. Según información de organizaciones de la sociedad civil, este fenómeno habría quedado evidenciado en el marco la negociación entre el Ministerio del Poder Popular para el Servicio Penitenciario y el grupo criminal “pran” del Centro Penitenciario de Aragua para realizar el traslado de 38 personas detenidas hacia otro centro durante el 2023</w:t>
      </w:r>
      <w:r w:rsidR="00A14F05">
        <w:rPr>
          <w:rFonts w:ascii="ZWAdobeF" w:hAnsi="ZWAdobeF" w:cs="ZWAdobeF"/>
          <w:color w:val="auto"/>
          <w:sz w:val="2"/>
          <w:szCs w:val="2"/>
          <w:lang w:val="es-AR"/>
        </w:rPr>
        <w:t>373F</w:t>
      </w:r>
      <w:r w:rsidR="004F4CDE" w:rsidRPr="005C52BD">
        <w:rPr>
          <w:rStyle w:val="IAPiedepginaChar"/>
          <w:color w:val="auto"/>
          <w:sz w:val="20"/>
          <w:szCs w:val="20"/>
          <w:vertAlign w:val="superscript"/>
          <w:lang w:val="es-AR"/>
        </w:rPr>
        <w:footnoteReference w:id="375"/>
      </w:r>
      <w:r w:rsidRPr="00C332F1">
        <w:rPr>
          <w:color w:val="auto"/>
          <w:lang w:val="es-AR"/>
        </w:rPr>
        <w:t>. Al respecto, la Comisión recuerda que el control efectivo de los centros de detención es esencial para que los Estados puedan garantizar los derechos de las personas privadas de libertad</w:t>
      </w:r>
      <w:r w:rsidR="00A14F05">
        <w:rPr>
          <w:rFonts w:ascii="ZWAdobeF" w:hAnsi="ZWAdobeF" w:cs="ZWAdobeF"/>
          <w:color w:val="auto"/>
          <w:sz w:val="2"/>
          <w:szCs w:val="2"/>
          <w:lang w:val="es-AR"/>
        </w:rPr>
        <w:t>374F</w:t>
      </w:r>
      <w:r w:rsidR="004F4CDE" w:rsidRPr="005C52BD">
        <w:rPr>
          <w:rStyle w:val="IAPiedepginaChar"/>
          <w:color w:val="auto"/>
          <w:sz w:val="20"/>
          <w:szCs w:val="20"/>
          <w:vertAlign w:val="superscript"/>
          <w:lang w:val="es-AR"/>
        </w:rPr>
        <w:footnoteReference w:id="376"/>
      </w:r>
      <w:r w:rsidRPr="00C332F1">
        <w:rPr>
          <w:color w:val="auto"/>
          <w:lang w:val="es-AR"/>
        </w:rPr>
        <w:t>.</w:t>
      </w:r>
    </w:p>
    <w:p w14:paraId="74270CE4" w14:textId="16EADC56" w:rsidR="004F4CDE" w:rsidRPr="00C332F1" w:rsidRDefault="70EE5698" w:rsidP="005B0E59">
      <w:pPr>
        <w:pStyle w:val="IAPrrafo"/>
        <w:rPr>
          <w:color w:val="auto"/>
          <w:szCs w:val="20"/>
          <w:lang w:val="es-US"/>
        </w:rPr>
      </w:pPr>
      <w:r w:rsidRPr="00C332F1">
        <w:rPr>
          <w:color w:val="auto"/>
          <w:lang w:val="es-AR"/>
        </w:rPr>
        <w:t>Por otra parte, las deplorables condiciones de detención han causado muertes bajo custodia. Incluso, habrían originado huelgas de hambre tanto de personas detenidas</w:t>
      </w:r>
      <w:r w:rsidR="00A14F05">
        <w:rPr>
          <w:rFonts w:ascii="ZWAdobeF" w:hAnsi="ZWAdobeF" w:cs="ZWAdobeF"/>
          <w:color w:val="auto"/>
          <w:sz w:val="2"/>
          <w:szCs w:val="2"/>
          <w:lang w:val="es-AR"/>
        </w:rPr>
        <w:t>375F</w:t>
      </w:r>
      <w:r w:rsidR="004F4CDE" w:rsidRPr="005C52BD">
        <w:rPr>
          <w:rStyle w:val="IAPiedepginaChar"/>
          <w:color w:val="auto"/>
          <w:sz w:val="20"/>
          <w:szCs w:val="20"/>
          <w:vertAlign w:val="superscript"/>
          <w:lang w:val="es-AR"/>
        </w:rPr>
        <w:footnoteReference w:id="377"/>
      </w:r>
      <w:r w:rsidRPr="00C332F1">
        <w:rPr>
          <w:color w:val="auto"/>
          <w:lang w:val="es-AR"/>
        </w:rPr>
        <w:t xml:space="preserve"> como de agentes penitenciarios por falta de condiciones de seguridad</w:t>
      </w:r>
      <w:r w:rsidR="00A14F05">
        <w:rPr>
          <w:rFonts w:ascii="ZWAdobeF" w:hAnsi="ZWAdobeF" w:cs="ZWAdobeF"/>
          <w:color w:val="auto"/>
          <w:sz w:val="2"/>
          <w:szCs w:val="2"/>
          <w:lang w:val="es-AR"/>
        </w:rPr>
        <w:t>376F</w:t>
      </w:r>
      <w:r w:rsidR="004F4CDE" w:rsidRPr="005C52BD">
        <w:rPr>
          <w:rStyle w:val="IAPiedepginaChar"/>
          <w:color w:val="auto"/>
          <w:sz w:val="20"/>
          <w:szCs w:val="20"/>
          <w:vertAlign w:val="superscript"/>
          <w:lang w:val="es-AR"/>
        </w:rPr>
        <w:footnoteReference w:id="378"/>
      </w:r>
      <w:r w:rsidRPr="00C332F1">
        <w:rPr>
          <w:color w:val="auto"/>
          <w:lang w:val="es-AR"/>
        </w:rPr>
        <w:t>. En específico, persiste la falta de personal médico, medicamentos, tratamientos o exámenes de laboratorio</w:t>
      </w:r>
      <w:r w:rsidR="00A14F05">
        <w:rPr>
          <w:rFonts w:ascii="ZWAdobeF" w:hAnsi="ZWAdobeF" w:cs="ZWAdobeF"/>
          <w:color w:val="auto"/>
          <w:sz w:val="2"/>
          <w:szCs w:val="2"/>
          <w:lang w:val="es-AR"/>
        </w:rPr>
        <w:t>377F</w:t>
      </w:r>
      <w:r w:rsidR="004F4CDE" w:rsidRPr="005C52BD">
        <w:rPr>
          <w:rStyle w:val="IAPiedepginaChar"/>
          <w:color w:val="auto"/>
          <w:sz w:val="20"/>
          <w:szCs w:val="20"/>
          <w:vertAlign w:val="superscript"/>
          <w:lang w:val="es-AR"/>
        </w:rPr>
        <w:footnoteReference w:id="379"/>
      </w:r>
      <w:r w:rsidRPr="00C332F1">
        <w:rPr>
          <w:color w:val="auto"/>
          <w:lang w:val="es-AR"/>
        </w:rPr>
        <w:t>. En este escenario, de 2017 a diciembre de 2023, la tuberculosis</w:t>
      </w:r>
      <w:r w:rsidR="0F10F262" w:rsidRPr="00C332F1">
        <w:rPr>
          <w:color w:val="auto"/>
          <w:lang w:val="es-AR"/>
        </w:rPr>
        <w:t xml:space="preserve"> —</w:t>
      </w:r>
      <w:r w:rsidRPr="00C332F1">
        <w:rPr>
          <w:color w:val="auto"/>
          <w:lang w:val="es-AR"/>
        </w:rPr>
        <w:t>junto a la desnutrición e infecciones respiratoria</w:t>
      </w:r>
      <w:r w:rsidR="4C7AA27A" w:rsidRPr="00C332F1">
        <w:rPr>
          <w:color w:val="auto"/>
          <w:lang w:val="es-AR"/>
        </w:rPr>
        <w:t>s—</w:t>
      </w:r>
      <w:r w:rsidRPr="00C332F1">
        <w:rPr>
          <w:color w:val="auto"/>
          <w:lang w:val="es-AR"/>
        </w:rPr>
        <w:t xml:space="preserve"> constituye la principal causa de muerte de las personas detenidas</w:t>
      </w:r>
      <w:r w:rsidR="00A14F05">
        <w:rPr>
          <w:rFonts w:ascii="ZWAdobeF" w:hAnsi="ZWAdobeF" w:cs="ZWAdobeF"/>
          <w:color w:val="auto"/>
          <w:sz w:val="2"/>
          <w:szCs w:val="2"/>
          <w:lang w:val="es-AR"/>
        </w:rPr>
        <w:t>378F</w:t>
      </w:r>
      <w:r w:rsidR="004F4CDE" w:rsidRPr="005C52BD">
        <w:rPr>
          <w:rStyle w:val="IAPiedepginaChar"/>
          <w:color w:val="auto"/>
          <w:sz w:val="20"/>
          <w:szCs w:val="20"/>
          <w:vertAlign w:val="superscript"/>
          <w:lang w:val="es-AR"/>
        </w:rPr>
        <w:footnoteReference w:id="380"/>
      </w:r>
      <w:r w:rsidRPr="00C332F1">
        <w:rPr>
          <w:color w:val="auto"/>
          <w:lang w:val="es-AR"/>
        </w:rPr>
        <w:t>. Al respecto, la Comisión lamenta el fallecimiento de 39 personas en centros de detención registrados hasta finales de 2023, por atención médica negligente</w:t>
      </w:r>
      <w:r w:rsidR="00A14F05">
        <w:rPr>
          <w:rFonts w:ascii="ZWAdobeF" w:hAnsi="ZWAdobeF" w:cs="ZWAdobeF"/>
          <w:color w:val="auto"/>
          <w:sz w:val="2"/>
          <w:szCs w:val="2"/>
          <w:lang w:val="es-AR"/>
        </w:rPr>
        <w:t>379F</w:t>
      </w:r>
      <w:r w:rsidR="004F4CDE" w:rsidRPr="005C52BD">
        <w:rPr>
          <w:rStyle w:val="IAPiedepginaChar"/>
          <w:color w:val="auto"/>
          <w:sz w:val="20"/>
          <w:szCs w:val="20"/>
          <w:vertAlign w:val="superscript"/>
          <w:lang w:val="es-AR"/>
        </w:rPr>
        <w:footnoteReference w:id="381"/>
      </w:r>
      <w:r w:rsidRPr="00C332F1">
        <w:rPr>
          <w:color w:val="auto"/>
          <w:lang w:val="es-AR"/>
        </w:rPr>
        <w:t>.</w:t>
      </w:r>
    </w:p>
    <w:p w14:paraId="192683F6" w14:textId="350C6925" w:rsidR="004F4CDE" w:rsidRPr="00C332F1" w:rsidRDefault="70EE5698" w:rsidP="005B0E59">
      <w:pPr>
        <w:pStyle w:val="IAPrrafo"/>
        <w:rPr>
          <w:color w:val="auto"/>
          <w:szCs w:val="20"/>
          <w:lang w:val="es-US"/>
        </w:rPr>
      </w:pPr>
      <w:r w:rsidRPr="00C332F1">
        <w:rPr>
          <w:color w:val="auto"/>
          <w:lang w:val="es-AR"/>
        </w:rPr>
        <w:t>En adición, los datos indican que las personas detenidas enfrentan serias dificultades para acceder a alimentos, incluso como forma de castigo</w:t>
      </w:r>
      <w:r w:rsidR="00A14F05">
        <w:rPr>
          <w:rFonts w:ascii="ZWAdobeF" w:hAnsi="ZWAdobeF" w:cs="ZWAdobeF"/>
          <w:color w:val="auto"/>
          <w:sz w:val="2"/>
          <w:szCs w:val="2"/>
          <w:lang w:val="es-AR"/>
        </w:rPr>
        <w:t>380F</w:t>
      </w:r>
      <w:r w:rsidR="004F4CDE" w:rsidRPr="005C52BD">
        <w:rPr>
          <w:rStyle w:val="IAPiedepginaChar"/>
          <w:color w:val="auto"/>
          <w:sz w:val="20"/>
          <w:szCs w:val="20"/>
          <w:vertAlign w:val="superscript"/>
          <w:lang w:val="es-AR"/>
        </w:rPr>
        <w:footnoteReference w:id="382"/>
      </w:r>
      <w:r w:rsidRPr="00C332F1">
        <w:rPr>
          <w:color w:val="auto"/>
          <w:lang w:val="es-AR"/>
        </w:rPr>
        <w:t>. En consecuencia, al menos un 51% de la población en detención preventiva se encontraría con cuadros de desnutrición</w:t>
      </w:r>
      <w:r w:rsidR="00A14F05">
        <w:rPr>
          <w:rFonts w:ascii="ZWAdobeF" w:hAnsi="ZWAdobeF" w:cs="ZWAdobeF"/>
          <w:color w:val="auto"/>
          <w:sz w:val="2"/>
          <w:szCs w:val="2"/>
          <w:lang w:val="es-AR"/>
        </w:rPr>
        <w:t>381F</w:t>
      </w:r>
      <w:r w:rsidR="004F4CDE" w:rsidRPr="005C52BD">
        <w:rPr>
          <w:rStyle w:val="IAPiedepginaChar"/>
          <w:color w:val="auto"/>
          <w:sz w:val="20"/>
          <w:szCs w:val="20"/>
          <w:vertAlign w:val="superscript"/>
          <w:lang w:val="es-AR"/>
        </w:rPr>
        <w:footnoteReference w:id="383"/>
      </w:r>
      <w:r w:rsidRPr="00C332F1">
        <w:rPr>
          <w:color w:val="auto"/>
          <w:lang w:val="es-AR"/>
        </w:rPr>
        <w:t>. Además, la distribución del agua ocurriría con poca frecuencia, obligando a las personas a ingerir agua contaminada</w:t>
      </w:r>
      <w:r w:rsidR="00A14F05">
        <w:rPr>
          <w:rFonts w:ascii="ZWAdobeF" w:hAnsi="ZWAdobeF" w:cs="ZWAdobeF"/>
          <w:color w:val="auto"/>
          <w:sz w:val="2"/>
          <w:szCs w:val="2"/>
          <w:lang w:val="es-AR"/>
        </w:rPr>
        <w:t>382F</w:t>
      </w:r>
      <w:r w:rsidR="004F4CDE" w:rsidRPr="005C52BD">
        <w:rPr>
          <w:rStyle w:val="IAPiedepginaChar"/>
          <w:color w:val="auto"/>
          <w:sz w:val="20"/>
          <w:szCs w:val="20"/>
          <w:vertAlign w:val="superscript"/>
          <w:lang w:val="es-AR"/>
        </w:rPr>
        <w:footnoteReference w:id="384"/>
      </w:r>
      <w:r w:rsidRPr="00C332F1">
        <w:rPr>
          <w:color w:val="auto"/>
          <w:lang w:val="es-AR"/>
        </w:rPr>
        <w:t>. Por otra parte, preocupa la persistencia de malos tratos contra las personas detenidas en Venezuela</w:t>
      </w:r>
      <w:r w:rsidR="00A14F05">
        <w:rPr>
          <w:rFonts w:ascii="ZWAdobeF" w:hAnsi="ZWAdobeF" w:cs="ZWAdobeF"/>
          <w:color w:val="auto"/>
          <w:sz w:val="2"/>
          <w:szCs w:val="2"/>
          <w:lang w:val="es-AR"/>
        </w:rPr>
        <w:t>383F</w:t>
      </w:r>
      <w:r w:rsidR="004F4CDE" w:rsidRPr="005C52BD">
        <w:rPr>
          <w:rStyle w:val="IAPiedepginaChar"/>
          <w:color w:val="auto"/>
          <w:sz w:val="20"/>
          <w:szCs w:val="20"/>
          <w:vertAlign w:val="superscript"/>
          <w:lang w:val="es-AR"/>
        </w:rPr>
        <w:footnoteReference w:id="385"/>
      </w:r>
      <w:r w:rsidRPr="00C332F1">
        <w:rPr>
          <w:color w:val="auto"/>
          <w:lang w:val="es-AR"/>
        </w:rPr>
        <w:t xml:space="preserve">. En particular, informes de sociedad civil </w:t>
      </w:r>
      <w:r w:rsidR="08B6E357" w:rsidRPr="00C332F1">
        <w:rPr>
          <w:color w:val="auto"/>
          <w:lang w:val="es-AR"/>
        </w:rPr>
        <w:t xml:space="preserve">destacan </w:t>
      </w:r>
      <w:r w:rsidRPr="00C332F1">
        <w:rPr>
          <w:color w:val="auto"/>
          <w:lang w:val="es-AR"/>
        </w:rPr>
        <w:t>que tanto en los centros penitenciarios como en los centros de detención preventiva se presentan malos tratos y torturas que incluyen golpizas y requisas con el objeto de infligir un sufrimiento adicional o humillación los cuales, en ocasiones serían cometidos por otras personas detenidas con la complicidad de funcionarios o directores de los centros</w:t>
      </w:r>
      <w:r w:rsidR="00A14F05">
        <w:rPr>
          <w:rFonts w:ascii="ZWAdobeF" w:hAnsi="ZWAdobeF" w:cs="ZWAdobeF"/>
          <w:color w:val="auto"/>
          <w:sz w:val="2"/>
          <w:szCs w:val="2"/>
          <w:lang w:val="es-AR"/>
        </w:rPr>
        <w:t>384F</w:t>
      </w:r>
      <w:r w:rsidR="004F4CDE" w:rsidRPr="005C52BD">
        <w:rPr>
          <w:rStyle w:val="IAPiedepginaChar"/>
          <w:color w:val="auto"/>
          <w:sz w:val="20"/>
          <w:szCs w:val="20"/>
          <w:vertAlign w:val="superscript"/>
          <w:lang w:val="es-AR"/>
        </w:rPr>
        <w:footnoteReference w:id="386"/>
      </w:r>
      <w:r w:rsidRPr="00C332F1">
        <w:rPr>
          <w:color w:val="auto"/>
          <w:lang w:val="es-AR"/>
        </w:rPr>
        <w:t>.</w:t>
      </w:r>
    </w:p>
    <w:p w14:paraId="0EFFABE7" w14:textId="04DBE234" w:rsidR="00180325" w:rsidRPr="00C332F1" w:rsidRDefault="70EE5698" w:rsidP="00655B50">
      <w:pPr>
        <w:pStyle w:val="IAPrrafo"/>
        <w:rPr>
          <w:color w:val="auto"/>
          <w:szCs w:val="20"/>
          <w:lang w:val="es-AR"/>
        </w:rPr>
      </w:pPr>
      <w:r w:rsidRPr="00C332F1">
        <w:rPr>
          <w:color w:val="auto"/>
          <w:lang w:val="es-AR"/>
        </w:rPr>
        <w:t>Con base en lo anterior, la CIDH recuerda que los Estados tienen el deber de asegurar a las personas privadas de libertad condiciones de detención compatibles con su dignidad humana. Estas abarcan, entre otras, acceso a alimentación suficiente y de calidad, así como a agua potable y segura</w:t>
      </w:r>
      <w:r w:rsidR="00A14F05">
        <w:rPr>
          <w:rFonts w:ascii="ZWAdobeF" w:hAnsi="ZWAdobeF" w:cs="ZWAdobeF"/>
          <w:color w:val="auto"/>
          <w:sz w:val="2"/>
          <w:szCs w:val="2"/>
          <w:lang w:val="es-AR"/>
        </w:rPr>
        <w:t>385F</w:t>
      </w:r>
      <w:r w:rsidR="004F4CDE" w:rsidRPr="005C52BD">
        <w:rPr>
          <w:rStyle w:val="IAPiedepginaChar"/>
          <w:color w:val="auto"/>
          <w:sz w:val="20"/>
          <w:szCs w:val="20"/>
          <w:vertAlign w:val="superscript"/>
          <w:lang w:val="es-AR"/>
        </w:rPr>
        <w:footnoteReference w:id="387"/>
      </w:r>
      <w:r w:rsidRPr="00C332F1">
        <w:rPr>
          <w:color w:val="auto"/>
          <w:lang w:val="es-AR"/>
        </w:rPr>
        <w:t>. Asimismo, implica proporcionar servicios de salud oportunos, adecuados y especializados a todas las personas bajo su custodia</w:t>
      </w:r>
      <w:r w:rsidR="00A14F05">
        <w:rPr>
          <w:rFonts w:ascii="ZWAdobeF" w:hAnsi="ZWAdobeF" w:cs="ZWAdobeF"/>
          <w:color w:val="auto"/>
          <w:sz w:val="2"/>
          <w:szCs w:val="2"/>
          <w:lang w:val="es-AR"/>
        </w:rPr>
        <w:t>386F</w:t>
      </w:r>
      <w:r w:rsidR="004F4CDE" w:rsidRPr="005C52BD">
        <w:rPr>
          <w:rStyle w:val="IAPiedepginaChar"/>
          <w:color w:val="auto"/>
          <w:sz w:val="20"/>
          <w:szCs w:val="20"/>
          <w:vertAlign w:val="superscript"/>
          <w:lang w:val="es-AR"/>
        </w:rPr>
        <w:footnoteReference w:id="388"/>
      </w:r>
      <w:r w:rsidRPr="00C332F1">
        <w:rPr>
          <w:color w:val="auto"/>
          <w:lang w:val="es-AR"/>
        </w:rPr>
        <w:t xml:space="preserve">. En adición, </w:t>
      </w:r>
      <w:r w:rsidR="6D26A4C9" w:rsidRPr="00C332F1">
        <w:rPr>
          <w:color w:val="auto"/>
          <w:lang w:val="es-AR"/>
        </w:rPr>
        <w:t xml:space="preserve">resalta </w:t>
      </w:r>
      <w:r w:rsidRPr="00C332F1">
        <w:rPr>
          <w:color w:val="auto"/>
          <w:lang w:val="es-AR"/>
        </w:rPr>
        <w:t>la prohibición absoluta de toda forma de maltrato o tortura</w:t>
      </w:r>
      <w:r w:rsidR="00A14F05">
        <w:rPr>
          <w:rFonts w:ascii="ZWAdobeF" w:hAnsi="ZWAdobeF" w:cs="ZWAdobeF"/>
          <w:color w:val="auto"/>
          <w:sz w:val="2"/>
          <w:szCs w:val="2"/>
          <w:lang w:val="es-AR"/>
        </w:rPr>
        <w:t>387F</w:t>
      </w:r>
      <w:r w:rsidR="004F4CDE" w:rsidRPr="005C52BD">
        <w:rPr>
          <w:rStyle w:val="IAPiedepginaChar"/>
          <w:color w:val="auto"/>
          <w:sz w:val="20"/>
          <w:szCs w:val="20"/>
          <w:vertAlign w:val="superscript"/>
          <w:lang w:val="es-AR"/>
        </w:rPr>
        <w:footnoteReference w:id="389"/>
      </w:r>
      <w:r w:rsidRPr="00C332F1">
        <w:rPr>
          <w:color w:val="auto"/>
          <w:lang w:val="es-AR"/>
        </w:rPr>
        <w:t>.</w:t>
      </w:r>
    </w:p>
    <w:p w14:paraId="5FFC26FF" w14:textId="77777777" w:rsidR="00B512BB" w:rsidRPr="00C332F1" w:rsidRDefault="00B512BB" w:rsidP="00B512BB">
      <w:pPr>
        <w:pStyle w:val="IASubttulo3"/>
        <w:rPr>
          <w:lang w:val="es-US"/>
        </w:rPr>
      </w:pPr>
      <w:bookmarkStart w:id="42" w:name="_Toc195617486"/>
      <w:r w:rsidRPr="00C332F1">
        <w:rPr>
          <w:lang w:val="es-US"/>
        </w:rPr>
        <w:t>Personas en movilidad humana</w:t>
      </w:r>
      <w:bookmarkEnd w:id="42"/>
    </w:p>
    <w:p w14:paraId="6770DC13" w14:textId="487E459C" w:rsidR="00B512BB" w:rsidRPr="00C332F1" w:rsidRDefault="6AFB7145" w:rsidP="00DA0AE8">
      <w:pPr>
        <w:pStyle w:val="IAPrrafo"/>
        <w:rPr>
          <w:color w:val="auto"/>
          <w:lang w:val="es-US"/>
        </w:rPr>
      </w:pPr>
      <w:r w:rsidRPr="00C332F1">
        <w:rPr>
          <w:color w:val="auto"/>
          <w:lang w:val="es-US"/>
        </w:rPr>
        <w:t xml:space="preserve">La grave crisis de derechos humanos en Venezuela ha conducido a un desplazamiento forzado de personas sin precedentes. </w:t>
      </w:r>
      <w:r w:rsidRPr="00C332F1">
        <w:rPr>
          <w:rFonts w:eastAsia="Cambria" w:cs="Cambria"/>
          <w:color w:val="auto"/>
          <w:lang w:val="es-ES"/>
        </w:rPr>
        <w:t xml:space="preserve">Según la </w:t>
      </w:r>
      <w:r w:rsidRPr="00C332F1">
        <w:rPr>
          <w:rFonts w:eastAsia="Cambria" w:cs="Cambria"/>
          <w:color w:val="auto"/>
          <w:lang w:val="es-AR"/>
        </w:rPr>
        <w:t xml:space="preserve">Plataforma de Coordinación Interagencial para Refugiados y Migrantes de Venezuela (Plataforma R4V), se estima que, </w:t>
      </w:r>
      <w:r w:rsidR="611E84D0" w:rsidRPr="00C332F1">
        <w:rPr>
          <w:rFonts w:eastAsia="Cambria" w:cs="Cambria"/>
          <w:color w:val="auto"/>
          <w:lang w:val="es-AR"/>
        </w:rPr>
        <w:t xml:space="preserve">entre enero y </w:t>
      </w:r>
      <w:r w:rsidRPr="00C332F1">
        <w:rPr>
          <w:rFonts w:eastAsia="Cambria" w:cs="Cambria"/>
          <w:color w:val="auto"/>
          <w:lang w:val="es-AR"/>
        </w:rPr>
        <w:t>agosto de 2024, un total de 242.000 personas salieron del país, alcanzando la cifra de 7.774.494 personas refugiadas, migrantes y solicitantes de asilo provenientes de Venezuela. De ese total, 6.590.671 se encontraban distribuidas en la región</w:t>
      </w:r>
      <w:r w:rsidR="00A14F05">
        <w:rPr>
          <w:rFonts w:ascii="ZWAdobeF" w:eastAsia="Cambria" w:hAnsi="ZWAdobeF" w:cs="ZWAdobeF"/>
          <w:color w:val="auto"/>
          <w:sz w:val="2"/>
          <w:szCs w:val="2"/>
          <w:lang w:val="es-AR"/>
        </w:rPr>
        <w:t>388F</w:t>
      </w:r>
      <w:r w:rsidR="00B512BB" w:rsidRPr="005C52BD">
        <w:rPr>
          <w:rFonts w:eastAsia="Cambria" w:cs="Cambria"/>
          <w:color w:val="auto"/>
          <w:vertAlign w:val="superscript"/>
          <w:lang w:val="es-AR"/>
        </w:rPr>
        <w:footnoteReference w:id="390"/>
      </w:r>
      <w:r w:rsidRPr="00C332F1">
        <w:rPr>
          <w:rFonts w:eastAsia="Cambria" w:cs="Cambria"/>
          <w:color w:val="auto"/>
          <w:lang w:val="es-AR"/>
        </w:rPr>
        <w:t>.</w:t>
      </w:r>
      <w:r w:rsidRPr="00C332F1">
        <w:rPr>
          <w:rFonts w:eastAsia="Cambria" w:cs="Cambria"/>
          <w:color w:val="auto"/>
          <w:lang w:val="es-ES"/>
        </w:rPr>
        <w:t xml:space="preserve"> Los principales países receptores fueron</w:t>
      </w:r>
      <w:r w:rsidR="00E354C7" w:rsidRPr="00C332F1">
        <w:rPr>
          <w:rFonts w:eastAsia="Cambria" w:cs="Cambria"/>
          <w:color w:val="auto"/>
          <w:lang w:val="es-ES"/>
        </w:rPr>
        <w:t>:</w:t>
      </w:r>
      <w:r w:rsidRPr="00C332F1">
        <w:rPr>
          <w:rFonts w:eastAsia="Cambria" w:cs="Cambria"/>
          <w:color w:val="auto"/>
          <w:lang w:val="es-ES"/>
        </w:rPr>
        <w:t xml:space="preserve"> Colombia, con un total de </w:t>
      </w:r>
      <w:r w:rsidRPr="00C332F1">
        <w:rPr>
          <w:rFonts w:eastAsia="Cambria" w:cs="Cambria"/>
          <w:color w:val="auto"/>
          <w:lang w:val="es-AR"/>
        </w:rPr>
        <w:t>2.813.997; Perú, con 1.662.889; y Brasil, que alcanzó la cifra de 585.361 personas</w:t>
      </w:r>
      <w:r w:rsidR="00A14F05">
        <w:rPr>
          <w:rFonts w:ascii="ZWAdobeF" w:eastAsia="Cambria" w:hAnsi="ZWAdobeF" w:cs="ZWAdobeF"/>
          <w:color w:val="auto"/>
          <w:sz w:val="2"/>
          <w:szCs w:val="2"/>
          <w:lang w:val="es-AR"/>
        </w:rPr>
        <w:t>389F</w:t>
      </w:r>
      <w:r w:rsidR="00B512BB" w:rsidRPr="005C52BD">
        <w:rPr>
          <w:rFonts w:eastAsia="Cambria" w:cs="Cambria"/>
          <w:color w:val="auto"/>
          <w:vertAlign w:val="superscript"/>
          <w:lang w:val="es-AR"/>
        </w:rPr>
        <w:footnoteReference w:id="391"/>
      </w:r>
      <w:r w:rsidRPr="00C332F1">
        <w:rPr>
          <w:rFonts w:eastAsia="Cambria" w:cs="Cambria"/>
          <w:color w:val="auto"/>
          <w:lang w:val="es-AR"/>
        </w:rPr>
        <w:t xml:space="preserve">. </w:t>
      </w:r>
      <w:r w:rsidRPr="00C332F1">
        <w:rPr>
          <w:rFonts w:eastAsia="Cambria" w:cs="Cambria"/>
          <w:color w:val="auto"/>
          <w:lang w:val="es-ES"/>
        </w:rPr>
        <w:t>Los datos más recientes del Alto Comisionado de Naciones Unidas para los Refugiados (ACNUR) revelaron que, para mediados de 2024, a nivel mundial había 369.826 personas venezolanas reconocidas como refugiadas, 1.318.912 personas solicitantes de asilo y 5.793.723 personas con necesidades de protección internacional</w:t>
      </w:r>
      <w:r w:rsidR="00A14F05">
        <w:rPr>
          <w:rFonts w:ascii="ZWAdobeF" w:eastAsia="Cambria" w:hAnsi="ZWAdobeF" w:cs="ZWAdobeF"/>
          <w:color w:val="auto"/>
          <w:sz w:val="2"/>
          <w:szCs w:val="2"/>
          <w:lang w:val="es-ES"/>
        </w:rPr>
        <w:t>390F</w:t>
      </w:r>
      <w:r w:rsidR="00B512BB" w:rsidRPr="005C52BD">
        <w:rPr>
          <w:rFonts w:eastAsia="Cambria" w:cs="Cambria"/>
          <w:color w:val="auto"/>
          <w:vertAlign w:val="superscript"/>
          <w:lang w:val="es-ES"/>
        </w:rPr>
        <w:footnoteReference w:id="392"/>
      </w:r>
      <w:r w:rsidRPr="00C332F1">
        <w:rPr>
          <w:rFonts w:eastAsia="Cambria" w:cs="Cambria"/>
          <w:color w:val="auto"/>
          <w:lang w:val="es-ES"/>
        </w:rPr>
        <w:t>.</w:t>
      </w:r>
      <w:r w:rsidRPr="00C332F1">
        <w:rPr>
          <w:rStyle w:val="FootnoteReference"/>
          <w:rFonts w:eastAsia="Cambria" w:cs="Cambria"/>
          <w:color w:val="auto"/>
          <w:lang w:val="es-AR"/>
        </w:rPr>
        <w:t xml:space="preserve"> </w:t>
      </w:r>
    </w:p>
    <w:p w14:paraId="6FB7C421" w14:textId="2F414E36" w:rsidR="00B512BB" w:rsidRPr="00C332F1" w:rsidRDefault="6AFB7145" w:rsidP="00DA0AE8">
      <w:pPr>
        <w:pStyle w:val="IAPrrafo"/>
        <w:rPr>
          <w:color w:val="auto"/>
          <w:lang w:val="es-US"/>
        </w:rPr>
      </w:pPr>
      <w:r w:rsidRPr="00C332F1">
        <w:rPr>
          <w:rFonts w:eastAsia="Cambria" w:cs="Cambria"/>
          <w:color w:val="auto"/>
          <w:lang w:val="es-ES"/>
        </w:rPr>
        <w:t>De acuerdo con la Plataforma R4V, al contexto de incertidumbre económica y sociopolítica que estas personas atravesaron en su país de origen, se agregan en los países de destino determinadas necesidades. Entre ellas, destaca la integración efectiva en las sociedades de acogida, la obtención de un empleo formal, un hogar seguro y estable, alimentación suficiente y educación para niñas, niños y adolescentes, primordialmente de las personas en situación irregular, recién arribadas o en tránsito</w:t>
      </w:r>
      <w:r w:rsidR="00A14F05">
        <w:rPr>
          <w:rFonts w:ascii="ZWAdobeF" w:eastAsia="Cambria" w:hAnsi="ZWAdobeF" w:cs="ZWAdobeF"/>
          <w:color w:val="auto"/>
          <w:sz w:val="2"/>
          <w:szCs w:val="2"/>
          <w:lang w:val="es-ES"/>
        </w:rPr>
        <w:t>391F</w:t>
      </w:r>
      <w:r w:rsidR="00B512BB" w:rsidRPr="005C52BD">
        <w:rPr>
          <w:rFonts w:eastAsia="Cambria" w:cs="Cambria"/>
          <w:color w:val="auto"/>
          <w:vertAlign w:val="superscript"/>
          <w:lang w:val="es-ES"/>
        </w:rPr>
        <w:footnoteReference w:id="393"/>
      </w:r>
      <w:r w:rsidRPr="00C332F1">
        <w:rPr>
          <w:rFonts w:eastAsia="Cambria" w:cs="Cambria"/>
          <w:color w:val="auto"/>
          <w:lang w:val="es-ES"/>
        </w:rPr>
        <w:t>.</w:t>
      </w:r>
    </w:p>
    <w:p w14:paraId="77EC1029" w14:textId="0C7C71CC" w:rsidR="00B512BB" w:rsidRPr="00C332F1" w:rsidRDefault="6AFB7145" w:rsidP="00DA0AE8">
      <w:pPr>
        <w:pStyle w:val="IAPrrafo"/>
        <w:rPr>
          <w:color w:val="auto"/>
          <w:lang w:val="es-US"/>
        </w:rPr>
      </w:pPr>
      <w:r w:rsidRPr="00C332F1">
        <w:rPr>
          <w:rFonts w:eastAsia="Cambria" w:cs="Cambria"/>
          <w:color w:val="auto"/>
          <w:lang w:val="es-ES"/>
        </w:rPr>
        <w:t>En cuanto a la restricción arbitraria del derecho de circulación y residencia, la Comisión observa con preocupación que el 29 de julio de 2024 el Ministerio del Poder Popular para Relaciones Exteriores emitió un comunicado a través del cual decidió “retirar todo el personal diplomático de las misiones en Argentina, Chile, Costa Rica, Perú, Panamá, República Dominicana y Uruguay”</w:t>
      </w:r>
      <w:r w:rsidR="00A14F05">
        <w:rPr>
          <w:rFonts w:ascii="ZWAdobeF" w:eastAsia="Cambria" w:hAnsi="ZWAdobeF" w:cs="ZWAdobeF"/>
          <w:color w:val="auto"/>
          <w:sz w:val="2"/>
          <w:szCs w:val="2"/>
          <w:lang w:val="es-ES"/>
        </w:rPr>
        <w:t>392F</w:t>
      </w:r>
      <w:r w:rsidR="00B512BB" w:rsidRPr="005C52BD">
        <w:rPr>
          <w:rFonts w:eastAsia="Cambria" w:cs="Cambria"/>
          <w:color w:val="auto"/>
          <w:vertAlign w:val="superscript"/>
          <w:lang w:val="es-ES"/>
        </w:rPr>
        <w:footnoteReference w:id="394"/>
      </w:r>
      <w:r w:rsidRPr="00C332F1">
        <w:rPr>
          <w:rFonts w:eastAsia="Cambria" w:cs="Cambria"/>
          <w:color w:val="auto"/>
          <w:lang w:val="es-ES"/>
        </w:rPr>
        <w:t>. La medida implicó la clausura de los consulados y las embajadas venezolanas en los respectivos países. Como consecuencia de esta decisión, se reportaron limitaciones para obtener y renovar documentación personal y dificultades para acceder a las rutas regulares de ingreso y egreso a otros territorios. Ambos factores favorecen el recurso a vías migratorias irregulares, acrecentando los riesgos de exposición a situaciones de abuso, explotación, violencia de género y trata de personas, entre otros</w:t>
      </w:r>
      <w:r w:rsidR="00A14F05">
        <w:rPr>
          <w:rFonts w:ascii="ZWAdobeF" w:eastAsia="Cambria" w:hAnsi="ZWAdobeF" w:cs="ZWAdobeF"/>
          <w:color w:val="auto"/>
          <w:sz w:val="2"/>
          <w:szCs w:val="2"/>
          <w:lang w:val="es-ES"/>
        </w:rPr>
        <w:t>393F</w:t>
      </w:r>
      <w:r w:rsidR="00B512BB" w:rsidRPr="005C52BD">
        <w:rPr>
          <w:rFonts w:eastAsia="Cambria" w:cs="Cambria"/>
          <w:color w:val="auto"/>
          <w:vertAlign w:val="superscript"/>
          <w:lang w:val="es-ES"/>
        </w:rPr>
        <w:footnoteReference w:id="395"/>
      </w:r>
      <w:r w:rsidRPr="00C332F1">
        <w:rPr>
          <w:rFonts w:eastAsia="Cambria" w:cs="Cambria"/>
          <w:color w:val="auto"/>
          <w:lang w:val="es-ES"/>
        </w:rPr>
        <w:t>. Igualmente, obstaculizan el acceso a procedimientos de protección internacional y aumentan la exposición a los riesgos de devolución (</w:t>
      </w:r>
      <w:r w:rsidRPr="00C332F1">
        <w:rPr>
          <w:rFonts w:eastAsia="Cambria" w:cs="Cambria"/>
          <w:i/>
          <w:iCs/>
          <w:color w:val="auto"/>
          <w:lang w:val="es-ES"/>
        </w:rPr>
        <w:t>non-refoulement</w:t>
      </w:r>
      <w:r w:rsidRPr="00C332F1">
        <w:rPr>
          <w:rFonts w:eastAsia="Cambria" w:cs="Cambria"/>
          <w:color w:val="auto"/>
          <w:lang w:val="es-ES"/>
        </w:rPr>
        <w:t>).</w:t>
      </w:r>
    </w:p>
    <w:p w14:paraId="3634DD92" w14:textId="6285D2CD" w:rsidR="00B512BB" w:rsidRPr="00C332F1" w:rsidRDefault="6AFB7145" w:rsidP="00DA0AE8">
      <w:pPr>
        <w:pStyle w:val="IAPrrafo"/>
        <w:rPr>
          <w:color w:val="auto"/>
          <w:lang w:val="es-US"/>
        </w:rPr>
      </w:pPr>
      <w:r w:rsidRPr="00C332F1">
        <w:rPr>
          <w:rFonts w:eastAsia="Cambria" w:cs="Cambria"/>
          <w:color w:val="auto"/>
          <w:lang w:val="es-ES"/>
        </w:rPr>
        <w:t>Por otra parte, el Ministerio del Poder Popular para Transporte anunció la suspensión temporal de los vuelos aerocomerciales “desde y hacia” Venezuela con Panamá, Perú y República Dominicana, a partir del 31 de julio de 2024</w:t>
      </w:r>
      <w:r w:rsidR="00A14F05">
        <w:rPr>
          <w:rFonts w:ascii="ZWAdobeF" w:eastAsia="Cambria" w:hAnsi="ZWAdobeF" w:cs="ZWAdobeF"/>
          <w:color w:val="auto"/>
          <w:sz w:val="2"/>
          <w:szCs w:val="2"/>
          <w:lang w:val="es-ES"/>
        </w:rPr>
        <w:t>394F</w:t>
      </w:r>
      <w:r w:rsidR="00B512BB" w:rsidRPr="005C52BD">
        <w:rPr>
          <w:rFonts w:eastAsia="Cambria" w:cs="Cambria"/>
          <w:color w:val="auto"/>
          <w:vertAlign w:val="superscript"/>
          <w:lang w:val="es-ES"/>
        </w:rPr>
        <w:footnoteReference w:id="396"/>
      </w:r>
      <w:r w:rsidRPr="00C332F1">
        <w:rPr>
          <w:rFonts w:eastAsia="Cambria" w:cs="Cambria"/>
          <w:color w:val="auto"/>
          <w:lang w:val="es-ES"/>
        </w:rPr>
        <w:t xml:space="preserve">. Junto con la interrupción de los servicios consulares, la medida afectaría a un total de 1.846.000 personas venezolanas, considerando los registros de la </w:t>
      </w:r>
      <w:r w:rsidRPr="00C332F1">
        <w:rPr>
          <w:rFonts w:eastAsia="Cambria" w:cs="Cambria"/>
          <w:color w:val="auto"/>
          <w:lang w:val="es-AR"/>
        </w:rPr>
        <w:t>Plataforma R4V</w:t>
      </w:r>
      <w:r w:rsidR="00A14F05">
        <w:rPr>
          <w:rFonts w:ascii="ZWAdobeF" w:eastAsia="Cambria" w:hAnsi="ZWAdobeF" w:cs="ZWAdobeF"/>
          <w:color w:val="auto"/>
          <w:sz w:val="2"/>
          <w:szCs w:val="2"/>
          <w:lang w:val="es-AR"/>
        </w:rPr>
        <w:t>395F</w:t>
      </w:r>
      <w:r w:rsidR="00B512BB" w:rsidRPr="005C52BD">
        <w:rPr>
          <w:rFonts w:eastAsia="Cambria" w:cs="Cambria"/>
          <w:color w:val="auto"/>
          <w:vertAlign w:val="superscript"/>
          <w:lang w:val="es-AR"/>
        </w:rPr>
        <w:footnoteReference w:id="397"/>
      </w:r>
      <w:r w:rsidRPr="00C332F1">
        <w:rPr>
          <w:rFonts w:eastAsia="Cambria" w:cs="Cambria"/>
          <w:color w:val="auto"/>
          <w:lang w:val="es-AR"/>
        </w:rPr>
        <w:t xml:space="preserve">. </w:t>
      </w:r>
      <w:r w:rsidRPr="00C332F1">
        <w:rPr>
          <w:rFonts w:eastAsia="Cambria" w:cs="Cambria"/>
          <w:color w:val="auto"/>
          <w:lang w:val="es-ES"/>
        </w:rPr>
        <w:t>En particular, la decisión vulnera el derecho a la unidad y a la protección de la vida familiar, imposibilitando vías directas de conexión aérea y atentando contra la</w:t>
      </w:r>
      <w:r w:rsidRPr="00C332F1">
        <w:rPr>
          <w:rFonts w:eastAsia="Cambria" w:cs="Cambria"/>
          <w:color w:val="auto"/>
          <w:lang w:val="es-AR"/>
        </w:rPr>
        <w:t xml:space="preserve"> reunificación familiar.</w:t>
      </w:r>
    </w:p>
    <w:p w14:paraId="2524FA70" w14:textId="31EDF4C1" w:rsidR="00B512BB" w:rsidRPr="00C332F1" w:rsidRDefault="6AFB7145" w:rsidP="00DA0AE8">
      <w:pPr>
        <w:pStyle w:val="IAPrrafo"/>
        <w:rPr>
          <w:color w:val="auto"/>
          <w:lang w:val="es-US"/>
        </w:rPr>
      </w:pPr>
      <w:r w:rsidRPr="00C332F1">
        <w:rPr>
          <w:rFonts w:eastAsia="Cambria" w:cs="Cambria"/>
          <w:color w:val="auto"/>
          <w:lang w:val="es-AR"/>
        </w:rPr>
        <w:t>La CIDH enfatiza que, de conformidad con los artículos 22.1 y 22.2 de la Convención Americana, toda persona tiene el derecho a circular y salir libremente de su país</w:t>
      </w:r>
      <w:r w:rsidR="00A14F05">
        <w:rPr>
          <w:rFonts w:ascii="ZWAdobeF" w:eastAsia="Cambria" w:hAnsi="ZWAdobeF" w:cs="ZWAdobeF"/>
          <w:color w:val="auto"/>
          <w:sz w:val="2"/>
          <w:szCs w:val="2"/>
          <w:lang w:val="es-AR"/>
        </w:rPr>
        <w:t>396F</w:t>
      </w:r>
      <w:r w:rsidR="00B512BB" w:rsidRPr="005C52BD">
        <w:rPr>
          <w:rFonts w:eastAsia="Cambria" w:cs="Cambria"/>
          <w:color w:val="auto"/>
          <w:vertAlign w:val="superscript"/>
          <w:lang w:val="es-AR"/>
        </w:rPr>
        <w:footnoteReference w:id="398"/>
      </w:r>
      <w:r w:rsidRPr="00C332F1">
        <w:rPr>
          <w:rFonts w:eastAsia="Cambria" w:cs="Cambria"/>
          <w:color w:val="auto"/>
          <w:lang w:val="es-AR"/>
        </w:rPr>
        <w:t>. Asimismo, conforme con los artículos 22.7 y 22.8 del mismo instrumento, toda persona tiene el derecho de buscar y recibir asilo en territorio extranjero y a no ser devuelta a otro país en que su vida o libertad este amenazada</w:t>
      </w:r>
      <w:r w:rsidR="00A14F05">
        <w:rPr>
          <w:rFonts w:ascii="ZWAdobeF" w:eastAsia="Cambria" w:hAnsi="ZWAdobeF" w:cs="ZWAdobeF"/>
          <w:color w:val="auto"/>
          <w:sz w:val="2"/>
          <w:szCs w:val="2"/>
          <w:lang w:val="es-AR"/>
        </w:rPr>
        <w:t>397F</w:t>
      </w:r>
      <w:r w:rsidR="00B512BB" w:rsidRPr="005C52BD">
        <w:rPr>
          <w:rFonts w:eastAsia="Cambria" w:cs="Cambria"/>
          <w:color w:val="auto"/>
          <w:vertAlign w:val="superscript"/>
          <w:lang w:val="es-AR"/>
        </w:rPr>
        <w:footnoteReference w:id="399"/>
      </w:r>
      <w:r w:rsidRPr="00C332F1">
        <w:rPr>
          <w:rFonts w:eastAsia="Cambria" w:cs="Cambria"/>
          <w:color w:val="auto"/>
          <w:lang w:val="es-AR"/>
        </w:rPr>
        <w:t>. En particular, el ejercicio de estos derechos exige de las autoridades estatales la facilitación de la documentación requerida para garantizar canales regulares, seguros, accesibles y asequibles para la migración, de modo de reducir los riesgos a los cuales pueden enfrentarse las personas en contexto de movilidad humana</w:t>
      </w:r>
      <w:r w:rsidR="00A14F05">
        <w:rPr>
          <w:rFonts w:ascii="ZWAdobeF" w:eastAsia="Cambria" w:hAnsi="ZWAdobeF" w:cs="ZWAdobeF"/>
          <w:color w:val="auto"/>
          <w:sz w:val="2"/>
          <w:szCs w:val="2"/>
          <w:lang w:val="es-AR"/>
        </w:rPr>
        <w:t>398F</w:t>
      </w:r>
      <w:r w:rsidR="00B512BB" w:rsidRPr="005C52BD">
        <w:rPr>
          <w:rFonts w:eastAsia="Cambria" w:cs="Cambria"/>
          <w:color w:val="auto"/>
          <w:vertAlign w:val="superscript"/>
          <w:lang w:val="es-AR"/>
        </w:rPr>
        <w:footnoteReference w:id="400"/>
      </w:r>
      <w:r w:rsidRPr="00C332F1">
        <w:rPr>
          <w:rFonts w:eastAsia="Cambria" w:cs="Cambria"/>
          <w:color w:val="auto"/>
          <w:lang w:val="es-AR"/>
        </w:rPr>
        <w:t>.</w:t>
      </w:r>
    </w:p>
    <w:p w14:paraId="16A870B5" w14:textId="77777777" w:rsidR="00B512BB" w:rsidRPr="00C332F1" w:rsidRDefault="00B512BB" w:rsidP="00DA0AE8">
      <w:pPr>
        <w:pStyle w:val="IAPrrafo"/>
        <w:rPr>
          <w:color w:val="auto"/>
          <w:lang w:val="es-US"/>
        </w:rPr>
      </w:pPr>
      <w:r w:rsidRPr="00C332F1">
        <w:rPr>
          <w:rFonts w:eastAsia="Cambria" w:cs="Cambria"/>
          <w:color w:val="auto"/>
          <w:lang w:val="es-ES"/>
        </w:rPr>
        <w:t>Ante esta realidad, la Comisión reitera su llamado al Estado de Venezuela a adoptar medidas urgentes e integrales para abordar los factores que están generando la salida masiva de sus nacionales del país, entre ellos las violaciones a derechos humanos básicos y libertades fundamentales. Además, exhorta al Estado a eliminar los obstáculos impuestos por el cierre de los servicios consulares y por la suspensión de las vías aerocomerciales que puedan generar el incremento de desplazamiento de forma irregular.</w:t>
      </w:r>
    </w:p>
    <w:p w14:paraId="64DC0239" w14:textId="1A4B3138" w:rsidR="0021586A" w:rsidRPr="00C332F1" w:rsidRDefault="0021586A" w:rsidP="00B512BB">
      <w:pPr>
        <w:pStyle w:val="IASubttulo3"/>
        <w:rPr>
          <w:lang w:val="es-US"/>
        </w:rPr>
      </w:pPr>
      <w:bookmarkStart w:id="43" w:name="_Toc195617487"/>
      <w:r w:rsidRPr="00C332F1">
        <w:rPr>
          <w:lang w:val="es-US"/>
        </w:rPr>
        <w:t xml:space="preserve">Pueblos </w:t>
      </w:r>
      <w:r w:rsidR="00F5488D" w:rsidRPr="00C332F1">
        <w:rPr>
          <w:lang w:val="es-US"/>
        </w:rPr>
        <w:t>i</w:t>
      </w:r>
      <w:r w:rsidRPr="00C332F1">
        <w:rPr>
          <w:lang w:val="es-US"/>
        </w:rPr>
        <w:t>ndígenas</w:t>
      </w:r>
      <w:bookmarkEnd w:id="43"/>
    </w:p>
    <w:p w14:paraId="3B7B7056" w14:textId="10D35D71" w:rsidR="00BB2F8F" w:rsidRPr="00C332F1" w:rsidRDefault="47E6BAB4" w:rsidP="00DA0AE8">
      <w:pPr>
        <w:pStyle w:val="IAPrrafo"/>
        <w:rPr>
          <w:color w:val="auto"/>
          <w:szCs w:val="20"/>
          <w:lang w:val="es-US"/>
        </w:rPr>
      </w:pPr>
      <w:r w:rsidRPr="00C332F1">
        <w:rPr>
          <w:color w:val="auto"/>
          <w:lang w:val="es-US"/>
        </w:rPr>
        <w:t xml:space="preserve">La situación de derechos humanos de los pueblos indígenas continúa siendo precaria. En particular, la CIDH recibió información sobre los impactos de </w:t>
      </w:r>
      <w:r w:rsidR="257E1920" w:rsidRPr="00C332F1">
        <w:rPr>
          <w:color w:val="auto"/>
          <w:lang w:val="es-US"/>
        </w:rPr>
        <w:t xml:space="preserve">la minería ilegal y otras economías ilícitas </w:t>
      </w:r>
      <w:r w:rsidR="18F1DB5D" w:rsidRPr="00C332F1">
        <w:rPr>
          <w:color w:val="auto"/>
          <w:lang w:val="es-US"/>
        </w:rPr>
        <w:t>en</w:t>
      </w:r>
      <w:r w:rsidR="257E1920" w:rsidRPr="00C332F1">
        <w:rPr>
          <w:color w:val="auto"/>
          <w:lang w:val="es-US"/>
        </w:rPr>
        <w:t xml:space="preserve"> la vida, la salud y la supervivencia del pueblo Yanomami en el Arco Minero del Orinoco, que ha provocado en consecuencia, el incremento de la violencia, la propagación de enfermedades infecciosas y el deterioro ambiental. Según líderes indígenas del pueblo Yanomami</w:t>
      </w:r>
      <w:r w:rsidR="00A14F05">
        <w:rPr>
          <w:rFonts w:ascii="ZWAdobeF" w:hAnsi="ZWAdobeF" w:cs="ZWAdobeF"/>
          <w:color w:val="auto"/>
          <w:sz w:val="2"/>
          <w:szCs w:val="2"/>
          <w:lang w:val="es-US"/>
        </w:rPr>
        <w:t>399F</w:t>
      </w:r>
      <w:r w:rsidR="00BB2F8F" w:rsidRPr="005C52BD">
        <w:rPr>
          <w:rStyle w:val="FootnoteReference"/>
          <w:color w:val="auto"/>
          <w:sz w:val="20"/>
          <w:szCs w:val="20"/>
        </w:rPr>
        <w:footnoteReference w:id="401"/>
      </w:r>
      <w:r w:rsidR="257E1920" w:rsidRPr="00C332F1">
        <w:rPr>
          <w:color w:val="auto"/>
          <w:lang w:val="es-US"/>
        </w:rPr>
        <w:t xml:space="preserve">, con motivo de la actividad de </w:t>
      </w:r>
      <w:r w:rsidR="257E1920" w:rsidRPr="00C332F1">
        <w:rPr>
          <w:i/>
          <w:iCs/>
          <w:color w:val="auto"/>
          <w:lang w:val="es-US"/>
        </w:rPr>
        <w:t>garimpeiros</w:t>
      </w:r>
      <w:r w:rsidR="257E1920" w:rsidRPr="00C332F1">
        <w:rPr>
          <w:color w:val="auto"/>
          <w:lang w:val="es-US"/>
        </w:rPr>
        <w:t xml:space="preserve"> y grupos de otras economías ilícitas de origen brasileño y colombiano, se profundizó la violencia en los estados de Amazonas, Bolívar y Delta Amacuro.</w:t>
      </w:r>
    </w:p>
    <w:p w14:paraId="58041162" w14:textId="0228CDB7" w:rsidR="00BB2F8F" w:rsidRPr="00C332F1" w:rsidRDefault="257E1920" w:rsidP="00DA0AE8">
      <w:pPr>
        <w:pStyle w:val="IAPrrafo"/>
        <w:rPr>
          <w:color w:val="auto"/>
          <w:szCs w:val="20"/>
          <w:lang w:val="es-US"/>
        </w:rPr>
      </w:pPr>
      <w:r w:rsidRPr="00C332F1">
        <w:rPr>
          <w:color w:val="auto"/>
          <w:lang w:val="es-US"/>
        </w:rPr>
        <w:t>En este contexto, la prevalencia de enfermedades por infecciones respiratorias, tuberculosis, diarreas, hepatitis y, en general, de trasmisión sexual y otras prevenibles con vacunas</w:t>
      </w:r>
      <w:r w:rsidR="56A2FC9E" w:rsidRPr="00C332F1">
        <w:rPr>
          <w:color w:val="auto"/>
          <w:lang w:val="es-US"/>
        </w:rPr>
        <w:t xml:space="preserve"> estaría afectando de manera especial a su derecho a la salud</w:t>
      </w:r>
      <w:r w:rsidR="00A14F05">
        <w:rPr>
          <w:rFonts w:ascii="ZWAdobeF" w:hAnsi="ZWAdobeF" w:cs="ZWAdobeF"/>
          <w:color w:val="auto"/>
          <w:sz w:val="2"/>
          <w:szCs w:val="2"/>
          <w:lang w:val="es-US"/>
        </w:rPr>
        <w:t>400F</w:t>
      </w:r>
      <w:r w:rsidR="00E155C9" w:rsidRPr="005C52BD">
        <w:rPr>
          <w:rStyle w:val="FootnoteReference"/>
          <w:color w:val="auto"/>
          <w:sz w:val="20"/>
          <w:szCs w:val="20"/>
        </w:rPr>
        <w:footnoteReference w:id="402"/>
      </w:r>
      <w:r w:rsidRPr="00C332F1">
        <w:rPr>
          <w:color w:val="auto"/>
          <w:lang w:val="es-US"/>
        </w:rPr>
        <w:t>. De acuerdo con registros propios del pueblo Yanomami, la malaria habría provocado la muerte de al menos 390 personas indígenas en los últimos dos años. Este escenario se condice con lo documentado por la Misión Internacional Independiente para la Determinación de los Hechos en el Arco Minero del Orinoco</w:t>
      </w:r>
      <w:r w:rsidR="00A14F05">
        <w:rPr>
          <w:rFonts w:ascii="ZWAdobeF" w:hAnsi="ZWAdobeF" w:cs="ZWAdobeF"/>
          <w:color w:val="auto"/>
          <w:sz w:val="2"/>
          <w:szCs w:val="2"/>
          <w:lang w:val="es-US"/>
        </w:rPr>
        <w:t>401F</w:t>
      </w:r>
      <w:r w:rsidR="00BB2F8F" w:rsidRPr="005C52BD">
        <w:rPr>
          <w:rStyle w:val="FootnoteReference"/>
          <w:color w:val="auto"/>
          <w:sz w:val="20"/>
          <w:szCs w:val="20"/>
        </w:rPr>
        <w:footnoteReference w:id="403"/>
      </w:r>
      <w:r w:rsidRPr="00C332F1">
        <w:rPr>
          <w:color w:val="auto"/>
          <w:lang w:val="es-US"/>
        </w:rPr>
        <w:t>.</w:t>
      </w:r>
    </w:p>
    <w:p w14:paraId="359FAC6D" w14:textId="72689B80" w:rsidR="00BB2F8F" w:rsidRPr="00C332F1" w:rsidRDefault="257E1920" w:rsidP="00DA0AE8">
      <w:pPr>
        <w:pStyle w:val="IAPrrafo"/>
        <w:rPr>
          <w:color w:val="auto"/>
          <w:szCs w:val="20"/>
          <w:lang w:val="es-US"/>
        </w:rPr>
      </w:pPr>
      <w:r w:rsidRPr="00C332F1">
        <w:rPr>
          <w:color w:val="auto"/>
          <w:lang w:val="es-US"/>
        </w:rPr>
        <w:t>Esta situación también fue observada por el Comité para la Eliminación de la Discriminación Racial (CERD), el cual expresó su preocupación</w:t>
      </w:r>
      <w:r w:rsidR="00A14F05">
        <w:rPr>
          <w:rFonts w:ascii="ZWAdobeF" w:hAnsi="ZWAdobeF" w:cs="ZWAdobeF"/>
          <w:color w:val="auto"/>
          <w:sz w:val="2"/>
          <w:szCs w:val="2"/>
          <w:lang w:val="es-US"/>
        </w:rPr>
        <w:t>402F</w:t>
      </w:r>
      <w:r w:rsidR="00BB2F8F" w:rsidRPr="005C52BD">
        <w:rPr>
          <w:rStyle w:val="FootnoteReference"/>
          <w:color w:val="auto"/>
          <w:sz w:val="20"/>
          <w:szCs w:val="20"/>
        </w:rPr>
        <w:footnoteReference w:id="404"/>
      </w:r>
      <w:r w:rsidRPr="00C332F1">
        <w:rPr>
          <w:color w:val="auto"/>
          <w:lang w:val="es-US"/>
        </w:rPr>
        <w:t xml:space="preserve"> por el impacto negativo que tiene la minería sobre los recursos naturales que se encuentran en tierras y territorios de los pueblos indígenas, afectando sus medios de subsistencia y formas de vida. El Comité observó que</w:t>
      </w:r>
      <w:r w:rsidR="79CEEA4E" w:rsidRPr="00C332F1">
        <w:rPr>
          <w:color w:val="auto"/>
          <w:lang w:val="es-US"/>
        </w:rPr>
        <w:t>,</w:t>
      </w:r>
      <w:r w:rsidRPr="00C332F1">
        <w:rPr>
          <w:color w:val="auto"/>
          <w:lang w:val="es-US"/>
        </w:rPr>
        <w:t xml:space="preserve"> como consecuencia</w:t>
      </w:r>
      <w:r w:rsidR="79CEEA4E" w:rsidRPr="00C332F1">
        <w:rPr>
          <w:color w:val="auto"/>
          <w:lang w:val="es-US"/>
        </w:rPr>
        <w:t>,</w:t>
      </w:r>
      <w:r w:rsidRPr="00C332F1">
        <w:rPr>
          <w:color w:val="auto"/>
          <w:lang w:val="es-US"/>
        </w:rPr>
        <w:t xml:space="preserve"> se agudizó la crisis alimentaria, el desplazamiento forzado y los problemas de salud de sus miembros.</w:t>
      </w:r>
    </w:p>
    <w:p w14:paraId="7D7A2DC0" w14:textId="11026033" w:rsidR="00DB47C8" w:rsidRPr="00C332F1" w:rsidRDefault="00BB2F8F" w:rsidP="00655B50">
      <w:pPr>
        <w:pStyle w:val="IAPrrafo"/>
        <w:rPr>
          <w:color w:val="auto"/>
          <w:szCs w:val="20"/>
          <w:lang w:val="es-US"/>
        </w:rPr>
      </w:pPr>
      <w:r w:rsidRPr="00C332F1">
        <w:rPr>
          <w:color w:val="auto"/>
          <w:szCs w:val="20"/>
          <w:lang w:val="es-US"/>
        </w:rPr>
        <w:t>El Comité también expresó su preocupación por la falta de datos desagregados e indicadores socioeconómicos en relación con la población indígena, siendo que el último censo poblacional fuera realizado en 2011. Por ello, ha recomendado al Estado a que continúe con sus esfuerzos para llevar a cabo un censo con el fin de generar estadísticas e indicadores socioeconómicos desglosados</w:t>
      </w:r>
      <w:r w:rsidR="004869A6" w:rsidRPr="00C332F1">
        <w:rPr>
          <w:color w:val="auto"/>
          <w:szCs w:val="20"/>
          <w:lang w:val="es-US"/>
        </w:rPr>
        <w:t xml:space="preserve"> —</w:t>
      </w:r>
      <w:r w:rsidRPr="00C332F1">
        <w:rPr>
          <w:color w:val="auto"/>
          <w:szCs w:val="20"/>
          <w:lang w:val="es-US"/>
        </w:rPr>
        <w:t>entre otro</w:t>
      </w:r>
      <w:r w:rsidR="004869A6" w:rsidRPr="00C332F1">
        <w:rPr>
          <w:color w:val="auto"/>
          <w:szCs w:val="20"/>
          <w:lang w:val="es-US"/>
        </w:rPr>
        <w:t>s—</w:t>
      </w:r>
      <w:r w:rsidRPr="00C332F1">
        <w:rPr>
          <w:color w:val="auto"/>
          <w:szCs w:val="20"/>
          <w:lang w:val="es-US"/>
        </w:rPr>
        <w:t xml:space="preserve"> por origen étnico y así poder desarrollar políticas públicas orientadas a esta población.</w:t>
      </w:r>
    </w:p>
    <w:p w14:paraId="54200872" w14:textId="32227C48" w:rsidR="00BB2F8F" w:rsidRPr="00C332F1" w:rsidRDefault="257E1920" w:rsidP="00DA0AE8">
      <w:pPr>
        <w:pStyle w:val="IAPrrafo"/>
        <w:rPr>
          <w:color w:val="auto"/>
          <w:szCs w:val="20"/>
          <w:lang w:val="es-US"/>
        </w:rPr>
      </w:pPr>
      <w:r w:rsidRPr="00C332F1">
        <w:rPr>
          <w:color w:val="auto"/>
          <w:lang w:val="es-US"/>
        </w:rPr>
        <w:t>En lo relativo a los índices de escolaridad, el Comité manifestó preocupación por las altas tasas de deserción escolar y falta de docentes calificados en las escuelas ubicadas en zonas donde habitan los pueblos indígenas. En este mismo sentido, observó limitaciones en el acceso a servicios de salud de calidad y culturalmente apropiados, como así también los desafíos enfrentados para acceder al mercado laboral por sufrir discriminación por su origen étnico. Es por ello que el Comité recomendó al Estado la adopción de medidas para mitigar estas brechas</w:t>
      </w:r>
      <w:r w:rsidR="00A14F05">
        <w:rPr>
          <w:rFonts w:ascii="ZWAdobeF" w:hAnsi="ZWAdobeF" w:cs="ZWAdobeF"/>
          <w:color w:val="auto"/>
          <w:sz w:val="2"/>
          <w:szCs w:val="2"/>
          <w:lang w:val="es-US"/>
        </w:rPr>
        <w:t>403F</w:t>
      </w:r>
      <w:r w:rsidR="00BB2F8F" w:rsidRPr="005C52BD">
        <w:rPr>
          <w:rStyle w:val="FootnoteReference"/>
          <w:color w:val="auto"/>
          <w:sz w:val="20"/>
          <w:szCs w:val="20"/>
        </w:rPr>
        <w:footnoteReference w:id="405"/>
      </w:r>
      <w:r w:rsidRPr="00C332F1">
        <w:rPr>
          <w:color w:val="auto"/>
          <w:lang w:val="es-US"/>
        </w:rPr>
        <w:t>.</w:t>
      </w:r>
    </w:p>
    <w:p w14:paraId="5F21FE48" w14:textId="7006AD98" w:rsidR="00BB2F8F" w:rsidRPr="00C332F1" w:rsidRDefault="257E1920" w:rsidP="00DA0AE8">
      <w:pPr>
        <w:pStyle w:val="IAPrrafo"/>
        <w:rPr>
          <w:color w:val="auto"/>
          <w:szCs w:val="20"/>
          <w:lang w:val="es-US"/>
        </w:rPr>
      </w:pPr>
      <w:r w:rsidRPr="00C332F1">
        <w:rPr>
          <w:color w:val="auto"/>
          <w:lang w:val="es-US"/>
        </w:rPr>
        <w:t>Respecto a la demarcación de tierras indígenas</w:t>
      </w:r>
      <w:r w:rsidR="00A14F05">
        <w:rPr>
          <w:rFonts w:ascii="ZWAdobeF" w:hAnsi="ZWAdobeF" w:cs="ZWAdobeF"/>
          <w:color w:val="auto"/>
          <w:sz w:val="2"/>
          <w:szCs w:val="2"/>
          <w:lang w:val="es-US"/>
        </w:rPr>
        <w:t>404F</w:t>
      </w:r>
      <w:r w:rsidR="00BB2F8F" w:rsidRPr="005C52BD">
        <w:rPr>
          <w:rStyle w:val="FootnoteReference"/>
          <w:color w:val="auto"/>
          <w:sz w:val="20"/>
          <w:szCs w:val="20"/>
        </w:rPr>
        <w:footnoteReference w:id="406"/>
      </w:r>
      <w:r w:rsidRPr="00C332F1">
        <w:rPr>
          <w:color w:val="auto"/>
          <w:lang w:val="es-US"/>
        </w:rPr>
        <w:t>, también el Comité observó la lentitud de los procesos de demarcación y titulación de tierras indígenas, los cuales observa paralizados desde 2016 y que, esta situación, ha contribuido a suscitar ataques e invasiones ilegales de personas no indígenas, generando conflictos y violencia en torno al acceso a la tierra, territorio y recursos naturales. En consecuencia, el Comité recomendó al Estado la adopción de medidas para garantizar este derecho, incluso a través de la implementación efectiva de la Ley Orgánica de Pueblos y Comunidades Indígenas y el pleno funcionamiento de la Comisión Nacional de Demarcación del Hábitat y Tierras de los Pueblos y Comunidades Indígenas.</w:t>
      </w:r>
    </w:p>
    <w:p w14:paraId="5068296D" w14:textId="08F666A0" w:rsidR="00BB2F8F" w:rsidRPr="00C332F1" w:rsidRDefault="00BB2F8F" w:rsidP="00DA0AE8">
      <w:pPr>
        <w:pStyle w:val="IAPrrafo"/>
        <w:rPr>
          <w:color w:val="auto"/>
          <w:szCs w:val="20"/>
          <w:lang w:val="es-US"/>
        </w:rPr>
      </w:pPr>
      <w:r w:rsidRPr="00C332F1">
        <w:rPr>
          <w:color w:val="auto"/>
          <w:szCs w:val="20"/>
          <w:lang w:val="es-ES"/>
        </w:rPr>
        <w:t>En cuanto al derecho a la consulta previa, libre e informada, el Comité tomó nota de lo informado por el Estado acerca del proceso de la elaboración de un protocolo</w:t>
      </w:r>
      <w:r w:rsidR="000811FB" w:rsidRPr="00C332F1">
        <w:rPr>
          <w:color w:val="auto"/>
          <w:szCs w:val="20"/>
          <w:lang w:val="es-ES"/>
        </w:rPr>
        <w:t xml:space="preserve">. Sin embargo, </w:t>
      </w:r>
      <w:r w:rsidR="000F7C19" w:rsidRPr="00C332F1">
        <w:rPr>
          <w:color w:val="auto"/>
          <w:szCs w:val="20"/>
          <w:lang w:val="es-ES"/>
        </w:rPr>
        <w:t>advirtió</w:t>
      </w:r>
      <w:r w:rsidRPr="00C332F1">
        <w:rPr>
          <w:color w:val="auto"/>
          <w:szCs w:val="20"/>
          <w:lang w:val="es-ES"/>
        </w:rPr>
        <w:t xml:space="preserve"> que </w:t>
      </w:r>
      <w:r w:rsidR="000811FB" w:rsidRPr="00C332F1">
        <w:rPr>
          <w:color w:val="auto"/>
          <w:szCs w:val="20"/>
          <w:lang w:val="es-ES"/>
        </w:rPr>
        <w:t>dicho documento</w:t>
      </w:r>
      <w:r w:rsidR="00802BF5" w:rsidRPr="00C332F1">
        <w:rPr>
          <w:color w:val="auto"/>
          <w:szCs w:val="20"/>
          <w:lang w:val="es-ES"/>
        </w:rPr>
        <w:t xml:space="preserve"> debería</w:t>
      </w:r>
      <w:r w:rsidR="003736C2" w:rsidRPr="00C332F1">
        <w:rPr>
          <w:color w:val="auto"/>
          <w:szCs w:val="20"/>
          <w:lang w:val="es-ES"/>
        </w:rPr>
        <w:t xml:space="preserve"> impulsarse</w:t>
      </w:r>
      <w:r w:rsidR="00AE3C39" w:rsidRPr="00C332F1">
        <w:rPr>
          <w:color w:val="auto"/>
          <w:szCs w:val="20"/>
          <w:lang w:val="es-ES"/>
        </w:rPr>
        <w:t xml:space="preserve"> realizando </w:t>
      </w:r>
      <w:r w:rsidRPr="00C332F1">
        <w:rPr>
          <w:color w:val="auto"/>
          <w:szCs w:val="20"/>
          <w:lang w:val="es-ES"/>
        </w:rPr>
        <w:t xml:space="preserve">la consulta correspondiente </w:t>
      </w:r>
      <w:r w:rsidR="000811FB" w:rsidRPr="00C332F1">
        <w:rPr>
          <w:color w:val="auto"/>
          <w:szCs w:val="20"/>
          <w:lang w:val="es-ES"/>
        </w:rPr>
        <w:t>con el fin de</w:t>
      </w:r>
      <w:r w:rsidRPr="00C332F1">
        <w:rPr>
          <w:color w:val="auto"/>
          <w:szCs w:val="20"/>
          <w:lang w:val="es-ES"/>
        </w:rPr>
        <w:t xml:space="preserve"> obtener </w:t>
      </w:r>
      <w:r w:rsidR="000811FB" w:rsidRPr="00C332F1">
        <w:rPr>
          <w:color w:val="auto"/>
          <w:szCs w:val="20"/>
          <w:lang w:val="es-ES"/>
        </w:rPr>
        <w:t>un</w:t>
      </w:r>
      <w:r w:rsidRPr="00C332F1">
        <w:rPr>
          <w:color w:val="auto"/>
          <w:szCs w:val="20"/>
          <w:lang w:val="es-ES"/>
        </w:rPr>
        <w:t xml:space="preserve"> consentimiento libre, previo e informado. </w:t>
      </w:r>
    </w:p>
    <w:p w14:paraId="2C0A284C" w14:textId="34D27F33" w:rsidR="0021702D" w:rsidRPr="00C332F1" w:rsidRDefault="0021586A" w:rsidP="00B512BB">
      <w:pPr>
        <w:pStyle w:val="IASubttulo3"/>
        <w:rPr>
          <w:lang w:val="es-US"/>
        </w:rPr>
      </w:pPr>
      <w:bookmarkStart w:id="44" w:name="_Toc195617488"/>
      <w:r w:rsidRPr="00C332F1">
        <w:rPr>
          <w:lang w:val="es-US"/>
        </w:rPr>
        <w:t>Personas afrodescendientes</w:t>
      </w:r>
      <w:bookmarkEnd w:id="44"/>
      <w:r w:rsidR="00227EB2" w:rsidRPr="00C332F1">
        <w:rPr>
          <w:lang w:val="es-US"/>
        </w:rPr>
        <w:t xml:space="preserve"> </w:t>
      </w:r>
    </w:p>
    <w:p w14:paraId="62161386" w14:textId="4B3E9F72" w:rsidR="0021702D" w:rsidRPr="00C332F1" w:rsidRDefault="6F526998" w:rsidP="00DA0AE8">
      <w:pPr>
        <w:pStyle w:val="IAPrrafo"/>
        <w:rPr>
          <w:color w:val="auto"/>
          <w:szCs w:val="20"/>
          <w:lang w:val="es-ES"/>
        </w:rPr>
      </w:pPr>
      <w:r w:rsidRPr="00C332F1">
        <w:rPr>
          <w:color w:val="auto"/>
          <w:lang w:val="es-ES"/>
        </w:rPr>
        <w:t>L</w:t>
      </w:r>
      <w:r w:rsidR="1396500D" w:rsidRPr="00C332F1">
        <w:rPr>
          <w:color w:val="auto"/>
          <w:lang w:val="es-ES"/>
        </w:rPr>
        <w:t>as observaciones finales del Comité para la Eliminación de la Discriminación Racial (CERD) sobre los informes periódicos 22º a 24º de Venezuela, en el marco de la sesión No. 113 Sesión en agosto de 2024</w:t>
      </w:r>
      <w:r w:rsidR="00320454" w:rsidRPr="00C332F1">
        <w:rPr>
          <w:color w:val="auto"/>
          <w:lang w:val="es-ES"/>
        </w:rPr>
        <w:t xml:space="preserve">, </w:t>
      </w:r>
      <w:r w:rsidR="1396500D" w:rsidRPr="00C332F1">
        <w:rPr>
          <w:color w:val="auto"/>
          <w:lang w:val="es-ES"/>
        </w:rPr>
        <w:t xml:space="preserve">destacó que, en materia de discriminación racial, los Pueblos Indígenas y </w:t>
      </w:r>
      <w:r w:rsidR="50AFAED5" w:rsidRPr="00C332F1">
        <w:rPr>
          <w:color w:val="auto"/>
          <w:lang w:val="es-ES"/>
        </w:rPr>
        <w:t>Afrodescendientes continúan</w:t>
      </w:r>
      <w:r w:rsidR="1396500D" w:rsidRPr="00C332F1">
        <w:rPr>
          <w:color w:val="auto"/>
          <w:lang w:val="es-ES"/>
        </w:rPr>
        <w:t xml:space="preserve"> siendo víctimas de discriminación estructural, lo que se refleja en los índices de pobreza y exclusión social que enfrentan, así como en el impacto desproporcionado de la crisis socioeconómica en el disfrute de sus derechos económicos, sociales y culturales</w:t>
      </w:r>
      <w:r w:rsidR="00A14F05">
        <w:rPr>
          <w:rFonts w:ascii="ZWAdobeF" w:hAnsi="ZWAdobeF" w:cs="ZWAdobeF"/>
          <w:color w:val="auto"/>
          <w:sz w:val="2"/>
          <w:szCs w:val="2"/>
          <w:lang w:val="es-ES"/>
        </w:rPr>
        <w:t>405F</w:t>
      </w:r>
      <w:r w:rsidR="00BC27A6" w:rsidRPr="005C52BD">
        <w:rPr>
          <w:rStyle w:val="FootnoteReference"/>
          <w:color w:val="auto"/>
          <w:sz w:val="20"/>
          <w:szCs w:val="20"/>
          <w:lang w:val="es-ES"/>
        </w:rPr>
        <w:footnoteReference w:id="407"/>
      </w:r>
      <w:r w:rsidR="1396500D" w:rsidRPr="00C332F1">
        <w:rPr>
          <w:color w:val="auto"/>
          <w:lang w:val="es-ES"/>
        </w:rPr>
        <w:t>.</w:t>
      </w:r>
    </w:p>
    <w:p w14:paraId="03F7E003" w14:textId="59769CD5" w:rsidR="0021702D" w:rsidRPr="00C332F1" w:rsidRDefault="1396500D" w:rsidP="00DA0AE8">
      <w:pPr>
        <w:pStyle w:val="IAPrrafo"/>
        <w:rPr>
          <w:color w:val="auto"/>
          <w:szCs w:val="20"/>
          <w:lang w:val="es-US"/>
        </w:rPr>
      </w:pPr>
      <w:r w:rsidRPr="00C332F1">
        <w:rPr>
          <w:color w:val="auto"/>
          <w:lang w:val="es-ES"/>
        </w:rPr>
        <w:t xml:space="preserve">Al tiempo, el CERD subrayó que no tiene información sobre resultados concretos respecto de la implementación del Segundo y Tercer Plan Socialista de Desarrollo Económico y Social de la Nación que priorizaron </w:t>
      </w:r>
      <w:r w:rsidRPr="00C332F1">
        <w:rPr>
          <w:color w:val="auto"/>
          <w:lang w:val="es-US"/>
        </w:rPr>
        <w:t>la lucha contra la discriminación racial contra Pueblos Indígenas y afrodescendientes</w:t>
      </w:r>
      <w:r w:rsidR="00A14F05">
        <w:rPr>
          <w:rFonts w:ascii="ZWAdobeF" w:hAnsi="ZWAdobeF" w:cs="ZWAdobeF"/>
          <w:color w:val="auto"/>
          <w:sz w:val="2"/>
          <w:szCs w:val="2"/>
          <w:lang w:val="es-US"/>
        </w:rPr>
        <w:t>406F</w:t>
      </w:r>
      <w:r w:rsidR="0021702D" w:rsidRPr="005C52BD">
        <w:rPr>
          <w:rStyle w:val="FootnoteReference"/>
          <w:color w:val="auto"/>
          <w:sz w:val="20"/>
          <w:szCs w:val="20"/>
          <w:lang w:val="es-US"/>
        </w:rPr>
        <w:footnoteReference w:id="408"/>
      </w:r>
      <w:r w:rsidRPr="00C332F1">
        <w:rPr>
          <w:color w:val="auto"/>
          <w:lang w:val="es-US"/>
        </w:rPr>
        <w:t>. En este sentido</w:t>
      </w:r>
      <w:r w:rsidR="737032E5" w:rsidRPr="00C332F1">
        <w:rPr>
          <w:color w:val="auto"/>
          <w:lang w:val="es-US"/>
        </w:rPr>
        <w:t>,</w:t>
      </w:r>
      <w:r w:rsidRPr="00C332F1">
        <w:rPr>
          <w:color w:val="auto"/>
          <w:lang w:val="es-US"/>
        </w:rPr>
        <w:t xml:space="preserve"> expresó preocupación por los estereotipos raciales que aún se encuentran arraigados en la sociedad venezolana; </w:t>
      </w:r>
      <w:r w:rsidR="737032E5" w:rsidRPr="00C332F1">
        <w:rPr>
          <w:color w:val="auto"/>
          <w:lang w:val="es-US"/>
        </w:rPr>
        <w:t xml:space="preserve">y lamentó que </w:t>
      </w:r>
      <w:r w:rsidRPr="00C332F1">
        <w:rPr>
          <w:color w:val="auto"/>
          <w:lang w:val="es-US"/>
        </w:rPr>
        <w:t>sobre ello no recibió información concreta sobre cómo la historia, la cultura y las contribuciones de los Pueblos Indígenas y de las personas afrodescendientes han sido incluidas en el sistema de educación pública</w:t>
      </w:r>
      <w:r w:rsidR="00A14F05">
        <w:rPr>
          <w:rFonts w:ascii="ZWAdobeF" w:hAnsi="ZWAdobeF" w:cs="ZWAdobeF"/>
          <w:color w:val="auto"/>
          <w:sz w:val="2"/>
          <w:szCs w:val="2"/>
          <w:lang w:val="es-US"/>
        </w:rPr>
        <w:t>407F</w:t>
      </w:r>
      <w:r w:rsidR="0021702D" w:rsidRPr="005C52BD">
        <w:rPr>
          <w:rStyle w:val="FootnoteReference"/>
          <w:color w:val="auto"/>
          <w:sz w:val="20"/>
          <w:szCs w:val="20"/>
          <w:lang w:val="es-US"/>
        </w:rPr>
        <w:footnoteReference w:id="409"/>
      </w:r>
      <w:r w:rsidRPr="00C332F1">
        <w:rPr>
          <w:color w:val="auto"/>
          <w:lang w:val="es-US"/>
        </w:rPr>
        <w:t>.</w:t>
      </w:r>
    </w:p>
    <w:p w14:paraId="21CB4BFF" w14:textId="366B7EDB" w:rsidR="0021702D" w:rsidRPr="00C332F1" w:rsidRDefault="3AF21A92" w:rsidP="00DA0AE8">
      <w:pPr>
        <w:pStyle w:val="IAPrrafo"/>
        <w:rPr>
          <w:color w:val="auto"/>
          <w:szCs w:val="20"/>
          <w:lang w:val="es-ES"/>
        </w:rPr>
      </w:pPr>
      <w:r w:rsidRPr="00C332F1">
        <w:rPr>
          <w:color w:val="auto"/>
          <w:lang w:val="es-US"/>
        </w:rPr>
        <w:t>E</w:t>
      </w:r>
      <w:r w:rsidR="1396500D" w:rsidRPr="00C332F1">
        <w:rPr>
          <w:color w:val="auto"/>
          <w:lang w:val="es-US"/>
        </w:rPr>
        <w:t>l Comité recomendó al Estado de Venezuela intensificar esfuerzos para que desde el Consejo Nacional para el Desarrollo de las Comunidades Afrodescendientes se elaboren e implementen políticas públicas efectivas</w:t>
      </w:r>
      <w:r w:rsidR="00B13130" w:rsidRPr="00C332F1">
        <w:rPr>
          <w:color w:val="auto"/>
          <w:lang w:val="es-US"/>
        </w:rPr>
        <w:t>,</w:t>
      </w:r>
      <w:r w:rsidR="1396500D" w:rsidRPr="00C332F1">
        <w:rPr>
          <w:color w:val="auto"/>
          <w:lang w:val="es-US"/>
        </w:rPr>
        <w:t xml:space="preserve"> que promuevan la igualdad y el ejercicio y goce efectivo de los derechos</w:t>
      </w:r>
      <w:r w:rsidRPr="00C332F1">
        <w:rPr>
          <w:color w:val="auto"/>
          <w:lang w:val="es-US"/>
        </w:rPr>
        <w:t xml:space="preserve"> de las personas afrodescendientes</w:t>
      </w:r>
      <w:r w:rsidR="1396500D" w:rsidRPr="00C332F1">
        <w:rPr>
          <w:color w:val="auto"/>
          <w:lang w:val="es-US"/>
        </w:rPr>
        <w:t xml:space="preserve"> teniendo en cuenta sus necesidades específicas</w:t>
      </w:r>
      <w:r w:rsidR="31B47E44" w:rsidRPr="00C332F1">
        <w:rPr>
          <w:color w:val="auto"/>
          <w:lang w:val="es-US"/>
        </w:rPr>
        <w:t xml:space="preserve">. Del mismo modo, </w:t>
      </w:r>
      <w:r w:rsidR="008F1223" w:rsidRPr="00C332F1">
        <w:rPr>
          <w:color w:val="auto"/>
          <w:lang w:val="es-US"/>
        </w:rPr>
        <w:t xml:space="preserve">políticas públicas </w:t>
      </w:r>
      <w:r w:rsidR="1396500D" w:rsidRPr="00C332F1">
        <w:rPr>
          <w:color w:val="auto"/>
          <w:lang w:val="es-US"/>
        </w:rPr>
        <w:t xml:space="preserve">especiales </w:t>
      </w:r>
      <w:r w:rsidR="008F1223" w:rsidRPr="00C332F1">
        <w:rPr>
          <w:color w:val="auto"/>
          <w:lang w:val="es-US"/>
        </w:rPr>
        <w:t>con el</w:t>
      </w:r>
      <w:r w:rsidR="1396500D" w:rsidRPr="00C332F1">
        <w:rPr>
          <w:color w:val="auto"/>
          <w:lang w:val="es-US"/>
        </w:rPr>
        <w:t xml:space="preserve"> fin de promover la inclusión social y la participación activa en la vida pública y política de la población afrodescendiente, inclusive en cargos de toma de decisiones</w:t>
      </w:r>
      <w:r w:rsidR="00A14F05">
        <w:rPr>
          <w:rFonts w:ascii="ZWAdobeF" w:hAnsi="ZWAdobeF" w:cs="ZWAdobeF"/>
          <w:color w:val="auto"/>
          <w:sz w:val="2"/>
          <w:szCs w:val="2"/>
          <w:lang w:val="es-US"/>
        </w:rPr>
        <w:t>408F</w:t>
      </w:r>
      <w:r w:rsidR="0021702D" w:rsidRPr="005C52BD">
        <w:rPr>
          <w:rStyle w:val="FootnoteReference"/>
          <w:color w:val="auto"/>
          <w:sz w:val="20"/>
          <w:szCs w:val="20"/>
          <w:lang w:val="es-US"/>
        </w:rPr>
        <w:footnoteReference w:id="410"/>
      </w:r>
      <w:r w:rsidR="1396500D" w:rsidRPr="00C332F1">
        <w:rPr>
          <w:color w:val="auto"/>
          <w:lang w:val="es-US"/>
        </w:rPr>
        <w:t>.</w:t>
      </w:r>
    </w:p>
    <w:p w14:paraId="4CDD992D" w14:textId="599E11F1" w:rsidR="0021702D" w:rsidRPr="00C332F1" w:rsidRDefault="1396500D" w:rsidP="00DA0AE8">
      <w:pPr>
        <w:pStyle w:val="IAPrrafo"/>
        <w:rPr>
          <w:color w:val="auto"/>
          <w:szCs w:val="20"/>
          <w:lang w:val="es-US"/>
        </w:rPr>
      </w:pPr>
      <w:r w:rsidRPr="00C332F1">
        <w:rPr>
          <w:color w:val="auto"/>
          <w:lang w:val="es-US"/>
        </w:rPr>
        <w:t xml:space="preserve">Respecto a la situación de mujeres indígenas y afrodescendientes, el </w:t>
      </w:r>
      <w:r w:rsidR="3F4049EB" w:rsidRPr="00C332F1">
        <w:rPr>
          <w:color w:val="auto"/>
          <w:lang w:val="es-US"/>
        </w:rPr>
        <w:t>CERD</w:t>
      </w:r>
      <w:r w:rsidRPr="00C332F1">
        <w:rPr>
          <w:color w:val="auto"/>
          <w:lang w:val="es-US"/>
        </w:rPr>
        <w:t xml:space="preserve"> </w:t>
      </w:r>
      <w:r w:rsidR="3F4049EB" w:rsidRPr="00C332F1">
        <w:rPr>
          <w:color w:val="auto"/>
          <w:lang w:val="es-US"/>
        </w:rPr>
        <w:t>destacó</w:t>
      </w:r>
      <w:r w:rsidRPr="00C332F1">
        <w:rPr>
          <w:color w:val="auto"/>
          <w:lang w:val="es-US"/>
        </w:rPr>
        <w:t xml:space="preserve"> formas múltiples e interseccionales de discriminación que enfrentan, en particular, el acceso al trabajo, a la educación y a la salud, en particular a los servicios e información de salud sexual y reproductiva</w:t>
      </w:r>
      <w:r w:rsidR="00A14F05">
        <w:rPr>
          <w:rFonts w:ascii="ZWAdobeF" w:hAnsi="ZWAdobeF" w:cs="ZWAdobeF"/>
          <w:color w:val="auto"/>
          <w:sz w:val="2"/>
          <w:szCs w:val="2"/>
          <w:lang w:val="es-US"/>
        </w:rPr>
        <w:t>409F</w:t>
      </w:r>
      <w:r w:rsidR="0021702D" w:rsidRPr="005C52BD">
        <w:rPr>
          <w:rStyle w:val="FootnoteReference"/>
          <w:color w:val="auto"/>
          <w:sz w:val="20"/>
          <w:szCs w:val="20"/>
          <w:lang w:val="es-US"/>
        </w:rPr>
        <w:footnoteReference w:id="411"/>
      </w:r>
      <w:r w:rsidRPr="00C332F1">
        <w:rPr>
          <w:color w:val="auto"/>
          <w:lang w:val="es-US"/>
        </w:rPr>
        <w:t>. Asimismo, observ</w:t>
      </w:r>
      <w:r w:rsidR="3F4049EB" w:rsidRPr="00C332F1">
        <w:rPr>
          <w:color w:val="auto"/>
          <w:lang w:val="es-US"/>
        </w:rPr>
        <w:t>ó</w:t>
      </w:r>
      <w:r w:rsidRPr="00C332F1">
        <w:rPr>
          <w:color w:val="auto"/>
          <w:lang w:val="es-US"/>
        </w:rPr>
        <w:t xml:space="preserve"> con atención los altos índices de violencia sexual contra mujeres indígenas y afrodescendientes, así como de trata para su explotación económica y sexual, en particular en zonas mineras de los estados de Amazonas, Bolívar y Zulia, donde operarían organizaciones armadas y delictivas no estatales</w:t>
      </w:r>
      <w:r w:rsidR="00A14F05">
        <w:rPr>
          <w:rFonts w:ascii="ZWAdobeF" w:hAnsi="ZWAdobeF" w:cs="ZWAdobeF"/>
          <w:color w:val="auto"/>
          <w:sz w:val="2"/>
          <w:szCs w:val="2"/>
          <w:lang w:val="es-US"/>
        </w:rPr>
        <w:t>410F</w:t>
      </w:r>
      <w:r w:rsidR="0021702D" w:rsidRPr="005C52BD">
        <w:rPr>
          <w:rStyle w:val="FootnoteReference"/>
          <w:color w:val="auto"/>
          <w:sz w:val="20"/>
          <w:szCs w:val="20"/>
          <w:lang w:val="es-US"/>
        </w:rPr>
        <w:footnoteReference w:id="412"/>
      </w:r>
      <w:r w:rsidRPr="00C332F1">
        <w:rPr>
          <w:color w:val="auto"/>
          <w:lang w:val="es-US"/>
        </w:rPr>
        <w:t>.</w:t>
      </w:r>
    </w:p>
    <w:p w14:paraId="6DC3D9C3" w14:textId="4EAD5F61" w:rsidR="00FB1506" w:rsidRPr="00C332F1" w:rsidRDefault="00DD6C2F" w:rsidP="00123A3D">
      <w:pPr>
        <w:pStyle w:val="IATtulo"/>
        <w:rPr>
          <w:lang w:val="es-CO"/>
        </w:rPr>
      </w:pPr>
      <w:bookmarkStart w:id="45" w:name="_Toc195617489"/>
      <w:r w:rsidRPr="00C332F1">
        <w:rPr>
          <w:lang w:val="es-CO"/>
        </w:rPr>
        <w:t>CONCLUSIÓN</w:t>
      </w:r>
      <w:r w:rsidR="00C96E49" w:rsidRPr="00C332F1">
        <w:rPr>
          <w:lang w:val="es-CO"/>
        </w:rPr>
        <w:t xml:space="preserve"> Y RECOMENDACIONES</w:t>
      </w:r>
      <w:bookmarkEnd w:id="45"/>
    </w:p>
    <w:p w14:paraId="783F73C4" w14:textId="4B8E4529" w:rsidR="0081543F" w:rsidRPr="00C332F1" w:rsidRDefault="0022123B" w:rsidP="00DA0AE8">
      <w:pPr>
        <w:pStyle w:val="IAPrrafo"/>
        <w:rPr>
          <w:color w:val="auto"/>
        </w:rPr>
      </w:pPr>
      <w:r w:rsidRPr="00C332F1">
        <w:rPr>
          <w:color w:val="auto"/>
        </w:rPr>
        <w:t>La</w:t>
      </w:r>
      <w:r w:rsidR="00C81F71" w:rsidRPr="00C332F1">
        <w:rPr>
          <w:color w:val="auto"/>
        </w:rPr>
        <w:t xml:space="preserve"> ausencia de un </w:t>
      </w:r>
      <w:r w:rsidR="00BE44EB" w:rsidRPr="00C332F1">
        <w:rPr>
          <w:color w:val="auto"/>
        </w:rPr>
        <w:t>E</w:t>
      </w:r>
      <w:r w:rsidR="00C81F71" w:rsidRPr="00C332F1">
        <w:rPr>
          <w:color w:val="auto"/>
        </w:rPr>
        <w:t xml:space="preserve">stado de </w:t>
      </w:r>
      <w:r w:rsidR="00BE44EB" w:rsidRPr="00C332F1">
        <w:rPr>
          <w:color w:val="auto"/>
        </w:rPr>
        <w:t>D</w:t>
      </w:r>
      <w:r w:rsidR="00C81F71" w:rsidRPr="00C332F1">
        <w:rPr>
          <w:color w:val="auto"/>
        </w:rPr>
        <w:t>erecho y de una institucionalidad guiada por la separación e independencia de los poderes públicos</w:t>
      </w:r>
      <w:r w:rsidRPr="00C332F1">
        <w:rPr>
          <w:color w:val="auto"/>
        </w:rPr>
        <w:t xml:space="preserve"> </w:t>
      </w:r>
      <w:r w:rsidR="00EE1407" w:rsidRPr="00C332F1">
        <w:rPr>
          <w:color w:val="auto"/>
        </w:rPr>
        <w:t>continúa</w:t>
      </w:r>
      <w:r w:rsidRPr="00C332F1">
        <w:rPr>
          <w:color w:val="auto"/>
        </w:rPr>
        <w:t xml:space="preserve"> siendo e</w:t>
      </w:r>
      <w:r w:rsidR="00C53574" w:rsidRPr="00C332F1">
        <w:rPr>
          <w:color w:val="auto"/>
        </w:rPr>
        <w:t xml:space="preserve">l desafío más grande para el respeto y la garantía de los derechos humanos </w:t>
      </w:r>
      <w:r w:rsidR="00ED6E88" w:rsidRPr="00C332F1">
        <w:rPr>
          <w:color w:val="auto"/>
        </w:rPr>
        <w:t>en Venezuela</w:t>
      </w:r>
      <w:r w:rsidR="00C81F71" w:rsidRPr="00C332F1">
        <w:rPr>
          <w:color w:val="auto"/>
        </w:rPr>
        <w:t xml:space="preserve">. </w:t>
      </w:r>
    </w:p>
    <w:p w14:paraId="7DB347C0" w14:textId="689B3E05" w:rsidR="00E20FE7" w:rsidRPr="00C332F1" w:rsidRDefault="00310658" w:rsidP="00DA0AE8">
      <w:pPr>
        <w:pStyle w:val="IAPrrafo"/>
        <w:rPr>
          <w:color w:val="auto"/>
        </w:rPr>
      </w:pPr>
      <w:r w:rsidRPr="00C332F1">
        <w:rPr>
          <w:color w:val="auto"/>
        </w:rPr>
        <w:t>El 28 de julio</w:t>
      </w:r>
      <w:r w:rsidR="00D0311E" w:rsidRPr="00C332F1">
        <w:rPr>
          <w:color w:val="auto"/>
        </w:rPr>
        <w:t xml:space="preserve"> de este año</w:t>
      </w:r>
      <w:r w:rsidRPr="00C332F1">
        <w:rPr>
          <w:color w:val="auto"/>
        </w:rPr>
        <w:t xml:space="preserve"> se llevó a cabo una elección presidencial. Las circun</w:t>
      </w:r>
      <w:r w:rsidR="001D3B48" w:rsidRPr="00C332F1">
        <w:rPr>
          <w:color w:val="auto"/>
        </w:rPr>
        <w:t>stancias que rodearon esta elección</w:t>
      </w:r>
      <w:r w:rsidR="00C60EF0" w:rsidRPr="00C332F1">
        <w:rPr>
          <w:color w:val="auto"/>
        </w:rPr>
        <w:t xml:space="preserve"> configur</w:t>
      </w:r>
      <w:r w:rsidR="001D3B48" w:rsidRPr="00C332F1">
        <w:rPr>
          <w:color w:val="auto"/>
        </w:rPr>
        <w:t>an, a todas luces,</w:t>
      </w:r>
      <w:r w:rsidR="00C60EF0" w:rsidRPr="00C332F1">
        <w:rPr>
          <w:color w:val="auto"/>
        </w:rPr>
        <w:t xml:space="preserve"> una </w:t>
      </w:r>
      <w:r w:rsidR="00C60EF0" w:rsidRPr="00C332F1">
        <w:rPr>
          <w:rFonts w:eastAsia="Cambria" w:cs="Cambria"/>
          <w:color w:val="auto"/>
        </w:rPr>
        <w:t xml:space="preserve">alteración del orden constitucional. </w:t>
      </w:r>
      <w:r w:rsidR="002F081B" w:rsidRPr="00C332F1">
        <w:rPr>
          <w:color w:val="auto"/>
        </w:rPr>
        <w:t xml:space="preserve">El </w:t>
      </w:r>
      <w:r w:rsidR="00FE0AA1" w:rsidRPr="00C332F1">
        <w:rPr>
          <w:color w:val="auto"/>
        </w:rPr>
        <w:t>régimen</w:t>
      </w:r>
      <w:r w:rsidR="002F081B" w:rsidRPr="00C332F1">
        <w:rPr>
          <w:color w:val="auto"/>
        </w:rPr>
        <w:t xml:space="preserve"> ejecutó una estrategia planificada dirigida a desalentar la participación política de la oposición, impedir el desarrollo de una </w:t>
      </w:r>
      <w:r w:rsidR="00B57E88" w:rsidRPr="00C332F1">
        <w:rPr>
          <w:color w:val="auto"/>
        </w:rPr>
        <w:t xml:space="preserve">contienda </w:t>
      </w:r>
      <w:r w:rsidR="002F081B" w:rsidRPr="00C332F1">
        <w:rPr>
          <w:color w:val="auto"/>
        </w:rPr>
        <w:t xml:space="preserve">libre, justa y competitiva, y reprimir las protestas sociales provocadas por la opacidad electoral y las denuncias de fraude. </w:t>
      </w:r>
      <w:r w:rsidR="00DD1B39" w:rsidRPr="00C332F1">
        <w:rPr>
          <w:color w:val="auto"/>
        </w:rPr>
        <w:t>Todo esto, con la parti</w:t>
      </w:r>
      <w:r w:rsidR="00BE44EB" w:rsidRPr="00C332F1">
        <w:rPr>
          <w:color w:val="auto"/>
        </w:rPr>
        <w:t>cipación, aquiescencia y tolerancia de las instituciones creadas para resguardar la democracia y proteger los derechos humanos.</w:t>
      </w:r>
      <w:r w:rsidR="00725B2A" w:rsidRPr="00C332F1">
        <w:rPr>
          <w:color w:val="auto"/>
        </w:rPr>
        <w:t xml:space="preserve"> </w:t>
      </w:r>
    </w:p>
    <w:p w14:paraId="1A51E49D" w14:textId="0A7B51B7" w:rsidR="006D2F53" w:rsidRPr="00C332F1" w:rsidRDefault="00725B2A" w:rsidP="00DA0AE8">
      <w:pPr>
        <w:pStyle w:val="IAPrrafo"/>
        <w:rPr>
          <w:color w:val="auto"/>
        </w:rPr>
      </w:pPr>
      <w:r w:rsidRPr="00C332F1">
        <w:rPr>
          <w:color w:val="auto"/>
        </w:rPr>
        <w:t xml:space="preserve">La Comisión Interamericana resalta que, a la fecha de elaboración </w:t>
      </w:r>
      <w:r w:rsidR="00E20FE7" w:rsidRPr="00C332F1">
        <w:rPr>
          <w:color w:val="auto"/>
        </w:rPr>
        <w:t>de este informe, el Estado continúa sin</w:t>
      </w:r>
      <w:r w:rsidR="007B3E60" w:rsidRPr="00C332F1">
        <w:rPr>
          <w:color w:val="auto"/>
        </w:rPr>
        <w:t xml:space="preserve"> presentar las actas de votación que respaldan los </w:t>
      </w:r>
      <w:r w:rsidR="00BC3E76" w:rsidRPr="00C332F1">
        <w:rPr>
          <w:color w:val="auto"/>
        </w:rPr>
        <w:t xml:space="preserve">resultados </w:t>
      </w:r>
      <w:r w:rsidR="00925E77" w:rsidRPr="00C332F1">
        <w:rPr>
          <w:color w:val="auto"/>
        </w:rPr>
        <w:t xml:space="preserve">anunciados </w:t>
      </w:r>
      <w:r w:rsidR="00BC3E76" w:rsidRPr="00C332F1">
        <w:rPr>
          <w:color w:val="auto"/>
        </w:rPr>
        <w:t>por el Consejo Nacional Electoral</w:t>
      </w:r>
      <w:r w:rsidR="00F02751" w:rsidRPr="00C332F1">
        <w:rPr>
          <w:color w:val="auto"/>
        </w:rPr>
        <w:t>,</w:t>
      </w:r>
      <w:r w:rsidR="00DC405F" w:rsidRPr="00C332F1">
        <w:rPr>
          <w:color w:val="auto"/>
        </w:rPr>
        <w:t xml:space="preserve"> que dieron como ganador a Nicolás Maduro. </w:t>
      </w:r>
      <w:r w:rsidR="002C74B4" w:rsidRPr="00C332F1">
        <w:rPr>
          <w:color w:val="auto"/>
        </w:rPr>
        <w:t>La</w:t>
      </w:r>
      <w:r w:rsidR="00ED2172" w:rsidRPr="00C332F1">
        <w:rPr>
          <w:color w:val="auto"/>
        </w:rPr>
        <w:t xml:space="preserve"> </w:t>
      </w:r>
      <w:r w:rsidR="002C74B4" w:rsidRPr="00C332F1">
        <w:rPr>
          <w:color w:val="auto"/>
        </w:rPr>
        <w:t xml:space="preserve">opacidad electoral, y, en general, las restricciones a los derechos políticos </w:t>
      </w:r>
      <w:r w:rsidR="00155978" w:rsidRPr="00C332F1">
        <w:rPr>
          <w:color w:val="auto"/>
        </w:rPr>
        <w:t xml:space="preserve">documentadas en este </w:t>
      </w:r>
      <w:r w:rsidR="00ED2172" w:rsidRPr="00C332F1">
        <w:rPr>
          <w:color w:val="auto"/>
        </w:rPr>
        <w:t>informe</w:t>
      </w:r>
      <w:r w:rsidR="002C74B4" w:rsidRPr="00C332F1">
        <w:rPr>
          <w:color w:val="auto"/>
        </w:rPr>
        <w:t xml:space="preserve"> impide</w:t>
      </w:r>
      <w:r w:rsidR="00ED2172" w:rsidRPr="00C332F1">
        <w:rPr>
          <w:color w:val="auto"/>
        </w:rPr>
        <w:t>n</w:t>
      </w:r>
      <w:r w:rsidR="002C74B4" w:rsidRPr="00C332F1">
        <w:rPr>
          <w:color w:val="auto"/>
        </w:rPr>
        <w:t xml:space="preserve"> a esta Comisión</w:t>
      </w:r>
      <w:r w:rsidR="006D2F53" w:rsidRPr="00C332F1">
        <w:rPr>
          <w:color w:val="auto"/>
        </w:rPr>
        <w:t xml:space="preserve"> </w:t>
      </w:r>
      <w:r w:rsidR="002C74B4" w:rsidRPr="00C332F1">
        <w:rPr>
          <w:color w:val="auto"/>
        </w:rPr>
        <w:t xml:space="preserve">considerar que </w:t>
      </w:r>
      <w:r w:rsidR="006D2F53" w:rsidRPr="00C332F1">
        <w:rPr>
          <w:rFonts w:eastAsia="Cambria" w:cs="Cambria"/>
          <w:color w:val="auto"/>
        </w:rPr>
        <w:t>la reelección de Nicolás Maduro go</w:t>
      </w:r>
      <w:r w:rsidR="00ED2172" w:rsidRPr="00C332F1">
        <w:rPr>
          <w:rFonts w:eastAsia="Cambria" w:cs="Cambria"/>
          <w:color w:val="auto"/>
        </w:rPr>
        <w:t>za</w:t>
      </w:r>
      <w:r w:rsidR="006D2F53" w:rsidRPr="00C332F1">
        <w:rPr>
          <w:rFonts w:eastAsia="Cambria" w:cs="Cambria"/>
          <w:color w:val="auto"/>
        </w:rPr>
        <w:t xml:space="preserve"> de legitimidad democrática.</w:t>
      </w:r>
    </w:p>
    <w:p w14:paraId="49EBAFB8" w14:textId="7F8628AC" w:rsidR="00537C90" w:rsidRPr="00C332F1" w:rsidRDefault="002C0A6F" w:rsidP="00DA0AE8">
      <w:pPr>
        <w:pStyle w:val="IAPrrafo"/>
        <w:rPr>
          <w:rStyle w:val="normaltextrun"/>
          <w:color w:val="auto"/>
        </w:rPr>
      </w:pPr>
      <w:r w:rsidRPr="00C332F1">
        <w:rPr>
          <w:rStyle w:val="normaltextrun"/>
          <w:color w:val="auto"/>
          <w:szCs w:val="20"/>
        </w:rPr>
        <w:t>La opacidad electoral y las graves denuncias de fraude dieron lugar a</w:t>
      </w:r>
      <w:r w:rsidR="00537C90" w:rsidRPr="00C332F1">
        <w:rPr>
          <w:rStyle w:val="normaltextrun"/>
          <w:color w:val="auto"/>
          <w:szCs w:val="20"/>
        </w:rPr>
        <w:t xml:space="preserve"> cerca de 300 manifestaciones</w:t>
      </w:r>
      <w:r w:rsidRPr="00C332F1">
        <w:rPr>
          <w:rStyle w:val="normaltextrun"/>
          <w:color w:val="auto"/>
          <w:szCs w:val="20"/>
        </w:rPr>
        <w:t xml:space="preserve"> a nivel nacional</w:t>
      </w:r>
      <w:r w:rsidR="00537C90" w:rsidRPr="00C332F1">
        <w:rPr>
          <w:rStyle w:val="normaltextrun"/>
          <w:color w:val="auto"/>
          <w:szCs w:val="20"/>
        </w:rPr>
        <w:t xml:space="preserve">. </w:t>
      </w:r>
      <w:r w:rsidRPr="00C332F1">
        <w:rPr>
          <w:rStyle w:val="normaltextrun"/>
          <w:color w:val="auto"/>
          <w:szCs w:val="20"/>
        </w:rPr>
        <w:t>La represión del Estado incluyó</w:t>
      </w:r>
      <w:r w:rsidR="00537C90" w:rsidRPr="00C332F1">
        <w:rPr>
          <w:rStyle w:val="normaltextrun"/>
          <w:color w:val="auto"/>
          <w:szCs w:val="20"/>
        </w:rPr>
        <w:t xml:space="preserve"> prácticas de terrorismo de Estado</w:t>
      </w:r>
      <w:r w:rsidRPr="00C332F1">
        <w:rPr>
          <w:rStyle w:val="normaltextrun"/>
          <w:color w:val="auto"/>
          <w:szCs w:val="20"/>
        </w:rPr>
        <w:t xml:space="preserve"> dirigidas</w:t>
      </w:r>
      <w:r w:rsidR="00D0311E" w:rsidRPr="00C332F1">
        <w:rPr>
          <w:rStyle w:val="normaltextrun"/>
          <w:color w:val="auto"/>
          <w:szCs w:val="20"/>
        </w:rPr>
        <w:t>, especialmente</w:t>
      </w:r>
      <w:r w:rsidRPr="00C332F1">
        <w:rPr>
          <w:rStyle w:val="normaltextrun"/>
          <w:color w:val="auto"/>
          <w:szCs w:val="20"/>
        </w:rPr>
        <w:t xml:space="preserve"> a infundir te</w:t>
      </w:r>
      <w:r w:rsidR="00D0311E" w:rsidRPr="00C332F1">
        <w:rPr>
          <w:rStyle w:val="normaltextrun"/>
          <w:color w:val="auto"/>
          <w:szCs w:val="20"/>
        </w:rPr>
        <w:t>rror en la ciudadanía y silencia voces disidentes</w:t>
      </w:r>
      <w:r w:rsidR="008E065B" w:rsidRPr="00C332F1">
        <w:rPr>
          <w:rStyle w:val="normaltextrun"/>
          <w:color w:val="auto"/>
          <w:szCs w:val="20"/>
        </w:rPr>
        <w:t>. Entre las violaciones documentadas están</w:t>
      </w:r>
      <w:r w:rsidR="00D0311E" w:rsidRPr="00C332F1">
        <w:rPr>
          <w:rStyle w:val="normaltextrun"/>
          <w:color w:val="auto"/>
          <w:szCs w:val="20"/>
        </w:rPr>
        <w:t>:</w:t>
      </w:r>
      <w:r w:rsidR="00B833E9" w:rsidRPr="00C332F1">
        <w:rPr>
          <w:rStyle w:val="normaltextrun"/>
          <w:color w:val="auto"/>
          <w:szCs w:val="20"/>
        </w:rPr>
        <w:t xml:space="preserve"> </w:t>
      </w:r>
      <w:r w:rsidR="00537C90" w:rsidRPr="00C332F1">
        <w:rPr>
          <w:rStyle w:val="normaltextrun"/>
          <w:color w:val="auto"/>
          <w:szCs w:val="20"/>
        </w:rPr>
        <w:t xml:space="preserve">ejecuciones extrajudiciales, desapariciones forzadas de corta duración, detenciones arbitrarias, torturas y otros tratos crueles inhumanos y degradantes, </w:t>
      </w:r>
      <w:r w:rsidR="00D0311E" w:rsidRPr="00C332F1">
        <w:rPr>
          <w:rStyle w:val="normaltextrun"/>
          <w:color w:val="auto"/>
          <w:szCs w:val="20"/>
        </w:rPr>
        <w:t xml:space="preserve">cancelación de pasaportes, muertes violentas, </w:t>
      </w:r>
      <w:r w:rsidR="00537C90" w:rsidRPr="00C332F1">
        <w:rPr>
          <w:rStyle w:val="normaltextrun"/>
          <w:color w:val="auto"/>
          <w:szCs w:val="20"/>
        </w:rPr>
        <w:t>y un sinfín de violaciones a las garantías judiciales y a la libertad de expresión</w:t>
      </w:r>
      <w:r w:rsidR="008E065B" w:rsidRPr="00C332F1">
        <w:rPr>
          <w:rStyle w:val="normaltextrun"/>
          <w:color w:val="auto"/>
          <w:szCs w:val="20"/>
        </w:rPr>
        <w:t>.</w:t>
      </w:r>
    </w:p>
    <w:p w14:paraId="798B9D74" w14:textId="2CCCABAD" w:rsidR="0087259D" w:rsidRPr="00C332F1" w:rsidRDefault="0087259D" w:rsidP="00DA0AE8">
      <w:pPr>
        <w:pStyle w:val="IAPrrafo"/>
        <w:rPr>
          <w:rStyle w:val="normaltextrun"/>
          <w:color w:val="auto"/>
        </w:rPr>
      </w:pPr>
      <w:r w:rsidRPr="00C332F1">
        <w:rPr>
          <w:rStyle w:val="normaltextrun"/>
          <w:color w:val="auto"/>
          <w:szCs w:val="20"/>
        </w:rPr>
        <w:t>La Comisión Interamericana observa que persiste la impunidad por las graves violaciones de derechos humanos cometidas en años anteriores, especialmente desde el 2017.</w:t>
      </w:r>
      <w:r w:rsidR="007773E7" w:rsidRPr="00C332F1">
        <w:rPr>
          <w:rStyle w:val="normaltextrun"/>
          <w:color w:val="auto"/>
          <w:szCs w:val="20"/>
        </w:rPr>
        <w:t xml:space="preserve"> Esta impunidad también es consecuencia de la falta de separación e independencia de los poderes públicos, en particular, del Poder Judicial. Por tal motivo, insta</w:t>
      </w:r>
      <w:r w:rsidR="002F0B67" w:rsidRPr="00C332F1">
        <w:rPr>
          <w:rStyle w:val="normaltextrun"/>
          <w:color w:val="auto"/>
          <w:szCs w:val="20"/>
        </w:rPr>
        <w:t xml:space="preserve"> a la Fiscalía de la Corte Penal Internacional a presentar formalmente un caso por la comisión de crímenes de lesa humanidad. </w:t>
      </w:r>
    </w:p>
    <w:p w14:paraId="3CF1AE19" w14:textId="1B326FF9" w:rsidR="00D0311E" w:rsidRPr="00C332F1" w:rsidRDefault="00F03477" w:rsidP="00DA0AE8">
      <w:pPr>
        <w:pStyle w:val="IAPrrafo"/>
        <w:rPr>
          <w:color w:val="auto"/>
        </w:rPr>
      </w:pPr>
      <w:r w:rsidRPr="00C332F1">
        <w:rPr>
          <w:color w:val="auto"/>
        </w:rPr>
        <w:t xml:space="preserve">El régimen </w:t>
      </w:r>
      <w:r w:rsidR="00FF69BB" w:rsidRPr="00C332F1">
        <w:rPr>
          <w:color w:val="auto"/>
        </w:rPr>
        <w:t>ha concentrado sus esfuerzos políticos y económicos para perpetuarse en el poder. Para ello, se ha apoyado en esquemas de gran corrupción en todos los niveles del Estado. Como resultado, se observan grandes omisiones en el diseño y ejecución de</w:t>
      </w:r>
      <w:r w:rsidRPr="00C332F1">
        <w:rPr>
          <w:color w:val="auto"/>
        </w:rPr>
        <w:t xml:space="preserve"> políticas públicas idóneas y efectivas dirigidas a garantizar los DESCA de los grupos en situación de discriminación histórica, como son las personas LGBTÍ, los pueblos indígenas, las mujeres, las personas afrodescendientes, las personas mayores</w:t>
      </w:r>
      <w:r w:rsidR="00283504" w:rsidRPr="00C332F1">
        <w:rPr>
          <w:color w:val="auto"/>
        </w:rPr>
        <w:t xml:space="preserve">, </w:t>
      </w:r>
      <w:r w:rsidRPr="00C332F1">
        <w:rPr>
          <w:color w:val="auto"/>
        </w:rPr>
        <w:t xml:space="preserve">en situación de movilidad, y, en general, quienes viven en situación de pobreza y pobreza extrema. </w:t>
      </w:r>
    </w:p>
    <w:p w14:paraId="4D373CDA" w14:textId="58D34B04" w:rsidR="0088430B" w:rsidRPr="00C332F1" w:rsidRDefault="002F0B67" w:rsidP="005B2B22">
      <w:pPr>
        <w:pStyle w:val="IAPrrafo"/>
        <w:spacing w:after="0"/>
        <w:rPr>
          <w:color w:val="auto"/>
        </w:rPr>
      </w:pPr>
      <w:r w:rsidRPr="00C332F1">
        <w:rPr>
          <w:color w:val="auto"/>
        </w:rPr>
        <w:t>La CIDH llama a la comunidad internacional a reconocer la grave crisis de derechos humanos en Venezuela, mantenerse vigilante frente a nuevas escaladas represivas y activar todos los canales diplomáticos e institucionales para el regreso de la democracia al país.</w:t>
      </w:r>
      <w:r w:rsidR="00A22C78" w:rsidRPr="00C332F1">
        <w:rPr>
          <w:color w:val="auto"/>
        </w:rPr>
        <w:t xml:space="preserve"> </w:t>
      </w:r>
      <w:r w:rsidR="0088430B" w:rsidRPr="00C332F1">
        <w:rPr>
          <w:lang w:val="es-US"/>
        </w:rPr>
        <w:t>Asimismo, reafirma su interés y disposición de visitar el país, por lo que solicita la formalmente la anuencia del Estado</w:t>
      </w:r>
      <w:r w:rsidR="00930260" w:rsidRPr="00C332F1">
        <w:rPr>
          <w:lang w:val="es-US"/>
        </w:rPr>
        <w:t xml:space="preserve"> para acompañar y verificar el cumplimiento de las siguientes recomendaciones.</w:t>
      </w:r>
    </w:p>
    <w:p w14:paraId="490FBBEA" w14:textId="77777777" w:rsidR="005B2B22" w:rsidRPr="00C332F1" w:rsidRDefault="005B2B22" w:rsidP="005B2B22">
      <w:pPr>
        <w:pStyle w:val="IAPrrafo"/>
        <w:numPr>
          <w:ilvl w:val="0"/>
          <w:numId w:val="0"/>
        </w:numPr>
        <w:spacing w:after="0"/>
        <w:ind w:left="720"/>
        <w:rPr>
          <w:color w:val="auto"/>
        </w:rPr>
      </w:pPr>
    </w:p>
    <w:p w14:paraId="3E54301B" w14:textId="52641E61" w:rsidR="00707D8E" w:rsidRPr="00C332F1" w:rsidRDefault="001318B1" w:rsidP="00707D8E">
      <w:pPr>
        <w:ind w:firstLine="11"/>
        <w:rPr>
          <w:rFonts w:ascii="Cambria" w:hAnsi="Cambria"/>
          <w:b/>
          <w:sz w:val="20"/>
          <w:szCs w:val="20"/>
          <w:lang w:val="es-CO"/>
        </w:rPr>
      </w:pPr>
      <w:r w:rsidRPr="00C332F1">
        <w:rPr>
          <w:rFonts w:ascii="Cambria" w:hAnsi="Cambria"/>
          <w:b/>
          <w:sz w:val="20"/>
          <w:szCs w:val="20"/>
          <w:lang w:val="es-CO"/>
        </w:rPr>
        <w:t xml:space="preserve">Recomendaciones generales e </w:t>
      </w:r>
      <w:r w:rsidR="00A57DB7" w:rsidRPr="00C332F1">
        <w:rPr>
          <w:rFonts w:ascii="Cambria" w:hAnsi="Cambria"/>
          <w:b/>
          <w:sz w:val="20"/>
          <w:szCs w:val="20"/>
          <w:lang w:val="es-CO"/>
        </w:rPr>
        <w:t>i</w:t>
      </w:r>
      <w:r w:rsidR="00707D8E" w:rsidRPr="00C332F1">
        <w:rPr>
          <w:rFonts w:ascii="Cambria" w:hAnsi="Cambria"/>
          <w:b/>
          <w:sz w:val="20"/>
          <w:szCs w:val="20"/>
          <w:lang w:val="es-CO"/>
        </w:rPr>
        <w:t xml:space="preserve">nstitucionalidad </w:t>
      </w:r>
      <w:r w:rsidR="00A57DB7" w:rsidRPr="00C332F1">
        <w:rPr>
          <w:rFonts w:ascii="Cambria" w:hAnsi="Cambria"/>
          <w:b/>
          <w:sz w:val="20"/>
          <w:szCs w:val="20"/>
          <w:lang w:val="es-CO"/>
        </w:rPr>
        <w:t>d</w:t>
      </w:r>
      <w:r w:rsidR="00707D8E" w:rsidRPr="00C332F1">
        <w:rPr>
          <w:rFonts w:ascii="Cambria" w:hAnsi="Cambria"/>
          <w:b/>
          <w:sz w:val="20"/>
          <w:szCs w:val="20"/>
          <w:lang w:val="es-CO"/>
        </w:rPr>
        <w:t>emocrática</w:t>
      </w:r>
      <w:r w:rsidR="00336420" w:rsidRPr="00C332F1">
        <w:rPr>
          <w:rFonts w:ascii="Cambria" w:hAnsi="Cambria"/>
          <w:b/>
          <w:sz w:val="20"/>
          <w:szCs w:val="20"/>
          <w:lang w:val="es-CO"/>
        </w:rPr>
        <w:t xml:space="preserve"> </w:t>
      </w:r>
    </w:p>
    <w:p w14:paraId="3EC657D2" w14:textId="77777777" w:rsidR="00707D8E" w:rsidRPr="00C332F1" w:rsidRDefault="00707D8E" w:rsidP="00707D8E">
      <w:pPr>
        <w:ind w:left="709" w:hanging="283"/>
        <w:rPr>
          <w:rFonts w:ascii="Cambria" w:hAnsi="Cambria"/>
          <w:sz w:val="20"/>
          <w:szCs w:val="20"/>
          <w:lang w:val="es-CO"/>
        </w:rPr>
      </w:pPr>
    </w:p>
    <w:p w14:paraId="0A26F209" w14:textId="297E1854" w:rsidR="00AC4617" w:rsidRPr="00C332F1" w:rsidRDefault="00AC4617" w:rsidP="005C4DCA">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CO"/>
        </w:rPr>
        <w:t xml:space="preserve">Poner fin </w:t>
      </w:r>
      <w:r w:rsidR="009F456D" w:rsidRPr="00C332F1">
        <w:rPr>
          <w:rFonts w:ascii="Cambria" w:hAnsi="Cambria"/>
          <w:sz w:val="20"/>
          <w:szCs w:val="20"/>
          <w:lang w:val="es-CO"/>
        </w:rPr>
        <w:t>inmediato a la persecución y a</w:t>
      </w:r>
      <w:r w:rsidRPr="00C332F1">
        <w:rPr>
          <w:rFonts w:ascii="Cambria" w:hAnsi="Cambria"/>
          <w:sz w:val="20"/>
          <w:szCs w:val="20"/>
          <w:lang w:val="es-CO"/>
        </w:rPr>
        <w:t xml:space="preserve"> la represión política</w:t>
      </w:r>
      <w:r w:rsidR="009F456D" w:rsidRPr="00C332F1">
        <w:rPr>
          <w:rFonts w:ascii="Cambria" w:hAnsi="Cambria"/>
          <w:sz w:val="20"/>
          <w:szCs w:val="20"/>
          <w:lang w:val="es-CO"/>
        </w:rPr>
        <w:t>.</w:t>
      </w:r>
      <w:r w:rsidRPr="00C332F1">
        <w:rPr>
          <w:rFonts w:ascii="Cambria" w:hAnsi="Cambria"/>
          <w:sz w:val="20"/>
          <w:szCs w:val="20"/>
          <w:lang w:val="es-CO"/>
        </w:rPr>
        <w:t xml:space="preserve"> </w:t>
      </w:r>
    </w:p>
    <w:p w14:paraId="4B206104" w14:textId="77777777" w:rsidR="00AC4617" w:rsidRPr="00C332F1" w:rsidRDefault="00AC4617" w:rsidP="005C4DCA">
      <w:pPr>
        <w:pStyle w:val="ListParagraph"/>
        <w:pBdr>
          <w:top w:val="nil"/>
          <w:left w:val="nil"/>
          <w:bottom w:val="nil"/>
          <w:right w:val="nil"/>
          <w:between w:val="nil"/>
        </w:pBdr>
        <w:ind w:left="1440"/>
        <w:contextualSpacing w:val="0"/>
        <w:jc w:val="both"/>
        <w:rPr>
          <w:rFonts w:ascii="Cambria" w:hAnsi="Cambria"/>
          <w:sz w:val="20"/>
          <w:szCs w:val="20"/>
          <w:lang w:val="es-CO"/>
        </w:rPr>
      </w:pPr>
    </w:p>
    <w:p w14:paraId="391D2A22" w14:textId="4173637F" w:rsidR="00436D96" w:rsidRPr="00C332F1" w:rsidRDefault="00990692" w:rsidP="005C4DCA">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CO"/>
        </w:rPr>
        <w:t>Liberar</w:t>
      </w:r>
      <w:r w:rsidR="00040E21" w:rsidRPr="00C332F1">
        <w:rPr>
          <w:rFonts w:ascii="Cambria" w:hAnsi="Cambria"/>
          <w:sz w:val="20"/>
          <w:szCs w:val="20"/>
          <w:lang w:val="es-CO"/>
        </w:rPr>
        <w:t xml:space="preserve">, de forma inmediata e incondicional, a </w:t>
      </w:r>
      <w:r w:rsidR="00DE7AD3" w:rsidRPr="00C332F1">
        <w:rPr>
          <w:rFonts w:ascii="Cambria" w:hAnsi="Cambria"/>
          <w:sz w:val="20"/>
          <w:szCs w:val="20"/>
          <w:lang w:val="es-CO"/>
        </w:rPr>
        <w:t>todas las</w:t>
      </w:r>
      <w:r w:rsidR="00040E21" w:rsidRPr="00C332F1">
        <w:rPr>
          <w:rFonts w:ascii="Cambria" w:hAnsi="Cambria"/>
          <w:sz w:val="20"/>
          <w:szCs w:val="20"/>
          <w:lang w:val="es-CO"/>
        </w:rPr>
        <w:t xml:space="preserve"> personas presas </w:t>
      </w:r>
      <w:r w:rsidRPr="00C332F1">
        <w:rPr>
          <w:rFonts w:ascii="Cambria" w:hAnsi="Cambria"/>
          <w:sz w:val="20"/>
          <w:szCs w:val="20"/>
          <w:lang w:val="es-CO"/>
        </w:rPr>
        <w:t>políticas</w:t>
      </w:r>
      <w:r w:rsidR="00E820DB" w:rsidRPr="00C332F1">
        <w:rPr>
          <w:rFonts w:ascii="Cambria" w:hAnsi="Cambria"/>
          <w:sz w:val="20"/>
          <w:szCs w:val="20"/>
          <w:lang w:val="es-CO"/>
        </w:rPr>
        <w:t>, en particular, niñas, niños y adolescentes.</w:t>
      </w:r>
      <w:r w:rsidRPr="00C332F1">
        <w:rPr>
          <w:rFonts w:ascii="Cambria" w:hAnsi="Cambria"/>
          <w:sz w:val="20"/>
          <w:szCs w:val="20"/>
          <w:lang w:val="es-CO"/>
        </w:rPr>
        <w:t xml:space="preserve"> </w:t>
      </w:r>
    </w:p>
    <w:p w14:paraId="2EE61CAA" w14:textId="77777777" w:rsidR="00436D96" w:rsidRPr="00C332F1" w:rsidRDefault="00436D96" w:rsidP="005C4DCA">
      <w:pPr>
        <w:pStyle w:val="ListParagraph"/>
        <w:jc w:val="both"/>
        <w:rPr>
          <w:rFonts w:ascii="Cambria" w:hAnsi="Cambria"/>
          <w:sz w:val="20"/>
          <w:szCs w:val="20"/>
          <w:lang w:val="es-CO"/>
        </w:rPr>
      </w:pPr>
    </w:p>
    <w:p w14:paraId="488CA2FB" w14:textId="66A6C2BC" w:rsidR="002A241B" w:rsidRPr="00C332F1" w:rsidRDefault="00436D96" w:rsidP="005C4DCA">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CO"/>
        </w:rPr>
        <w:t>C</w:t>
      </w:r>
      <w:r w:rsidR="00990692" w:rsidRPr="00C332F1">
        <w:rPr>
          <w:rFonts w:ascii="Cambria" w:hAnsi="Cambria"/>
          <w:sz w:val="20"/>
          <w:szCs w:val="20"/>
          <w:lang w:val="es-CO"/>
        </w:rPr>
        <w:t xml:space="preserve">esar </w:t>
      </w:r>
      <w:r w:rsidR="002A241B" w:rsidRPr="00C332F1">
        <w:rPr>
          <w:rFonts w:ascii="Cambria" w:hAnsi="Cambria"/>
          <w:sz w:val="20"/>
          <w:szCs w:val="20"/>
          <w:lang w:val="es-CO"/>
        </w:rPr>
        <w:t>la detención</w:t>
      </w:r>
      <w:r w:rsidR="002A241B" w:rsidRPr="00C332F1">
        <w:rPr>
          <w:rFonts w:ascii="Cambria" w:hAnsi="Cambria"/>
          <w:sz w:val="20"/>
          <w:szCs w:val="20"/>
          <w:lang w:val="es-US"/>
        </w:rPr>
        <w:t xml:space="preserve"> arbitraria como forma de represalia contra quienes manifiestan una posición crítica</w:t>
      </w:r>
      <w:r w:rsidR="00AE5441" w:rsidRPr="00C332F1">
        <w:rPr>
          <w:rFonts w:ascii="Cambria" w:hAnsi="Cambria"/>
          <w:sz w:val="20"/>
          <w:szCs w:val="20"/>
          <w:lang w:val="es-US"/>
        </w:rPr>
        <w:t xml:space="preserve"> o disidente</w:t>
      </w:r>
      <w:r w:rsidR="002A241B" w:rsidRPr="00C332F1">
        <w:rPr>
          <w:rFonts w:ascii="Cambria" w:hAnsi="Cambria"/>
          <w:sz w:val="20"/>
          <w:szCs w:val="20"/>
          <w:lang w:val="es-US"/>
        </w:rPr>
        <w:t xml:space="preserve"> al régimen, defensores de derechos humanos y líderes sociales.</w:t>
      </w:r>
    </w:p>
    <w:p w14:paraId="623EF959" w14:textId="77777777" w:rsidR="001318B1" w:rsidRPr="00C332F1" w:rsidRDefault="001318B1" w:rsidP="005C4DCA">
      <w:pPr>
        <w:pStyle w:val="ListParagraph"/>
        <w:pBdr>
          <w:top w:val="nil"/>
          <w:left w:val="nil"/>
          <w:bottom w:val="nil"/>
          <w:right w:val="nil"/>
          <w:between w:val="nil"/>
        </w:pBdr>
        <w:ind w:left="1440"/>
        <w:contextualSpacing w:val="0"/>
        <w:jc w:val="both"/>
        <w:rPr>
          <w:rFonts w:ascii="Cambria" w:hAnsi="Cambria"/>
          <w:sz w:val="20"/>
          <w:szCs w:val="20"/>
          <w:lang w:val="es-CO"/>
        </w:rPr>
      </w:pPr>
    </w:p>
    <w:p w14:paraId="5A23EF3A" w14:textId="274A2375" w:rsidR="00707D8E" w:rsidRPr="00C332F1" w:rsidRDefault="00707D8E" w:rsidP="005C4DCA">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CO"/>
        </w:rPr>
        <w:t>Restablecer el orden constitucional, garantizando:</w:t>
      </w:r>
    </w:p>
    <w:p w14:paraId="7BCC9EFD" w14:textId="77777777" w:rsidR="001E4109" w:rsidRPr="00C332F1" w:rsidRDefault="001E4109" w:rsidP="005C4DCA">
      <w:pPr>
        <w:pStyle w:val="ListParagraph"/>
        <w:pBdr>
          <w:top w:val="nil"/>
          <w:left w:val="nil"/>
          <w:bottom w:val="nil"/>
          <w:right w:val="nil"/>
          <w:between w:val="nil"/>
        </w:pBdr>
        <w:ind w:left="1440"/>
        <w:contextualSpacing w:val="0"/>
        <w:jc w:val="both"/>
        <w:rPr>
          <w:rFonts w:ascii="Cambria" w:hAnsi="Cambria"/>
          <w:sz w:val="20"/>
          <w:szCs w:val="20"/>
          <w:lang w:val="es-CO"/>
        </w:rPr>
      </w:pPr>
    </w:p>
    <w:p w14:paraId="2F9D590A" w14:textId="752B791A" w:rsidR="00707D8E" w:rsidRPr="00C332F1" w:rsidRDefault="00707D8E" w:rsidP="005C4DCA">
      <w:pPr>
        <w:pStyle w:val="ListParagraph"/>
        <w:numPr>
          <w:ilvl w:val="2"/>
          <w:numId w:val="17"/>
        </w:numPr>
        <w:pBdr>
          <w:top w:val="nil"/>
          <w:left w:val="nil"/>
          <w:bottom w:val="nil"/>
          <w:right w:val="nil"/>
          <w:between w:val="nil"/>
        </w:pBdr>
        <w:contextualSpacing w:val="0"/>
        <w:jc w:val="both"/>
        <w:rPr>
          <w:rFonts w:ascii="Cambria" w:hAnsi="Cambria"/>
          <w:sz w:val="20"/>
          <w:szCs w:val="20"/>
          <w:lang w:val="es-CO"/>
        </w:rPr>
      </w:pPr>
      <w:r w:rsidRPr="00C332F1">
        <w:rPr>
          <w:rFonts w:ascii="Cambria" w:hAnsi="Cambria"/>
          <w:sz w:val="20"/>
          <w:szCs w:val="20"/>
          <w:lang w:val="es-CO"/>
        </w:rPr>
        <w:t xml:space="preserve">la independencia y equilibrio de poderes, </w:t>
      </w:r>
      <w:r w:rsidR="007F6595" w:rsidRPr="00C332F1">
        <w:rPr>
          <w:rFonts w:ascii="Cambria" w:hAnsi="Cambria"/>
          <w:sz w:val="20"/>
          <w:szCs w:val="20"/>
          <w:lang w:val="es-CO"/>
        </w:rPr>
        <w:t>en particular, del Poder Judicial y del Poder Electoral;</w:t>
      </w:r>
    </w:p>
    <w:p w14:paraId="12EB7DD4" w14:textId="77777777" w:rsidR="001E4109" w:rsidRPr="00C332F1" w:rsidRDefault="001E4109" w:rsidP="005C4DCA">
      <w:pPr>
        <w:pStyle w:val="ListParagraph"/>
        <w:pBdr>
          <w:top w:val="nil"/>
          <w:left w:val="nil"/>
          <w:bottom w:val="nil"/>
          <w:right w:val="nil"/>
          <w:between w:val="nil"/>
        </w:pBdr>
        <w:ind w:left="2160"/>
        <w:contextualSpacing w:val="0"/>
        <w:jc w:val="both"/>
        <w:rPr>
          <w:rFonts w:ascii="Cambria" w:hAnsi="Cambria"/>
          <w:sz w:val="20"/>
          <w:szCs w:val="20"/>
          <w:lang w:val="es-CO"/>
        </w:rPr>
      </w:pPr>
    </w:p>
    <w:p w14:paraId="426DADB9" w14:textId="32446A46" w:rsidR="00707D8E" w:rsidRPr="00C332F1" w:rsidRDefault="00707D8E" w:rsidP="005C4DCA">
      <w:pPr>
        <w:pStyle w:val="ListParagraph"/>
        <w:numPr>
          <w:ilvl w:val="2"/>
          <w:numId w:val="17"/>
        </w:numPr>
        <w:pBdr>
          <w:top w:val="nil"/>
          <w:left w:val="nil"/>
          <w:bottom w:val="nil"/>
          <w:right w:val="nil"/>
          <w:between w:val="nil"/>
        </w:pBdr>
        <w:contextualSpacing w:val="0"/>
        <w:jc w:val="both"/>
        <w:rPr>
          <w:rFonts w:ascii="Cambria" w:hAnsi="Cambria"/>
          <w:sz w:val="20"/>
          <w:szCs w:val="20"/>
          <w:lang w:val="es-CO"/>
        </w:rPr>
      </w:pPr>
      <w:r w:rsidRPr="00C332F1">
        <w:rPr>
          <w:rFonts w:ascii="Cambria" w:hAnsi="Cambria"/>
          <w:sz w:val="20"/>
          <w:szCs w:val="20"/>
          <w:lang w:val="es-CO"/>
        </w:rPr>
        <w:t xml:space="preserve">la participación política sin </w:t>
      </w:r>
      <w:r w:rsidR="007F6595" w:rsidRPr="00C332F1">
        <w:rPr>
          <w:rFonts w:ascii="Cambria" w:hAnsi="Cambria"/>
          <w:sz w:val="20"/>
          <w:szCs w:val="20"/>
          <w:lang w:val="es-CO"/>
        </w:rPr>
        <w:t>ningún</w:t>
      </w:r>
      <w:r w:rsidRPr="00C332F1">
        <w:rPr>
          <w:rFonts w:ascii="Cambria" w:hAnsi="Cambria"/>
          <w:sz w:val="20"/>
          <w:szCs w:val="20"/>
          <w:lang w:val="es-CO"/>
        </w:rPr>
        <w:t xml:space="preserve"> tipo de represión o discriminación</w:t>
      </w:r>
      <w:r w:rsidR="002D5FD9" w:rsidRPr="00C332F1">
        <w:rPr>
          <w:rFonts w:ascii="Cambria" w:hAnsi="Cambria"/>
          <w:sz w:val="20"/>
          <w:szCs w:val="20"/>
          <w:lang w:val="es-CO"/>
        </w:rPr>
        <w:t>,</w:t>
      </w:r>
      <w:r w:rsidRPr="00C332F1">
        <w:rPr>
          <w:rFonts w:ascii="Cambria" w:hAnsi="Cambria"/>
          <w:sz w:val="20"/>
          <w:szCs w:val="20"/>
          <w:lang w:val="es-CO"/>
        </w:rPr>
        <w:t xml:space="preserve"> y</w:t>
      </w:r>
      <w:r w:rsidR="002D5FD9" w:rsidRPr="00C332F1">
        <w:rPr>
          <w:rFonts w:ascii="Cambria" w:hAnsi="Cambria"/>
          <w:sz w:val="20"/>
          <w:szCs w:val="20"/>
          <w:lang w:val="es-CO"/>
        </w:rPr>
        <w:t>;</w:t>
      </w:r>
    </w:p>
    <w:p w14:paraId="7E72FA2C" w14:textId="77777777" w:rsidR="001E4109" w:rsidRPr="00C332F1" w:rsidRDefault="001E4109" w:rsidP="005C4DCA">
      <w:pPr>
        <w:pStyle w:val="ListParagraph"/>
        <w:pBdr>
          <w:top w:val="nil"/>
          <w:left w:val="nil"/>
          <w:bottom w:val="nil"/>
          <w:right w:val="nil"/>
          <w:between w:val="nil"/>
        </w:pBdr>
        <w:ind w:left="2160"/>
        <w:contextualSpacing w:val="0"/>
        <w:jc w:val="both"/>
        <w:rPr>
          <w:rFonts w:ascii="Cambria" w:hAnsi="Cambria"/>
          <w:sz w:val="20"/>
          <w:szCs w:val="20"/>
          <w:lang w:val="es-CO"/>
        </w:rPr>
      </w:pPr>
    </w:p>
    <w:p w14:paraId="04AE6AED" w14:textId="77777777" w:rsidR="00707D8E" w:rsidRPr="00C332F1" w:rsidRDefault="00707D8E" w:rsidP="005C4DCA">
      <w:pPr>
        <w:pStyle w:val="ListParagraph"/>
        <w:numPr>
          <w:ilvl w:val="2"/>
          <w:numId w:val="17"/>
        </w:numPr>
        <w:pBdr>
          <w:top w:val="nil"/>
          <w:left w:val="nil"/>
          <w:bottom w:val="nil"/>
          <w:right w:val="nil"/>
          <w:between w:val="nil"/>
        </w:pBdr>
        <w:contextualSpacing w:val="0"/>
        <w:jc w:val="both"/>
        <w:rPr>
          <w:rFonts w:ascii="Cambria" w:hAnsi="Cambria"/>
          <w:sz w:val="20"/>
          <w:szCs w:val="20"/>
          <w:lang w:val="es-CO"/>
        </w:rPr>
      </w:pPr>
      <w:r w:rsidRPr="00C332F1">
        <w:rPr>
          <w:rFonts w:ascii="Cambria" w:hAnsi="Cambria"/>
          <w:sz w:val="20"/>
          <w:szCs w:val="20"/>
          <w:lang w:val="es-CO"/>
        </w:rPr>
        <w:t>el efectivo control ciudadano sobre la actuación de los distintos poderes del Estado.</w:t>
      </w:r>
    </w:p>
    <w:p w14:paraId="746499E8" w14:textId="77777777" w:rsidR="001E4109" w:rsidRPr="00C332F1" w:rsidRDefault="001E4109" w:rsidP="005C4DCA">
      <w:pPr>
        <w:pStyle w:val="ListParagraph"/>
        <w:pBdr>
          <w:top w:val="nil"/>
          <w:left w:val="nil"/>
          <w:bottom w:val="nil"/>
          <w:right w:val="nil"/>
          <w:between w:val="nil"/>
        </w:pBdr>
        <w:ind w:left="2160"/>
        <w:contextualSpacing w:val="0"/>
        <w:jc w:val="both"/>
        <w:rPr>
          <w:rFonts w:ascii="Cambria" w:hAnsi="Cambria"/>
          <w:sz w:val="20"/>
          <w:szCs w:val="20"/>
          <w:lang w:val="es-CO"/>
        </w:rPr>
      </w:pPr>
    </w:p>
    <w:p w14:paraId="7373B8DD" w14:textId="3B0AA64D" w:rsidR="001C2487" w:rsidRPr="00C332F1" w:rsidRDefault="00C7663D" w:rsidP="005C4DCA">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CO"/>
        </w:rPr>
        <w:t>Publica</w:t>
      </w:r>
      <w:r w:rsidR="00770DEC" w:rsidRPr="00C332F1">
        <w:rPr>
          <w:rFonts w:ascii="Cambria" w:hAnsi="Cambria"/>
          <w:sz w:val="20"/>
          <w:szCs w:val="20"/>
          <w:lang w:val="es-CO"/>
        </w:rPr>
        <w:t>r</w:t>
      </w:r>
      <w:r w:rsidRPr="00C332F1">
        <w:rPr>
          <w:rFonts w:ascii="Cambria" w:hAnsi="Cambria"/>
          <w:sz w:val="20"/>
          <w:szCs w:val="20"/>
          <w:lang w:val="es-CO"/>
        </w:rPr>
        <w:t xml:space="preserve"> todas las actas de votación y permitir una</w:t>
      </w:r>
      <w:r w:rsidR="001C2487" w:rsidRPr="00C332F1">
        <w:rPr>
          <w:rFonts w:ascii="Cambria" w:hAnsi="Cambria"/>
          <w:sz w:val="20"/>
          <w:szCs w:val="20"/>
          <w:lang w:val="es-CO"/>
        </w:rPr>
        <w:t xml:space="preserve"> </w:t>
      </w:r>
      <w:r w:rsidR="00EE79EC" w:rsidRPr="00C332F1">
        <w:rPr>
          <w:rFonts w:ascii="Cambria" w:hAnsi="Cambria"/>
          <w:sz w:val="20"/>
          <w:szCs w:val="20"/>
          <w:lang w:val="es-CO"/>
        </w:rPr>
        <w:t xml:space="preserve">auditoría </w:t>
      </w:r>
      <w:r w:rsidR="005F5BB2" w:rsidRPr="00C332F1">
        <w:rPr>
          <w:rFonts w:ascii="Cambria" w:hAnsi="Cambria"/>
          <w:sz w:val="20"/>
          <w:szCs w:val="20"/>
          <w:lang w:val="es-CO"/>
        </w:rPr>
        <w:t>independiente</w:t>
      </w:r>
      <w:r w:rsidR="003A07B7" w:rsidRPr="00C332F1">
        <w:rPr>
          <w:rFonts w:ascii="Cambria" w:hAnsi="Cambria"/>
          <w:sz w:val="20"/>
          <w:szCs w:val="20"/>
          <w:lang w:val="es-CO"/>
        </w:rPr>
        <w:t>,</w:t>
      </w:r>
      <w:r w:rsidR="00085447" w:rsidRPr="00C332F1">
        <w:rPr>
          <w:rFonts w:ascii="Cambria" w:hAnsi="Cambria"/>
          <w:sz w:val="20"/>
          <w:szCs w:val="20"/>
          <w:lang w:val="es-CO"/>
        </w:rPr>
        <w:t xml:space="preserve"> </w:t>
      </w:r>
      <w:r w:rsidR="001C2487" w:rsidRPr="00C332F1">
        <w:rPr>
          <w:rFonts w:ascii="Cambria" w:hAnsi="Cambria"/>
          <w:sz w:val="20"/>
          <w:szCs w:val="20"/>
          <w:lang w:val="es-CO"/>
        </w:rPr>
        <w:t>con observancia internacional</w:t>
      </w:r>
      <w:r w:rsidR="00317D91" w:rsidRPr="00C332F1">
        <w:rPr>
          <w:rFonts w:ascii="Cambria" w:hAnsi="Cambria"/>
          <w:sz w:val="20"/>
          <w:szCs w:val="20"/>
          <w:lang w:val="es-CO"/>
        </w:rPr>
        <w:t>.</w:t>
      </w:r>
      <w:r w:rsidR="001C2487" w:rsidRPr="00C332F1">
        <w:rPr>
          <w:rFonts w:ascii="Cambria" w:hAnsi="Cambria"/>
          <w:sz w:val="20"/>
          <w:szCs w:val="20"/>
          <w:lang w:val="es-CO"/>
        </w:rPr>
        <w:t xml:space="preserve"> </w:t>
      </w:r>
    </w:p>
    <w:p w14:paraId="1219F505" w14:textId="77777777" w:rsidR="001E4109" w:rsidRPr="00C332F1" w:rsidRDefault="001E4109" w:rsidP="005C4DCA">
      <w:pPr>
        <w:pStyle w:val="ListParagraph"/>
        <w:pBdr>
          <w:top w:val="nil"/>
          <w:left w:val="nil"/>
          <w:bottom w:val="nil"/>
          <w:right w:val="nil"/>
          <w:between w:val="nil"/>
        </w:pBdr>
        <w:ind w:left="1440"/>
        <w:contextualSpacing w:val="0"/>
        <w:jc w:val="both"/>
        <w:rPr>
          <w:rFonts w:ascii="Cambria" w:hAnsi="Cambria"/>
          <w:sz w:val="20"/>
          <w:szCs w:val="20"/>
          <w:lang w:val="es-CO"/>
        </w:rPr>
      </w:pPr>
    </w:p>
    <w:p w14:paraId="22615386" w14:textId="7B04EBD0" w:rsidR="005F5BB2" w:rsidRPr="00C332F1" w:rsidRDefault="001C2487" w:rsidP="005C4DCA">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CO"/>
        </w:rPr>
      </w:pPr>
      <w:r w:rsidRPr="00C332F1">
        <w:rPr>
          <w:rFonts w:ascii="Cambria" w:hAnsi="Cambria"/>
          <w:sz w:val="20"/>
          <w:szCs w:val="20"/>
          <w:lang w:val="es-CO"/>
        </w:rPr>
        <w:t xml:space="preserve">Garantizar </w:t>
      </w:r>
      <w:r w:rsidR="00085447" w:rsidRPr="00C332F1">
        <w:rPr>
          <w:rFonts w:ascii="Cambria" w:hAnsi="Cambria"/>
          <w:sz w:val="20"/>
          <w:szCs w:val="20"/>
          <w:lang w:val="es-CO"/>
        </w:rPr>
        <w:t xml:space="preserve">una </w:t>
      </w:r>
      <w:r w:rsidR="007F4DA4" w:rsidRPr="00C332F1">
        <w:rPr>
          <w:rFonts w:ascii="Cambria" w:hAnsi="Cambria"/>
          <w:sz w:val="20"/>
          <w:szCs w:val="20"/>
          <w:lang w:val="es-CO"/>
        </w:rPr>
        <w:t>legítima</w:t>
      </w:r>
      <w:r w:rsidRPr="00C332F1">
        <w:rPr>
          <w:rFonts w:ascii="Cambria" w:hAnsi="Cambria"/>
          <w:sz w:val="20"/>
          <w:szCs w:val="20"/>
          <w:lang w:val="es-CO"/>
        </w:rPr>
        <w:t xml:space="preserve"> y pacífica</w:t>
      </w:r>
      <w:r w:rsidR="00085447" w:rsidRPr="00C332F1">
        <w:rPr>
          <w:rFonts w:ascii="Cambria" w:hAnsi="Cambria"/>
          <w:sz w:val="20"/>
          <w:szCs w:val="20"/>
          <w:lang w:val="es-CO"/>
        </w:rPr>
        <w:t xml:space="preserve"> sucesión constitucional</w:t>
      </w:r>
      <w:r w:rsidR="002368A9" w:rsidRPr="00C332F1">
        <w:rPr>
          <w:rFonts w:ascii="Cambria" w:hAnsi="Cambria"/>
          <w:sz w:val="20"/>
          <w:szCs w:val="20"/>
          <w:lang w:val="es-CO"/>
        </w:rPr>
        <w:t>.</w:t>
      </w:r>
    </w:p>
    <w:p w14:paraId="5C80B547" w14:textId="77777777" w:rsidR="00442855" w:rsidRPr="00C332F1" w:rsidRDefault="00442855" w:rsidP="005C4DCA">
      <w:pPr>
        <w:pStyle w:val="ListParagraph"/>
        <w:pBdr>
          <w:top w:val="nil"/>
          <w:left w:val="nil"/>
          <w:bottom w:val="nil"/>
          <w:right w:val="nil"/>
          <w:between w:val="nil"/>
        </w:pBdr>
        <w:spacing w:after="240"/>
        <w:ind w:left="1440"/>
        <w:jc w:val="both"/>
        <w:rPr>
          <w:rFonts w:ascii="Cambria" w:hAnsi="Cambria"/>
          <w:sz w:val="20"/>
          <w:szCs w:val="20"/>
          <w:lang w:val="es-CO"/>
        </w:rPr>
      </w:pPr>
    </w:p>
    <w:p w14:paraId="625F0D8C" w14:textId="3076618C" w:rsidR="00467EEB" w:rsidRPr="00C332F1" w:rsidRDefault="00467EEB" w:rsidP="005C4DCA">
      <w:pPr>
        <w:pStyle w:val="ListParagraph"/>
        <w:numPr>
          <w:ilvl w:val="0"/>
          <w:numId w:val="17"/>
        </w:numPr>
        <w:pBdr>
          <w:top w:val="nil"/>
          <w:left w:val="nil"/>
          <w:bottom w:val="nil"/>
          <w:right w:val="nil"/>
          <w:between w:val="nil"/>
        </w:pBdr>
        <w:ind w:left="1440" w:hanging="720"/>
        <w:jc w:val="both"/>
        <w:rPr>
          <w:rFonts w:ascii="Cambria" w:hAnsi="Cambria"/>
          <w:sz w:val="20"/>
          <w:szCs w:val="20"/>
          <w:lang w:val="es-CO"/>
        </w:rPr>
      </w:pPr>
      <w:r w:rsidRPr="00C332F1">
        <w:rPr>
          <w:rFonts w:ascii="Cambria" w:hAnsi="Cambria"/>
          <w:sz w:val="20"/>
          <w:szCs w:val="20"/>
          <w:lang w:val="es-CO"/>
        </w:rPr>
        <w:t xml:space="preserve">Adoptar medidas idóneas y efectivas para </w:t>
      </w:r>
      <w:r w:rsidR="000811FB" w:rsidRPr="00C332F1">
        <w:rPr>
          <w:rFonts w:ascii="Cambria" w:hAnsi="Cambria"/>
          <w:sz w:val="20"/>
          <w:szCs w:val="20"/>
          <w:lang w:val="es-CO"/>
        </w:rPr>
        <w:t>asegurar</w:t>
      </w:r>
      <w:r w:rsidRPr="00C332F1">
        <w:rPr>
          <w:rFonts w:ascii="Cambria" w:hAnsi="Cambria"/>
          <w:sz w:val="20"/>
          <w:szCs w:val="20"/>
          <w:lang w:val="es-CO"/>
        </w:rPr>
        <w:t xml:space="preserve"> la independencia del </w:t>
      </w:r>
      <w:r w:rsidR="000811FB" w:rsidRPr="00C332F1">
        <w:rPr>
          <w:rFonts w:ascii="Cambria" w:hAnsi="Cambria"/>
          <w:sz w:val="20"/>
          <w:szCs w:val="20"/>
          <w:lang w:val="es-CO"/>
        </w:rPr>
        <w:t xml:space="preserve">Poder Judicial y del </w:t>
      </w:r>
      <w:r w:rsidRPr="00C332F1">
        <w:rPr>
          <w:rFonts w:ascii="Cambria" w:hAnsi="Cambria"/>
          <w:sz w:val="20"/>
          <w:szCs w:val="20"/>
          <w:lang w:val="es-CO"/>
        </w:rPr>
        <w:t>Ministerio Público</w:t>
      </w:r>
      <w:r w:rsidR="00EE07D8" w:rsidRPr="00C332F1">
        <w:rPr>
          <w:rFonts w:ascii="Cambria" w:hAnsi="Cambria"/>
          <w:sz w:val="20"/>
          <w:szCs w:val="20"/>
          <w:lang w:val="es-CO"/>
        </w:rPr>
        <w:t>.</w:t>
      </w:r>
    </w:p>
    <w:p w14:paraId="517541CE" w14:textId="77777777" w:rsidR="001E4109" w:rsidRPr="00C332F1" w:rsidRDefault="001E4109" w:rsidP="001E4109">
      <w:pPr>
        <w:pBdr>
          <w:top w:val="nil"/>
          <w:left w:val="nil"/>
          <w:bottom w:val="nil"/>
          <w:right w:val="nil"/>
          <w:between w:val="nil"/>
        </w:pBdr>
        <w:jc w:val="both"/>
        <w:rPr>
          <w:rFonts w:ascii="Cambria" w:hAnsi="Cambria"/>
          <w:sz w:val="20"/>
          <w:szCs w:val="20"/>
          <w:lang w:val="es-CO"/>
        </w:rPr>
      </w:pPr>
    </w:p>
    <w:p w14:paraId="1E6A04CC" w14:textId="6FB3C61A" w:rsidR="00707D8E" w:rsidRPr="00C332F1" w:rsidRDefault="00707D8E" w:rsidP="004D4156">
      <w:pPr>
        <w:rPr>
          <w:rFonts w:ascii="Cambria" w:hAnsi="Cambria"/>
          <w:b/>
          <w:sz w:val="20"/>
          <w:szCs w:val="20"/>
          <w:lang w:val="es-CO"/>
        </w:rPr>
      </w:pPr>
      <w:r w:rsidRPr="00C332F1">
        <w:rPr>
          <w:rFonts w:ascii="Cambria" w:hAnsi="Cambria"/>
          <w:sz w:val="20"/>
          <w:szCs w:val="20"/>
          <w:lang w:val="es-CO"/>
        </w:rPr>
        <w:t> </w:t>
      </w:r>
      <w:r w:rsidR="004D4156" w:rsidRPr="00C332F1">
        <w:rPr>
          <w:rFonts w:ascii="Cambria" w:hAnsi="Cambria"/>
          <w:b/>
          <w:sz w:val="20"/>
          <w:szCs w:val="20"/>
          <w:lang w:val="es-CO"/>
        </w:rPr>
        <w:t>Lucha contra la impunidad y a</w:t>
      </w:r>
      <w:r w:rsidRPr="00C332F1">
        <w:rPr>
          <w:rFonts w:ascii="Cambria" w:hAnsi="Cambria"/>
          <w:b/>
          <w:sz w:val="20"/>
          <w:szCs w:val="20"/>
          <w:lang w:val="es-CO"/>
        </w:rPr>
        <w:t xml:space="preserve">dministración de </w:t>
      </w:r>
      <w:r w:rsidR="004D4156" w:rsidRPr="00C332F1">
        <w:rPr>
          <w:rFonts w:ascii="Cambria" w:hAnsi="Cambria"/>
          <w:b/>
          <w:sz w:val="20"/>
          <w:szCs w:val="20"/>
          <w:lang w:val="es-CO"/>
        </w:rPr>
        <w:t>j</w:t>
      </w:r>
      <w:r w:rsidRPr="00C332F1">
        <w:rPr>
          <w:rFonts w:ascii="Cambria" w:hAnsi="Cambria"/>
          <w:b/>
          <w:sz w:val="20"/>
          <w:szCs w:val="20"/>
          <w:lang w:val="es-CO"/>
        </w:rPr>
        <w:t xml:space="preserve">usticia </w:t>
      </w:r>
    </w:p>
    <w:p w14:paraId="6446B9F5" w14:textId="24E903A0" w:rsidR="00707D8E" w:rsidRPr="00C332F1" w:rsidRDefault="00707D8E" w:rsidP="00707D8E">
      <w:pPr>
        <w:ind w:left="709" w:hanging="283"/>
        <w:rPr>
          <w:rFonts w:ascii="Cambria" w:hAnsi="Cambria"/>
          <w:sz w:val="20"/>
          <w:szCs w:val="20"/>
          <w:lang w:val="es-CO"/>
        </w:rPr>
      </w:pPr>
    </w:p>
    <w:p w14:paraId="47C14071" w14:textId="151FBBEB" w:rsidR="00185742" w:rsidRPr="00C332F1" w:rsidRDefault="00C80EAD" w:rsidP="00341BA4">
      <w:pPr>
        <w:pStyle w:val="ListParagraph"/>
        <w:numPr>
          <w:ilvl w:val="0"/>
          <w:numId w:val="17"/>
        </w:numPr>
        <w:pBdr>
          <w:top w:val="nil"/>
          <w:left w:val="nil"/>
          <w:bottom w:val="nil"/>
          <w:right w:val="nil"/>
          <w:between w:val="nil"/>
        </w:pBdr>
        <w:ind w:left="1440" w:hanging="720"/>
        <w:jc w:val="both"/>
        <w:rPr>
          <w:rFonts w:ascii="Cambria" w:hAnsi="Cambria"/>
          <w:sz w:val="20"/>
          <w:szCs w:val="20"/>
          <w:lang w:val="es-CO"/>
        </w:rPr>
      </w:pPr>
      <w:r w:rsidRPr="00C332F1">
        <w:rPr>
          <w:rFonts w:ascii="Cambria" w:hAnsi="Cambria"/>
          <w:sz w:val="20"/>
          <w:szCs w:val="20"/>
          <w:lang w:val="es-CO"/>
        </w:rPr>
        <w:t>Liberar de manera inmediata a las personas privadas arbitrariamente de la libertad</w:t>
      </w:r>
      <w:r w:rsidR="00023BE1" w:rsidRPr="00C332F1">
        <w:rPr>
          <w:rFonts w:ascii="Cambria" w:hAnsi="Cambria"/>
          <w:sz w:val="20"/>
          <w:szCs w:val="20"/>
          <w:lang w:val="es-CO"/>
        </w:rPr>
        <w:t>.</w:t>
      </w:r>
    </w:p>
    <w:p w14:paraId="233869C0" w14:textId="77777777" w:rsidR="00167A2F" w:rsidRPr="00C332F1" w:rsidRDefault="00167A2F" w:rsidP="00341BA4">
      <w:pPr>
        <w:pStyle w:val="ListParagraph"/>
        <w:pBdr>
          <w:top w:val="nil"/>
          <w:left w:val="nil"/>
          <w:bottom w:val="nil"/>
          <w:right w:val="nil"/>
          <w:between w:val="nil"/>
        </w:pBdr>
        <w:ind w:left="1440"/>
        <w:jc w:val="both"/>
        <w:rPr>
          <w:rFonts w:ascii="Cambria" w:hAnsi="Cambria"/>
          <w:sz w:val="20"/>
          <w:szCs w:val="20"/>
          <w:lang w:val="es-CO"/>
        </w:rPr>
      </w:pPr>
    </w:p>
    <w:p w14:paraId="42EC9D09" w14:textId="05C0DE60" w:rsidR="0068778B" w:rsidRPr="00C332F1" w:rsidRDefault="007C3945" w:rsidP="00341BA4">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CO"/>
        </w:rPr>
      </w:pPr>
      <w:r w:rsidRPr="00C332F1">
        <w:rPr>
          <w:rFonts w:ascii="Cambria" w:hAnsi="Cambria"/>
          <w:sz w:val="20"/>
          <w:szCs w:val="20"/>
          <w:lang w:val="es-CO"/>
        </w:rPr>
        <w:t xml:space="preserve">Asegurar </w:t>
      </w:r>
      <w:r w:rsidR="003D1290" w:rsidRPr="00C332F1">
        <w:rPr>
          <w:rFonts w:ascii="Cambria" w:hAnsi="Cambria"/>
          <w:sz w:val="20"/>
          <w:szCs w:val="20"/>
          <w:lang w:val="es-CO"/>
        </w:rPr>
        <w:t>el cumplimiento de las garantías del debido proceso en todas las etapas procesales vinculadas con detenciones</w:t>
      </w:r>
      <w:r w:rsidR="76125113" w:rsidRPr="00C332F1">
        <w:rPr>
          <w:rFonts w:ascii="Cambria" w:hAnsi="Cambria"/>
          <w:sz w:val="20"/>
          <w:szCs w:val="20"/>
          <w:lang w:val="es-CO"/>
        </w:rPr>
        <w:t xml:space="preserve"> en el contexto electoral</w:t>
      </w:r>
      <w:r w:rsidR="003D1290" w:rsidRPr="00C332F1">
        <w:rPr>
          <w:rFonts w:ascii="Cambria" w:hAnsi="Cambria"/>
          <w:sz w:val="20"/>
          <w:szCs w:val="20"/>
          <w:lang w:val="es-CO"/>
        </w:rPr>
        <w:t xml:space="preserve">. </w:t>
      </w:r>
    </w:p>
    <w:p w14:paraId="09C2856C" w14:textId="77777777" w:rsidR="00D279BA" w:rsidRPr="00C332F1" w:rsidRDefault="00D279BA" w:rsidP="00341BA4">
      <w:pPr>
        <w:pStyle w:val="ListParagraph"/>
        <w:jc w:val="both"/>
        <w:rPr>
          <w:rFonts w:ascii="Cambria" w:hAnsi="Cambria"/>
          <w:sz w:val="20"/>
          <w:szCs w:val="20"/>
          <w:lang w:val="es-CO"/>
        </w:rPr>
      </w:pPr>
    </w:p>
    <w:p w14:paraId="3B26C620" w14:textId="506AFE7F" w:rsidR="00354CC1" w:rsidRPr="00C332F1" w:rsidRDefault="00354CC1" w:rsidP="00341BA4">
      <w:pPr>
        <w:pStyle w:val="ListParagraph"/>
        <w:numPr>
          <w:ilvl w:val="0"/>
          <w:numId w:val="17"/>
        </w:numPr>
        <w:pBdr>
          <w:top w:val="nil"/>
          <w:left w:val="nil"/>
          <w:bottom w:val="nil"/>
          <w:right w:val="nil"/>
          <w:between w:val="nil"/>
        </w:pBdr>
        <w:ind w:left="1440" w:hanging="720"/>
        <w:jc w:val="both"/>
        <w:rPr>
          <w:rFonts w:ascii="Cambria" w:hAnsi="Cambria"/>
          <w:sz w:val="20"/>
          <w:szCs w:val="20"/>
          <w:lang w:val="es-CO"/>
        </w:rPr>
      </w:pPr>
      <w:r w:rsidRPr="00C332F1">
        <w:rPr>
          <w:rFonts w:ascii="Cambria" w:hAnsi="Cambria"/>
          <w:sz w:val="20"/>
          <w:szCs w:val="20"/>
          <w:lang w:val="es-CO"/>
        </w:rPr>
        <w:t>Investigar</w:t>
      </w:r>
      <w:r w:rsidR="005D0165" w:rsidRPr="00C332F1">
        <w:rPr>
          <w:rFonts w:ascii="Cambria" w:hAnsi="Cambria"/>
          <w:sz w:val="20"/>
          <w:szCs w:val="20"/>
          <w:lang w:val="es-CO"/>
        </w:rPr>
        <w:t xml:space="preserve"> con debida diligencia todas las denuncias de violaciones de derechos humanos</w:t>
      </w:r>
      <w:r w:rsidR="006A635D" w:rsidRPr="00C332F1">
        <w:rPr>
          <w:rFonts w:ascii="Cambria" w:hAnsi="Cambria"/>
          <w:sz w:val="20"/>
          <w:szCs w:val="20"/>
          <w:lang w:val="es-CO"/>
        </w:rPr>
        <w:t xml:space="preserve"> en el contexto electoral</w:t>
      </w:r>
      <w:r w:rsidR="005D0165" w:rsidRPr="00C332F1">
        <w:rPr>
          <w:rFonts w:ascii="Cambria" w:hAnsi="Cambria"/>
          <w:sz w:val="20"/>
          <w:szCs w:val="20"/>
          <w:lang w:val="es-CO"/>
        </w:rPr>
        <w:t xml:space="preserve">, </w:t>
      </w:r>
      <w:r w:rsidR="0020719A" w:rsidRPr="00C332F1">
        <w:rPr>
          <w:rFonts w:ascii="Cambria" w:hAnsi="Cambria"/>
          <w:sz w:val="20"/>
          <w:szCs w:val="20"/>
          <w:lang w:val="es-CO"/>
        </w:rPr>
        <w:t>y</w:t>
      </w:r>
      <w:r w:rsidR="005D0165" w:rsidRPr="00C332F1">
        <w:rPr>
          <w:rFonts w:ascii="Cambria" w:hAnsi="Cambria"/>
          <w:sz w:val="20"/>
          <w:szCs w:val="20"/>
          <w:lang w:val="es-CO"/>
        </w:rPr>
        <w:t xml:space="preserve"> juzgar y sancionar </w:t>
      </w:r>
      <w:r w:rsidRPr="00C332F1">
        <w:rPr>
          <w:rFonts w:ascii="Cambria" w:hAnsi="Cambria"/>
          <w:sz w:val="20"/>
          <w:szCs w:val="20"/>
          <w:lang w:val="es-CO"/>
        </w:rPr>
        <w:t>a las personas responsables</w:t>
      </w:r>
      <w:r w:rsidR="00820804" w:rsidRPr="00C332F1">
        <w:rPr>
          <w:rFonts w:ascii="Cambria" w:hAnsi="Cambria"/>
          <w:sz w:val="20"/>
          <w:szCs w:val="20"/>
          <w:lang w:val="es-CO"/>
        </w:rPr>
        <w:t xml:space="preserve"> materiales e intelectuales</w:t>
      </w:r>
      <w:r w:rsidRPr="00C332F1">
        <w:rPr>
          <w:rFonts w:ascii="Cambria" w:hAnsi="Cambria"/>
          <w:sz w:val="20"/>
          <w:szCs w:val="20"/>
          <w:lang w:val="es-CO"/>
        </w:rPr>
        <w:t xml:space="preserve">. </w:t>
      </w:r>
    </w:p>
    <w:p w14:paraId="79150409" w14:textId="77777777" w:rsidR="001E4109" w:rsidRPr="00C332F1" w:rsidRDefault="001E4109" w:rsidP="001E4109">
      <w:pPr>
        <w:pBdr>
          <w:top w:val="nil"/>
          <w:left w:val="nil"/>
          <w:bottom w:val="nil"/>
          <w:right w:val="nil"/>
          <w:between w:val="nil"/>
        </w:pBdr>
        <w:jc w:val="both"/>
        <w:rPr>
          <w:rFonts w:ascii="Cambria" w:hAnsi="Cambria"/>
          <w:sz w:val="20"/>
          <w:szCs w:val="20"/>
          <w:lang w:val="es-CO"/>
        </w:rPr>
      </w:pPr>
    </w:p>
    <w:p w14:paraId="47DAC8AB" w14:textId="55168CA4" w:rsidR="00707D8E" w:rsidRPr="00C332F1" w:rsidRDefault="00707D8E" w:rsidP="00707D8E">
      <w:pPr>
        <w:rPr>
          <w:rFonts w:ascii="Cambria" w:hAnsi="Cambria"/>
          <w:b/>
          <w:sz w:val="20"/>
          <w:szCs w:val="20"/>
          <w:lang w:val="es-CO"/>
        </w:rPr>
      </w:pPr>
      <w:r w:rsidRPr="00C332F1">
        <w:rPr>
          <w:rFonts w:ascii="Cambria" w:hAnsi="Cambria"/>
          <w:b/>
          <w:sz w:val="20"/>
          <w:szCs w:val="20"/>
          <w:lang w:val="es-CO"/>
        </w:rPr>
        <w:t xml:space="preserve">Derechos </w:t>
      </w:r>
      <w:r w:rsidR="00D70FA7" w:rsidRPr="00C332F1">
        <w:rPr>
          <w:rFonts w:ascii="Cambria" w:hAnsi="Cambria"/>
          <w:b/>
          <w:sz w:val="20"/>
          <w:szCs w:val="20"/>
          <w:lang w:val="es-CO"/>
        </w:rPr>
        <w:t>p</w:t>
      </w:r>
      <w:r w:rsidRPr="00C332F1">
        <w:rPr>
          <w:rFonts w:ascii="Cambria" w:hAnsi="Cambria"/>
          <w:b/>
          <w:sz w:val="20"/>
          <w:szCs w:val="20"/>
          <w:lang w:val="es-CO"/>
        </w:rPr>
        <w:t xml:space="preserve">olíticos y </w:t>
      </w:r>
      <w:r w:rsidR="00BC4816" w:rsidRPr="00C332F1">
        <w:rPr>
          <w:rFonts w:ascii="Cambria" w:hAnsi="Cambria"/>
          <w:b/>
          <w:sz w:val="20"/>
          <w:szCs w:val="20"/>
          <w:lang w:val="es-CO"/>
        </w:rPr>
        <w:t>p</w:t>
      </w:r>
      <w:r w:rsidRPr="00C332F1">
        <w:rPr>
          <w:rFonts w:ascii="Cambria" w:hAnsi="Cambria"/>
          <w:b/>
          <w:sz w:val="20"/>
          <w:szCs w:val="20"/>
          <w:lang w:val="es-CO"/>
        </w:rPr>
        <w:t xml:space="preserve">articipación en la </w:t>
      </w:r>
      <w:r w:rsidR="000811FB" w:rsidRPr="00C332F1">
        <w:rPr>
          <w:rFonts w:ascii="Cambria" w:hAnsi="Cambria"/>
          <w:b/>
          <w:sz w:val="20"/>
          <w:szCs w:val="20"/>
          <w:lang w:val="es-CO"/>
        </w:rPr>
        <w:t>v</w:t>
      </w:r>
      <w:r w:rsidRPr="00C332F1">
        <w:rPr>
          <w:rFonts w:ascii="Cambria" w:hAnsi="Cambria"/>
          <w:b/>
          <w:sz w:val="20"/>
          <w:szCs w:val="20"/>
          <w:lang w:val="es-CO"/>
        </w:rPr>
        <w:t xml:space="preserve">ida </w:t>
      </w:r>
      <w:r w:rsidR="000811FB" w:rsidRPr="00C332F1">
        <w:rPr>
          <w:rFonts w:ascii="Cambria" w:hAnsi="Cambria"/>
          <w:b/>
          <w:sz w:val="20"/>
          <w:szCs w:val="20"/>
          <w:lang w:val="es-CO"/>
        </w:rPr>
        <w:t>p</w:t>
      </w:r>
      <w:r w:rsidRPr="00C332F1">
        <w:rPr>
          <w:rFonts w:ascii="Cambria" w:hAnsi="Cambria"/>
          <w:b/>
          <w:sz w:val="20"/>
          <w:szCs w:val="20"/>
          <w:lang w:val="es-CO"/>
        </w:rPr>
        <w:t>ública</w:t>
      </w:r>
    </w:p>
    <w:p w14:paraId="2F511154" w14:textId="77777777" w:rsidR="00707D8E" w:rsidRPr="00C332F1" w:rsidRDefault="00707D8E" w:rsidP="00707D8E">
      <w:pPr>
        <w:ind w:left="709" w:hanging="283"/>
        <w:rPr>
          <w:rFonts w:ascii="Cambria" w:hAnsi="Cambria"/>
          <w:sz w:val="20"/>
          <w:szCs w:val="20"/>
          <w:lang w:val="es-CO"/>
        </w:rPr>
      </w:pPr>
      <w:r w:rsidRPr="00C332F1">
        <w:rPr>
          <w:rFonts w:ascii="Cambria" w:hAnsi="Cambria"/>
          <w:sz w:val="20"/>
          <w:szCs w:val="20"/>
          <w:lang w:val="es-CO"/>
        </w:rPr>
        <w:t> </w:t>
      </w:r>
    </w:p>
    <w:p w14:paraId="151CF7E7" w14:textId="0A904102" w:rsidR="00F225B7" w:rsidRPr="00C332F1" w:rsidRDefault="00707D8E" w:rsidP="00C27B1B">
      <w:pPr>
        <w:pStyle w:val="ListParagraph"/>
        <w:numPr>
          <w:ilvl w:val="0"/>
          <w:numId w:val="17"/>
        </w:numPr>
        <w:pBdr>
          <w:top w:val="nil"/>
          <w:left w:val="nil"/>
          <w:bottom w:val="nil"/>
          <w:right w:val="nil"/>
          <w:between w:val="nil"/>
        </w:pBdr>
        <w:spacing w:after="240"/>
        <w:ind w:left="1440" w:hanging="720"/>
        <w:contextualSpacing w:val="0"/>
        <w:jc w:val="both"/>
        <w:rPr>
          <w:rFonts w:ascii="Cambria" w:hAnsi="Cambria"/>
          <w:sz w:val="20"/>
          <w:szCs w:val="20"/>
          <w:lang w:val="es-CO"/>
        </w:rPr>
      </w:pPr>
      <w:r w:rsidRPr="00C332F1">
        <w:rPr>
          <w:rFonts w:ascii="Cambria" w:hAnsi="Cambria"/>
          <w:sz w:val="20"/>
          <w:szCs w:val="20"/>
          <w:lang w:val="es-CO"/>
        </w:rPr>
        <w:t>Adecuar el marco normativo interno</w:t>
      </w:r>
      <w:r w:rsidR="000E4061" w:rsidRPr="00C332F1">
        <w:rPr>
          <w:rFonts w:ascii="Cambria" w:hAnsi="Cambria"/>
          <w:sz w:val="20"/>
          <w:szCs w:val="20"/>
          <w:lang w:val="es-CO"/>
        </w:rPr>
        <w:t>,</w:t>
      </w:r>
      <w:r w:rsidRPr="00C332F1">
        <w:rPr>
          <w:rFonts w:ascii="Cambria" w:hAnsi="Cambria"/>
          <w:sz w:val="20"/>
          <w:szCs w:val="20"/>
          <w:lang w:val="es-CO"/>
        </w:rPr>
        <w:t xml:space="preserve"> para asegurar que</w:t>
      </w:r>
      <w:r w:rsidR="00F225B7" w:rsidRPr="00C332F1">
        <w:rPr>
          <w:rFonts w:ascii="Cambria" w:hAnsi="Cambria"/>
          <w:sz w:val="20"/>
          <w:szCs w:val="20"/>
          <w:lang w:val="es-CO"/>
        </w:rPr>
        <w:t xml:space="preserve"> cualquier inhabilitación a </w:t>
      </w:r>
      <w:r w:rsidR="00551BBF" w:rsidRPr="00C332F1">
        <w:rPr>
          <w:rFonts w:ascii="Cambria" w:hAnsi="Cambria"/>
          <w:sz w:val="20"/>
          <w:szCs w:val="20"/>
          <w:lang w:val="es-CO"/>
        </w:rPr>
        <w:t>personas que aspiran ocupar cargos</w:t>
      </w:r>
      <w:r w:rsidR="00F225B7" w:rsidRPr="00C332F1">
        <w:rPr>
          <w:rFonts w:ascii="Cambria" w:hAnsi="Cambria"/>
          <w:sz w:val="20"/>
          <w:szCs w:val="20"/>
          <w:lang w:val="es-CO"/>
        </w:rPr>
        <w:t xml:space="preserve"> de elección popular sea impuesta </w:t>
      </w:r>
      <w:r w:rsidR="00AA658A" w:rsidRPr="00C332F1">
        <w:rPr>
          <w:rFonts w:ascii="Cambria" w:hAnsi="Cambria"/>
          <w:sz w:val="20"/>
          <w:szCs w:val="20"/>
          <w:lang w:val="es-CO"/>
        </w:rPr>
        <w:t>de conformidad con estándares interamericanos.</w:t>
      </w:r>
    </w:p>
    <w:p w14:paraId="45B79D5B" w14:textId="29200233" w:rsidR="009E4A80" w:rsidRPr="00C332F1" w:rsidRDefault="00707D8E" w:rsidP="001E4109">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CO"/>
        </w:rPr>
        <w:t xml:space="preserve">Abstenerse de efectuar detenciones ilegales o arbitrarias, </w:t>
      </w:r>
      <w:r w:rsidR="00A42198" w:rsidRPr="00C332F1">
        <w:rPr>
          <w:rFonts w:ascii="Cambria" w:hAnsi="Cambria"/>
          <w:sz w:val="20"/>
          <w:szCs w:val="20"/>
          <w:lang w:val="es-CO"/>
        </w:rPr>
        <w:t xml:space="preserve">en particular, niños, niñas y adolescentes; </w:t>
      </w:r>
      <w:r w:rsidRPr="00C332F1">
        <w:rPr>
          <w:rFonts w:ascii="Cambria" w:hAnsi="Cambria"/>
          <w:sz w:val="20"/>
          <w:szCs w:val="20"/>
          <w:lang w:val="es-CO"/>
        </w:rPr>
        <w:t>y en caso de que una persona sea privada de la libertad, asegurarse de se cumplan todas las garantías del debido proceso, incluyendo la pronta presentación ante una autoridad judicial</w:t>
      </w:r>
      <w:r w:rsidR="00C61DFF" w:rsidRPr="00C332F1">
        <w:rPr>
          <w:rFonts w:ascii="Cambria" w:hAnsi="Cambria"/>
          <w:sz w:val="20"/>
          <w:szCs w:val="20"/>
          <w:lang w:val="es-CO"/>
        </w:rPr>
        <w:t xml:space="preserve"> competente,</w:t>
      </w:r>
      <w:r w:rsidRPr="00C332F1">
        <w:rPr>
          <w:rFonts w:ascii="Cambria" w:hAnsi="Cambria"/>
          <w:sz w:val="20"/>
          <w:szCs w:val="20"/>
          <w:lang w:val="es-CO"/>
        </w:rPr>
        <w:t xml:space="preserve"> independiente</w:t>
      </w:r>
      <w:r w:rsidR="00C61DFF" w:rsidRPr="00C332F1">
        <w:rPr>
          <w:rFonts w:ascii="Cambria" w:hAnsi="Cambria"/>
          <w:sz w:val="20"/>
          <w:szCs w:val="20"/>
          <w:lang w:val="es-CO"/>
        </w:rPr>
        <w:t xml:space="preserve"> e imparcial.</w:t>
      </w:r>
    </w:p>
    <w:p w14:paraId="2326A4EC" w14:textId="77777777" w:rsidR="001E4109" w:rsidRPr="00C332F1" w:rsidRDefault="001E4109" w:rsidP="001E4109">
      <w:pPr>
        <w:pStyle w:val="ListParagraph"/>
        <w:pBdr>
          <w:top w:val="nil"/>
          <w:left w:val="nil"/>
          <w:bottom w:val="nil"/>
          <w:right w:val="nil"/>
          <w:between w:val="nil"/>
        </w:pBdr>
        <w:ind w:left="1440"/>
        <w:contextualSpacing w:val="0"/>
        <w:jc w:val="both"/>
        <w:rPr>
          <w:rFonts w:ascii="Cambria" w:hAnsi="Cambria"/>
          <w:sz w:val="20"/>
          <w:szCs w:val="20"/>
          <w:lang w:val="es-CO"/>
        </w:rPr>
      </w:pPr>
    </w:p>
    <w:p w14:paraId="775F28A8" w14:textId="65FD0CDE" w:rsidR="00A609C3" w:rsidRPr="00C332F1" w:rsidRDefault="009E4A80" w:rsidP="001E4109">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CO"/>
        </w:rPr>
        <w:t xml:space="preserve">Garantizar el voto en el extranjero a las personas de nacionalidad venezolanas que sean mayores de 18 años y no tengan una condena penal en firme. </w:t>
      </w:r>
    </w:p>
    <w:p w14:paraId="10B110DF" w14:textId="77777777" w:rsidR="001E4109" w:rsidRPr="00C332F1" w:rsidRDefault="001E4109" w:rsidP="001E4109">
      <w:pPr>
        <w:pStyle w:val="ListParagraph"/>
        <w:pBdr>
          <w:top w:val="nil"/>
          <w:left w:val="nil"/>
          <w:bottom w:val="nil"/>
          <w:right w:val="nil"/>
          <w:between w:val="nil"/>
        </w:pBdr>
        <w:ind w:left="1440"/>
        <w:contextualSpacing w:val="0"/>
        <w:jc w:val="both"/>
        <w:rPr>
          <w:rFonts w:ascii="Cambria" w:hAnsi="Cambria"/>
          <w:sz w:val="20"/>
          <w:szCs w:val="20"/>
          <w:lang w:val="es-CO"/>
        </w:rPr>
      </w:pPr>
    </w:p>
    <w:p w14:paraId="295EB4E9" w14:textId="77777777" w:rsidR="00A609C3" w:rsidRPr="00C332F1" w:rsidRDefault="00A609C3" w:rsidP="00A609C3">
      <w:pPr>
        <w:pBdr>
          <w:top w:val="nil"/>
          <w:left w:val="nil"/>
          <w:bottom w:val="nil"/>
          <w:right w:val="nil"/>
          <w:between w:val="nil"/>
        </w:pBdr>
        <w:spacing w:after="240"/>
        <w:jc w:val="both"/>
        <w:rPr>
          <w:rFonts w:ascii="Cambria" w:hAnsi="Cambria"/>
          <w:b/>
          <w:sz w:val="20"/>
          <w:szCs w:val="20"/>
          <w:lang w:val="es-CO"/>
        </w:rPr>
      </w:pPr>
      <w:r w:rsidRPr="00C332F1">
        <w:rPr>
          <w:rFonts w:ascii="Cambria" w:hAnsi="Cambria"/>
          <w:b/>
          <w:sz w:val="20"/>
          <w:szCs w:val="20"/>
          <w:lang w:val="es-CO"/>
        </w:rPr>
        <w:t>Violencia y seguridad ciudadana</w:t>
      </w:r>
    </w:p>
    <w:p w14:paraId="314F1035" w14:textId="71DF9626" w:rsidR="00A609C3" w:rsidRPr="00C332F1" w:rsidRDefault="00A609C3" w:rsidP="001E4109">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CO"/>
        </w:rPr>
        <w:t>Asegurarse que el uso de la fuerza se de en estricto cumplimiento de los principios de excepcionalidad, legalidad, necesidad, proporcionalidad, no discriminación y rendición de cuentas.</w:t>
      </w:r>
    </w:p>
    <w:p w14:paraId="74DC8A38" w14:textId="77777777" w:rsidR="001E4109" w:rsidRPr="00C332F1" w:rsidRDefault="001E4109" w:rsidP="001E4109">
      <w:pPr>
        <w:pBdr>
          <w:top w:val="nil"/>
          <w:left w:val="nil"/>
          <w:bottom w:val="nil"/>
          <w:right w:val="nil"/>
          <w:between w:val="nil"/>
        </w:pBdr>
        <w:ind w:left="720"/>
        <w:jc w:val="both"/>
        <w:rPr>
          <w:rFonts w:ascii="Cambria" w:hAnsi="Cambria"/>
          <w:sz w:val="20"/>
          <w:szCs w:val="20"/>
          <w:lang w:val="es-CO"/>
        </w:rPr>
      </w:pPr>
    </w:p>
    <w:p w14:paraId="412D989F" w14:textId="77777777" w:rsidR="00A609C3" w:rsidRPr="00C332F1" w:rsidRDefault="00A609C3" w:rsidP="001E4109">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CO"/>
        </w:rPr>
        <w:t xml:space="preserve">Adoptar de manera inmediata y decidida medidas para excluir la participación de grupos civiles armados en tareas de seguridad ciudadana. </w:t>
      </w:r>
    </w:p>
    <w:p w14:paraId="57DA57D6" w14:textId="77777777" w:rsidR="001E4109" w:rsidRPr="00C332F1" w:rsidRDefault="001E4109" w:rsidP="001E4109">
      <w:pPr>
        <w:pStyle w:val="ListParagraph"/>
        <w:pBdr>
          <w:top w:val="nil"/>
          <w:left w:val="nil"/>
          <w:bottom w:val="nil"/>
          <w:right w:val="nil"/>
          <w:between w:val="nil"/>
        </w:pBdr>
        <w:ind w:left="1440"/>
        <w:contextualSpacing w:val="0"/>
        <w:jc w:val="both"/>
        <w:rPr>
          <w:rFonts w:ascii="Cambria" w:hAnsi="Cambria"/>
          <w:sz w:val="20"/>
          <w:szCs w:val="20"/>
          <w:lang w:val="es-CO"/>
        </w:rPr>
      </w:pPr>
    </w:p>
    <w:p w14:paraId="0D44DDA9" w14:textId="77777777" w:rsidR="00A609C3" w:rsidRPr="00C332F1" w:rsidRDefault="00A609C3" w:rsidP="001E4109">
      <w:pPr>
        <w:pStyle w:val="ListParagraph"/>
        <w:numPr>
          <w:ilvl w:val="0"/>
          <w:numId w:val="17"/>
        </w:numPr>
        <w:pBdr>
          <w:top w:val="nil"/>
          <w:left w:val="nil"/>
          <w:bottom w:val="nil"/>
          <w:right w:val="nil"/>
          <w:between w:val="nil"/>
        </w:pBdr>
        <w:ind w:left="1440" w:hanging="720"/>
        <w:jc w:val="both"/>
        <w:rPr>
          <w:rFonts w:ascii="Cambria" w:hAnsi="Cambria"/>
          <w:sz w:val="20"/>
          <w:szCs w:val="20"/>
          <w:lang w:val="es-CO"/>
        </w:rPr>
      </w:pPr>
      <w:r w:rsidRPr="00C332F1">
        <w:rPr>
          <w:rFonts w:ascii="Cambria" w:hAnsi="Cambria"/>
          <w:sz w:val="20"/>
          <w:szCs w:val="20"/>
          <w:lang w:val="es-CO"/>
        </w:rPr>
        <w:t>Asegurar que las actuaciones de las instituciones de seguridad e inteligencia tengan un control externo e independiente, lo que puede incluir, en el caso particular de Venezuela, la asistencia técnica internacional.</w:t>
      </w:r>
    </w:p>
    <w:p w14:paraId="27C80E3E" w14:textId="77777777" w:rsidR="001E4109" w:rsidRPr="00C332F1" w:rsidRDefault="001E4109" w:rsidP="001E4109">
      <w:pPr>
        <w:pBdr>
          <w:top w:val="nil"/>
          <w:left w:val="nil"/>
          <w:bottom w:val="nil"/>
          <w:right w:val="nil"/>
          <w:between w:val="nil"/>
        </w:pBdr>
        <w:jc w:val="both"/>
        <w:rPr>
          <w:rFonts w:ascii="Cambria" w:hAnsi="Cambria"/>
          <w:sz w:val="20"/>
          <w:szCs w:val="20"/>
          <w:lang w:val="es-CO"/>
        </w:rPr>
      </w:pPr>
    </w:p>
    <w:p w14:paraId="2E78F808" w14:textId="1034B149" w:rsidR="009E4A80" w:rsidRPr="00C332F1" w:rsidRDefault="00551BBF" w:rsidP="001E4109">
      <w:pPr>
        <w:pBdr>
          <w:top w:val="nil"/>
          <w:left w:val="nil"/>
          <w:bottom w:val="nil"/>
          <w:right w:val="nil"/>
          <w:between w:val="nil"/>
        </w:pBdr>
        <w:jc w:val="both"/>
        <w:rPr>
          <w:rFonts w:ascii="Cambria" w:hAnsi="Cambria"/>
          <w:b/>
          <w:bCs/>
          <w:sz w:val="20"/>
          <w:szCs w:val="20"/>
          <w:lang w:val="es-CO"/>
        </w:rPr>
      </w:pPr>
      <w:r w:rsidRPr="00C332F1">
        <w:rPr>
          <w:rFonts w:ascii="Cambria" w:hAnsi="Cambria"/>
          <w:b/>
          <w:bCs/>
          <w:sz w:val="20"/>
          <w:szCs w:val="20"/>
          <w:lang w:val="es-CO"/>
        </w:rPr>
        <w:t>Libertad de expresión</w:t>
      </w:r>
    </w:p>
    <w:p w14:paraId="49F7F482" w14:textId="77777777" w:rsidR="001E4109" w:rsidRPr="00C332F1" w:rsidRDefault="001E4109" w:rsidP="001E4109">
      <w:pPr>
        <w:pBdr>
          <w:top w:val="nil"/>
          <w:left w:val="nil"/>
          <w:bottom w:val="nil"/>
          <w:right w:val="nil"/>
          <w:between w:val="nil"/>
        </w:pBdr>
        <w:jc w:val="both"/>
        <w:rPr>
          <w:rFonts w:ascii="Cambria" w:hAnsi="Cambria"/>
          <w:b/>
          <w:sz w:val="20"/>
          <w:szCs w:val="20"/>
          <w:lang w:val="es-CO"/>
        </w:rPr>
      </w:pPr>
    </w:p>
    <w:p w14:paraId="02EF0885" w14:textId="77777777" w:rsidR="00707D8E" w:rsidRPr="00C332F1" w:rsidRDefault="00707D8E" w:rsidP="001E4109">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CO"/>
        </w:rPr>
        <w:t>Otorgar a los y las periodistas el máximo grado de garantías para que no sean detenidos/as, amenazados/as, agredidos/as, ni tengan sus materiales y herramientas de trabajo aprendidos por estar ejerciendo su profesión.</w:t>
      </w:r>
    </w:p>
    <w:p w14:paraId="1732A197" w14:textId="77777777" w:rsidR="001E4109" w:rsidRPr="00C332F1" w:rsidRDefault="001E4109" w:rsidP="001E4109">
      <w:pPr>
        <w:pStyle w:val="ListParagraph"/>
        <w:pBdr>
          <w:top w:val="nil"/>
          <w:left w:val="nil"/>
          <w:bottom w:val="nil"/>
          <w:right w:val="nil"/>
          <w:between w:val="nil"/>
        </w:pBdr>
        <w:ind w:left="1440"/>
        <w:contextualSpacing w:val="0"/>
        <w:jc w:val="both"/>
        <w:rPr>
          <w:rFonts w:ascii="Cambria" w:hAnsi="Cambria"/>
          <w:sz w:val="20"/>
          <w:szCs w:val="20"/>
          <w:lang w:val="es-CO"/>
        </w:rPr>
      </w:pPr>
    </w:p>
    <w:p w14:paraId="0E7AEBAA" w14:textId="1F3E436E" w:rsidR="00707D8E" w:rsidRPr="00C332F1" w:rsidRDefault="3CAAA141" w:rsidP="0034349A">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CO"/>
        </w:rPr>
      </w:pPr>
      <w:r w:rsidRPr="00C332F1">
        <w:rPr>
          <w:rFonts w:ascii="Cambria" w:hAnsi="Cambria"/>
          <w:sz w:val="20"/>
          <w:szCs w:val="20"/>
          <w:lang w:val="es-CO"/>
        </w:rPr>
        <w:t>M</w:t>
      </w:r>
      <w:r w:rsidR="599D95D4" w:rsidRPr="00C332F1">
        <w:rPr>
          <w:rFonts w:ascii="Cambria" w:hAnsi="Cambria"/>
          <w:sz w:val="20"/>
          <w:szCs w:val="20"/>
          <w:lang w:val="es-CO"/>
        </w:rPr>
        <w:t>odifica</w:t>
      </w:r>
      <w:r w:rsidR="002B8149" w:rsidRPr="00C332F1">
        <w:rPr>
          <w:rFonts w:ascii="Cambria" w:hAnsi="Cambria"/>
          <w:sz w:val="20"/>
          <w:szCs w:val="20"/>
          <w:lang w:val="es-CO"/>
        </w:rPr>
        <w:t>r</w:t>
      </w:r>
      <w:r w:rsidR="00707D8E" w:rsidRPr="00C332F1">
        <w:rPr>
          <w:rFonts w:ascii="Cambria" w:hAnsi="Cambria"/>
          <w:sz w:val="20"/>
          <w:szCs w:val="20"/>
          <w:lang w:val="es-CO"/>
        </w:rPr>
        <w:t xml:space="preserve"> las leyes penales ambiguas o imprecisas que limitan la libertad de e</w:t>
      </w:r>
      <w:r w:rsidR="009C2C04" w:rsidRPr="00C332F1">
        <w:rPr>
          <w:rFonts w:ascii="Cambria" w:hAnsi="Cambria"/>
          <w:sz w:val="20"/>
          <w:szCs w:val="20"/>
          <w:lang w:val="es-CO"/>
        </w:rPr>
        <w:t xml:space="preserve">xpresión </w:t>
      </w:r>
      <w:r w:rsidR="005B6B0B" w:rsidRPr="00C332F1">
        <w:rPr>
          <w:rFonts w:ascii="Cambria" w:hAnsi="Cambria"/>
          <w:sz w:val="20"/>
          <w:szCs w:val="20"/>
          <w:lang w:val="es-CO"/>
        </w:rPr>
        <w:t>—</w:t>
      </w:r>
      <w:r w:rsidR="009C2C04" w:rsidRPr="00C332F1">
        <w:rPr>
          <w:rFonts w:ascii="Cambria" w:hAnsi="Cambria"/>
          <w:sz w:val="20"/>
          <w:szCs w:val="20"/>
          <w:lang w:val="es-CO"/>
        </w:rPr>
        <w:t>c</w:t>
      </w:r>
      <w:r w:rsidR="00707D8E" w:rsidRPr="00C332F1">
        <w:rPr>
          <w:rFonts w:ascii="Cambria" w:hAnsi="Cambria"/>
          <w:sz w:val="20"/>
          <w:szCs w:val="20"/>
          <w:lang w:val="es-CO"/>
        </w:rPr>
        <w:t>omo aquellas destinadas a proteger la honra de ideas o de instituciones o las que pretenden proteger la seguridad nacional o la paz pública</w:t>
      </w:r>
      <w:r w:rsidR="005B6B0B" w:rsidRPr="00C332F1">
        <w:rPr>
          <w:rFonts w:ascii="Cambria" w:hAnsi="Cambria"/>
          <w:sz w:val="20"/>
          <w:szCs w:val="20"/>
          <w:lang w:val="es-CO"/>
        </w:rPr>
        <w:t>—,</w:t>
      </w:r>
      <w:r w:rsidR="00895B45" w:rsidRPr="00C332F1">
        <w:rPr>
          <w:rFonts w:ascii="Cambria" w:hAnsi="Cambria"/>
          <w:sz w:val="20"/>
          <w:szCs w:val="20"/>
          <w:lang w:val="es-CO"/>
        </w:rPr>
        <w:t xml:space="preserve"> con el fin d</w:t>
      </w:r>
      <w:r w:rsidR="005B3DF2" w:rsidRPr="00C332F1">
        <w:rPr>
          <w:rFonts w:ascii="Cambria" w:hAnsi="Cambria"/>
          <w:sz w:val="20"/>
          <w:szCs w:val="20"/>
          <w:lang w:val="es-CO"/>
        </w:rPr>
        <w:t xml:space="preserve">e evitar el uso del derecho penal </w:t>
      </w:r>
      <w:r w:rsidR="00707D8E" w:rsidRPr="00C332F1">
        <w:rPr>
          <w:rFonts w:ascii="Cambria" w:hAnsi="Cambria"/>
          <w:sz w:val="20"/>
          <w:szCs w:val="20"/>
          <w:lang w:val="es-CO"/>
        </w:rPr>
        <w:t>para inhibir el libre debate democrático sobre los asuntos de interés.</w:t>
      </w:r>
    </w:p>
    <w:p w14:paraId="3AC6F0F0" w14:textId="77777777" w:rsidR="00D279BA" w:rsidRPr="00C332F1" w:rsidRDefault="00D279BA" w:rsidP="00D279BA">
      <w:pPr>
        <w:pStyle w:val="ListParagraph"/>
        <w:pBdr>
          <w:top w:val="nil"/>
          <w:left w:val="nil"/>
          <w:bottom w:val="nil"/>
          <w:right w:val="nil"/>
          <w:between w:val="nil"/>
        </w:pBdr>
        <w:spacing w:after="240"/>
        <w:ind w:left="1440"/>
        <w:jc w:val="both"/>
        <w:rPr>
          <w:rFonts w:ascii="Cambria" w:hAnsi="Cambria"/>
          <w:sz w:val="20"/>
          <w:szCs w:val="20"/>
          <w:lang w:val="es-CO"/>
        </w:rPr>
      </w:pPr>
    </w:p>
    <w:p w14:paraId="1CAF8006" w14:textId="77777777" w:rsidR="00707D8E" w:rsidRPr="00C332F1" w:rsidRDefault="00707D8E" w:rsidP="0034349A">
      <w:pPr>
        <w:pStyle w:val="ListParagraph"/>
        <w:numPr>
          <w:ilvl w:val="0"/>
          <w:numId w:val="17"/>
        </w:numPr>
        <w:pBdr>
          <w:top w:val="nil"/>
          <w:left w:val="nil"/>
          <w:bottom w:val="nil"/>
          <w:right w:val="nil"/>
          <w:between w:val="nil"/>
        </w:pBdr>
        <w:spacing w:after="240"/>
        <w:ind w:left="1440" w:hanging="720"/>
        <w:contextualSpacing w:val="0"/>
        <w:jc w:val="both"/>
        <w:rPr>
          <w:rFonts w:ascii="Cambria" w:hAnsi="Cambria"/>
          <w:b/>
          <w:sz w:val="20"/>
          <w:szCs w:val="20"/>
          <w:lang w:val="es-CO"/>
        </w:rPr>
      </w:pPr>
      <w:r w:rsidRPr="00C332F1">
        <w:rPr>
          <w:rFonts w:ascii="Cambria" w:hAnsi="Cambria"/>
          <w:sz w:val="20"/>
          <w:szCs w:val="20"/>
          <w:lang w:val="es-CO"/>
        </w:rPr>
        <w:t>Abstenerse de aplicar limitaciones al funcionamiento de los sitios web, blogs, aplicaciones, u otros sistemas de difusión de información en internet, electrónicos, o similares, incluyendo sistemas de apoyo, como PSI, o motores de búsqueda.</w:t>
      </w:r>
    </w:p>
    <w:p w14:paraId="044A8111" w14:textId="77777777" w:rsidR="0018051D" w:rsidRPr="00C332F1" w:rsidRDefault="0018051D" w:rsidP="0018051D">
      <w:pPr>
        <w:rPr>
          <w:rFonts w:ascii="Cambria" w:hAnsi="Cambria"/>
          <w:b/>
          <w:sz w:val="20"/>
          <w:szCs w:val="20"/>
          <w:lang w:val="es-CO"/>
        </w:rPr>
      </w:pPr>
      <w:r w:rsidRPr="00C332F1">
        <w:rPr>
          <w:rFonts w:ascii="Cambria" w:hAnsi="Cambria"/>
          <w:b/>
          <w:sz w:val="20"/>
          <w:szCs w:val="20"/>
          <w:lang w:val="es-CO"/>
        </w:rPr>
        <w:t>Pobreza y DESCA</w:t>
      </w:r>
    </w:p>
    <w:p w14:paraId="39462C16" w14:textId="77777777" w:rsidR="0018051D" w:rsidRPr="00C332F1" w:rsidRDefault="0018051D" w:rsidP="0018051D">
      <w:pPr>
        <w:ind w:left="709" w:hanging="283"/>
        <w:rPr>
          <w:rFonts w:ascii="Cambria" w:hAnsi="Cambria"/>
          <w:sz w:val="20"/>
          <w:szCs w:val="20"/>
          <w:lang w:val="es-CO"/>
        </w:rPr>
      </w:pPr>
      <w:r w:rsidRPr="00C332F1">
        <w:rPr>
          <w:rFonts w:ascii="Cambria" w:hAnsi="Cambria"/>
          <w:sz w:val="20"/>
          <w:szCs w:val="20"/>
          <w:lang w:val="es-CO"/>
        </w:rPr>
        <w:t> </w:t>
      </w:r>
    </w:p>
    <w:p w14:paraId="30DF1733" w14:textId="77777777" w:rsidR="009B285E" w:rsidRPr="00C332F1" w:rsidRDefault="0018051D" w:rsidP="001E4109">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US"/>
        </w:rPr>
      </w:pPr>
      <w:r w:rsidRPr="00C332F1">
        <w:rPr>
          <w:rFonts w:ascii="Cambria" w:hAnsi="Cambria"/>
          <w:sz w:val="20"/>
          <w:szCs w:val="20"/>
          <w:lang w:val="es-US"/>
        </w:rPr>
        <w:t>Implementar políticas económicas y fiscales con un enfoque de derechos humanos para combatir la pobreza y la pobreza extrema, así como para garantizar los DESCA de la población, con especial atención de las poblaciones en situación de mayor vulnerabilidad y sin discriminación.  </w:t>
      </w:r>
    </w:p>
    <w:p w14:paraId="275C097E" w14:textId="77777777" w:rsidR="001E4109" w:rsidRPr="00C332F1" w:rsidRDefault="001E4109" w:rsidP="001E4109">
      <w:pPr>
        <w:pStyle w:val="ListParagraph"/>
        <w:pBdr>
          <w:top w:val="nil"/>
          <w:left w:val="nil"/>
          <w:bottom w:val="nil"/>
          <w:right w:val="nil"/>
          <w:between w:val="nil"/>
        </w:pBdr>
        <w:ind w:left="1440"/>
        <w:contextualSpacing w:val="0"/>
        <w:jc w:val="both"/>
        <w:rPr>
          <w:rFonts w:ascii="Cambria" w:hAnsi="Cambria"/>
          <w:sz w:val="20"/>
          <w:szCs w:val="20"/>
          <w:lang w:val="es-US"/>
        </w:rPr>
      </w:pPr>
    </w:p>
    <w:p w14:paraId="668BA6A0" w14:textId="4B740317" w:rsidR="009B285E" w:rsidRPr="00C332F1" w:rsidRDefault="0018051D" w:rsidP="001E4109">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US"/>
        </w:rPr>
      </w:pPr>
      <w:r w:rsidRPr="00C332F1">
        <w:rPr>
          <w:rFonts w:ascii="Cambria" w:hAnsi="Cambria"/>
          <w:sz w:val="20"/>
          <w:szCs w:val="20"/>
          <w:lang w:val="es-CO"/>
        </w:rPr>
        <w:t>Adoptar medidas necesarias para asegurar a los niños</w:t>
      </w:r>
      <w:r w:rsidR="00E90393" w:rsidRPr="00C332F1">
        <w:rPr>
          <w:rFonts w:ascii="Cambria" w:hAnsi="Cambria"/>
          <w:sz w:val="20"/>
          <w:szCs w:val="20"/>
          <w:lang w:val="es-CO"/>
        </w:rPr>
        <w:t>, ni</w:t>
      </w:r>
      <w:r w:rsidR="00E60D88" w:rsidRPr="00C332F1">
        <w:rPr>
          <w:rFonts w:ascii="Cambria" w:hAnsi="Cambria"/>
          <w:sz w:val="20"/>
          <w:szCs w:val="20"/>
          <w:lang w:val="es-CO"/>
        </w:rPr>
        <w:t>ñas y adolesc</w:t>
      </w:r>
      <w:r w:rsidR="004E158C" w:rsidRPr="00C332F1">
        <w:rPr>
          <w:rFonts w:ascii="Cambria" w:hAnsi="Cambria"/>
          <w:sz w:val="20"/>
          <w:szCs w:val="20"/>
          <w:lang w:val="es-CO"/>
        </w:rPr>
        <w:t>entes</w:t>
      </w:r>
      <w:r w:rsidRPr="00C332F1">
        <w:rPr>
          <w:rFonts w:ascii="Cambria" w:hAnsi="Cambria"/>
          <w:sz w:val="20"/>
          <w:szCs w:val="20"/>
          <w:lang w:val="es-CO"/>
        </w:rPr>
        <w:t xml:space="preserve"> acceso a servicios de salud de calidad, que incluya la provisión de medicamentos; considerando especialmente la situación de </w:t>
      </w:r>
      <w:r w:rsidR="000E76E5" w:rsidRPr="00C332F1">
        <w:rPr>
          <w:rFonts w:ascii="Cambria" w:hAnsi="Cambria"/>
          <w:sz w:val="20"/>
          <w:szCs w:val="20"/>
          <w:lang w:val="es-CO"/>
        </w:rPr>
        <w:t>qu</w:t>
      </w:r>
      <w:r w:rsidR="003F0D39" w:rsidRPr="00C332F1">
        <w:rPr>
          <w:rFonts w:ascii="Cambria" w:hAnsi="Cambria"/>
          <w:sz w:val="20"/>
          <w:szCs w:val="20"/>
          <w:lang w:val="es-CO"/>
        </w:rPr>
        <w:t>i</w:t>
      </w:r>
      <w:r w:rsidR="005F0FB9" w:rsidRPr="00C332F1">
        <w:rPr>
          <w:rFonts w:ascii="Cambria" w:hAnsi="Cambria"/>
          <w:sz w:val="20"/>
          <w:szCs w:val="20"/>
          <w:lang w:val="es-CO"/>
        </w:rPr>
        <w:t xml:space="preserve">enes </w:t>
      </w:r>
      <w:r w:rsidRPr="00C332F1">
        <w:rPr>
          <w:rFonts w:ascii="Cambria" w:hAnsi="Cambria"/>
          <w:sz w:val="20"/>
          <w:szCs w:val="20"/>
          <w:lang w:val="es-CO"/>
        </w:rPr>
        <w:t>padecen de enfermedad crónica.</w:t>
      </w:r>
    </w:p>
    <w:p w14:paraId="39F6D3FF" w14:textId="77777777" w:rsidR="001E4109" w:rsidRPr="00C332F1" w:rsidRDefault="001E4109" w:rsidP="001E4109">
      <w:pPr>
        <w:pBdr>
          <w:top w:val="nil"/>
          <w:left w:val="nil"/>
          <w:bottom w:val="nil"/>
          <w:right w:val="nil"/>
          <w:between w:val="nil"/>
        </w:pBdr>
        <w:jc w:val="both"/>
        <w:rPr>
          <w:rFonts w:ascii="Cambria" w:hAnsi="Cambria"/>
          <w:sz w:val="20"/>
          <w:szCs w:val="20"/>
          <w:lang w:val="es-US"/>
        </w:rPr>
      </w:pPr>
    </w:p>
    <w:p w14:paraId="2A887484" w14:textId="7C532B4F" w:rsidR="001E4109" w:rsidRDefault="0018051D" w:rsidP="005C4DCA">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CO"/>
        </w:rPr>
        <w:t xml:space="preserve">Abstenerse de cualquier acción o conducta que pueda limitar la autonomía de las universidades, investigando, revisando y modificando toda legislación o práctica que </w:t>
      </w:r>
      <w:r w:rsidR="002277CC" w:rsidRPr="00C332F1">
        <w:rPr>
          <w:rFonts w:ascii="Cambria" w:hAnsi="Cambria"/>
          <w:sz w:val="20"/>
          <w:szCs w:val="20"/>
          <w:lang w:val="es-CO"/>
        </w:rPr>
        <w:t xml:space="preserve">la </w:t>
      </w:r>
      <w:r w:rsidRPr="00C332F1">
        <w:rPr>
          <w:rFonts w:ascii="Cambria" w:hAnsi="Cambria"/>
          <w:sz w:val="20"/>
          <w:szCs w:val="20"/>
          <w:lang w:val="es-CO"/>
        </w:rPr>
        <w:t>menoscabe.</w:t>
      </w:r>
    </w:p>
    <w:p w14:paraId="3DBF9CC0" w14:textId="77777777" w:rsidR="005C4DCA" w:rsidRPr="00092338" w:rsidRDefault="005C4DCA" w:rsidP="00092338">
      <w:pPr>
        <w:pBdr>
          <w:top w:val="nil"/>
          <w:left w:val="nil"/>
          <w:bottom w:val="nil"/>
          <w:right w:val="nil"/>
          <w:between w:val="nil"/>
        </w:pBdr>
        <w:jc w:val="both"/>
        <w:rPr>
          <w:rFonts w:ascii="Cambria" w:hAnsi="Cambria"/>
          <w:sz w:val="20"/>
          <w:szCs w:val="20"/>
          <w:lang w:val="es-CO"/>
        </w:rPr>
      </w:pPr>
    </w:p>
    <w:p w14:paraId="13E89D5C" w14:textId="77777777" w:rsidR="00EA7986" w:rsidRPr="00C332F1" w:rsidRDefault="00EA7986" w:rsidP="001E4109">
      <w:pPr>
        <w:pStyle w:val="IAPrrafo"/>
        <w:numPr>
          <w:ilvl w:val="0"/>
          <w:numId w:val="0"/>
        </w:numPr>
        <w:spacing w:after="0"/>
        <w:rPr>
          <w:b/>
          <w:bCs/>
          <w:szCs w:val="20"/>
        </w:rPr>
      </w:pPr>
      <w:r w:rsidRPr="00C332F1">
        <w:rPr>
          <w:b/>
          <w:bCs/>
          <w:szCs w:val="20"/>
        </w:rPr>
        <w:t>Niñas, niños y adolescentes</w:t>
      </w:r>
    </w:p>
    <w:p w14:paraId="76DA83A7" w14:textId="77777777" w:rsidR="001E4109" w:rsidRPr="00C332F1" w:rsidRDefault="001E4109" w:rsidP="001E4109">
      <w:pPr>
        <w:pStyle w:val="IAPrrafo"/>
        <w:numPr>
          <w:ilvl w:val="0"/>
          <w:numId w:val="0"/>
        </w:numPr>
        <w:spacing w:after="0"/>
        <w:rPr>
          <w:b/>
          <w:bCs/>
          <w:szCs w:val="20"/>
        </w:rPr>
      </w:pPr>
    </w:p>
    <w:p w14:paraId="5DE98BF7" w14:textId="73E3F9E1" w:rsidR="00EA7986" w:rsidRPr="00C332F1" w:rsidRDefault="00EA7986" w:rsidP="2ACACD94">
      <w:pPr>
        <w:pStyle w:val="ListParagraph"/>
        <w:numPr>
          <w:ilvl w:val="0"/>
          <w:numId w:val="17"/>
        </w:numPr>
        <w:pBdr>
          <w:top w:val="nil"/>
          <w:left w:val="nil"/>
          <w:bottom w:val="nil"/>
          <w:right w:val="nil"/>
          <w:between w:val="nil"/>
        </w:pBdr>
        <w:ind w:left="1440" w:hanging="720"/>
        <w:jc w:val="both"/>
        <w:rPr>
          <w:rFonts w:ascii="Cambria" w:hAnsi="Cambria"/>
          <w:sz w:val="20"/>
          <w:szCs w:val="20"/>
          <w:lang w:val="es-CO"/>
        </w:rPr>
      </w:pPr>
      <w:r w:rsidRPr="00C332F1">
        <w:rPr>
          <w:rFonts w:ascii="Cambria" w:hAnsi="Cambria"/>
          <w:sz w:val="20"/>
          <w:szCs w:val="20"/>
          <w:lang w:val="es-CO"/>
        </w:rPr>
        <w:t>Garantizar el acceso y calidad del derecho a la educación de niñas, niños y adolescentes mediante una inversión adecuada en el sistema educativo, asegurando la asistencia regular de estudiantes y docentes.</w:t>
      </w:r>
    </w:p>
    <w:p w14:paraId="72DB0064" w14:textId="77777777" w:rsidR="000F7ABC" w:rsidRPr="00C332F1" w:rsidRDefault="000F7ABC" w:rsidP="2ACACD94">
      <w:pPr>
        <w:pStyle w:val="ListParagraph"/>
        <w:pBdr>
          <w:top w:val="nil"/>
          <w:left w:val="nil"/>
          <w:bottom w:val="nil"/>
          <w:right w:val="nil"/>
          <w:between w:val="nil"/>
        </w:pBdr>
        <w:ind w:left="1440"/>
        <w:jc w:val="both"/>
        <w:rPr>
          <w:rFonts w:ascii="Cambria" w:hAnsi="Cambria"/>
          <w:sz w:val="20"/>
          <w:szCs w:val="20"/>
          <w:lang w:val="es-CO"/>
        </w:rPr>
      </w:pPr>
    </w:p>
    <w:p w14:paraId="63AB6FC0" w14:textId="623DEA27" w:rsidR="00EA7986" w:rsidRPr="00C332F1" w:rsidRDefault="00EA7986" w:rsidP="000F7ABC">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CO"/>
        </w:rPr>
        <w:t>Fortalecer e implementar programas de alimentación sostenibles que aseguren el acceso continuo y adecuado a alimentos nutritivos para niñas, niños y adolescentes</w:t>
      </w:r>
      <w:r w:rsidR="00855960" w:rsidRPr="00C332F1">
        <w:rPr>
          <w:rFonts w:ascii="Cambria" w:hAnsi="Cambria"/>
          <w:sz w:val="20"/>
          <w:szCs w:val="20"/>
          <w:lang w:val="es-CO"/>
        </w:rPr>
        <w:t xml:space="preserve">, entre estas, medidas de </w:t>
      </w:r>
      <w:r w:rsidRPr="00C332F1">
        <w:rPr>
          <w:rFonts w:ascii="Cambria" w:hAnsi="Cambria"/>
          <w:sz w:val="20"/>
          <w:szCs w:val="20"/>
          <w:lang w:val="es-CO"/>
        </w:rPr>
        <w:t xml:space="preserve">apoyo económico y técnico para garantizar la satisfacción de sus necesidades nutricionales. </w:t>
      </w:r>
    </w:p>
    <w:p w14:paraId="53F416A0" w14:textId="78C7A633" w:rsidR="003F50B8" w:rsidRPr="00C332F1" w:rsidRDefault="003F50B8" w:rsidP="000F7ABC">
      <w:pPr>
        <w:pStyle w:val="IAPrrafo"/>
        <w:numPr>
          <w:ilvl w:val="0"/>
          <w:numId w:val="0"/>
        </w:numPr>
        <w:spacing w:after="0" w:line="259" w:lineRule="auto"/>
        <w:rPr>
          <w:rFonts w:eastAsia="Cambria" w:cs="Cambria"/>
          <w:b/>
          <w:bCs/>
          <w:color w:val="000000" w:themeColor="text1"/>
          <w:szCs w:val="20"/>
          <w:lang w:val="es-CR"/>
        </w:rPr>
      </w:pPr>
      <w:r w:rsidRPr="00C332F1">
        <w:rPr>
          <w:rFonts w:eastAsia="Cambria" w:cs="Cambria"/>
          <w:b/>
          <w:bCs/>
          <w:color w:val="000000" w:themeColor="text1"/>
          <w:szCs w:val="20"/>
          <w:lang w:val="es-CR"/>
        </w:rPr>
        <w:t>Mujeres</w:t>
      </w:r>
    </w:p>
    <w:p w14:paraId="6F84A35B" w14:textId="77777777" w:rsidR="000F7ABC" w:rsidRPr="00C332F1" w:rsidRDefault="000F7ABC" w:rsidP="000F7ABC">
      <w:pPr>
        <w:pStyle w:val="IAPrrafo"/>
        <w:numPr>
          <w:ilvl w:val="0"/>
          <w:numId w:val="0"/>
        </w:numPr>
        <w:spacing w:after="0" w:line="259" w:lineRule="auto"/>
        <w:rPr>
          <w:rFonts w:eastAsia="Cambria" w:cs="Cambria"/>
          <w:b/>
          <w:bCs/>
          <w:color w:val="000000" w:themeColor="text1"/>
          <w:szCs w:val="20"/>
          <w:lang w:val="es-CR"/>
        </w:rPr>
      </w:pPr>
    </w:p>
    <w:p w14:paraId="51268E44" w14:textId="09EC2FA3" w:rsidR="00FC60DD" w:rsidRPr="00C332F1" w:rsidRDefault="003F50B8" w:rsidP="2ACACD94">
      <w:pPr>
        <w:pStyle w:val="ListParagraph"/>
        <w:numPr>
          <w:ilvl w:val="0"/>
          <w:numId w:val="17"/>
        </w:numPr>
        <w:pBdr>
          <w:top w:val="nil"/>
          <w:left w:val="nil"/>
          <w:bottom w:val="nil"/>
          <w:right w:val="nil"/>
          <w:between w:val="nil"/>
        </w:pBdr>
        <w:ind w:left="1440" w:hanging="720"/>
        <w:jc w:val="both"/>
        <w:rPr>
          <w:rFonts w:ascii="Cambria" w:hAnsi="Cambria"/>
          <w:sz w:val="20"/>
          <w:szCs w:val="20"/>
          <w:lang w:val="es-CO"/>
        </w:rPr>
      </w:pPr>
      <w:r w:rsidRPr="00C332F1">
        <w:rPr>
          <w:rFonts w:ascii="Cambria" w:hAnsi="Cambria"/>
          <w:sz w:val="20"/>
          <w:szCs w:val="20"/>
          <w:lang w:val="es-CO"/>
        </w:rPr>
        <w:t xml:space="preserve">Adoptar las medidas necesarias para dar cumplimiento a la obligación estatal de debida diligencia </w:t>
      </w:r>
      <w:r w:rsidR="00831D2B" w:rsidRPr="00C332F1">
        <w:rPr>
          <w:rFonts w:ascii="Cambria" w:hAnsi="Cambria"/>
          <w:sz w:val="20"/>
          <w:szCs w:val="20"/>
          <w:lang w:val="es-CO"/>
        </w:rPr>
        <w:t xml:space="preserve">reforzada </w:t>
      </w:r>
      <w:r w:rsidRPr="00C332F1">
        <w:rPr>
          <w:rFonts w:ascii="Cambria" w:hAnsi="Cambria"/>
          <w:sz w:val="20"/>
          <w:szCs w:val="20"/>
          <w:lang w:val="es-CO"/>
        </w:rPr>
        <w:t>en materia de prevención, protección, investigación, sanción y reparación de todas las formas de violencia contra las mujeres.</w:t>
      </w:r>
    </w:p>
    <w:p w14:paraId="2C8F0ED5" w14:textId="77777777" w:rsidR="000F7ABC" w:rsidRPr="00C332F1" w:rsidRDefault="000F7ABC" w:rsidP="2ACACD94">
      <w:pPr>
        <w:pStyle w:val="ListParagraph"/>
        <w:pBdr>
          <w:top w:val="nil"/>
          <w:left w:val="nil"/>
          <w:bottom w:val="nil"/>
          <w:right w:val="nil"/>
          <w:between w:val="nil"/>
        </w:pBdr>
        <w:ind w:left="1440"/>
        <w:jc w:val="both"/>
        <w:rPr>
          <w:rFonts w:ascii="Cambria" w:hAnsi="Cambria"/>
          <w:sz w:val="20"/>
          <w:szCs w:val="20"/>
          <w:lang w:val="es-CO"/>
        </w:rPr>
      </w:pPr>
    </w:p>
    <w:p w14:paraId="2282B669" w14:textId="77777777" w:rsidR="00FC60DD" w:rsidRPr="00C332F1" w:rsidRDefault="003F50B8" w:rsidP="2ACACD94">
      <w:pPr>
        <w:pStyle w:val="ListParagraph"/>
        <w:numPr>
          <w:ilvl w:val="0"/>
          <w:numId w:val="17"/>
        </w:numPr>
        <w:pBdr>
          <w:top w:val="nil"/>
          <w:left w:val="nil"/>
          <w:bottom w:val="nil"/>
          <w:right w:val="nil"/>
          <w:between w:val="nil"/>
        </w:pBdr>
        <w:ind w:left="1440" w:hanging="720"/>
        <w:jc w:val="both"/>
        <w:rPr>
          <w:rFonts w:ascii="Cambria" w:hAnsi="Cambria"/>
          <w:sz w:val="20"/>
          <w:szCs w:val="20"/>
          <w:lang w:val="es-CO"/>
        </w:rPr>
      </w:pPr>
      <w:r w:rsidRPr="00C332F1">
        <w:rPr>
          <w:rFonts w:ascii="Cambria" w:hAnsi="Cambria"/>
          <w:sz w:val="20"/>
          <w:szCs w:val="20"/>
          <w:lang w:val="es-MX"/>
        </w:rPr>
        <w:t>Adoptar de manera urgente todas las medidas necesarias para poner a disposición una oferta variada, accesible y aceptable de métodos anticonceptivos y de planificación familiar, tanto femeninos como masculinos, así como de servicios de salud reproductiva y materna en todo el país.</w:t>
      </w:r>
    </w:p>
    <w:p w14:paraId="6289F6A8" w14:textId="77777777" w:rsidR="000F7ABC" w:rsidRPr="00C332F1" w:rsidRDefault="000F7ABC" w:rsidP="000F7ABC">
      <w:pPr>
        <w:pBdr>
          <w:top w:val="nil"/>
          <w:left w:val="nil"/>
          <w:bottom w:val="nil"/>
          <w:right w:val="nil"/>
          <w:between w:val="nil"/>
        </w:pBdr>
        <w:ind w:left="1440"/>
        <w:jc w:val="both"/>
        <w:rPr>
          <w:rFonts w:ascii="Cambria" w:hAnsi="Cambria"/>
          <w:sz w:val="20"/>
          <w:szCs w:val="20"/>
          <w:lang w:val="es-CO"/>
        </w:rPr>
      </w:pPr>
    </w:p>
    <w:p w14:paraId="02613280" w14:textId="0D4EC906" w:rsidR="003F50B8" w:rsidRPr="00C332F1" w:rsidRDefault="003F50B8" w:rsidP="000F7ABC">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lang w:val="es-CO"/>
        </w:rPr>
      </w:pPr>
      <w:r w:rsidRPr="00C332F1">
        <w:rPr>
          <w:rFonts w:ascii="Cambria" w:hAnsi="Cambria"/>
          <w:sz w:val="20"/>
          <w:szCs w:val="20"/>
          <w:lang w:val="es-MX"/>
        </w:rPr>
        <w:t>Revisar la legislación interna en materia de interrupción voluntaria del embarazo, de forma que se garantice el ejercicio efectivo de los derechos sexuales y reproductivos de niñas, mujeres y personas gestantes de todas las edades.</w:t>
      </w:r>
    </w:p>
    <w:p w14:paraId="06DFA246" w14:textId="77777777" w:rsidR="001E4109" w:rsidRPr="00C332F1" w:rsidRDefault="001E4109" w:rsidP="001E4109">
      <w:pPr>
        <w:pBdr>
          <w:top w:val="nil"/>
          <w:left w:val="nil"/>
          <w:bottom w:val="nil"/>
          <w:right w:val="nil"/>
          <w:between w:val="nil"/>
        </w:pBdr>
        <w:jc w:val="both"/>
        <w:rPr>
          <w:rFonts w:ascii="Cambria" w:hAnsi="Cambria"/>
          <w:sz w:val="20"/>
          <w:szCs w:val="20"/>
          <w:lang w:val="es-CO"/>
        </w:rPr>
      </w:pPr>
    </w:p>
    <w:p w14:paraId="433A5591" w14:textId="0B94A8B5" w:rsidR="00FC60DD" w:rsidRPr="00C332F1" w:rsidRDefault="00FC60DD" w:rsidP="00FC60DD">
      <w:pPr>
        <w:rPr>
          <w:rFonts w:ascii="Cambria" w:hAnsi="Cambria"/>
          <w:b/>
          <w:sz w:val="20"/>
          <w:szCs w:val="20"/>
          <w:lang w:val="es-CO"/>
        </w:rPr>
      </w:pPr>
      <w:r w:rsidRPr="00C332F1">
        <w:rPr>
          <w:rFonts w:ascii="Cambria" w:hAnsi="Cambria"/>
          <w:b/>
          <w:sz w:val="20"/>
          <w:szCs w:val="20"/>
          <w:shd w:val="clear" w:color="auto" w:fill="FFFFFF"/>
          <w:lang w:val="es-CO"/>
        </w:rPr>
        <w:t xml:space="preserve">Personas </w:t>
      </w:r>
      <w:r w:rsidR="002E7D5F" w:rsidRPr="00C332F1">
        <w:rPr>
          <w:rFonts w:ascii="Cambria" w:hAnsi="Cambria"/>
          <w:b/>
          <w:sz w:val="20"/>
          <w:szCs w:val="20"/>
          <w:shd w:val="clear" w:color="auto" w:fill="FFFFFF"/>
          <w:lang w:val="es-CO"/>
        </w:rPr>
        <w:t>d</w:t>
      </w:r>
      <w:r w:rsidRPr="00C332F1">
        <w:rPr>
          <w:rFonts w:ascii="Cambria" w:hAnsi="Cambria"/>
          <w:b/>
          <w:sz w:val="20"/>
          <w:szCs w:val="20"/>
          <w:shd w:val="clear" w:color="auto" w:fill="FFFFFF"/>
          <w:lang w:val="es-CO"/>
        </w:rPr>
        <w:t xml:space="preserve">efensoras de </w:t>
      </w:r>
      <w:r w:rsidR="00AE7BCD" w:rsidRPr="00C332F1">
        <w:rPr>
          <w:rFonts w:ascii="Cambria" w:hAnsi="Cambria"/>
          <w:b/>
          <w:sz w:val="20"/>
          <w:szCs w:val="20"/>
          <w:shd w:val="clear" w:color="auto" w:fill="FFFFFF"/>
          <w:lang w:val="es-CO"/>
        </w:rPr>
        <w:t>d</w:t>
      </w:r>
      <w:r w:rsidRPr="00C332F1">
        <w:rPr>
          <w:rFonts w:ascii="Cambria" w:hAnsi="Cambria"/>
          <w:b/>
          <w:sz w:val="20"/>
          <w:szCs w:val="20"/>
          <w:shd w:val="clear" w:color="auto" w:fill="FFFFFF"/>
          <w:lang w:val="es-CO"/>
        </w:rPr>
        <w:t xml:space="preserve">erechos </w:t>
      </w:r>
      <w:r w:rsidR="00084405" w:rsidRPr="00C332F1">
        <w:rPr>
          <w:rFonts w:ascii="Cambria" w:hAnsi="Cambria"/>
          <w:b/>
          <w:sz w:val="20"/>
          <w:szCs w:val="20"/>
          <w:shd w:val="clear" w:color="auto" w:fill="FFFFFF"/>
          <w:lang w:val="es-CO"/>
        </w:rPr>
        <w:t>h</w:t>
      </w:r>
      <w:r w:rsidRPr="00C332F1">
        <w:rPr>
          <w:rFonts w:ascii="Cambria" w:hAnsi="Cambria"/>
          <w:b/>
          <w:sz w:val="20"/>
          <w:szCs w:val="20"/>
          <w:shd w:val="clear" w:color="auto" w:fill="FFFFFF"/>
          <w:lang w:val="es-CO"/>
        </w:rPr>
        <w:t>umanos</w:t>
      </w:r>
    </w:p>
    <w:p w14:paraId="2FF16448" w14:textId="77777777" w:rsidR="00FC60DD" w:rsidRPr="00C332F1" w:rsidRDefault="00FC60DD" w:rsidP="00FC60DD">
      <w:pPr>
        <w:ind w:left="709" w:hanging="283"/>
        <w:rPr>
          <w:rFonts w:ascii="Cambria" w:hAnsi="Cambria"/>
          <w:sz w:val="20"/>
          <w:szCs w:val="20"/>
          <w:lang w:val="es-CO"/>
        </w:rPr>
      </w:pPr>
    </w:p>
    <w:p w14:paraId="254CEA20" w14:textId="724882B9" w:rsidR="00EC3AAC" w:rsidRPr="00C332F1" w:rsidRDefault="00EC3AAC" w:rsidP="00EC3AAC">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bdr w:val="none" w:sz="0" w:space="0" w:color="auto" w:frame="1"/>
          <w:lang w:val="es-US"/>
        </w:rPr>
      </w:pPr>
      <w:r w:rsidRPr="00C332F1">
        <w:rPr>
          <w:rFonts w:ascii="Cambria" w:hAnsi="Cambria"/>
          <w:sz w:val="20"/>
          <w:szCs w:val="20"/>
          <w:bdr w:val="none" w:sz="0" w:space="0" w:color="auto" w:frame="1"/>
          <w:lang w:val="es-US"/>
        </w:rPr>
        <w:t>Cesar de forma inmediata todo acto de hostigamiento y amedrentamiento en contra de personas defensoras de derechos humanos</w:t>
      </w:r>
      <w:r w:rsidR="00AE5441" w:rsidRPr="00C332F1">
        <w:rPr>
          <w:rFonts w:ascii="Cambria" w:hAnsi="Cambria"/>
          <w:sz w:val="20"/>
          <w:szCs w:val="20"/>
          <w:bdr w:val="none" w:sz="0" w:space="0" w:color="auto" w:frame="1"/>
          <w:lang w:val="es-US"/>
        </w:rPr>
        <w:t>,</w:t>
      </w:r>
      <w:r w:rsidRPr="00C332F1">
        <w:rPr>
          <w:rFonts w:ascii="Cambria" w:hAnsi="Cambria"/>
          <w:sz w:val="20"/>
          <w:szCs w:val="20"/>
          <w:bdr w:val="none" w:sz="0" w:space="0" w:color="auto" w:frame="1"/>
          <w:lang w:val="es-US"/>
        </w:rPr>
        <w:t xml:space="preserve"> incluyendo detenciones arbitrarias, </w:t>
      </w:r>
      <w:r w:rsidR="001D338E" w:rsidRPr="00C332F1">
        <w:rPr>
          <w:rFonts w:ascii="Cambria" w:hAnsi="Cambria"/>
          <w:sz w:val="20"/>
          <w:szCs w:val="20"/>
          <w:bdr w:val="none" w:sz="0" w:space="0" w:color="auto" w:frame="1"/>
          <w:lang w:val="es-US"/>
        </w:rPr>
        <w:t xml:space="preserve">desapariciones forzadas </w:t>
      </w:r>
      <w:r w:rsidRPr="00C332F1">
        <w:rPr>
          <w:rFonts w:ascii="Cambria" w:hAnsi="Cambria"/>
          <w:sz w:val="20"/>
          <w:szCs w:val="20"/>
          <w:bdr w:val="none" w:sz="0" w:space="0" w:color="auto" w:frame="1"/>
          <w:lang w:val="es-US"/>
        </w:rPr>
        <w:t>de corta duración, criminalización, estigmatización, seguimientos y vigilancias, entre otros.</w:t>
      </w:r>
    </w:p>
    <w:p w14:paraId="364B1BFE" w14:textId="77777777" w:rsidR="00EC3AAC" w:rsidRPr="00C332F1" w:rsidRDefault="00EC3AAC" w:rsidP="00EC3AAC">
      <w:pPr>
        <w:pStyle w:val="ListParagraph"/>
        <w:pBdr>
          <w:top w:val="nil"/>
          <w:left w:val="nil"/>
          <w:bottom w:val="nil"/>
          <w:right w:val="nil"/>
          <w:between w:val="nil"/>
        </w:pBdr>
        <w:ind w:left="1440"/>
        <w:contextualSpacing w:val="0"/>
        <w:jc w:val="both"/>
        <w:rPr>
          <w:rFonts w:ascii="Cambria" w:hAnsi="Cambria"/>
          <w:sz w:val="20"/>
          <w:szCs w:val="20"/>
          <w:bdr w:val="none" w:sz="0" w:space="0" w:color="auto" w:frame="1"/>
          <w:lang w:val="es-US"/>
        </w:rPr>
      </w:pPr>
    </w:p>
    <w:p w14:paraId="4C880D1E" w14:textId="3250E1D0" w:rsidR="00EC3AAC" w:rsidRPr="00C332F1" w:rsidRDefault="00EC3AAC" w:rsidP="00EC3AAC">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bdr w:val="none" w:sz="0" w:space="0" w:color="auto" w:frame="1"/>
          <w:lang w:val="es-US"/>
        </w:rPr>
      </w:pPr>
      <w:r w:rsidRPr="00C332F1">
        <w:rPr>
          <w:rFonts w:ascii="Cambria" w:hAnsi="Cambria"/>
          <w:sz w:val="20"/>
          <w:szCs w:val="20"/>
          <w:bdr w:val="none" w:sz="0" w:space="0" w:color="auto" w:frame="1"/>
          <w:lang w:val="es-US"/>
        </w:rPr>
        <w:t xml:space="preserve">Liberar inmediatamente a todas las personas defensoras que hayan sido detenidas </w:t>
      </w:r>
      <w:r w:rsidR="00C04FC1" w:rsidRPr="00C332F1">
        <w:rPr>
          <w:rFonts w:ascii="Cambria" w:hAnsi="Cambria"/>
          <w:sz w:val="20"/>
          <w:szCs w:val="20"/>
          <w:bdr w:val="none" w:sz="0" w:space="0" w:color="auto" w:frame="1"/>
          <w:lang w:val="es-US"/>
        </w:rPr>
        <w:t>arbitrariamente por su labor de defensa de derechos humanos</w:t>
      </w:r>
      <w:r w:rsidR="00F202E8" w:rsidRPr="00C332F1">
        <w:rPr>
          <w:rFonts w:ascii="Cambria" w:hAnsi="Cambria"/>
          <w:sz w:val="20"/>
          <w:szCs w:val="20"/>
          <w:bdr w:val="none" w:sz="0" w:space="0" w:color="auto" w:frame="1"/>
          <w:lang w:val="es-US"/>
        </w:rPr>
        <w:t>.</w:t>
      </w:r>
    </w:p>
    <w:p w14:paraId="1A6C25F9" w14:textId="77777777" w:rsidR="00EC3AAC" w:rsidRPr="00C332F1" w:rsidRDefault="00EC3AAC" w:rsidP="00EC3AAC">
      <w:pPr>
        <w:pStyle w:val="ListParagraph"/>
        <w:rPr>
          <w:rFonts w:ascii="Cambria" w:hAnsi="Cambria"/>
          <w:sz w:val="20"/>
          <w:szCs w:val="20"/>
          <w:bdr w:val="none" w:sz="0" w:space="0" w:color="auto" w:frame="1"/>
          <w:lang w:val="es-US"/>
        </w:rPr>
      </w:pPr>
    </w:p>
    <w:p w14:paraId="79F9400B" w14:textId="5CBE34B6" w:rsidR="00EC3AAC" w:rsidRPr="00C332F1" w:rsidRDefault="009F4BEF" w:rsidP="00092338">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bdr w:val="none" w:sz="0" w:space="0" w:color="auto" w:frame="1"/>
          <w:lang w:val="es-US"/>
        </w:rPr>
      </w:pPr>
      <w:r w:rsidRPr="00C332F1">
        <w:rPr>
          <w:rFonts w:ascii="Cambria" w:hAnsi="Cambria"/>
          <w:sz w:val="20"/>
          <w:szCs w:val="20"/>
          <w:bdr w:val="none" w:sz="0" w:space="0" w:color="auto" w:frame="1"/>
          <w:lang w:val="es-US"/>
        </w:rPr>
        <w:t>Abstenerse de utilizar tipos penales abiertos</w:t>
      </w:r>
      <w:r w:rsidR="00A563C8" w:rsidRPr="00C332F1">
        <w:rPr>
          <w:rFonts w:ascii="Cambria" w:hAnsi="Cambria"/>
          <w:sz w:val="20"/>
          <w:szCs w:val="20"/>
          <w:bdr w:val="none" w:sz="0" w:space="0" w:color="auto" w:frame="1"/>
          <w:lang w:val="es-US"/>
        </w:rPr>
        <w:t xml:space="preserve"> contra personas defensoras de derechos humanos</w:t>
      </w:r>
      <w:r w:rsidRPr="00C332F1">
        <w:rPr>
          <w:rFonts w:ascii="Cambria" w:hAnsi="Cambria"/>
          <w:sz w:val="20"/>
          <w:szCs w:val="20"/>
          <w:bdr w:val="none" w:sz="0" w:space="0" w:color="auto" w:frame="1"/>
          <w:lang w:val="es-US"/>
        </w:rPr>
        <w:t xml:space="preserve">, </w:t>
      </w:r>
      <w:r w:rsidR="00A563C8" w:rsidRPr="00C332F1">
        <w:rPr>
          <w:rFonts w:ascii="Cambria" w:hAnsi="Cambria"/>
          <w:sz w:val="20"/>
          <w:szCs w:val="20"/>
          <w:bdr w:val="none" w:sz="0" w:space="0" w:color="auto" w:frame="1"/>
          <w:lang w:val="es-US"/>
        </w:rPr>
        <w:t>tales como i</w:t>
      </w:r>
      <w:r w:rsidRPr="00C332F1">
        <w:rPr>
          <w:rFonts w:ascii="Cambria" w:hAnsi="Cambria"/>
          <w:sz w:val="20"/>
          <w:szCs w:val="20"/>
          <w:bdr w:val="none" w:sz="0" w:space="0" w:color="auto" w:frame="1"/>
          <w:lang w:val="es-US"/>
        </w:rPr>
        <w:t>ncitación al odio, instigación pública, asociación ilícita y terrorismo</w:t>
      </w:r>
      <w:r w:rsidR="00EC3AAC" w:rsidRPr="00C332F1">
        <w:rPr>
          <w:rFonts w:ascii="Cambria" w:hAnsi="Cambria"/>
          <w:sz w:val="20"/>
          <w:szCs w:val="20"/>
          <w:bdr w:val="none" w:sz="0" w:space="0" w:color="auto" w:frame="1"/>
          <w:lang w:val="es-US"/>
        </w:rPr>
        <w:t>.</w:t>
      </w:r>
    </w:p>
    <w:p w14:paraId="6A1AD689" w14:textId="77777777" w:rsidR="00EC3AAC" w:rsidRPr="00C332F1" w:rsidRDefault="00EC3AAC" w:rsidP="00092338">
      <w:pPr>
        <w:pStyle w:val="ListParagraph"/>
        <w:jc w:val="both"/>
        <w:rPr>
          <w:rFonts w:ascii="Cambria" w:hAnsi="Cambria"/>
          <w:sz w:val="20"/>
          <w:szCs w:val="20"/>
          <w:bdr w:val="none" w:sz="0" w:space="0" w:color="auto" w:frame="1"/>
          <w:lang w:val="es-US"/>
        </w:rPr>
      </w:pPr>
    </w:p>
    <w:p w14:paraId="243A5436" w14:textId="7E256FFD" w:rsidR="00EC3AAC" w:rsidRPr="00C332F1" w:rsidRDefault="00EC3AAC" w:rsidP="00092338">
      <w:pPr>
        <w:pStyle w:val="ListParagraph"/>
        <w:numPr>
          <w:ilvl w:val="0"/>
          <w:numId w:val="17"/>
        </w:numPr>
        <w:pBdr>
          <w:top w:val="nil"/>
          <w:left w:val="nil"/>
          <w:bottom w:val="nil"/>
          <w:right w:val="nil"/>
          <w:between w:val="nil"/>
        </w:pBdr>
        <w:ind w:left="1440" w:hanging="720"/>
        <w:contextualSpacing w:val="0"/>
        <w:jc w:val="both"/>
        <w:rPr>
          <w:rFonts w:ascii="Cambria" w:hAnsi="Cambria"/>
          <w:sz w:val="20"/>
          <w:szCs w:val="20"/>
          <w:bdr w:val="none" w:sz="0" w:space="0" w:color="auto" w:frame="1"/>
          <w:lang w:val="es-US"/>
        </w:rPr>
      </w:pPr>
      <w:r w:rsidRPr="00C332F1">
        <w:rPr>
          <w:rFonts w:ascii="Cambria" w:hAnsi="Cambria"/>
          <w:sz w:val="20"/>
          <w:szCs w:val="20"/>
          <w:bdr w:val="none" w:sz="0" w:space="0" w:color="auto" w:frame="1"/>
          <w:lang w:val="es-US"/>
        </w:rPr>
        <w:t xml:space="preserve">Cesar el uso de medidas administrativas, como la retención y anulación de documentos de identidad y de viaje, con el objetivo de </w:t>
      </w:r>
      <w:r w:rsidR="00674796" w:rsidRPr="00C332F1">
        <w:rPr>
          <w:rFonts w:ascii="Cambria" w:hAnsi="Cambria"/>
          <w:sz w:val="20"/>
          <w:szCs w:val="20"/>
          <w:bdr w:val="none" w:sz="0" w:space="0" w:color="auto" w:frame="1"/>
          <w:lang w:val="es-US"/>
        </w:rPr>
        <w:t xml:space="preserve">impedir y/o reprimir </w:t>
      </w:r>
      <w:r w:rsidRPr="00C332F1">
        <w:rPr>
          <w:rFonts w:ascii="Cambria" w:hAnsi="Cambria"/>
          <w:sz w:val="20"/>
          <w:szCs w:val="20"/>
          <w:bdr w:val="none" w:sz="0" w:space="0" w:color="auto" w:frame="1"/>
          <w:lang w:val="es-US"/>
        </w:rPr>
        <w:t>la labor de defensa de derechos humanos. </w:t>
      </w:r>
    </w:p>
    <w:p w14:paraId="0BF273D3" w14:textId="77777777" w:rsidR="00445639" w:rsidRPr="00C332F1" w:rsidRDefault="00445639" w:rsidP="00092338">
      <w:pPr>
        <w:pStyle w:val="ListParagraph"/>
        <w:jc w:val="both"/>
        <w:rPr>
          <w:rFonts w:ascii="Cambria" w:hAnsi="Cambria"/>
          <w:sz w:val="20"/>
          <w:szCs w:val="20"/>
          <w:lang w:val="es-ES"/>
        </w:rPr>
      </w:pPr>
    </w:p>
    <w:p w14:paraId="7E6C4C5C" w14:textId="208E8884" w:rsidR="00706184" w:rsidRPr="00C332F1" w:rsidRDefault="00706184" w:rsidP="00092338">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ES"/>
        </w:rPr>
      </w:pPr>
      <w:r w:rsidRPr="00C332F1">
        <w:rPr>
          <w:rFonts w:ascii="Cambria" w:hAnsi="Cambria"/>
          <w:sz w:val="20"/>
          <w:szCs w:val="20"/>
          <w:lang w:val="es-ES"/>
        </w:rPr>
        <w:t>Dejar sin efecto la Ley de Fiscalización, Regularización, Actuación y Financiamiento de las Organizaciones No Gubernamentales y Afines; y garantizar que las personas defensoras de derechos humanos puedan ejercer sus actividades libres de cualquier tipo de amedrentamiento.</w:t>
      </w:r>
    </w:p>
    <w:p w14:paraId="46219833" w14:textId="77777777" w:rsidR="008F7895" w:rsidRPr="00C332F1" w:rsidRDefault="008F7895" w:rsidP="000F7ABC">
      <w:pPr>
        <w:pStyle w:val="IASubttulo2"/>
        <w:numPr>
          <w:ilvl w:val="0"/>
          <w:numId w:val="0"/>
        </w:numPr>
        <w:spacing w:after="0" w:line="259" w:lineRule="auto"/>
        <w:rPr>
          <w:szCs w:val="20"/>
          <w:lang w:val="es-US"/>
        </w:rPr>
      </w:pPr>
      <w:bookmarkStart w:id="46" w:name="_Toc195617490"/>
      <w:r w:rsidRPr="00C332F1">
        <w:rPr>
          <w:szCs w:val="20"/>
          <w:lang w:val="es-US"/>
        </w:rPr>
        <w:t>Personas lesbianas, gay, bisexuales, trans e intersex (LGBTI)</w:t>
      </w:r>
      <w:bookmarkEnd w:id="46"/>
    </w:p>
    <w:p w14:paraId="75747FF6" w14:textId="77777777" w:rsidR="000F7ABC" w:rsidRPr="00C332F1" w:rsidRDefault="000F7ABC" w:rsidP="000F7ABC">
      <w:pPr>
        <w:pStyle w:val="IASubttulo2"/>
        <w:numPr>
          <w:ilvl w:val="0"/>
          <w:numId w:val="0"/>
        </w:numPr>
        <w:spacing w:after="0" w:line="259" w:lineRule="auto"/>
        <w:rPr>
          <w:szCs w:val="20"/>
          <w:lang w:val="es-US"/>
        </w:rPr>
      </w:pPr>
    </w:p>
    <w:p w14:paraId="194E95A6" w14:textId="77777777" w:rsidR="00DA4140" w:rsidRPr="00C332F1" w:rsidRDefault="008F7895" w:rsidP="00DA4140">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ES"/>
        </w:rPr>
      </w:pPr>
      <w:r w:rsidRPr="00C332F1">
        <w:rPr>
          <w:rFonts w:ascii="Cambria" w:hAnsi="Cambria"/>
          <w:sz w:val="20"/>
          <w:szCs w:val="20"/>
          <w:lang w:val="es-ES"/>
        </w:rPr>
        <w:t>Tomar acciones inmediatas orientadas a la recopilación efectiva y análisis de datos sobre la violencia y discriminación que afectan a las personas LGBTI.</w:t>
      </w:r>
    </w:p>
    <w:p w14:paraId="1B53F771" w14:textId="77777777" w:rsidR="00DA4140" w:rsidRPr="00C332F1" w:rsidRDefault="00DA4140" w:rsidP="00DA4140">
      <w:pPr>
        <w:pStyle w:val="ListParagraph"/>
        <w:pBdr>
          <w:top w:val="nil"/>
          <w:left w:val="nil"/>
          <w:bottom w:val="nil"/>
          <w:right w:val="nil"/>
          <w:between w:val="nil"/>
        </w:pBdr>
        <w:spacing w:after="240"/>
        <w:ind w:left="1440"/>
        <w:jc w:val="both"/>
        <w:rPr>
          <w:rFonts w:ascii="Cambria" w:hAnsi="Cambria"/>
          <w:sz w:val="20"/>
          <w:szCs w:val="20"/>
          <w:lang w:val="es-ES"/>
        </w:rPr>
      </w:pPr>
    </w:p>
    <w:p w14:paraId="4A66FFF5" w14:textId="77777777" w:rsidR="00DA4140" w:rsidRPr="00C332F1" w:rsidRDefault="008F7895" w:rsidP="00DA4140">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ES"/>
        </w:rPr>
      </w:pPr>
      <w:r w:rsidRPr="00C332F1">
        <w:rPr>
          <w:rFonts w:ascii="Cambria" w:hAnsi="Cambria"/>
          <w:sz w:val="20"/>
          <w:szCs w:val="20"/>
          <w:lang w:val="es-ES"/>
        </w:rPr>
        <w:t xml:space="preserve">Adoptar las medidas necesarias para garantizar el acceso a la justicia sin discriminación a las personas LGBTI, y llevar a cabo investigaciones imparciales y con la debida diligencia sobre muertes o crímenes violentos contra estas personas. </w:t>
      </w:r>
    </w:p>
    <w:p w14:paraId="6C76442D" w14:textId="77777777" w:rsidR="00DA4140" w:rsidRPr="00C332F1" w:rsidRDefault="00DA4140" w:rsidP="00DA4140">
      <w:pPr>
        <w:pStyle w:val="ListParagraph"/>
        <w:rPr>
          <w:rFonts w:ascii="Cambria" w:hAnsi="Cambria"/>
          <w:sz w:val="20"/>
          <w:szCs w:val="20"/>
          <w:lang w:val="es-ES"/>
        </w:rPr>
      </w:pPr>
    </w:p>
    <w:p w14:paraId="03C8B703" w14:textId="491F21F8" w:rsidR="008F7895" w:rsidRPr="00C332F1" w:rsidRDefault="008F7895" w:rsidP="00DA4140">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ES"/>
        </w:rPr>
      </w:pPr>
      <w:r w:rsidRPr="00C332F1">
        <w:rPr>
          <w:rFonts w:ascii="Cambria" w:hAnsi="Cambria"/>
          <w:sz w:val="20"/>
          <w:szCs w:val="20"/>
          <w:lang w:val="es-ES"/>
        </w:rPr>
        <w:t>Adoptar un marco legal comprensivo que proteja explícitamente contra la discriminación basada en prejuicios en contra de las orientaciones sexuales, identidades de género, expresiones de género no normativas o características sexuales diversas.</w:t>
      </w:r>
    </w:p>
    <w:p w14:paraId="654EACC5" w14:textId="77777777" w:rsidR="00BB2EDB" w:rsidRPr="00C332F1" w:rsidRDefault="00BB2EDB" w:rsidP="000F7ABC">
      <w:pPr>
        <w:pStyle w:val="IASubttulo2"/>
        <w:numPr>
          <w:ilvl w:val="0"/>
          <w:numId w:val="0"/>
        </w:numPr>
        <w:spacing w:after="0" w:line="259" w:lineRule="auto"/>
        <w:rPr>
          <w:szCs w:val="20"/>
          <w:lang w:val="es-US"/>
        </w:rPr>
      </w:pPr>
      <w:bookmarkStart w:id="47" w:name="_Toc195617491"/>
      <w:r w:rsidRPr="00C332F1">
        <w:rPr>
          <w:szCs w:val="20"/>
          <w:lang w:val="es-US"/>
        </w:rPr>
        <w:t>Personas mayores</w:t>
      </w:r>
      <w:bookmarkEnd w:id="47"/>
    </w:p>
    <w:p w14:paraId="32193950" w14:textId="77777777" w:rsidR="000F7ABC" w:rsidRPr="00C332F1" w:rsidRDefault="000F7ABC" w:rsidP="000F7ABC">
      <w:pPr>
        <w:pStyle w:val="IASubttulo2"/>
        <w:numPr>
          <w:ilvl w:val="0"/>
          <w:numId w:val="0"/>
        </w:numPr>
        <w:spacing w:after="0" w:line="259" w:lineRule="auto"/>
        <w:rPr>
          <w:szCs w:val="20"/>
          <w:lang w:val="es-US"/>
        </w:rPr>
      </w:pPr>
    </w:p>
    <w:p w14:paraId="4BC26A2C" w14:textId="49FE33D2" w:rsidR="00DA4140" w:rsidRPr="00C332F1" w:rsidRDefault="00BB2EDB" w:rsidP="00DA4140">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US"/>
        </w:rPr>
      </w:pPr>
      <w:r w:rsidRPr="00C332F1">
        <w:rPr>
          <w:rFonts w:ascii="Cambria" w:hAnsi="Cambria"/>
          <w:sz w:val="20"/>
          <w:szCs w:val="20"/>
          <w:lang w:val="es-US"/>
        </w:rPr>
        <w:t>Liberar a las personas mayores de 70 años privadas de la libertad bajo el régimen de prisión preventiva.</w:t>
      </w:r>
      <w:r w:rsidR="00D02C5C" w:rsidRPr="00C332F1">
        <w:rPr>
          <w:rFonts w:ascii="Cambria" w:hAnsi="Cambria"/>
          <w:sz w:val="20"/>
          <w:szCs w:val="20"/>
          <w:lang w:val="es-US"/>
        </w:rPr>
        <w:t xml:space="preserve"> </w:t>
      </w:r>
    </w:p>
    <w:p w14:paraId="6F6AE5FE" w14:textId="77777777" w:rsidR="00DA4140" w:rsidRPr="00C332F1" w:rsidRDefault="00DA4140" w:rsidP="00DA4140">
      <w:pPr>
        <w:pStyle w:val="ListParagraph"/>
        <w:pBdr>
          <w:top w:val="nil"/>
          <w:left w:val="nil"/>
          <w:bottom w:val="nil"/>
          <w:right w:val="nil"/>
          <w:between w:val="nil"/>
        </w:pBdr>
        <w:spacing w:after="240"/>
        <w:ind w:left="1440"/>
        <w:jc w:val="both"/>
        <w:rPr>
          <w:rFonts w:ascii="Cambria" w:hAnsi="Cambria"/>
          <w:sz w:val="20"/>
          <w:szCs w:val="20"/>
          <w:lang w:val="es-US"/>
        </w:rPr>
      </w:pPr>
    </w:p>
    <w:p w14:paraId="3AD442BD" w14:textId="77777777" w:rsidR="00DA4140" w:rsidRPr="00C332F1" w:rsidRDefault="00BB2EDB" w:rsidP="00DA4140">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US"/>
        </w:rPr>
      </w:pPr>
      <w:r w:rsidRPr="00C332F1">
        <w:rPr>
          <w:rFonts w:ascii="Cambria" w:hAnsi="Cambria"/>
          <w:sz w:val="20"/>
          <w:szCs w:val="20"/>
          <w:lang w:val="es-US"/>
        </w:rPr>
        <w:t>Atender a las personas mayores en situación de extrema pobreza a través de la identificación de casos prioritarios, la incorporación de estas personas en programas sociales existentes y en el acceso a pensiones no contributivas. </w:t>
      </w:r>
    </w:p>
    <w:p w14:paraId="7C1110FE" w14:textId="77777777" w:rsidR="00DA4140" w:rsidRPr="00C332F1" w:rsidRDefault="00DA4140" w:rsidP="00DA4140">
      <w:pPr>
        <w:pStyle w:val="ListParagraph"/>
        <w:rPr>
          <w:rFonts w:ascii="Cambria" w:hAnsi="Cambria"/>
          <w:sz w:val="20"/>
          <w:szCs w:val="20"/>
          <w:lang w:val="es-US"/>
        </w:rPr>
      </w:pPr>
    </w:p>
    <w:p w14:paraId="777EDD00" w14:textId="68651CC7" w:rsidR="00BB2EDB" w:rsidRPr="00C332F1" w:rsidRDefault="00BB2EDB" w:rsidP="00DA4140">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US"/>
        </w:rPr>
      </w:pPr>
      <w:r w:rsidRPr="00C332F1">
        <w:rPr>
          <w:rFonts w:ascii="Cambria" w:hAnsi="Cambria"/>
          <w:sz w:val="20"/>
          <w:szCs w:val="20"/>
          <w:lang w:val="es-US"/>
        </w:rPr>
        <w:t>Reajustar la asignación económica recib</w:t>
      </w:r>
      <w:r w:rsidR="00F33536" w:rsidRPr="00C332F1">
        <w:rPr>
          <w:rFonts w:ascii="Cambria" w:hAnsi="Cambria"/>
          <w:sz w:val="20"/>
          <w:szCs w:val="20"/>
          <w:lang w:val="es-US"/>
        </w:rPr>
        <w:t>id</w:t>
      </w:r>
      <w:r w:rsidRPr="00C332F1">
        <w:rPr>
          <w:rFonts w:ascii="Cambria" w:hAnsi="Cambria"/>
          <w:sz w:val="20"/>
          <w:szCs w:val="20"/>
          <w:lang w:val="es-US"/>
        </w:rPr>
        <w:t>a a través de los esquemas contributivos y no contributivos para garantizar una vida digna a las personas mayores pensionistas; así como reactivar los pagos de pensiones a las personas venezolanas en el exterior.</w:t>
      </w:r>
    </w:p>
    <w:p w14:paraId="1D43C0F5" w14:textId="52AA18E2" w:rsidR="00861969" w:rsidRPr="00C332F1" w:rsidRDefault="00861969" w:rsidP="00B52F64">
      <w:pPr>
        <w:pStyle w:val="IAPrrafo"/>
        <w:numPr>
          <w:ilvl w:val="0"/>
          <w:numId w:val="0"/>
        </w:numPr>
        <w:spacing w:after="0" w:line="259" w:lineRule="auto"/>
        <w:rPr>
          <w:rFonts w:eastAsia="Cambria" w:cs="Cambria"/>
          <w:b/>
          <w:bCs/>
          <w:color w:val="000000" w:themeColor="text1"/>
          <w:szCs w:val="20"/>
          <w:lang w:val="es-CR"/>
        </w:rPr>
      </w:pPr>
      <w:r w:rsidRPr="00C332F1">
        <w:rPr>
          <w:rFonts w:eastAsia="Cambria" w:cs="Cambria"/>
          <w:b/>
          <w:bCs/>
          <w:color w:val="000000" w:themeColor="text1"/>
          <w:szCs w:val="20"/>
          <w:lang w:val="es-CR"/>
        </w:rPr>
        <w:t>Personas privadas de libertad</w:t>
      </w:r>
    </w:p>
    <w:p w14:paraId="704D64CF" w14:textId="77777777" w:rsidR="00B52F64" w:rsidRPr="00C332F1" w:rsidRDefault="00B52F64" w:rsidP="00B52F64">
      <w:pPr>
        <w:pStyle w:val="IAPrrafo"/>
        <w:numPr>
          <w:ilvl w:val="0"/>
          <w:numId w:val="0"/>
        </w:numPr>
        <w:spacing w:after="0" w:line="259" w:lineRule="auto"/>
        <w:rPr>
          <w:rFonts w:eastAsia="Cambria" w:cs="Cambria"/>
          <w:b/>
          <w:bCs/>
          <w:color w:val="000000" w:themeColor="text1"/>
          <w:szCs w:val="20"/>
          <w:lang w:val="es-CR"/>
        </w:rPr>
      </w:pPr>
    </w:p>
    <w:p w14:paraId="25194A3A" w14:textId="675324A2" w:rsidR="00887330" w:rsidRPr="00C332F1" w:rsidRDefault="00887330" w:rsidP="00DA4140">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ES"/>
        </w:rPr>
      </w:pPr>
      <w:r w:rsidRPr="00C332F1">
        <w:rPr>
          <w:rFonts w:ascii="Cambria" w:hAnsi="Cambria"/>
          <w:sz w:val="20"/>
          <w:szCs w:val="20"/>
          <w:lang w:val="es-CR"/>
        </w:rPr>
        <w:t xml:space="preserve">Poner fin a la </w:t>
      </w:r>
      <w:r w:rsidRPr="00C332F1">
        <w:rPr>
          <w:rFonts w:ascii="Cambria" w:hAnsi="Cambria"/>
          <w:sz w:val="20"/>
          <w:szCs w:val="20"/>
          <w:lang w:val="es-ES"/>
        </w:rPr>
        <w:t>privación intencionada de alimentos y medicinas como herramienta de coerción o castigo contra personas privadas de libertad, en particular aquellas detenidas por motivos políticos.</w:t>
      </w:r>
    </w:p>
    <w:p w14:paraId="529AFA56" w14:textId="77777777" w:rsidR="00887330" w:rsidRPr="00C332F1" w:rsidRDefault="00887330" w:rsidP="00887330">
      <w:pPr>
        <w:pStyle w:val="ListParagraph"/>
        <w:pBdr>
          <w:top w:val="nil"/>
          <w:left w:val="nil"/>
          <w:bottom w:val="nil"/>
          <w:right w:val="nil"/>
          <w:between w:val="nil"/>
        </w:pBdr>
        <w:spacing w:after="240"/>
        <w:ind w:left="1440"/>
        <w:jc w:val="both"/>
        <w:rPr>
          <w:rFonts w:ascii="Cambria" w:hAnsi="Cambria"/>
          <w:sz w:val="20"/>
          <w:szCs w:val="20"/>
          <w:lang w:val="es-ES"/>
        </w:rPr>
      </w:pPr>
    </w:p>
    <w:p w14:paraId="61ED0ACD" w14:textId="1D353FEE" w:rsidR="00DA4140" w:rsidRPr="00C332F1" w:rsidRDefault="00861969" w:rsidP="00DA4140">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ES"/>
        </w:rPr>
      </w:pPr>
      <w:r w:rsidRPr="00C332F1">
        <w:rPr>
          <w:rFonts w:ascii="Cambria" w:hAnsi="Cambria"/>
          <w:sz w:val="20"/>
          <w:szCs w:val="20"/>
          <w:lang w:val="es-ES"/>
        </w:rPr>
        <w:t>Adoptar las medidas judiciales, legislativas, y administrativas requeridas para reducir la población carcelaria y, de manera particular, poner fin a la detención de personas en espacios de detención preventiva.</w:t>
      </w:r>
    </w:p>
    <w:p w14:paraId="4D4DF942" w14:textId="77777777" w:rsidR="00DA4140" w:rsidRPr="00C332F1" w:rsidRDefault="00DA4140" w:rsidP="00DA4140">
      <w:pPr>
        <w:pStyle w:val="ListParagraph"/>
        <w:pBdr>
          <w:top w:val="nil"/>
          <w:left w:val="nil"/>
          <w:bottom w:val="nil"/>
          <w:right w:val="nil"/>
          <w:between w:val="nil"/>
        </w:pBdr>
        <w:spacing w:after="240"/>
        <w:ind w:left="1440"/>
        <w:jc w:val="both"/>
        <w:rPr>
          <w:rFonts w:ascii="Cambria" w:hAnsi="Cambria"/>
          <w:sz w:val="20"/>
          <w:szCs w:val="20"/>
          <w:lang w:val="es-ES"/>
        </w:rPr>
      </w:pPr>
    </w:p>
    <w:p w14:paraId="083AE0E8" w14:textId="5DC44312" w:rsidR="00861969" w:rsidRPr="00C332F1" w:rsidRDefault="00861969" w:rsidP="00DA4140">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ES"/>
        </w:rPr>
      </w:pPr>
      <w:r w:rsidRPr="00C332F1">
        <w:rPr>
          <w:rFonts w:ascii="Cambria" w:hAnsi="Cambria"/>
          <w:sz w:val="20"/>
          <w:szCs w:val="20"/>
          <w:lang w:val="es-ES"/>
        </w:rPr>
        <w:t xml:space="preserve">Garantizar condiciones de detención compatibles con la dignidad humana y con el respeto de los derechos fundamentales que aseguren el trato digno a las personas bajo custodia y atiendan a las necesidades de esta población con respeto a la perspectiva de género y los enfoques interseccionales. </w:t>
      </w:r>
    </w:p>
    <w:p w14:paraId="0A15C2FB" w14:textId="725D816B" w:rsidR="004A0F46" w:rsidRPr="00C332F1" w:rsidRDefault="004A0F46" w:rsidP="001E4109">
      <w:pPr>
        <w:pStyle w:val="IAPrrafo"/>
        <w:numPr>
          <w:ilvl w:val="0"/>
          <w:numId w:val="0"/>
        </w:numPr>
        <w:spacing w:after="0"/>
        <w:rPr>
          <w:b/>
          <w:bCs/>
          <w:szCs w:val="20"/>
        </w:rPr>
      </w:pPr>
      <w:r w:rsidRPr="00C332F1">
        <w:rPr>
          <w:b/>
          <w:bCs/>
          <w:szCs w:val="20"/>
        </w:rPr>
        <w:t>Personas en situación de movilidad humana</w:t>
      </w:r>
    </w:p>
    <w:p w14:paraId="531F9D09" w14:textId="77777777" w:rsidR="001E4109" w:rsidRPr="00C332F1" w:rsidRDefault="001E4109" w:rsidP="001E4109">
      <w:pPr>
        <w:pStyle w:val="IAPrrafo"/>
        <w:numPr>
          <w:ilvl w:val="0"/>
          <w:numId w:val="0"/>
        </w:numPr>
        <w:spacing w:after="0"/>
        <w:rPr>
          <w:b/>
          <w:bCs/>
          <w:szCs w:val="20"/>
        </w:rPr>
      </w:pPr>
    </w:p>
    <w:p w14:paraId="390399B1" w14:textId="60103319" w:rsidR="00DA4140" w:rsidRPr="00C332F1" w:rsidRDefault="004A0F46" w:rsidP="00092338">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ES"/>
        </w:rPr>
      </w:pPr>
      <w:r w:rsidRPr="00C332F1">
        <w:rPr>
          <w:rFonts w:ascii="Cambria" w:hAnsi="Cambria"/>
          <w:sz w:val="20"/>
          <w:szCs w:val="20"/>
          <w:lang w:val="es-ES"/>
        </w:rPr>
        <w:t xml:space="preserve">Asegurar </w:t>
      </w:r>
      <w:r w:rsidR="007D7CB1" w:rsidRPr="00C332F1">
        <w:rPr>
          <w:rFonts w:ascii="Cambria" w:hAnsi="Cambria"/>
          <w:sz w:val="20"/>
          <w:szCs w:val="20"/>
          <w:lang w:val="es-ES"/>
        </w:rPr>
        <w:t xml:space="preserve">los servicios consulares para el trámite de </w:t>
      </w:r>
      <w:r w:rsidRPr="00C332F1">
        <w:rPr>
          <w:rFonts w:ascii="Cambria" w:hAnsi="Cambria"/>
          <w:sz w:val="20"/>
          <w:szCs w:val="20"/>
          <w:lang w:val="es-ES"/>
        </w:rPr>
        <w:t>documentos esenciales de identificación y de viaje.</w:t>
      </w:r>
      <w:r w:rsidR="00D02C5C" w:rsidRPr="00C332F1">
        <w:rPr>
          <w:rFonts w:ascii="Cambria" w:hAnsi="Cambria"/>
          <w:sz w:val="20"/>
          <w:szCs w:val="20"/>
          <w:lang w:val="es-ES"/>
        </w:rPr>
        <w:t xml:space="preserve"> </w:t>
      </w:r>
    </w:p>
    <w:p w14:paraId="612C317C" w14:textId="77777777" w:rsidR="00DA4140" w:rsidRPr="00C332F1" w:rsidRDefault="00DA4140" w:rsidP="00092338">
      <w:pPr>
        <w:pStyle w:val="ListParagraph"/>
        <w:pBdr>
          <w:top w:val="nil"/>
          <w:left w:val="nil"/>
          <w:bottom w:val="nil"/>
          <w:right w:val="nil"/>
          <w:between w:val="nil"/>
        </w:pBdr>
        <w:spacing w:after="240"/>
        <w:ind w:left="1440"/>
        <w:jc w:val="both"/>
        <w:rPr>
          <w:rFonts w:ascii="Cambria" w:hAnsi="Cambria"/>
          <w:sz w:val="20"/>
          <w:szCs w:val="20"/>
          <w:lang w:val="es-ES"/>
        </w:rPr>
      </w:pPr>
    </w:p>
    <w:p w14:paraId="1464E64E" w14:textId="77777777" w:rsidR="00DA4140" w:rsidRPr="00C332F1" w:rsidRDefault="004A0F46" w:rsidP="00092338">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ES"/>
        </w:rPr>
      </w:pPr>
      <w:r w:rsidRPr="00C332F1">
        <w:rPr>
          <w:rFonts w:ascii="Cambria" w:hAnsi="Cambria"/>
          <w:sz w:val="20"/>
          <w:szCs w:val="20"/>
          <w:lang w:val="es-ES"/>
        </w:rPr>
        <w:t>I</w:t>
      </w:r>
      <w:r w:rsidR="004A2738" w:rsidRPr="00C332F1">
        <w:rPr>
          <w:rFonts w:ascii="Cambria" w:hAnsi="Cambria"/>
          <w:sz w:val="20"/>
          <w:szCs w:val="20"/>
          <w:lang w:val="es-ES"/>
        </w:rPr>
        <w:t>mplementar todos los esfuerzos para i</w:t>
      </w:r>
      <w:r w:rsidRPr="00C332F1">
        <w:rPr>
          <w:rFonts w:ascii="Cambria" w:hAnsi="Cambria"/>
          <w:sz w:val="20"/>
          <w:szCs w:val="20"/>
          <w:lang w:val="es-ES"/>
        </w:rPr>
        <w:t xml:space="preserve">nformar a las personas venezolanas </w:t>
      </w:r>
      <w:r w:rsidR="004A2738" w:rsidRPr="00C332F1">
        <w:rPr>
          <w:rFonts w:ascii="Cambria" w:hAnsi="Cambria"/>
          <w:sz w:val="20"/>
          <w:szCs w:val="20"/>
          <w:lang w:val="es-ES"/>
        </w:rPr>
        <w:t xml:space="preserve">en situación de movilidad </w:t>
      </w:r>
      <w:r w:rsidRPr="00C332F1">
        <w:rPr>
          <w:rFonts w:ascii="Cambria" w:hAnsi="Cambria"/>
          <w:sz w:val="20"/>
          <w:szCs w:val="20"/>
          <w:lang w:val="es-ES"/>
        </w:rPr>
        <w:t>sobre los posibles riesgos en rutas de migración irregular,</w:t>
      </w:r>
      <w:r w:rsidR="004A2738" w:rsidRPr="00C332F1">
        <w:rPr>
          <w:rFonts w:ascii="Cambria" w:hAnsi="Cambria"/>
          <w:sz w:val="20"/>
          <w:szCs w:val="20"/>
          <w:lang w:val="es-ES"/>
        </w:rPr>
        <w:t xml:space="preserve"> lo que incluye </w:t>
      </w:r>
      <w:r w:rsidRPr="00C332F1">
        <w:rPr>
          <w:rFonts w:ascii="Cambria" w:hAnsi="Cambria"/>
          <w:sz w:val="20"/>
          <w:szCs w:val="20"/>
          <w:lang w:val="es-ES"/>
        </w:rPr>
        <w:t>la trata</w:t>
      </w:r>
      <w:r w:rsidR="004A2738" w:rsidRPr="00C332F1">
        <w:rPr>
          <w:rFonts w:ascii="Cambria" w:hAnsi="Cambria"/>
          <w:sz w:val="20"/>
          <w:szCs w:val="20"/>
          <w:lang w:val="es-ES"/>
        </w:rPr>
        <w:t xml:space="preserve"> de personas</w:t>
      </w:r>
      <w:r w:rsidRPr="00C332F1">
        <w:rPr>
          <w:rFonts w:ascii="Cambria" w:hAnsi="Cambria"/>
          <w:sz w:val="20"/>
          <w:szCs w:val="20"/>
          <w:lang w:val="es-ES"/>
        </w:rPr>
        <w:t>, la violencia de género, los abusos y la explotación</w:t>
      </w:r>
      <w:r w:rsidR="004A2738" w:rsidRPr="00C332F1">
        <w:rPr>
          <w:rFonts w:ascii="Cambria" w:hAnsi="Cambria"/>
          <w:sz w:val="20"/>
          <w:szCs w:val="20"/>
          <w:lang w:val="es-ES"/>
        </w:rPr>
        <w:t>.</w:t>
      </w:r>
    </w:p>
    <w:p w14:paraId="7DE3EBD0" w14:textId="77777777" w:rsidR="00DA4140" w:rsidRPr="00C332F1" w:rsidRDefault="00DA4140" w:rsidP="00092338">
      <w:pPr>
        <w:pStyle w:val="ListParagraph"/>
        <w:jc w:val="both"/>
        <w:rPr>
          <w:rFonts w:ascii="Cambria" w:hAnsi="Cambria"/>
          <w:sz w:val="20"/>
          <w:szCs w:val="20"/>
          <w:lang w:val="es-ES"/>
        </w:rPr>
      </w:pPr>
    </w:p>
    <w:p w14:paraId="52DBFED9" w14:textId="557C1600" w:rsidR="00DB47C8" w:rsidRPr="00C332F1" w:rsidRDefault="004A0F46" w:rsidP="00092338">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ES"/>
        </w:rPr>
      </w:pPr>
      <w:r w:rsidRPr="00C332F1">
        <w:rPr>
          <w:rFonts w:ascii="Cambria" w:hAnsi="Cambria"/>
          <w:sz w:val="20"/>
          <w:szCs w:val="20"/>
          <w:lang w:val="es-ES"/>
        </w:rPr>
        <w:t>Asegurar vías alternativas para garantizar la reunificación de los grupos familiares que han sido separados a partir de la suspensión de la conexión aérea directa, de modo de evitar la necesidad de acudir a vías migratorias irregulares.</w:t>
      </w:r>
    </w:p>
    <w:p w14:paraId="2CB6C0D5" w14:textId="4353B66B" w:rsidR="00E1063A" w:rsidRPr="00C332F1" w:rsidRDefault="00E1063A" w:rsidP="001E4109">
      <w:pPr>
        <w:pStyle w:val="IASubttulo2"/>
        <w:numPr>
          <w:ilvl w:val="0"/>
          <w:numId w:val="0"/>
        </w:numPr>
        <w:spacing w:after="0" w:line="259" w:lineRule="auto"/>
        <w:rPr>
          <w:szCs w:val="20"/>
          <w:lang w:val="es-US"/>
        </w:rPr>
      </w:pPr>
      <w:bookmarkStart w:id="48" w:name="_Toc195617492"/>
      <w:r w:rsidRPr="00C332F1">
        <w:rPr>
          <w:szCs w:val="20"/>
          <w:lang w:val="es-US"/>
        </w:rPr>
        <w:t>Personas afrodescendientes</w:t>
      </w:r>
      <w:bookmarkEnd w:id="48"/>
    </w:p>
    <w:p w14:paraId="5FDD21C4" w14:textId="77777777" w:rsidR="001E4109" w:rsidRPr="00C332F1" w:rsidRDefault="001E4109" w:rsidP="001E4109">
      <w:pPr>
        <w:pStyle w:val="IASubttulo2"/>
        <w:numPr>
          <w:ilvl w:val="0"/>
          <w:numId w:val="0"/>
        </w:numPr>
        <w:spacing w:after="0" w:line="259" w:lineRule="auto"/>
        <w:rPr>
          <w:szCs w:val="20"/>
          <w:lang w:val="es-US"/>
        </w:rPr>
      </w:pPr>
    </w:p>
    <w:p w14:paraId="1DC717DD" w14:textId="77777777" w:rsidR="00DA4140" w:rsidRPr="00C332F1" w:rsidRDefault="00473311" w:rsidP="00092338">
      <w:pPr>
        <w:pStyle w:val="ListParagraph"/>
        <w:numPr>
          <w:ilvl w:val="0"/>
          <w:numId w:val="17"/>
        </w:numPr>
        <w:pBdr>
          <w:top w:val="nil"/>
          <w:left w:val="nil"/>
          <w:bottom w:val="nil"/>
          <w:right w:val="nil"/>
          <w:between w:val="nil"/>
        </w:pBdr>
        <w:spacing w:after="240"/>
        <w:ind w:left="1440" w:hanging="720"/>
        <w:jc w:val="both"/>
        <w:rPr>
          <w:rFonts w:ascii="Cambria" w:hAnsi="Cambria" w:cs="Segoe UI"/>
          <w:color w:val="000000"/>
          <w:sz w:val="20"/>
          <w:szCs w:val="20"/>
          <w:lang w:val="es-US"/>
        </w:rPr>
      </w:pPr>
      <w:r w:rsidRPr="00C332F1">
        <w:rPr>
          <w:rFonts w:ascii="Cambria" w:hAnsi="Cambria"/>
          <w:sz w:val="20"/>
          <w:szCs w:val="20"/>
          <w:lang w:val="es-ES"/>
        </w:rPr>
        <w:t>Adoptar</w:t>
      </w:r>
      <w:r w:rsidRPr="00C332F1">
        <w:rPr>
          <w:rFonts w:ascii="Cambria" w:hAnsi="Cambria" w:cs="Segoe UI"/>
          <w:color w:val="000000"/>
          <w:sz w:val="20"/>
          <w:szCs w:val="20"/>
          <w:lang w:val="es-US"/>
        </w:rPr>
        <w:t xml:space="preserve"> las medidas necesarias para dar cumplimiento efectivo a las observaciones finales del Comité para la Eliminación de la Discriminación Racial (CERD) de Naciones Unidas, sobre los informes periódicos 22º a 24º de Venezuela.</w:t>
      </w:r>
    </w:p>
    <w:p w14:paraId="4F013C6C" w14:textId="77777777" w:rsidR="00DA4140" w:rsidRPr="00C332F1" w:rsidRDefault="00DA4140" w:rsidP="00092338">
      <w:pPr>
        <w:pStyle w:val="ListParagraph"/>
        <w:pBdr>
          <w:top w:val="nil"/>
          <w:left w:val="nil"/>
          <w:bottom w:val="nil"/>
          <w:right w:val="nil"/>
          <w:between w:val="nil"/>
        </w:pBdr>
        <w:spacing w:after="240"/>
        <w:ind w:left="1440"/>
        <w:jc w:val="both"/>
        <w:rPr>
          <w:rFonts w:ascii="Cambria" w:hAnsi="Cambria" w:cs="Segoe UI"/>
          <w:color w:val="000000"/>
          <w:sz w:val="20"/>
          <w:szCs w:val="20"/>
          <w:lang w:val="es-US"/>
        </w:rPr>
      </w:pPr>
    </w:p>
    <w:p w14:paraId="452FC39D" w14:textId="5845B9F6" w:rsidR="00DA4140" w:rsidRPr="00C332F1" w:rsidRDefault="00473311" w:rsidP="00092338">
      <w:pPr>
        <w:pStyle w:val="ListParagraph"/>
        <w:numPr>
          <w:ilvl w:val="0"/>
          <w:numId w:val="17"/>
        </w:numPr>
        <w:pBdr>
          <w:top w:val="nil"/>
          <w:left w:val="nil"/>
          <w:bottom w:val="nil"/>
          <w:right w:val="nil"/>
          <w:between w:val="nil"/>
        </w:pBdr>
        <w:spacing w:after="240"/>
        <w:ind w:left="1440" w:hanging="720"/>
        <w:jc w:val="both"/>
        <w:rPr>
          <w:rFonts w:ascii="Cambria" w:hAnsi="Cambria" w:cs="Segoe UI"/>
          <w:color w:val="000000"/>
          <w:sz w:val="20"/>
          <w:szCs w:val="20"/>
          <w:lang w:val="es-US"/>
        </w:rPr>
      </w:pPr>
      <w:r w:rsidRPr="00C332F1">
        <w:rPr>
          <w:rFonts w:ascii="Cambria" w:hAnsi="Cambria" w:cs="Segoe UI"/>
          <w:color w:val="000000"/>
          <w:sz w:val="20"/>
          <w:szCs w:val="20"/>
          <w:lang w:val="es-US"/>
        </w:rPr>
        <w:t xml:space="preserve">Adoptar políticas para garantizar el goce efectivo de los derechos económicos, sociales, culturales y ambientales </w:t>
      </w:r>
      <w:r w:rsidR="00E051CA" w:rsidRPr="00C332F1">
        <w:rPr>
          <w:rFonts w:ascii="Cambria" w:hAnsi="Cambria" w:cs="Segoe UI"/>
          <w:color w:val="000000"/>
          <w:sz w:val="20"/>
          <w:szCs w:val="20"/>
          <w:lang w:val="es-US"/>
        </w:rPr>
        <w:t>de</w:t>
      </w:r>
      <w:r w:rsidRPr="00C332F1">
        <w:rPr>
          <w:rFonts w:ascii="Cambria" w:hAnsi="Cambria" w:cs="Segoe UI"/>
          <w:color w:val="000000"/>
          <w:sz w:val="20"/>
          <w:szCs w:val="20"/>
          <w:lang w:val="es-US"/>
        </w:rPr>
        <w:t xml:space="preserve"> las personas afrodescendientes, con perspectiva interseccional y enfoque en mujeres afrodescendientes. En particular</w:t>
      </w:r>
      <w:r w:rsidR="00F70D33" w:rsidRPr="00C332F1">
        <w:rPr>
          <w:rFonts w:ascii="Cambria" w:hAnsi="Cambria" w:cs="Segoe UI"/>
          <w:color w:val="000000"/>
          <w:sz w:val="20"/>
          <w:szCs w:val="20"/>
          <w:lang w:val="es-US"/>
        </w:rPr>
        <w:t>,</w:t>
      </w:r>
      <w:r w:rsidRPr="00C332F1">
        <w:rPr>
          <w:rFonts w:ascii="Cambria" w:hAnsi="Cambria" w:cs="Segoe UI"/>
          <w:color w:val="000000"/>
          <w:sz w:val="20"/>
          <w:szCs w:val="20"/>
          <w:lang w:val="es-US"/>
        </w:rPr>
        <w:t xml:space="preserve"> asegurar el acceso a la educación, salud, trabajo, agua potable y medio ambiente sano.</w:t>
      </w:r>
      <w:r w:rsidR="00D02C5C" w:rsidRPr="00C332F1">
        <w:rPr>
          <w:rFonts w:ascii="Cambria" w:hAnsi="Cambria" w:cs="Segoe UI"/>
          <w:color w:val="000000"/>
          <w:sz w:val="20"/>
          <w:szCs w:val="20"/>
          <w:lang w:val="es-US"/>
        </w:rPr>
        <w:t xml:space="preserve"> </w:t>
      </w:r>
    </w:p>
    <w:p w14:paraId="547026B7" w14:textId="77777777" w:rsidR="00DA4140" w:rsidRPr="00C332F1" w:rsidRDefault="00DA4140" w:rsidP="00092338">
      <w:pPr>
        <w:pStyle w:val="ListParagraph"/>
        <w:jc w:val="both"/>
        <w:rPr>
          <w:rFonts w:ascii="Cambria" w:hAnsi="Cambria" w:cs="Segoe UI"/>
          <w:color w:val="000000"/>
          <w:sz w:val="20"/>
          <w:szCs w:val="20"/>
          <w:lang w:val="es-US"/>
        </w:rPr>
      </w:pPr>
    </w:p>
    <w:p w14:paraId="6E13D5EC" w14:textId="3EDE8E41" w:rsidR="001E4109" w:rsidRPr="00C332F1" w:rsidRDefault="00473311" w:rsidP="00092338">
      <w:pPr>
        <w:pStyle w:val="ListParagraph"/>
        <w:numPr>
          <w:ilvl w:val="0"/>
          <w:numId w:val="17"/>
        </w:numPr>
        <w:pBdr>
          <w:top w:val="nil"/>
          <w:left w:val="nil"/>
          <w:bottom w:val="nil"/>
          <w:right w:val="nil"/>
          <w:between w:val="nil"/>
        </w:pBdr>
        <w:ind w:left="1440" w:hanging="720"/>
        <w:jc w:val="both"/>
        <w:rPr>
          <w:rFonts w:ascii="Cambria" w:hAnsi="Cambria" w:cs="Segoe UI"/>
          <w:color w:val="000000"/>
          <w:sz w:val="20"/>
          <w:szCs w:val="20"/>
          <w:lang w:val="es-US"/>
        </w:rPr>
      </w:pPr>
      <w:r w:rsidRPr="00C332F1">
        <w:rPr>
          <w:rFonts w:ascii="Cambria" w:hAnsi="Cambria" w:cs="Segoe UI"/>
          <w:color w:val="000000"/>
          <w:sz w:val="20"/>
          <w:szCs w:val="20"/>
          <w:lang w:val="es-US"/>
        </w:rPr>
        <w:t>Adoptar acciones afirmativas que promuevan y faciliten la participación efectiva de las personas afrodescendientes en espacios de toma de decisiones, garantizando igualdad de condiciones y oportunidades para su acceso y representación. </w:t>
      </w:r>
    </w:p>
    <w:p w14:paraId="6756A587" w14:textId="77777777" w:rsidR="0024760E" w:rsidRPr="00C332F1" w:rsidRDefault="0024760E" w:rsidP="0024760E">
      <w:pPr>
        <w:pBdr>
          <w:top w:val="nil"/>
          <w:left w:val="nil"/>
          <w:bottom w:val="nil"/>
          <w:right w:val="nil"/>
          <w:between w:val="nil"/>
        </w:pBdr>
        <w:jc w:val="both"/>
        <w:rPr>
          <w:rFonts w:ascii="Cambria" w:hAnsi="Cambria" w:cs="Segoe UI"/>
          <w:color w:val="000000"/>
          <w:sz w:val="20"/>
          <w:szCs w:val="20"/>
          <w:lang w:val="es-US"/>
        </w:rPr>
      </w:pPr>
    </w:p>
    <w:p w14:paraId="315B8286" w14:textId="7D8302C8" w:rsidR="00E1063A" w:rsidRPr="00C332F1" w:rsidRDefault="00E1063A" w:rsidP="001E4109">
      <w:pPr>
        <w:pStyle w:val="IASubttulo2"/>
        <w:numPr>
          <w:ilvl w:val="0"/>
          <w:numId w:val="0"/>
        </w:numPr>
        <w:spacing w:after="0" w:line="259" w:lineRule="auto"/>
        <w:rPr>
          <w:szCs w:val="20"/>
          <w:lang w:val="es-US"/>
        </w:rPr>
      </w:pPr>
      <w:bookmarkStart w:id="49" w:name="_Toc195617493"/>
      <w:r w:rsidRPr="00C332F1">
        <w:rPr>
          <w:szCs w:val="20"/>
          <w:lang w:val="es-US"/>
        </w:rPr>
        <w:t>P</w:t>
      </w:r>
      <w:r w:rsidR="00B84900" w:rsidRPr="00C332F1">
        <w:rPr>
          <w:szCs w:val="20"/>
          <w:lang w:val="es-US"/>
        </w:rPr>
        <w:t>ueblos</w:t>
      </w:r>
      <w:r w:rsidRPr="00C332F1">
        <w:rPr>
          <w:szCs w:val="20"/>
          <w:lang w:val="es-US"/>
        </w:rPr>
        <w:t xml:space="preserve"> indígenas</w:t>
      </w:r>
      <w:bookmarkEnd w:id="49"/>
    </w:p>
    <w:p w14:paraId="41A85F07" w14:textId="77777777" w:rsidR="001E4109" w:rsidRPr="00C332F1" w:rsidRDefault="001E4109" w:rsidP="001E4109">
      <w:pPr>
        <w:pStyle w:val="IASubttulo2"/>
        <w:numPr>
          <w:ilvl w:val="0"/>
          <w:numId w:val="0"/>
        </w:numPr>
        <w:spacing w:after="0" w:line="259" w:lineRule="auto"/>
        <w:rPr>
          <w:szCs w:val="20"/>
          <w:lang w:val="es-US"/>
        </w:rPr>
      </w:pPr>
    </w:p>
    <w:p w14:paraId="3AF40AEA" w14:textId="77777777" w:rsidR="00DA4140" w:rsidRPr="00C332F1" w:rsidRDefault="00E729AE" w:rsidP="00092338">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US"/>
        </w:rPr>
      </w:pPr>
      <w:r w:rsidRPr="00C332F1">
        <w:rPr>
          <w:rFonts w:ascii="Cambria" w:hAnsi="Cambria"/>
          <w:sz w:val="20"/>
          <w:szCs w:val="20"/>
          <w:lang w:val="es-US"/>
        </w:rPr>
        <w:t>Garantizar la libre determinación y</w:t>
      </w:r>
      <w:r w:rsidR="00544609" w:rsidRPr="00C332F1">
        <w:rPr>
          <w:rFonts w:ascii="Cambria" w:hAnsi="Cambria"/>
          <w:sz w:val="20"/>
          <w:szCs w:val="20"/>
          <w:lang w:val="es-US"/>
        </w:rPr>
        <w:t xml:space="preserve"> el derecho al territorio de pueblos indígenas</w:t>
      </w:r>
      <w:r w:rsidR="00704E17" w:rsidRPr="00C332F1">
        <w:rPr>
          <w:rFonts w:ascii="Cambria" w:hAnsi="Cambria"/>
          <w:sz w:val="20"/>
          <w:szCs w:val="20"/>
          <w:lang w:val="es-US"/>
        </w:rPr>
        <w:t>,</w:t>
      </w:r>
      <w:r w:rsidR="00544609" w:rsidRPr="00C332F1">
        <w:rPr>
          <w:rFonts w:ascii="Cambria" w:hAnsi="Cambria"/>
          <w:sz w:val="20"/>
          <w:szCs w:val="20"/>
          <w:lang w:val="es-US"/>
        </w:rPr>
        <w:t xml:space="preserve"> </w:t>
      </w:r>
      <w:r w:rsidR="005C3F83" w:rsidRPr="00C332F1">
        <w:rPr>
          <w:rFonts w:ascii="Cambria" w:hAnsi="Cambria"/>
          <w:sz w:val="20"/>
          <w:szCs w:val="20"/>
          <w:lang w:val="es-US"/>
        </w:rPr>
        <w:t xml:space="preserve">en </w:t>
      </w:r>
      <w:r w:rsidR="00544609" w:rsidRPr="00C332F1">
        <w:rPr>
          <w:rFonts w:ascii="Cambria" w:hAnsi="Cambria"/>
          <w:sz w:val="20"/>
          <w:szCs w:val="20"/>
          <w:lang w:val="es-US"/>
        </w:rPr>
        <w:t>particular, frente a los impactos de la minería ilegal y otras economías ilícitas</w:t>
      </w:r>
      <w:r w:rsidR="00704E17" w:rsidRPr="00C332F1">
        <w:rPr>
          <w:rFonts w:ascii="Cambria" w:hAnsi="Cambria"/>
          <w:sz w:val="20"/>
          <w:szCs w:val="20"/>
          <w:lang w:val="es-US"/>
        </w:rPr>
        <w:t xml:space="preserve"> en el Arco Minero del Orinoco. </w:t>
      </w:r>
    </w:p>
    <w:p w14:paraId="0534FCA7" w14:textId="77777777" w:rsidR="00DA4140" w:rsidRPr="00C332F1" w:rsidRDefault="00DA4140" w:rsidP="00092338">
      <w:pPr>
        <w:pStyle w:val="ListParagraph"/>
        <w:pBdr>
          <w:top w:val="nil"/>
          <w:left w:val="nil"/>
          <w:bottom w:val="nil"/>
          <w:right w:val="nil"/>
          <w:between w:val="nil"/>
        </w:pBdr>
        <w:spacing w:after="240"/>
        <w:ind w:left="1440"/>
        <w:jc w:val="both"/>
        <w:rPr>
          <w:rFonts w:ascii="Cambria" w:hAnsi="Cambria"/>
          <w:sz w:val="20"/>
          <w:szCs w:val="20"/>
          <w:lang w:val="es-US"/>
        </w:rPr>
      </w:pPr>
    </w:p>
    <w:p w14:paraId="6AB98EBE" w14:textId="77777777" w:rsidR="00DA4140" w:rsidRPr="00C332F1" w:rsidRDefault="004E344B" w:rsidP="00092338">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US"/>
        </w:rPr>
      </w:pPr>
      <w:r w:rsidRPr="00C332F1">
        <w:rPr>
          <w:rFonts w:ascii="Cambria" w:hAnsi="Cambria"/>
          <w:sz w:val="20"/>
          <w:szCs w:val="20"/>
          <w:lang w:val="es-US"/>
        </w:rPr>
        <w:t>Garantizar el acceso equitativo y culturalmente adecuado a servicios de salud y de educación de calidad por medio de políticas y programas con un enfoque intercultural e interseccional. </w:t>
      </w:r>
    </w:p>
    <w:p w14:paraId="6BA5EE08" w14:textId="77777777" w:rsidR="00DA4140" w:rsidRPr="00C332F1" w:rsidRDefault="00DA4140" w:rsidP="00092338">
      <w:pPr>
        <w:pStyle w:val="ListParagraph"/>
        <w:jc w:val="both"/>
        <w:rPr>
          <w:rFonts w:ascii="Cambria" w:hAnsi="Cambria" w:cs="Arial"/>
          <w:sz w:val="20"/>
          <w:szCs w:val="20"/>
          <w:shd w:val="clear" w:color="auto" w:fill="FFFFFF"/>
          <w:lang w:val="es-US"/>
        </w:rPr>
      </w:pPr>
    </w:p>
    <w:p w14:paraId="73F06FD7" w14:textId="2FA5123E" w:rsidR="00707D8E" w:rsidRPr="00B26A25" w:rsidRDefault="00D05000" w:rsidP="00092338">
      <w:pPr>
        <w:pStyle w:val="ListParagraph"/>
        <w:numPr>
          <w:ilvl w:val="0"/>
          <w:numId w:val="17"/>
        </w:numPr>
        <w:pBdr>
          <w:top w:val="nil"/>
          <w:left w:val="nil"/>
          <w:bottom w:val="nil"/>
          <w:right w:val="nil"/>
          <w:between w:val="nil"/>
        </w:pBdr>
        <w:spacing w:after="240"/>
        <w:ind w:left="1440" w:hanging="720"/>
        <w:jc w:val="both"/>
        <w:rPr>
          <w:rFonts w:ascii="Cambria" w:hAnsi="Cambria"/>
          <w:sz w:val="20"/>
          <w:szCs w:val="20"/>
          <w:lang w:val="es-US"/>
        </w:rPr>
      </w:pPr>
      <w:r w:rsidRPr="00C332F1">
        <w:rPr>
          <w:rFonts w:ascii="Cambria" w:hAnsi="Cambria" w:cs="Arial"/>
          <w:sz w:val="20"/>
          <w:szCs w:val="20"/>
          <w:shd w:val="clear" w:color="auto" w:fill="FFFFFF"/>
          <w:lang w:val="es-US"/>
        </w:rPr>
        <w:t xml:space="preserve">Garantizar el derecho a la consulta previa, libre e informada </w:t>
      </w:r>
      <w:r w:rsidR="00C17E9E" w:rsidRPr="00C332F1">
        <w:rPr>
          <w:rFonts w:ascii="Cambria" w:hAnsi="Cambria" w:cs="Arial"/>
          <w:sz w:val="20"/>
          <w:szCs w:val="20"/>
          <w:shd w:val="clear" w:color="auto" w:fill="FFFFFF"/>
          <w:lang w:val="es-US"/>
        </w:rPr>
        <w:t xml:space="preserve">respecto de toda </w:t>
      </w:r>
      <w:r w:rsidRPr="00C332F1">
        <w:rPr>
          <w:rFonts w:ascii="Cambria" w:hAnsi="Cambria" w:cs="Arial"/>
          <w:sz w:val="20"/>
          <w:szCs w:val="20"/>
          <w:shd w:val="clear" w:color="auto" w:fill="FFFFFF"/>
          <w:lang w:val="es-US"/>
        </w:rPr>
        <w:t>medida que pudieran afectar a los pueblos indígenas de manera directa o indirecta.</w:t>
      </w:r>
    </w:p>
    <w:p w14:paraId="5F427347" w14:textId="77777777" w:rsidR="00B26A25" w:rsidRPr="00B26A25" w:rsidRDefault="00B26A25" w:rsidP="00B26A25">
      <w:pPr>
        <w:pStyle w:val="ListParagraph"/>
        <w:rPr>
          <w:rFonts w:ascii="Cambria" w:hAnsi="Cambria"/>
          <w:sz w:val="20"/>
          <w:szCs w:val="20"/>
          <w:lang w:val="es-US"/>
        </w:rPr>
      </w:pPr>
    </w:p>
    <w:p w14:paraId="6C143BAE" w14:textId="77777777" w:rsidR="00B26A25" w:rsidRDefault="00B26A25" w:rsidP="00B26A25">
      <w:pPr>
        <w:pBdr>
          <w:top w:val="nil"/>
          <w:left w:val="nil"/>
          <w:bottom w:val="nil"/>
          <w:right w:val="nil"/>
          <w:between w:val="nil"/>
        </w:pBdr>
        <w:spacing w:after="240"/>
        <w:jc w:val="both"/>
        <w:rPr>
          <w:rFonts w:ascii="Cambria" w:hAnsi="Cambria"/>
          <w:sz w:val="20"/>
          <w:szCs w:val="20"/>
          <w:lang w:val="es-US"/>
        </w:rPr>
      </w:pPr>
    </w:p>
    <w:p w14:paraId="0FE90C54" w14:textId="77777777" w:rsidR="00B26A25" w:rsidRDefault="00B26A25" w:rsidP="00B26A25">
      <w:pPr>
        <w:pBdr>
          <w:top w:val="nil"/>
          <w:left w:val="nil"/>
          <w:bottom w:val="nil"/>
          <w:right w:val="nil"/>
          <w:between w:val="nil"/>
        </w:pBdr>
        <w:spacing w:after="240"/>
        <w:jc w:val="both"/>
        <w:rPr>
          <w:rFonts w:ascii="Cambria" w:hAnsi="Cambria"/>
          <w:sz w:val="20"/>
          <w:szCs w:val="20"/>
          <w:lang w:val="es-US"/>
        </w:rPr>
      </w:pPr>
    </w:p>
    <w:p w14:paraId="352E4604" w14:textId="77777777" w:rsidR="00B26A25" w:rsidRDefault="00B26A25" w:rsidP="00B26A25">
      <w:pPr>
        <w:pBdr>
          <w:top w:val="nil"/>
          <w:left w:val="nil"/>
          <w:bottom w:val="nil"/>
          <w:right w:val="nil"/>
          <w:between w:val="nil"/>
        </w:pBdr>
        <w:spacing w:after="240"/>
        <w:jc w:val="both"/>
        <w:rPr>
          <w:rFonts w:ascii="Cambria" w:hAnsi="Cambria"/>
          <w:sz w:val="20"/>
          <w:szCs w:val="20"/>
          <w:lang w:val="es-US"/>
        </w:rPr>
      </w:pPr>
    </w:p>
    <w:p w14:paraId="0EBFFD95" w14:textId="77777777" w:rsidR="00B26A25" w:rsidRDefault="00B26A25" w:rsidP="00B26A25">
      <w:pPr>
        <w:pBdr>
          <w:top w:val="nil"/>
          <w:left w:val="nil"/>
          <w:bottom w:val="nil"/>
          <w:right w:val="nil"/>
          <w:between w:val="nil"/>
        </w:pBdr>
        <w:spacing w:after="240"/>
        <w:jc w:val="both"/>
        <w:rPr>
          <w:rFonts w:ascii="Cambria" w:hAnsi="Cambria"/>
          <w:sz w:val="20"/>
          <w:szCs w:val="20"/>
          <w:lang w:val="es-US"/>
        </w:rPr>
      </w:pPr>
    </w:p>
    <w:p w14:paraId="40CCEC34" w14:textId="77777777" w:rsidR="00B26A25" w:rsidRDefault="00B26A25" w:rsidP="00B26A25">
      <w:pPr>
        <w:pBdr>
          <w:top w:val="nil"/>
          <w:left w:val="nil"/>
          <w:bottom w:val="nil"/>
          <w:right w:val="nil"/>
          <w:between w:val="nil"/>
        </w:pBdr>
        <w:spacing w:after="240"/>
        <w:jc w:val="both"/>
        <w:rPr>
          <w:rFonts w:ascii="Cambria" w:hAnsi="Cambria"/>
          <w:sz w:val="20"/>
          <w:szCs w:val="20"/>
          <w:lang w:val="es-US"/>
        </w:rPr>
      </w:pPr>
    </w:p>
    <w:p w14:paraId="649C613D" w14:textId="77777777" w:rsidR="00B26A25" w:rsidRPr="00B26A25" w:rsidRDefault="00B26A25" w:rsidP="00B26A25">
      <w:pPr>
        <w:pStyle w:val="IACaptulo"/>
        <w:rPr>
          <w:rFonts w:ascii="Cambria" w:hAnsi="Cambria"/>
          <w:szCs w:val="32"/>
          <w:lang w:val="es-AR"/>
        </w:rPr>
      </w:pPr>
      <w:bookmarkStart w:id="50" w:name="Voto_Razonado"/>
      <w:r w:rsidRPr="00B26A25">
        <w:rPr>
          <w:rFonts w:ascii="Cambria" w:hAnsi="Cambria"/>
          <w:szCs w:val="32"/>
          <w:lang w:val="es-AR"/>
        </w:rPr>
        <w:t>VOTO RAZONADO DEL COMISIONADO CARLOS BERNAL PULIDO FRENTE AL CAPÍTULO IV.B-VENEZUELA DEL INFORME ANUAL DE 2024</w:t>
      </w:r>
    </w:p>
    <w:bookmarkEnd w:id="50"/>
    <w:p w14:paraId="5E4B4A5C" w14:textId="77777777" w:rsidR="00B26A25" w:rsidRPr="00B26A25" w:rsidRDefault="00B26A25" w:rsidP="00B26A25">
      <w:pPr>
        <w:spacing w:after="160" w:line="259" w:lineRule="auto"/>
        <w:jc w:val="both"/>
        <w:rPr>
          <w:rFonts w:ascii="Cambria" w:eastAsia="Cambria" w:hAnsi="Cambria" w:cs="Cambria"/>
          <w:sz w:val="20"/>
          <w:szCs w:val="20"/>
          <w:lang w:val="es-AR"/>
        </w:rPr>
      </w:pPr>
      <w:r w:rsidRPr="00B26A25">
        <w:rPr>
          <w:rFonts w:ascii="Cambria" w:eastAsia="Cambria" w:hAnsi="Cambria" w:cs="Cambria"/>
          <w:sz w:val="20"/>
          <w:szCs w:val="20"/>
          <w:lang w:val="es-AR"/>
        </w:rPr>
        <w:t>Con el acostumbrado respeto a mis colegas y de conformidad con el artículo 19.1 del Reglamento de la Comisión Interamericana de Derechos Humanos (“la Comisión” o “la CIDH”), presento voto razonado parcial frente a algunos puntos que la mayoría del pleno de la Ilustre Comisión planteó en el Capítulo IV.B correspondiente al Estado de Venezuela (“el Capítulo” o “Capítulo IV.B-Venezuela”), del Informe Anual 2024 (el “Informe” o el “Informe Anual”).</w:t>
      </w:r>
    </w:p>
    <w:p w14:paraId="09709D2B" w14:textId="77777777" w:rsidR="00B26A25" w:rsidRPr="00B26A25" w:rsidRDefault="00B26A25" w:rsidP="00B26A25">
      <w:pPr>
        <w:spacing w:after="160" w:line="259" w:lineRule="auto"/>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Sin perjuicio de las observaciones que presentaré en este voto, resalto el relevante impacto que tiene el trabajo realizado por la CIDH en este capítulo para la garantía de los derechos humanos. Sin perjuicio de ello, en este voto razonado analizaré, especialmente, aspectos incorporados al Capítulo sobre derechos sexuales y reproductivos, aborto, e identidad de género.  </w:t>
      </w:r>
    </w:p>
    <w:p w14:paraId="404A23C2" w14:textId="77777777" w:rsidR="00B26A25" w:rsidRPr="00B26A25" w:rsidRDefault="00B26A25" w:rsidP="00B26A25">
      <w:pPr>
        <w:spacing w:after="160"/>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En particular expondré que el Capítulo IV.B: (i) contiene consideraciones que suponen un riesgo para las personas en gestación y desconocen necesidades integrales de las mujeres; (ii) presenta un abordaje insuficiente en relación con la aprobación y uso de métodos anticonceptivos; y (iii) </w:t>
      </w:r>
      <w:r w:rsidRPr="00B26A25">
        <w:rPr>
          <w:rFonts w:ascii="Cambria" w:eastAsia="Cambria" w:hAnsi="Cambria" w:cs="Cambria"/>
          <w:color w:val="191919"/>
          <w:sz w:val="20"/>
          <w:szCs w:val="20"/>
          <w:highlight w:val="white"/>
          <w:lang w:val="es-AR"/>
        </w:rPr>
        <w:t>incurre en imprecisiones en relación con los derechos de personas LGTBI.</w:t>
      </w:r>
    </w:p>
    <w:p w14:paraId="774A9899" w14:textId="22B9AA75" w:rsidR="00B26A25" w:rsidRPr="00512184" w:rsidRDefault="00B26A25" w:rsidP="00512184">
      <w:pPr>
        <w:pStyle w:val="IASubttulo3"/>
        <w:numPr>
          <w:ilvl w:val="0"/>
          <w:numId w:val="37"/>
        </w:numPr>
        <w:suppressAutoHyphens/>
        <w:jc w:val="both"/>
        <w:rPr>
          <w:szCs w:val="20"/>
          <w:lang w:val="es-AR"/>
        </w:rPr>
      </w:pPr>
      <w:bookmarkStart w:id="51" w:name="_Toc195617494"/>
      <w:r w:rsidRPr="00512184">
        <w:rPr>
          <w:szCs w:val="20"/>
          <w:lang w:val="es-AR"/>
        </w:rPr>
        <w:t>El Capítulo IV-</w:t>
      </w:r>
      <w:r w:rsidR="00D97434">
        <w:rPr>
          <w:szCs w:val="20"/>
          <w:lang w:val="es-AR"/>
        </w:rPr>
        <w:t>B</w:t>
      </w:r>
      <w:r w:rsidRPr="00512184">
        <w:rPr>
          <w:szCs w:val="20"/>
          <w:lang w:val="es-AR"/>
        </w:rPr>
        <w:t xml:space="preserve"> contiene consideraciones que suponen un riesgo para las personas en gestación y desconocen necesidades integrales de las mujeres</w:t>
      </w:r>
      <w:bookmarkEnd w:id="51"/>
    </w:p>
    <w:p w14:paraId="03CD1E98" w14:textId="431C4023" w:rsidR="00B26A25" w:rsidRPr="00B26A25" w:rsidRDefault="00B26A25" w:rsidP="00B26A25">
      <w:pPr>
        <w:spacing w:before="240" w:after="240"/>
        <w:jc w:val="both"/>
        <w:rPr>
          <w:rFonts w:ascii="Cambria" w:eastAsia="Cambria" w:hAnsi="Cambria" w:cs="Cambria"/>
          <w:color w:val="191919"/>
          <w:sz w:val="20"/>
          <w:szCs w:val="20"/>
          <w:highlight w:val="white"/>
          <w:lang w:val="es-AR"/>
        </w:rPr>
      </w:pPr>
      <w:r w:rsidRPr="00B26A25">
        <w:rPr>
          <w:rFonts w:ascii="Cambria" w:eastAsia="Cambria" w:hAnsi="Cambria" w:cs="Cambria"/>
          <w:color w:val="191919"/>
          <w:sz w:val="20"/>
          <w:szCs w:val="20"/>
          <w:highlight w:val="white"/>
          <w:lang w:val="es-AR"/>
        </w:rPr>
        <w:t>En el párrafo 1</w:t>
      </w:r>
      <w:r w:rsidR="005B09F3">
        <w:rPr>
          <w:rFonts w:ascii="Cambria" w:eastAsia="Cambria" w:hAnsi="Cambria" w:cs="Cambria"/>
          <w:color w:val="191919"/>
          <w:sz w:val="20"/>
          <w:szCs w:val="20"/>
          <w:highlight w:val="white"/>
          <w:lang w:val="es-AR"/>
        </w:rPr>
        <w:t>88</w:t>
      </w:r>
      <w:r w:rsidRPr="00B26A25">
        <w:rPr>
          <w:rFonts w:ascii="Cambria" w:eastAsia="Cambria" w:hAnsi="Cambria" w:cs="Cambria"/>
          <w:color w:val="191919"/>
          <w:sz w:val="20"/>
          <w:szCs w:val="20"/>
          <w:highlight w:val="white"/>
          <w:lang w:val="es-AR"/>
        </w:rPr>
        <w:t xml:space="preserve"> del Informe, se menciona que “[...] persiste la falta de protocolos médicos para la provisión de servicios de aborto terapéutico, el único permitido en la ley, por lo tanto, las personas que buscan un aborto recurren a prácticas inseguras, o deben trasladarse a otros países, como Colombia, para acceder a este servicio de salud”. </w:t>
      </w:r>
    </w:p>
    <w:p w14:paraId="6F1B6E2E" w14:textId="2BD9125B" w:rsidR="00B26A25" w:rsidRPr="00B26A25" w:rsidRDefault="00B26A25" w:rsidP="00B26A25">
      <w:pPr>
        <w:spacing w:before="240" w:after="240"/>
        <w:jc w:val="both"/>
        <w:rPr>
          <w:rFonts w:ascii="Cambria" w:eastAsia="Cambria" w:hAnsi="Cambria" w:cs="Cambria"/>
          <w:color w:val="191919"/>
          <w:sz w:val="20"/>
          <w:szCs w:val="20"/>
          <w:highlight w:val="white"/>
          <w:lang w:val="es-AR"/>
        </w:rPr>
      </w:pPr>
      <w:r w:rsidRPr="00B26A25">
        <w:rPr>
          <w:rFonts w:ascii="Cambria" w:eastAsia="Cambria" w:hAnsi="Cambria" w:cs="Cambria"/>
          <w:color w:val="191919"/>
          <w:sz w:val="20"/>
          <w:szCs w:val="20"/>
          <w:highlight w:val="white"/>
          <w:lang w:val="es-AR"/>
        </w:rPr>
        <w:t>El párrafo 1</w:t>
      </w:r>
      <w:r w:rsidR="0014536A">
        <w:rPr>
          <w:rFonts w:ascii="Cambria" w:eastAsia="Cambria" w:hAnsi="Cambria" w:cs="Cambria"/>
          <w:color w:val="191919"/>
          <w:sz w:val="20"/>
          <w:szCs w:val="20"/>
          <w:highlight w:val="white"/>
          <w:lang w:val="es-AR"/>
        </w:rPr>
        <w:t>8</w:t>
      </w:r>
      <w:r w:rsidRPr="00B26A25">
        <w:rPr>
          <w:rFonts w:ascii="Cambria" w:eastAsia="Cambria" w:hAnsi="Cambria" w:cs="Cambria"/>
          <w:color w:val="191919"/>
          <w:sz w:val="20"/>
          <w:szCs w:val="20"/>
          <w:highlight w:val="white"/>
          <w:lang w:val="es-AR"/>
        </w:rPr>
        <w:t xml:space="preserve">9, establece que: “en el marco de lo anterior, la Comisión urge al Estado a adoptar medidas legislativas, presupuestarias, de política pública y cualquier otra medida que sea necesaria para garantizar, sin discriminación alguna, la disponibilidad, accesibilidad, pertinencia y calidad de los establecimientos, bienes y servicios de salud sexual y reproductiva, bajo un enfoque interseccional y de género, </w:t>
      </w:r>
      <w:r w:rsidRPr="00B26A25">
        <w:rPr>
          <w:rFonts w:ascii="Cambria" w:eastAsia="Cambria" w:hAnsi="Cambria" w:cs="Cambria"/>
          <w:b/>
          <w:color w:val="191919"/>
          <w:sz w:val="20"/>
          <w:szCs w:val="20"/>
          <w:highlight w:val="white"/>
          <w:lang w:val="es-AR"/>
        </w:rPr>
        <w:t>incluyendo el acceso a los servicios de salud para la interrupción voluntaria del embarazo”</w:t>
      </w:r>
      <w:r w:rsidRPr="00B26A25">
        <w:rPr>
          <w:rFonts w:ascii="Cambria" w:eastAsia="Cambria" w:hAnsi="Cambria" w:cs="Cambria"/>
          <w:color w:val="191919"/>
          <w:sz w:val="20"/>
          <w:szCs w:val="20"/>
          <w:highlight w:val="white"/>
          <w:lang w:val="es-AR"/>
        </w:rPr>
        <w:t>(Negrillas fuera del texto original).</w:t>
      </w:r>
    </w:p>
    <w:p w14:paraId="0A5EC710" w14:textId="4DCC35C7" w:rsidR="00B26A25" w:rsidRPr="00B26A25" w:rsidRDefault="00B26A25" w:rsidP="00B26A25">
      <w:pPr>
        <w:spacing w:before="240" w:after="240"/>
        <w:jc w:val="both"/>
        <w:rPr>
          <w:rFonts w:ascii="Cambria" w:eastAsia="Cambria" w:hAnsi="Cambria" w:cs="Cambria"/>
          <w:color w:val="191919"/>
          <w:sz w:val="20"/>
          <w:szCs w:val="20"/>
          <w:highlight w:val="white"/>
          <w:lang w:val="es-AR"/>
        </w:rPr>
      </w:pPr>
      <w:r w:rsidRPr="00B26A25">
        <w:rPr>
          <w:rFonts w:ascii="Cambria" w:eastAsia="Cambria" w:hAnsi="Cambria" w:cs="Cambria"/>
          <w:color w:val="191919"/>
          <w:sz w:val="20"/>
          <w:szCs w:val="20"/>
          <w:highlight w:val="white"/>
          <w:lang w:val="es-AR"/>
        </w:rPr>
        <w:t>En coherencia con ello, en la recomendación 2</w:t>
      </w:r>
      <w:r w:rsidR="008F0CFE">
        <w:rPr>
          <w:rFonts w:ascii="Cambria" w:eastAsia="Cambria" w:hAnsi="Cambria" w:cs="Cambria"/>
          <w:color w:val="191919"/>
          <w:sz w:val="20"/>
          <w:szCs w:val="20"/>
          <w:highlight w:val="white"/>
          <w:lang w:val="es-AR"/>
        </w:rPr>
        <w:t>7</w:t>
      </w:r>
      <w:r w:rsidRPr="00B26A25">
        <w:rPr>
          <w:rFonts w:ascii="Cambria" w:eastAsia="Cambria" w:hAnsi="Cambria" w:cs="Cambria"/>
          <w:color w:val="191919"/>
          <w:sz w:val="20"/>
          <w:szCs w:val="20"/>
          <w:highlight w:val="white"/>
          <w:lang w:val="es-AR"/>
        </w:rPr>
        <w:t xml:space="preserve"> se establece: “</w:t>
      </w:r>
      <w:r w:rsidRPr="00B26A25">
        <w:rPr>
          <w:rFonts w:ascii="Cambria" w:eastAsia="Cambria" w:hAnsi="Cambria" w:cs="Cambria"/>
          <w:b/>
          <w:color w:val="191919"/>
          <w:sz w:val="20"/>
          <w:szCs w:val="20"/>
          <w:highlight w:val="white"/>
          <w:lang w:val="es-AR"/>
        </w:rPr>
        <w:t xml:space="preserve">Revisar la legislación interna en materia de interrupción voluntaria del embarazo, de forma que se garantice el ejercicio efectivo de los derechos sexuales y reproductivos de niñas, mujeres y personas gestantes de todas las edades” </w:t>
      </w:r>
      <w:r w:rsidRPr="00B26A25">
        <w:rPr>
          <w:rFonts w:ascii="Cambria" w:eastAsia="Cambria" w:hAnsi="Cambria" w:cs="Cambria"/>
          <w:color w:val="191919"/>
          <w:sz w:val="20"/>
          <w:szCs w:val="20"/>
          <w:highlight w:val="white"/>
          <w:lang w:val="es-AR"/>
        </w:rPr>
        <w:t>(Negrillas fuera del texto original).</w:t>
      </w:r>
    </w:p>
    <w:p w14:paraId="71075719" w14:textId="77777777" w:rsidR="00B26A25" w:rsidRPr="00B26A25" w:rsidRDefault="00B26A25" w:rsidP="00B26A25">
      <w:pPr>
        <w:spacing w:after="160" w:line="259" w:lineRule="auto"/>
        <w:jc w:val="both"/>
        <w:rPr>
          <w:rFonts w:ascii="Cambria" w:eastAsia="Cambria" w:hAnsi="Cambria" w:cs="Cambria"/>
          <w:sz w:val="20"/>
          <w:szCs w:val="20"/>
          <w:lang w:val="es-AR"/>
        </w:rPr>
      </w:pPr>
      <w:r w:rsidRPr="00B26A25">
        <w:rPr>
          <w:rFonts w:ascii="Cambria" w:eastAsia="Cambria" w:hAnsi="Cambria" w:cs="Cambria"/>
          <w:sz w:val="20"/>
          <w:szCs w:val="20"/>
          <w:lang w:val="es-AR"/>
        </w:rPr>
        <w:t>A continuación, abordaré los siguientes asuntos: (i) la inexistencia del derecho al aborto y el margen de configuración estatal; (ii) el déficit de protección al no nacido; (iii) la limitación inadecuada de los derechos sexuales y reproductivos que se deriva del capítulo; y (iii) la invisibilización de las mujeres con el uso de algunos términos.</w:t>
      </w:r>
    </w:p>
    <w:p w14:paraId="41A55351" w14:textId="77777777" w:rsidR="00B26A25" w:rsidRPr="00B26A25" w:rsidRDefault="00B26A25" w:rsidP="00B26A25">
      <w:pPr>
        <w:numPr>
          <w:ilvl w:val="1"/>
          <w:numId w:val="35"/>
        </w:numPr>
        <w:spacing w:after="160" w:line="259" w:lineRule="auto"/>
        <w:jc w:val="both"/>
        <w:rPr>
          <w:rFonts w:ascii="Cambria" w:eastAsia="Cambria" w:hAnsi="Cambria" w:cs="Cambria"/>
          <w:b/>
          <w:sz w:val="20"/>
          <w:szCs w:val="20"/>
          <w:lang w:val="es-AR"/>
        </w:rPr>
      </w:pPr>
      <w:r w:rsidRPr="00B26A25">
        <w:rPr>
          <w:rFonts w:ascii="Cambria" w:eastAsia="Cambria" w:hAnsi="Cambria" w:cs="Cambria"/>
          <w:sz w:val="20"/>
          <w:szCs w:val="20"/>
          <w:lang w:val="es-AR"/>
        </w:rPr>
        <w:t xml:space="preserve"> </w:t>
      </w:r>
      <w:r w:rsidRPr="00B26A25">
        <w:rPr>
          <w:rFonts w:ascii="Cambria" w:eastAsia="Cambria" w:hAnsi="Cambria" w:cs="Cambria"/>
          <w:b/>
          <w:sz w:val="20"/>
          <w:szCs w:val="20"/>
          <w:lang w:val="es-AR"/>
        </w:rPr>
        <w:t>Inexistencia del derecho al aborto y el margen de configuración estatal</w:t>
      </w:r>
    </w:p>
    <w:p w14:paraId="7E7A205D" w14:textId="2023369A" w:rsidR="00B26A25" w:rsidRPr="00B26A25" w:rsidRDefault="00B26A25" w:rsidP="00B26A25">
      <w:pPr>
        <w:spacing w:after="160" w:line="259" w:lineRule="auto"/>
        <w:jc w:val="both"/>
        <w:rPr>
          <w:rFonts w:ascii="Cambria" w:eastAsia="Cambria" w:hAnsi="Cambria" w:cs="Cambria"/>
          <w:color w:val="191919"/>
          <w:sz w:val="20"/>
          <w:szCs w:val="20"/>
          <w:highlight w:val="white"/>
          <w:lang w:val="es-AR"/>
        </w:rPr>
      </w:pPr>
      <w:r w:rsidRPr="00B26A25">
        <w:rPr>
          <w:rFonts w:ascii="Cambria" w:eastAsia="Cambria" w:hAnsi="Cambria" w:cs="Cambria"/>
          <w:sz w:val="20"/>
          <w:szCs w:val="20"/>
          <w:lang w:val="es-AR"/>
        </w:rPr>
        <w:t>En primer lugar, reitero que no existen fuentes vinculantes en el derecho internacional -y especialmente en la Convención Americana u otros tratados que integran el Sistema Interamericano- que contemplen (i) el denominado derecho al aborto o (ii) una correlativa obligación para los Estados de prestar servicios de aborto. Bajo este marco, los Estados cuentan con un amplio margen de configuración –en virtud de los principios de subsidiariedad o complementariedad y de democracia representativa– para tomar medidas de protección de la vida prenatal –que sí está protegida por la Convención Americana</w:t>
      </w:r>
      <w:r w:rsidR="00A14F05">
        <w:rPr>
          <w:rFonts w:ascii="ZWAdobeF" w:eastAsia="Cambria" w:hAnsi="ZWAdobeF" w:cs="ZWAdobeF"/>
          <w:sz w:val="2"/>
          <w:szCs w:val="2"/>
          <w:lang w:val="es-AR"/>
        </w:rPr>
        <w:t>411F</w:t>
      </w:r>
      <w:r w:rsidRPr="005C52BD">
        <w:rPr>
          <w:rFonts w:ascii="Cambria" w:eastAsia="Cambria" w:hAnsi="Cambria" w:cs="Cambria"/>
          <w:sz w:val="20"/>
          <w:szCs w:val="20"/>
          <w:vertAlign w:val="superscript"/>
        </w:rPr>
        <w:footnoteReference w:id="413"/>
      </w:r>
      <w:r w:rsidRPr="00B26A25">
        <w:rPr>
          <w:rFonts w:ascii="Cambria" w:eastAsia="Cambria" w:hAnsi="Cambria" w:cs="Cambria"/>
          <w:sz w:val="20"/>
          <w:szCs w:val="20"/>
          <w:lang w:val="es-AR"/>
        </w:rPr>
        <w:t>– que incluyen, aunque no sea el único medio, el uso del derecho penal.</w:t>
      </w:r>
    </w:p>
    <w:p w14:paraId="4CEFB819" w14:textId="7FE3762A" w:rsidR="00B26A25" w:rsidRPr="00B26A25" w:rsidRDefault="00B26A25" w:rsidP="00D97434">
      <w:pPr>
        <w:spacing w:after="160" w:line="259" w:lineRule="auto"/>
        <w:jc w:val="both"/>
        <w:rPr>
          <w:rFonts w:ascii="Cambria" w:eastAsia="Cambria" w:hAnsi="Cambria" w:cs="Cambria"/>
          <w:sz w:val="20"/>
          <w:szCs w:val="20"/>
          <w:lang w:val="es-AR"/>
        </w:rPr>
      </w:pPr>
      <w:r w:rsidRPr="00B26A25">
        <w:rPr>
          <w:rFonts w:ascii="Cambria" w:eastAsia="Cambria" w:hAnsi="Cambria" w:cs="Cambria"/>
          <w:sz w:val="20"/>
          <w:szCs w:val="20"/>
          <w:lang w:val="es-AR"/>
        </w:rPr>
        <w:t>Frente a la inexistencia del derecho al aborto, el exjuez de la Corte IDH Eduardo Vio Grossi, dejó por sentado en su voto parcialmente disidente a la sentencia del caso Manuela y otros vs. El Salvador:</w:t>
      </w:r>
    </w:p>
    <w:p w14:paraId="15045ACF" w14:textId="01F26294" w:rsidR="00B26A25" w:rsidRDefault="00B26A25" w:rsidP="00CC1D3E">
      <w:pPr>
        <w:ind w:left="720"/>
        <w:jc w:val="both"/>
        <w:rPr>
          <w:rFonts w:ascii="Cambria" w:eastAsia="Cambria" w:hAnsi="Cambria" w:cs="Cambria"/>
          <w:sz w:val="20"/>
          <w:szCs w:val="20"/>
          <w:lang w:val="es-AR"/>
        </w:rPr>
      </w:pPr>
      <w:r w:rsidRPr="00B26A25">
        <w:rPr>
          <w:rFonts w:ascii="Cambria" w:eastAsia="Cambria" w:hAnsi="Cambria" w:cs="Cambria"/>
          <w:sz w:val="20"/>
          <w:szCs w:val="20"/>
          <w:lang w:val="es-AR"/>
        </w:rPr>
        <w:t>“Y a este respecto es indiscutible que, (…) no existe norma jurídica interamericana ni internacional alguna, sea convencional, costumbre internacional o principio general de derecho, que reconozca al aborto como un derecho. Solo existen resoluciones de órganos internacionales, la mayoría de éstos conformado por funcionarios internacionales y no por representantes de Estados, decisiones que, además de no ser vinculantes, no son interpretativas del Derecho Internacional vigente sino más bien reflejan aspiraciones en orden a que éste cambie en el sentido que sugieren”</w:t>
      </w:r>
      <w:r w:rsidR="00A14F05">
        <w:rPr>
          <w:rFonts w:ascii="ZWAdobeF" w:eastAsia="Cambria" w:hAnsi="ZWAdobeF" w:cs="ZWAdobeF"/>
          <w:sz w:val="2"/>
          <w:szCs w:val="2"/>
          <w:lang w:val="es-AR"/>
        </w:rPr>
        <w:t>412F</w:t>
      </w:r>
      <w:r w:rsidRPr="005C52BD">
        <w:rPr>
          <w:rFonts w:ascii="Cambria" w:eastAsia="Cambria" w:hAnsi="Cambria" w:cs="Cambria"/>
          <w:sz w:val="20"/>
          <w:szCs w:val="20"/>
          <w:vertAlign w:val="superscript"/>
        </w:rPr>
        <w:footnoteReference w:id="414"/>
      </w:r>
      <w:r w:rsidRPr="00B26A25">
        <w:rPr>
          <w:rFonts w:ascii="Cambria" w:eastAsia="Cambria" w:hAnsi="Cambria" w:cs="Cambria"/>
          <w:sz w:val="20"/>
          <w:szCs w:val="20"/>
          <w:lang w:val="es-AR"/>
        </w:rPr>
        <w:t xml:space="preserve">. </w:t>
      </w:r>
    </w:p>
    <w:p w14:paraId="40645AE3" w14:textId="77777777" w:rsidR="00CC1D3E" w:rsidRPr="00B26A25" w:rsidRDefault="00CC1D3E" w:rsidP="00CC1D3E">
      <w:pPr>
        <w:ind w:left="720"/>
        <w:jc w:val="both"/>
        <w:rPr>
          <w:rFonts w:ascii="Cambria" w:eastAsia="Cambria" w:hAnsi="Cambria" w:cs="Cambria"/>
          <w:sz w:val="20"/>
          <w:szCs w:val="20"/>
          <w:lang w:val="es-AR"/>
        </w:rPr>
      </w:pPr>
    </w:p>
    <w:p w14:paraId="631C813A" w14:textId="4ABC76D2"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De hecho, se destaca que la Corte Interamericana conoció recientemente del caso </w:t>
      </w:r>
      <w:r w:rsidRPr="00B26A25">
        <w:rPr>
          <w:rFonts w:ascii="Cambria" w:eastAsia="Cambria" w:hAnsi="Cambria" w:cs="Cambria"/>
          <w:i/>
          <w:iCs/>
          <w:sz w:val="20"/>
          <w:szCs w:val="20"/>
          <w:lang w:val="es-AR"/>
        </w:rPr>
        <w:t xml:space="preserve">Beatriz vs. El Salvador </w:t>
      </w:r>
      <w:r w:rsidRPr="00B26A25">
        <w:rPr>
          <w:rFonts w:ascii="Cambria" w:eastAsia="Cambria" w:hAnsi="Cambria" w:cs="Cambria"/>
          <w:sz w:val="20"/>
          <w:szCs w:val="20"/>
          <w:lang w:val="es-AR"/>
        </w:rPr>
        <w:t>en el que se alegaba la supuesta existencia de un “derecho al aborto” por parte de la CIDH y la representación de víctimas. Sin embargo, en la sentencia, la Corte no estableció la existencia de tal derecho</w:t>
      </w:r>
      <w:r w:rsidR="00A14F05">
        <w:rPr>
          <w:rFonts w:ascii="ZWAdobeF" w:eastAsia="Cambria" w:hAnsi="ZWAdobeF" w:cs="ZWAdobeF"/>
          <w:sz w:val="2"/>
          <w:szCs w:val="2"/>
          <w:lang w:val="es-AR"/>
        </w:rPr>
        <w:t>413F</w:t>
      </w:r>
      <w:r w:rsidRPr="005C52BD">
        <w:rPr>
          <w:rFonts w:ascii="Cambria" w:eastAsia="Cambria" w:hAnsi="Cambria" w:cs="Cambria"/>
          <w:sz w:val="20"/>
          <w:szCs w:val="20"/>
          <w:vertAlign w:val="superscript"/>
        </w:rPr>
        <w:footnoteReference w:id="415"/>
      </w:r>
      <w:r w:rsidRPr="00B26A25">
        <w:rPr>
          <w:rFonts w:ascii="Cambria" w:eastAsia="Cambria" w:hAnsi="Cambria" w:cs="Cambria"/>
          <w:sz w:val="20"/>
          <w:szCs w:val="20"/>
          <w:lang w:val="es-AR"/>
        </w:rPr>
        <w:t>. Esto es una muestra más de la inexistencia de una fuente jurídica vinculante de la que se derive un supuesto derecho al aborto.</w:t>
      </w:r>
    </w:p>
    <w:p w14:paraId="57967997" w14:textId="77777777" w:rsidR="00B26A25" w:rsidRPr="00B26A25" w:rsidRDefault="00B26A25" w:rsidP="00B26A25">
      <w:pPr>
        <w:jc w:val="both"/>
        <w:rPr>
          <w:rFonts w:ascii="Cambria" w:eastAsia="Cambria" w:hAnsi="Cambria" w:cs="Cambria"/>
          <w:sz w:val="20"/>
          <w:szCs w:val="20"/>
          <w:lang w:val="es-AR"/>
        </w:rPr>
      </w:pPr>
    </w:p>
    <w:p w14:paraId="42C388CC" w14:textId="3B2732D4"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Ahora bien, destaco que este margen de configuración derivado de la inexistencia de un derecho al aborto y la convergencia de derechos en tensión adquiere mayor amplitud gracias a la competencia que recae en los Estados de definir las conductas punibles y sus consecuencias, y a la remisión automática que, según la Corte IDH, el artículo 7.2 de la Convención Americana hace a la ley interna para el ámbito de la privación de la libertad –principio de reserva de ley-</w:t>
      </w:r>
      <w:r w:rsidR="00A14F05">
        <w:rPr>
          <w:rFonts w:ascii="ZWAdobeF" w:eastAsia="Cambria" w:hAnsi="ZWAdobeF" w:cs="ZWAdobeF"/>
          <w:sz w:val="2"/>
          <w:szCs w:val="2"/>
          <w:lang w:val="es-AR"/>
        </w:rPr>
        <w:t>414F</w:t>
      </w:r>
      <w:r w:rsidRPr="005C52BD">
        <w:rPr>
          <w:rFonts w:ascii="Cambria" w:eastAsia="Cambria" w:hAnsi="Cambria" w:cs="Cambria"/>
          <w:sz w:val="20"/>
          <w:szCs w:val="20"/>
          <w:vertAlign w:val="superscript"/>
        </w:rPr>
        <w:footnoteReference w:id="416"/>
      </w:r>
      <w:r w:rsidRPr="00B26A25">
        <w:rPr>
          <w:rFonts w:ascii="Cambria" w:eastAsia="Cambria" w:hAnsi="Cambria" w:cs="Cambria"/>
          <w:sz w:val="20"/>
          <w:szCs w:val="20"/>
          <w:lang w:val="es-AR"/>
        </w:rPr>
        <w:t>.</w:t>
      </w:r>
    </w:p>
    <w:p w14:paraId="6263C603" w14:textId="77777777" w:rsidR="00B26A25" w:rsidRPr="00B26A25" w:rsidRDefault="00B26A25" w:rsidP="00B26A25">
      <w:pPr>
        <w:spacing w:before="240" w:after="240"/>
        <w:jc w:val="both"/>
        <w:rPr>
          <w:rFonts w:ascii="Cambria" w:eastAsia="Cambria" w:hAnsi="Cambria" w:cs="Cambria"/>
          <w:sz w:val="20"/>
          <w:szCs w:val="20"/>
          <w:lang w:val="es-AR"/>
        </w:rPr>
      </w:pPr>
      <w:r w:rsidRPr="00B26A25">
        <w:rPr>
          <w:rFonts w:ascii="Cambria" w:eastAsia="Cambria" w:hAnsi="Cambria" w:cs="Cambria"/>
          <w:sz w:val="20"/>
          <w:szCs w:val="20"/>
          <w:lang w:val="es-AR"/>
        </w:rPr>
        <w:t>Esto resulta relevante si se tiene en cuenta que, de una lectura sistemática de los artículos 31, 76 y 77 de la Convención Americana, solo a través del consenso -expresado por los Estados mediante la firma y ratificación de enmiendas o tratados- pueden surgir obligaciones internacionales adicionales a las ya contempladas en la CADH.</w:t>
      </w:r>
    </w:p>
    <w:p w14:paraId="28B03B01" w14:textId="77777777" w:rsidR="00B26A25" w:rsidRPr="00B26A25" w:rsidRDefault="00B26A25" w:rsidP="00B26A25">
      <w:pPr>
        <w:numPr>
          <w:ilvl w:val="1"/>
          <w:numId w:val="35"/>
        </w:numPr>
        <w:spacing w:after="160" w:line="259" w:lineRule="auto"/>
        <w:jc w:val="both"/>
        <w:rPr>
          <w:rFonts w:ascii="Cambria" w:eastAsia="Cambria" w:hAnsi="Cambria" w:cs="Cambria"/>
          <w:b/>
          <w:sz w:val="20"/>
          <w:szCs w:val="20"/>
          <w:lang w:val="es-AR"/>
        </w:rPr>
      </w:pPr>
      <w:r w:rsidRPr="00B26A25">
        <w:rPr>
          <w:rFonts w:ascii="Cambria" w:eastAsia="Cambria" w:hAnsi="Cambria" w:cs="Cambria"/>
          <w:b/>
          <w:sz w:val="20"/>
          <w:szCs w:val="20"/>
          <w:lang w:val="es-AR"/>
        </w:rPr>
        <w:t>Déficit de protección al no nacido en el Informe</w:t>
      </w:r>
    </w:p>
    <w:p w14:paraId="0BD46E02" w14:textId="77777777" w:rsidR="00B26A25" w:rsidRPr="00B26A25" w:rsidRDefault="00B26A25" w:rsidP="00B26A25">
      <w:pPr>
        <w:spacing w:after="160" w:line="259" w:lineRule="auto"/>
        <w:jc w:val="both"/>
        <w:rPr>
          <w:rFonts w:ascii="Cambria" w:eastAsia="Cambria" w:hAnsi="Cambria" w:cs="Cambria"/>
          <w:sz w:val="20"/>
          <w:szCs w:val="20"/>
          <w:lang w:val="es-AR"/>
        </w:rPr>
      </w:pPr>
      <w:r w:rsidRPr="00B26A25">
        <w:rPr>
          <w:rFonts w:ascii="Cambria" w:eastAsia="Cambria" w:hAnsi="Cambria" w:cs="Cambria"/>
          <w:sz w:val="20"/>
          <w:szCs w:val="20"/>
          <w:lang w:val="es-AR"/>
        </w:rPr>
        <w:t>En segundo lugar, resalto que en las referencias al aborto se ignora a la otra persona cuyo derecho a la vida también está protegido convencionalmente: la persona no nacida. Así, se ignora la necesaria ponderación que debe existir entre los derechos en tensión de todas las personas internacionalmente protegidas.  Al respecto, se destaca que las personas en gestación son también sujetos de derecho y titulares del derecho a la vida. Un pronunciamiento sobre el aborto siempre supone una postura acerca de una práctica que necesariamente implica la terminación de la vida de un ser humano digno y que el artículo 4 de la CADH protege, por lo que resulta necesario reconocer expresamente los derechos de la persona en gestación como parte de la ponderación que requiere todo caso de aborto.</w:t>
      </w:r>
    </w:p>
    <w:p w14:paraId="6F8CF1A1" w14:textId="491A1025"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Al respecto, el artículo 1.2 de la CADH establece claramente que, para los efectos de la Convención, una "persona" es todo ser humano</w:t>
      </w:r>
      <w:r w:rsidR="00A14F05">
        <w:rPr>
          <w:rFonts w:ascii="ZWAdobeF" w:eastAsia="Cambria" w:hAnsi="ZWAdobeF" w:cs="ZWAdobeF"/>
          <w:sz w:val="2"/>
          <w:szCs w:val="2"/>
          <w:lang w:val="es-AR"/>
        </w:rPr>
        <w:t>415F</w:t>
      </w:r>
      <w:r w:rsidRPr="005C52BD">
        <w:rPr>
          <w:rFonts w:ascii="Cambria" w:eastAsia="Cambria" w:hAnsi="Cambria" w:cs="Cambria"/>
          <w:sz w:val="20"/>
          <w:szCs w:val="20"/>
          <w:vertAlign w:val="superscript"/>
        </w:rPr>
        <w:footnoteReference w:id="417"/>
      </w:r>
      <w:r w:rsidRPr="00B26A25">
        <w:rPr>
          <w:rFonts w:ascii="Cambria" w:eastAsia="Cambria" w:hAnsi="Cambria" w:cs="Cambria"/>
          <w:sz w:val="20"/>
          <w:szCs w:val="20"/>
          <w:lang w:val="es-AR"/>
        </w:rPr>
        <w:t>. Así, a la luz de la Convención, los derechos humanos no se reconocen únicamente a las personas que ya han nacido, sino que se debe protección a todos los individuos desde su concepción, entendiéndolos como seres humanos. Es más, la propia Corte IDH en su opinión consultiva 22 indicó que, sin ser un asunto abierto a la interpretación, el término persona es equivalente al término ser humano para efectos de la CADH</w:t>
      </w:r>
      <w:r w:rsidR="00A14F05">
        <w:rPr>
          <w:rFonts w:ascii="ZWAdobeF" w:eastAsia="Cambria" w:hAnsi="ZWAdobeF" w:cs="ZWAdobeF"/>
          <w:sz w:val="2"/>
          <w:szCs w:val="2"/>
          <w:lang w:val="es-AR"/>
        </w:rPr>
        <w:t>416F</w:t>
      </w:r>
      <w:r w:rsidRPr="005C52BD">
        <w:rPr>
          <w:rFonts w:ascii="Cambria" w:eastAsia="Cambria" w:hAnsi="Cambria" w:cs="Cambria"/>
          <w:sz w:val="20"/>
          <w:szCs w:val="20"/>
          <w:vertAlign w:val="superscript"/>
        </w:rPr>
        <w:footnoteReference w:id="418"/>
      </w:r>
      <w:r w:rsidRPr="00B26A25">
        <w:rPr>
          <w:rFonts w:ascii="Cambria" w:eastAsia="Cambria" w:hAnsi="Cambria" w:cs="Cambria"/>
          <w:sz w:val="20"/>
          <w:szCs w:val="20"/>
          <w:lang w:val="es-AR"/>
        </w:rPr>
        <w:t>.</w:t>
      </w:r>
    </w:p>
    <w:p w14:paraId="0D1EA274" w14:textId="77777777" w:rsidR="00B26A25" w:rsidRPr="00B26A25" w:rsidRDefault="00B26A25" w:rsidP="00B26A25">
      <w:pPr>
        <w:jc w:val="both"/>
        <w:rPr>
          <w:rFonts w:ascii="Cambria" w:eastAsia="Cambria" w:hAnsi="Cambria" w:cs="Cambria"/>
          <w:sz w:val="20"/>
          <w:szCs w:val="20"/>
          <w:lang w:val="es-AR"/>
        </w:rPr>
      </w:pPr>
    </w:p>
    <w:p w14:paraId="6B4B0472" w14:textId="3F72582C"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Frente a ello, es claro que la persona en gestación es un ser humano</w:t>
      </w:r>
      <w:r w:rsidR="00A14F05">
        <w:rPr>
          <w:rFonts w:ascii="ZWAdobeF" w:eastAsia="Cambria" w:hAnsi="ZWAdobeF" w:cs="ZWAdobeF"/>
          <w:sz w:val="2"/>
          <w:szCs w:val="2"/>
          <w:lang w:val="es-AR"/>
        </w:rPr>
        <w:t>417F</w:t>
      </w:r>
      <w:r w:rsidRPr="005C52BD">
        <w:rPr>
          <w:rFonts w:ascii="Cambria" w:eastAsia="Cambria" w:hAnsi="Cambria" w:cs="Cambria"/>
          <w:sz w:val="20"/>
          <w:szCs w:val="20"/>
          <w:vertAlign w:val="superscript"/>
        </w:rPr>
        <w:footnoteReference w:id="419"/>
      </w:r>
      <w:r w:rsidRPr="00B26A25">
        <w:rPr>
          <w:rFonts w:ascii="Cambria" w:eastAsia="Cambria" w:hAnsi="Cambria" w:cs="Cambria"/>
          <w:sz w:val="20"/>
          <w:szCs w:val="20"/>
          <w:lang w:val="es-AR"/>
        </w:rPr>
        <w:t>. Incluso, la Declaración Universal sobre el Genoma Humano y los Derechos Humanos, establece que “el genoma humano es la base de la unidad fundamental de todos los miembros de la familia humana y del reconocimiento de su dignidad intrínseca y su diversidad. En sentido simbólico, el genoma humano es el patrimonio de la humanidad”</w:t>
      </w:r>
      <w:r w:rsidR="00A14F05">
        <w:rPr>
          <w:rFonts w:ascii="ZWAdobeF" w:eastAsia="Cambria" w:hAnsi="ZWAdobeF" w:cs="ZWAdobeF"/>
          <w:sz w:val="2"/>
          <w:szCs w:val="2"/>
          <w:lang w:val="es-AR"/>
        </w:rPr>
        <w:t>418F</w:t>
      </w:r>
      <w:r w:rsidRPr="005C52BD">
        <w:rPr>
          <w:rFonts w:ascii="Cambria" w:eastAsia="Cambria" w:hAnsi="Cambria" w:cs="Cambria"/>
          <w:sz w:val="20"/>
          <w:szCs w:val="20"/>
          <w:vertAlign w:val="superscript"/>
        </w:rPr>
        <w:footnoteReference w:id="420"/>
      </w:r>
      <w:r w:rsidRPr="00B26A25">
        <w:rPr>
          <w:rFonts w:ascii="Cambria" w:eastAsia="Cambria" w:hAnsi="Cambria" w:cs="Cambria"/>
          <w:sz w:val="20"/>
          <w:szCs w:val="20"/>
          <w:lang w:val="es-AR"/>
        </w:rPr>
        <w:t>.</w:t>
      </w:r>
    </w:p>
    <w:p w14:paraId="37F66E1E" w14:textId="77777777" w:rsidR="00B26A25" w:rsidRPr="00B26A25" w:rsidRDefault="00B26A25" w:rsidP="00B26A25">
      <w:pPr>
        <w:jc w:val="both"/>
        <w:rPr>
          <w:rFonts w:ascii="Cambria" w:eastAsia="Cambria" w:hAnsi="Cambria" w:cs="Cambria"/>
          <w:sz w:val="20"/>
          <w:szCs w:val="20"/>
          <w:lang w:val="es-AR"/>
        </w:rPr>
      </w:pPr>
    </w:p>
    <w:p w14:paraId="03EB5389" w14:textId="3873CD4F"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La consecuencia de reconocer al no nacido como persona en tanto ser humano es que se hace titular de derechos. Así, la CADH establece en los artículos que desarrollan derechos la fórmula “Toda persona(...)”</w:t>
      </w:r>
      <w:r w:rsidR="00A14F05">
        <w:rPr>
          <w:rFonts w:ascii="ZWAdobeF" w:eastAsia="Cambria" w:hAnsi="ZWAdobeF" w:cs="ZWAdobeF"/>
          <w:sz w:val="2"/>
          <w:szCs w:val="2"/>
          <w:lang w:val="es-AR"/>
        </w:rPr>
        <w:t>419F</w:t>
      </w:r>
      <w:r w:rsidRPr="005C52BD">
        <w:rPr>
          <w:rFonts w:ascii="Cambria" w:eastAsia="Cambria" w:hAnsi="Cambria" w:cs="Cambria"/>
          <w:sz w:val="20"/>
          <w:szCs w:val="20"/>
          <w:vertAlign w:val="superscript"/>
        </w:rPr>
        <w:footnoteReference w:id="421"/>
      </w:r>
      <w:r w:rsidRPr="00B26A25">
        <w:rPr>
          <w:rFonts w:ascii="Cambria" w:eastAsia="Cambria" w:hAnsi="Cambria" w:cs="Cambria"/>
          <w:sz w:val="20"/>
          <w:szCs w:val="20"/>
          <w:lang w:val="es-AR"/>
        </w:rPr>
        <w:t>. Asimismo, generalmente, los instrumentos de protección de los derechos humanos reconocen la titularidad de los derechos en cabeza de los miembros de la especie humana, en especial, el derecho a la vida</w:t>
      </w:r>
      <w:r w:rsidR="00A14F05">
        <w:rPr>
          <w:rFonts w:ascii="ZWAdobeF" w:eastAsia="Cambria" w:hAnsi="ZWAdobeF" w:cs="ZWAdobeF"/>
          <w:sz w:val="2"/>
          <w:szCs w:val="2"/>
          <w:lang w:val="es-AR"/>
        </w:rPr>
        <w:t>420F</w:t>
      </w:r>
      <w:r w:rsidRPr="005C52BD">
        <w:rPr>
          <w:rFonts w:ascii="Cambria" w:eastAsia="Cambria" w:hAnsi="Cambria" w:cs="Cambria"/>
          <w:sz w:val="20"/>
          <w:szCs w:val="20"/>
          <w:vertAlign w:val="superscript"/>
        </w:rPr>
        <w:footnoteReference w:id="422"/>
      </w:r>
      <w:r w:rsidRPr="00B26A25">
        <w:rPr>
          <w:rFonts w:ascii="Cambria" w:eastAsia="Cambria" w:hAnsi="Cambria" w:cs="Cambria"/>
          <w:sz w:val="20"/>
          <w:szCs w:val="20"/>
          <w:lang w:val="es-AR"/>
        </w:rPr>
        <w:t>.</w:t>
      </w:r>
    </w:p>
    <w:p w14:paraId="75F0720D" w14:textId="77777777" w:rsidR="00B26A25" w:rsidRPr="00B26A25" w:rsidRDefault="00B26A25" w:rsidP="00B26A25">
      <w:pPr>
        <w:jc w:val="both"/>
        <w:rPr>
          <w:rFonts w:ascii="Cambria" w:eastAsia="Cambria" w:hAnsi="Cambria" w:cs="Cambria"/>
          <w:sz w:val="20"/>
          <w:szCs w:val="20"/>
          <w:lang w:val="es-AR"/>
        </w:rPr>
      </w:pPr>
    </w:p>
    <w:p w14:paraId="24546146" w14:textId="4D980FC3"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Incluso, en la sentencia del caso </w:t>
      </w:r>
      <w:r w:rsidRPr="00B26A25">
        <w:rPr>
          <w:rFonts w:ascii="Cambria" w:eastAsia="Cambria" w:hAnsi="Cambria" w:cs="Cambria"/>
          <w:i/>
          <w:iCs/>
          <w:sz w:val="20"/>
          <w:szCs w:val="20"/>
          <w:lang w:val="es-AR"/>
        </w:rPr>
        <w:t>Artavia Murillo</w:t>
      </w:r>
      <w:r w:rsidRPr="00B26A25">
        <w:rPr>
          <w:rFonts w:ascii="Cambria" w:eastAsia="Cambria" w:hAnsi="Cambria" w:cs="Cambria"/>
          <w:sz w:val="20"/>
          <w:szCs w:val="20"/>
          <w:lang w:val="es-AR"/>
        </w:rPr>
        <w:t xml:space="preserve">, la Corte IDH determinó que “la protección del derecho a la vida no es absoluta, sino gradual e incremental a medida que avanza el desarrollo del feto”. Lo anterior implica que, sin perjuicio de los conceptos de gradualidad e incrementalidad (de los cuales me separo completamente), la Corte ya estableció que las personas en gestación deben ser protegidas por el Estado en su “derecho a la vida”. En sentido similar, en la sentencia del caso </w:t>
      </w:r>
      <w:r w:rsidRPr="00B26A25">
        <w:rPr>
          <w:rFonts w:ascii="Cambria" w:eastAsia="Cambria" w:hAnsi="Cambria" w:cs="Cambria"/>
          <w:i/>
          <w:iCs/>
          <w:sz w:val="20"/>
          <w:szCs w:val="20"/>
          <w:lang w:val="es-AR"/>
        </w:rPr>
        <w:t>Cuscul Pivaral</w:t>
      </w:r>
      <w:r w:rsidR="00A14F05">
        <w:rPr>
          <w:rFonts w:ascii="ZWAdobeF" w:eastAsia="Cambria" w:hAnsi="ZWAdobeF" w:cs="ZWAdobeF"/>
          <w:iCs/>
          <w:sz w:val="2"/>
          <w:szCs w:val="2"/>
          <w:lang w:val="es-AR"/>
        </w:rPr>
        <w:t>421F</w:t>
      </w:r>
      <w:r w:rsidRPr="005C52BD">
        <w:rPr>
          <w:rFonts w:ascii="Cambria" w:eastAsia="Cambria" w:hAnsi="Cambria" w:cs="Cambria"/>
          <w:sz w:val="20"/>
          <w:szCs w:val="20"/>
          <w:vertAlign w:val="superscript"/>
        </w:rPr>
        <w:footnoteReference w:id="423"/>
      </w:r>
      <w:r w:rsidRPr="00B26A25">
        <w:rPr>
          <w:rFonts w:ascii="Cambria" w:eastAsia="Cambria" w:hAnsi="Cambria" w:cs="Cambria"/>
          <w:sz w:val="20"/>
          <w:szCs w:val="20"/>
          <w:lang w:val="es-AR"/>
        </w:rPr>
        <w:t xml:space="preserve">, la Corte IDH aplicó la CADH a una persona en gestación y además aplicó el artículo 19 de la CADH, reconociendo así el estatus jurídico de niño a la persona en gestación. </w:t>
      </w:r>
    </w:p>
    <w:p w14:paraId="54247A58" w14:textId="77777777" w:rsidR="00B26A25" w:rsidRPr="00B26A25" w:rsidRDefault="00B26A25" w:rsidP="00B26A25">
      <w:pPr>
        <w:jc w:val="both"/>
        <w:rPr>
          <w:rFonts w:ascii="Cambria" w:eastAsia="Cambria" w:hAnsi="Cambria" w:cs="Cambria"/>
          <w:sz w:val="20"/>
          <w:szCs w:val="20"/>
          <w:lang w:val="es-AR"/>
        </w:rPr>
      </w:pPr>
    </w:p>
    <w:p w14:paraId="1676597D" w14:textId="1A4FC1D7"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En la misma línea, resalto que el preámbulo de la Convención sobre los Derechos de los Niños señala que el niño necesita protección y cuidados tanto antes como después del nacimiento</w:t>
      </w:r>
      <w:r w:rsidR="00A14F05">
        <w:rPr>
          <w:rFonts w:ascii="ZWAdobeF" w:eastAsia="Cambria" w:hAnsi="ZWAdobeF" w:cs="ZWAdobeF"/>
          <w:sz w:val="2"/>
          <w:szCs w:val="2"/>
          <w:lang w:val="es-AR"/>
        </w:rPr>
        <w:t>422F</w:t>
      </w:r>
      <w:r w:rsidRPr="005C52BD">
        <w:rPr>
          <w:rFonts w:ascii="Cambria" w:eastAsia="Cambria" w:hAnsi="Cambria" w:cs="Cambria"/>
          <w:sz w:val="20"/>
          <w:szCs w:val="20"/>
          <w:vertAlign w:val="superscript"/>
        </w:rPr>
        <w:footnoteReference w:id="424"/>
      </w:r>
      <w:r w:rsidRPr="00B26A25">
        <w:rPr>
          <w:rFonts w:ascii="Cambria" w:eastAsia="Cambria" w:hAnsi="Cambria" w:cs="Cambria"/>
          <w:sz w:val="20"/>
          <w:szCs w:val="20"/>
          <w:lang w:val="es-AR"/>
        </w:rPr>
        <w:t>. Ello implica que, a la luz de la CDN, la persona en gestación es un niño/a que requiere cuidado especial. Ello, fue reiterado en los trabajos preparatorios del Pacto Internacional de Derechos Civiles y Políticos</w:t>
      </w:r>
      <w:r w:rsidR="00A14F05">
        <w:rPr>
          <w:rFonts w:ascii="ZWAdobeF" w:eastAsia="Cambria" w:hAnsi="ZWAdobeF" w:cs="ZWAdobeF"/>
          <w:sz w:val="2"/>
          <w:szCs w:val="2"/>
          <w:lang w:val="es-AR"/>
        </w:rPr>
        <w:t>423F</w:t>
      </w:r>
      <w:r w:rsidRPr="005C52BD">
        <w:rPr>
          <w:rFonts w:ascii="Cambria" w:eastAsia="Cambria" w:hAnsi="Cambria" w:cs="Cambria"/>
          <w:sz w:val="20"/>
          <w:szCs w:val="20"/>
          <w:vertAlign w:val="superscript"/>
        </w:rPr>
        <w:footnoteReference w:id="425"/>
      </w:r>
      <w:r w:rsidRPr="00B26A25">
        <w:rPr>
          <w:rFonts w:ascii="Cambria" w:eastAsia="Cambria" w:hAnsi="Cambria" w:cs="Cambria"/>
          <w:sz w:val="20"/>
          <w:szCs w:val="20"/>
          <w:lang w:val="es-AR"/>
        </w:rPr>
        <w:t>.</w:t>
      </w:r>
    </w:p>
    <w:p w14:paraId="5553C9E1" w14:textId="77777777" w:rsidR="00B26A25" w:rsidRPr="00B26A25" w:rsidRDefault="00B26A25" w:rsidP="00B26A25">
      <w:pPr>
        <w:jc w:val="both"/>
        <w:rPr>
          <w:rFonts w:ascii="Cambria" w:eastAsia="Cambria" w:hAnsi="Cambria" w:cs="Cambria"/>
          <w:sz w:val="20"/>
          <w:szCs w:val="20"/>
          <w:lang w:val="es-AR"/>
        </w:rPr>
      </w:pPr>
    </w:p>
    <w:p w14:paraId="0A74A2CB" w14:textId="77777777" w:rsidR="00B26A25" w:rsidRPr="00B26A25" w:rsidRDefault="00B26A25" w:rsidP="00B26A25">
      <w:pPr>
        <w:numPr>
          <w:ilvl w:val="1"/>
          <w:numId w:val="35"/>
        </w:numPr>
        <w:spacing w:after="160" w:line="259" w:lineRule="auto"/>
        <w:jc w:val="both"/>
        <w:rPr>
          <w:rFonts w:ascii="Cambria" w:eastAsia="Cambria" w:hAnsi="Cambria" w:cs="Cambria"/>
          <w:b/>
          <w:sz w:val="20"/>
          <w:szCs w:val="20"/>
          <w:lang w:val="es-AR"/>
        </w:rPr>
      </w:pPr>
      <w:r w:rsidRPr="00B26A25">
        <w:rPr>
          <w:rFonts w:ascii="Cambria" w:eastAsia="Cambria" w:hAnsi="Cambria" w:cs="Cambria"/>
          <w:b/>
          <w:sz w:val="20"/>
          <w:szCs w:val="20"/>
          <w:lang w:val="es-AR"/>
        </w:rPr>
        <w:t>Limitación inadecuada de los derechos sexuales y reproductivos que se deriva del capítulo</w:t>
      </w:r>
    </w:p>
    <w:p w14:paraId="3796085C" w14:textId="77777777" w:rsidR="00B26A25" w:rsidRPr="00B26A25" w:rsidRDefault="00B26A25" w:rsidP="00B26A25">
      <w:pPr>
        <w:widowControl w:val="0"/>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Por último, llamo la atención sobre la importancia de no limitar los denominados derechos sexuales y reproductivos al acceso al aborto. No solo por la inexistencia de una norma que consagre el aborto como una garantía propia de estos derechos, sino también porque esta visión simplifica e invisibiliza las problemáticas a las que se encuentran sometidas las mujeres en la región. Por tanto, impide el desarrollo de debates que propendan por la formulación de propuestas comprehensivas e integrales para hacer frente a los problemas estructurales que enfrentan las mujeres en la región. </w:t>
      </w:r>
    </w:p>
    <w:p w14:paraId="11CB7742" w14:textId="77777777" w:rsidR="00B26A25" w:rsidRPr="00B26A25" w:rsidRDefault="00B26A25" w:rsidP="00B26A25">
      <w:pPr>
        <w:widowControl w:val="0"/>
        <w:jc w:val="both"/>
        <w:rPr>
          <w:rFonts w:ascii="Cambria" w:eastAsia="Cambria" w:hAnsi="Cambria" w:cs="Cambria"/>
          <w:sz w:val="20"/>
          <w:szCs w:val="20"/>
          <w:lang w:val="es-AR"/>
        </w:rPr>
      </w:pPr>
    </w:p>
    <w:p w14:paraId="45AADD8B" w14:textId="77777777" w:rsidR="00B26A25" w:rsidRPr="00B26A25" w:rsidRDefault="00B26A25" w:rsidP="00B26A25">
      <w:pPr>
        <w:pStyle w:val="ListParagraph"/>
        <w:widowControl w:val="0"/>
        <w:numPr>
          <w:ilvl w:val="1"/>
          <w:numId w:val="35"/>
        </w:numPr>
        <w:spacing w:line="276" w:lineRule="auto"/>
        <w:jc w:val="both"/>
        <w:rPr>
          <w:rFonts w:ascii="Cambria" w:eastAsia="Cambria" w:hAnsi="Cambria" w:cs="Cambria"/>
          <w:b/>
          <w:bCs/>
          <w:sz w:val="20"/>
          <w:szCs w:val="20"/>
          <w:lang w:val="es-AR"/>
        </w:rPr>
      </w:pPr>
      <w:r w:rsidRPr="00B26A25">
        <w:rPr>
          <w:rFonts w:ascii="Cambria" w:eastAsia="Cambria" w:hAnsi="Cambria" w:cs="Cambria"/>
          <w:b/>
          <w:bCs/>
          <w:sz w:val="20"/>
          <w:szCs w:val="20"/>
          <w:lang w:val="es-AR"/>
        </w:rPr>
        <w:t>Invisibilización de las mujeres con el uso de algunos términos</w:t>
      </w:r>
    </w:p>
    <w:p w14:paraId="4701EAAC" w14:textId="77777777" w:rsidR="00B26A25" w:rsidRPr="00B26A25" w:rsidRDefault="00B26A25" w:rsidP="00B26A25">
      <w:pPr>
        <w:widowControl w:val="0"/>
        <w:jc w:val="both"/>
        <w:rPr>
          <w:rFonts w:ascii="Cambria" w:eastAsia="Cambria" w:hAnsi="Cambria" w:cs="Cambria"/>
          <w:sz w:val="20"/>
          <w:szCs w:val="20"/>
          <w:lang w:val="es-AR"/>
        </w:rPr>
      </w:pPr>
    </w:p>
    <w:p w14:paraId="2F94A5C5" w14:textId="6E1DD9F2" w:rsidR="00B26A25" w:rsidRPr="00B26A25" w:rsidRDefault="00B26A25" w:rsidP="00B26A25">
      <w:pPr>
        <w:widowControl w:val="0"/>
        <w:jc w:val="both"/>
        <w:rPr>
          <w:rFonts w:ascii="Cambria" w:hAnsi="Cambria"/>
          <w:sz w:val="20"/>
          <w:szCs w:val="20"/>
          <w:lang w:val="es-AR"/>
        </w:rPr>
      </w:pPr>
      <w:r w:rsidRPr="00B26A25">
        <w:rPr>
          <w:rFonts w:ascii="Cambria" w:eastAsia="Cambria" w:hAnsi="Cambria" w:cs="Cambria"/>
          <w:sz w:val="20"/>
          <w:szCs w:val="20"/>
          <w:lang w:val="es-AR"/>
        </w:rPr>
        <w:t xml:space="preserve">En las recomendaciones incluidas en el capítulo se hace referencia al término “persona gestante”. Vale la pena mencionar que el proceso gestacional es uno protegido por el derecho internacional de los derechos humanos. Así, </w:t>
      </w:r>
      <w:r w:rsidRPr="00B26A25">
        <w:rPr>
          <w:rFonts w:ascii="Cambria" w:hAnsi="Cambria"/>
          <w:sz w:val="20"/>
          <w:szCs w:val="20"/>
          <w:lang w:val="es-AR"/>
        </w:rPr>
        <w:t>la Convención Interamericana para prevenir, sancionar y erradicar la violencia contra la mujer</w:t>
      </w:r>
      <w:r w:rsidR="00A14F05">
        <w:rPr>
          <w:rFonts w:ascii="ZWAdobeF" w:hAnsi="ZWAdobeF" w:cs="ZWAdobeF"/>
          <w:sz w:val="2"/>
          <w:szCs w:val="2"/>
          <w:lang w:val="es-AR"/>
        </w:rPr>
        <w:t>424F</w:t>
      </w:r>
      <w:r w:rsidRPr="005C52BD">
        <w:rPr>
          <w:rStyle w:val="FootnoteReference"/>
          <w:rFonts w:ascii="Cambria" w:hAnsi="Cambria"/>
          <w:sz w:val="20"/>
          <w:szCs w:val="20"/>
        </w:rPr>
        <w:footnoteReference w:id="426"/>
      </w:r>
      <w:r w:rsidRPr="00B26A25">
        <w:rPr>
          <w:rFonts w:ascii="Cambria" w:eastAsia="Cambria" w:hAnsi="Cambria" w:cs="Cambria"/>
          <w:sz w:val="20"/>
          <w:szCs w:val="20"/>
          <w:lang w:val="es-AR"/>
        </w:rPr>
        <w:t>, el Pacto Internacional de Derechos Económicos, Sociales y Culturales (PIDESC)</w:t>
      </w:r>
      <w:r w:rsidR="00A14F05">
        <w:rPr>
          <w:rFonts w:ascii="ZWAdobeF" w:eastAsia="Cambria" w:hAnsi="ZWAdobeF" w:cs="ZWAdobeF"/>
          <w:sz w:val="2"/>
          <w:szCs w:val="2"/>
          <w:lang w:val="es-AR"/>
        </w:rPr>
        <w:t>425F</w:t>
      </w:r>
      <w:r w:rsidRPr="005C52BD">
        <w:rPr>
          <w:rStyle w:val="FootnoteReference"/>
          <w:rFonts w:ascii="Cambria" w:eastAsia="Cambria" w:hAnsi="Cambria" w:cs="Cambria"/>
          <w:sz w:val="20"/>
          <w:szCs w:val="20"/>
        </w:rPr>
        <w:footnoteReference w:id="427"/>
      </w:r>
      <w:r w:rsidRPr="00B26A25">
        <w:rPr>
          <w:rFonts w:ascii="Cambria" w:eastAsia="Cambria" w:hAnsi="Cambria" w:cs="Cambria"/>
          <w:sz w:val="20"/>
          <w:szCs w:val="20"/>
          <w:lang w:val="es-AR"/>
        </w:rPr>
        <w:t xml:space="preserve">, y </w:t>
      </w:r>
      <w:r w:rsidRPr="00B26A25">
        <w:rPr>
          <w:rFonts w:ascii="Cambria" w:hAnsi="Cambria"/>
          <w:sz w:val="20"/>
          <w:szCs w:val="20"/>
          <w:lang w:val="es-AR"/>
        </w:rPr>
        <w:t>la Convención sobre la eliminación de todas las formas de discriminación contra la mujer</w:t>
      </w:r>
      <w:r w:rsidR="00A14F05">
        <w:rPr>
          <w:rFonts w:ascii="ZWAdobeF" w:hAnsi="ZWAdobeF" w:cs="ZWAdobeF"/>
          <w:sz w:val="2"/>
          <w:szCs w:val="2"/>
          <w:lang w:val="es-AR"/>
        </w:rPr>
        <w:t>426F</w:t>
      </w:r>
      <w:r w:rsidRPr="005C52BD">
        <w:rPr>
          <w:rStyle w:val="FootnoteReference"/>
          <w:rFonts w:ascii="Cambria" w:hAnsi="Cambria"/>
          <w:sz w:val="20"/>
          <w:szCs w:val="20"/>
        </w:rPr>
        <w:footnoteReference w:id="428"/>
      </w:r>
      <w:r w:rsidRPr="00B26A25">
        <w:rPr>
          <w:rFonts w:ascii="Cambria" w:hAnsi="Cambria"/>
          <w:sz w:val="20"/>
          <w:szCs w:val="20"/>
          <w:lang w:val="es-AR"/>
        </w:rPr>
        <w:t xml:space="preserve"> protegen especialmente a las mujeres embarazadas. </w:t>
      </w:r>
    </w:p>
    <w:p w14:paraId="74A855DF" w14:textId="77777777" w:rsidR="00B26A25" w:rsidRPr="00B26A25" w:rsidRDefault="00B26A25" w:rsidP="00B26A25">
      <w:pPr>
        <w:widowControl w:val="0"/>
        <w:jc w:val="both"/>
        <w:rPr>
          <w:rFonts w:ascii="Cambria" w:hAnsi="Cambria"/>
          <w:sz w:val="20"/>
          <w:szCs w:val="20"/>
          <w:lang w:val="es-AR"/>
        </w:rPr>
      </w:pPr>
    </w:p>
    <w:p w14:paraId="78F34E02" w14:textId="2FE60A71" w:rsidR="00B26A25" w:rsidRPr="00B26A25" w:rsidRDefault="00B26A25" w:rsidP="00B26A25">
      <w:pPr>
        <w:widowControl w:val="0"/>
        <w:jc w:val="both"/>
        <w:rPr>
          <w:rFonts w:ascii="Cambria" w:hAnsi="Cambria"/>
          <w:sz w:val="20"/>
          <w:szCs w:val="20"/>
          <w:lang w:val="es-AR"/>
        </w:rPr>
      </w:pPr>
      <w:r w:rsidRPr="00B26A25">
        <w:rPr>
          <w:rFonts w:ascii="Cambria" w:hAnsi="Cambria"/>
          <w:sz w:val="20"/>
          <w:szCs w:val="20"/>
          <w:lang w:val="es-AR"/>
        </w:rPr>
        <w:t>Este derecho a la protección de la gestación, en los instrumentos internacionales ha sido establecido en cabeza de las mujeres. Así, por ejemplo, la CEDAW hace referencia a la necesaria protección de “la mujer durante el embarazo”</w:t>
      </w:r>
      <w:r w:rsidR="00A14F05">
        <w:rPr>
          <w:rFonts w:ascii="ZWAdobeF" w:hAnsi="ZWAdobeF" w:cs="ZWAdobeF"/>
          <w:sz w:val="2"/>
          <w:szCs w:val="2"/>
          <w:lang w:val="es-AR"/>
        </w:rPr>
        <w:t>427F</w:t>
      </w:r>
      <w:r w:rsidRPr="005C52BD">
        <w:rPr>
          <w:rStyle w:val="FootnoteReference"/>
          <w:rFonts w:ascii="Cambria" w:hAnsi="Cambria"/>
          <w:sz w:val="20"/>
          <w:szCs w:val="20"/>
        </w:rPr>
        <w:footnoteReference w:id="429"/>
      </w:r>
      <w:r w:rsidRPr="00B26A25">
        <w:rPr>
          <w:rFonts w:ascii="Cambria" w:hAnsi="Cambria"/>
          <w:sz w:val="20"/>
          <w:szCs w:val="20"/>
          <w:lang w:val="es-AR"/>
        </w:rPr>
        <w:t>; y la Convención Interamericana para Prevenir, Sancionar y Erradicar la Violencia contra la Mujer se refiere a las medidas de protección que se deben otorgar a “la mujer que es objeto de violencia cuando está embarazada”</w:t>
      </w:r>
      <w:r w:rsidR="00A14F05">
        <w:rPr>
          <w:rFonts w:ascii="ZWAdobeF" w:hAnsi="ZWAdobeF" w:cs="ZWAdobeF"/>
          <w:sz w:val="2"/>
          <w:szCs w:val="2"/>
          <w:lang w:val="es-AR"/>
        </w:rPr>
        <w:t>428F</w:t>
      </w:r>
      <w:r w:rsidRPr="005C52BD">
        <w:rPr>
          <w:rStyle w:val="FootnoteReference"/>
          <w:rFonts w:ascii="Cambria" w:hAnsi="Cambria"/>
          <w:sz w:val="20"/>
          <w:szCs w:val="20"/>
        </w:rPr>
        <w:footnoteReference w:id="430"/>
      </w:r>
      <w:r w:rsidRPr="00B26A25">
        <w:rPr>
          <w:rFonts w:ascii="Cambria" w:hAnsi="Cambria"/>
          <w:sz w:val="20"/>
          <w:szCs w:val="20"/>
          <w:lang w:val="es-AR"/>
        </w:rPr>
        <w:t xml:space="preserve">. En este sentido, el término mujer se encuentra establecido directamente en los instrumentos internacionales en relación con el proceso gestacional, no así otros términos como el de persona gestante utilizado por la mayoría de la Comisión en el capítulo al que se hace referencia en este voto. </w:t>
      </w:r>
    </w:p>
    <w:p w14:paraId="2904A8A0" w14:textId="77777777" w:rsidR="00B26A25" w:rsidRPr="00B26A25" w:rsidRDefault="00B26A25" w:rsidP="00B26A25">
      <w:pPr>
        <w:widowControl w:val="0"/>
        <w:jc w:val="both"/>
        <w:rPr>
          <w:rFonts w:ascii="Cambria" w:hAnsi="Cambria"/>
          <w:sz w:val="20"/>
          <w:szCs w:val="20"/>
          <w:lang w:val="es-AR"/>
        </w:rPr>
      </w:pPr>
    </w:p>
    <w:p w14:paraId="32C5CC61" w14:textId="77777777" w:rsidR="00B26A25" w:rsidRPr="00B26A25" w:rsidRDefault="00B26A25" w:rsidP="00B26A25">
      <w:pPr>
        <w:widowControl w:val="0"/>
        <w:jc w:val="both"/>
        <w:rPr>
          <w:rFonts w:ascii="Cambria" w:hAnsi="Cambria"/>
          <w:sz w:val="20"/>
          <w:szCs w:val="20"/>
          <w:lang w:val="es-AR"/>
        </w:rPr>
      </w:pPr>
      <w:r w:rsidRPr="00B26A25">
        <w:rPr>
          <w:rFonts w:ascii="Cambria" w:hAnsi="Cambria"/>
          <w:sz w:val="20"/>
          <w:szCs w:val="20"/>
          <w:lang w:val="es-AR"/>
        </w:rPr>
        <w:t xml:space="preserve">Sobre este asunto, aprovecho esta oportunidad para manifestar mi preocupación en relación con una tendencia de invisibilización que se ha venido generando en el derecho internacional en relación con términos que se relacionan intrínsecamente con el hecho de ser mujer, con el fin de implantar un lenguaje aparentemente “neutro” o “más inclusivo”. Así, términos como mujer gestante o embarazada han sido reemplazados por “persona gestante”, mujer por “persona menstruante”, o madre por “progenitor”. </w:t>
      </w:r>
    </w:p>
    <w:p w14:paraId="693E7F4D" w14:textId="77777777" w:rsidR="00B26A25" w:rsidRPr="00B26A25" w:rsidRDefault="00B26A25" w:rsidP="00B26A25">
      <w:pPr>
        <w:widowControl w:val="0"/>
        <w:jc w:val="both"/>
        <w:rPr>
          <w:rFonts w:ascii="Cambria" w:hAnsi="Cambria"/>
          <w:sz w:val="20"/>
          <w:szCs w:val="20"/>
          <w:lang w:val="es-AR"/>
        </w:rPr>
      </w:pPr>
    </w:p>
    <w:p w14:paraId="1DA6938D" w14:textId="77777777" w:rsidR="00B26A25" w:rsidRPr="00B26A25" w:rsidRDefault="00B26A25" w:rsidP="00B26A25">
      <w:pPr>
        <w:widowControl w:val="0"/>
        <w:jc w:val="both"/>
        <w:rPr>
          <w:rFonts w:ascii="Cambria" w:eastAsia="Cambria" w:hAnsi="Cambria" w:cs="Cambria"/>
          <w:sz w:val="20"/>
          <w:szCs w:val="20"/>
          <w:lang w:val="es-AR"/>
        </w:rPr>
      </w:pPr>
      <w:r w:rsidRPr="00B26A25">
        <w:rPr>
          <w:rFonts w:ascii="Cambria" w:hAnsi="Cambria"/>
          <w:sz w:val="20"/>
          <w:szCs w:val="20"/>
          <w:lang w:val="es-AR"/>
        </w:rPr>
        <w:t xml:space="preserve">Esta tendencia, lejos de ser más inclusiva, tiene efectos devastadores para las mujeres. El reemplazo del término mujer niega los años de lucha de visibilización de las mujeres en los instrumentos de derecho internacional. Así, mediante el lenguaje, borra a las mujeres de la protección del derecho internacional. Además, impide el reconocimiento del derecho internacional de realidades que impactan especialmente a las mujeres, y que requieren de medidas diferenciadas, como la gestación, la maternidad o la lactancia. Finalmente, reduce a las mujeres a sus características reproductivas, reduciendo su naturaleza a seres que gestan o que menstrúan. En relación con la utilización de estos términos, es importante que se tengan diálogos abiertos y democráticos, que tomen en consideración las consecuencias e impactos de su utilización, antes de que sean incluidos en los documentos de la Comisión. </w:t>
      </w:r>
    </w:p>
    <w:p w14:paraId="1A775540" w14:textId="77777777" w:rsidR="00B26A25" w:rsidRPr="00B26A25" w:rsidRDefault="00B26A25" w:rsidP="00B26A25">
      <w:pPr>
        <w:widowControl w:val="0"/>
        <w:jc w:val="both"/>
        <w:rPr>
          <w:rFonts w:ascii="Cambria" w:eastAsia="Cambria" w:hAnsi="Cambria" w:cs="Cambria"/>
          <w:sz w:val="20"/>
          <w:szCs w:val="20"/>
          <w:lang w:val="es-AR"/>
        </w:rPr>
      </w:pPr>
    </w:p>
    <w:p w14:paraId="6F0E4799" w14:textId="77777777" w:rsidR="00B26A25" w:rsidRPr="00B26A25" w:rsidRDefault="00B26A25" w:rsidP="00B26A25">
      <w:pPr>
        <w:pStyle w:val="IASubttulo3"/>
        <w:suppressAutoHyphens/>
        <w:rPr>
          <w:color w:val="191919"/>
          <w:szCs w:val="20"/>
          <w:highlight w:val="white"/>
          <w:lang w:val="es-AR"/>
        </w:rPr>
      </w:pPr>
      <w:bookmarkStart w:id="52" w:name="_Toc195617495"/>
      <w:r w:rsidRPr="00B26A25">
        <w:rPr>
          <w:szCs w:val="20"/>
          <w:lang w:val="es-AR"/>
        </w:rPr>
        <w:t>Abordaje insuficiente en relación con la aprobación y uso de métodos anticonceptivos</w:t>
      </w:r>
      <w:bookmarkEnd w:id="52"/>
    </w:p>
    <w:p w14:paraId="11DDA023" w14:textId="4937D732" w:rsidR="00B26A25" w:rsidRPr="00B26A25" w:rsidRDefault="00B26A25" w:rsidP="00B26A25">
      <w:pPr>
        <w:widowControl w:val="0"/>
        <w:jc w:val="both"/>
        <w:rPr>
          <w:rFonts w:ascii="Cambria" w:eastAsia="Cambria" w:hAnsi="Cambria" w:cs="Cambria"/>
          <w:sz w:val="20"/>
          <w:szCs w:val="20"/>
          <w:lang w:val="es-AR"/>
        </w:rPr>
      </w:pPr>
      <w:r w:rsidRPr="00B26A25">
        <w:rPr>
          <w:rFonts w:ascii="Cambria" w:eastAsia="Cambria" w:hAnsi="Cambria" w:cs="Cambria"/>
          <w:sz w:val="20"/>
          <w:szCs w:val="20"/>
          <w:lang w:val="es-AR"/>
        </w:rPr>
        <w:t>En el párrafo 1</w:t>
      </w:r>
      <w:r w:rsidR="003C5ED3">
        <w:rPr>
          <w:rFonts w:ascii="Cambria" w:eastAsia="Cambria" w:hAnsi="Cambria" w:cs="Cambria"/>
          <w:sz w:val="20"/>
          <w:szCs w:val="20"/>
          <w:lang w:val="es-AR"/>
        </w:rPr>
        <w:t>88</w:t>
      </w:r>
      <w:r w:rsidRPr="00B26A25">
        <w:rPr>
          <w:rFonts w:ascii="Cambria" w:eastAsia="Cambria" w:hAnsi="Cambria" w:cs="Cambria"/>
          <w:sz w:val="20"/>
          <w:szCs w:val="20"/>
          <w:lang w:val="es-AR"/>
        </w:rPr>
        <w:t xml:space="preserve"> del capítulo se indica que “En la misma línea, informaciones de medios reportan un acceso limitado a métodos anticonceptivos por parte de mujeres que habitan en zonas rurales y comunidades indígenas, donde se presentan las tasas más elevadas de embarazos adolescentes”.</w:t>
      </w:r>
    </w:p>
    <w:p w14:paraId="7E551363" w14:textId="77777777" w:rsidR="00B26A25" w:rsidRPr="00B26A25" w:rsidRDefault="00B26A25" w:rsidP="00B26A25">
      <w:pPr>
        <w:widowControl w:val="0"/>
        <w:jc w:val="both"/>
        <w:rPr>
          <w:rFonts w:ascii="Cambria" w:eastAsia="Cambria" w:hAnsi="Cambria" w:cs="Cambria"/>
          <w:sz w:val="20"/>
          <w:szCs w:val="20"/>
          <w:lang w:val="es-AR"/>
        </w:rPr>
      </w:pPr>
    </w:p>
    <w:p w14:paraId="20D5B168" w14:textId="77777777" w:rsidR="00B26A25" w:rsidRPr="00B26A25" w:rsidRDefault="00B26A25" w:rsidP="00B26A25">
      <w:pPr>
        <w:widowControl w:val="0"/>
        <w:jc w:val="both"/>
        <w:rPr>
          <w:rFonts w:ascii="Cambria" w:eastAsia="Cambria" w:hAnsi="Cambria" w:cs="Cambria"/>
          <w:sz w:val="20"/>
          <w:szCs w:val="20"/>
          <w:lang w:val="es-AR"/>
        </w:rPr>
      </w:pPr>
      <w:r w:rsidRPr="00B26A25">
        <w:rPr>
          <w:rFonts w:ascii="Cambria" w:eastAsia="Cambria" w:hAnsi="Cambria" w:cs="Cambria"/>
          <w:sz w:val="20"/>
          <w:szCs w:val="20"/>
          <w:lang w:val="es-AR"/>
        </w:rPr>
        <w:t>Frente ello, reprocho que la mayoría de la Comisión haya optado por promover la garantía de métodos anticonceptivos y haya rechazado la incorporación en el Informe de un párrafo en el que inste a los Estados a acompañar tales medidas de iniciativas de educación y sensibilización sobre el uso de estos métodos, la información sobre los posibles efectos físicos concretos que conllevan y su impacto en el derecho a la salud. Destaco que la libertad en la toma de decisiones no se limita a la apertura de opciones. La verdadera libertad se presenta cuando se brinda la suficiente información para adoptar las decisiones.</w:t>
      </w:r>
    </w:p>
    <w:p w14:paraId="4103A0BF" w14:textId="77777777" w:rsidR="00B26A25" w:rsidRPr="00B26A25" w:rsidRDefault="00B26A25" w:rsidP="00B26A25">
      <w:pPr>
        <w:widowControl w:val="0"/>
        <w:jc w:val="both"/>
        <w:rPr>
          <w:rFonts w:ascii="Cambria" w:eastAsia="Cambria" w:hAnsi="Cambria" w:cs="Cambria"/>
          <w:sz w:val="20"/>
          <w:szCs w:val="20"/>
          <w:lang w:val="es-AR"/>
        </w:rPr>
      </w:pPr>
    </w:p>
    <w:p w14:paraId="433AA18B" w14:textId="272B57C9" w:rsidR="00B26A25" w:rsidRPr="00B26A25" w:rsidRDefault="00B26A25" w:rsidP="00B26A25">
      <w:pPr>
        <w:widowControl w:val="0"/>
        <w:jc w:val="both"/>
        <w:rPr>
          <w:rFonts w:ascii="Cambria" w:eastAsia="Cambria" w:hAnsi="Cambria" w:cs="Cambria"/>
          <w:sz w:val="20"/>
          <w:szCs w:val="20"/>
          <w:lang w:val="es-AR"/>
        </w:rPr>
      </w:pPr>
      <w:r w:rsidRPr="00B26A25">
        <w:rPr>
          <w:rFonts w:ascii="Cambria" w:eastAsia="Cambria" w:hAnsi="Cambria" w:cs="Cambria"/>
          <w:sz w:val="20"/>
          <w:szCs w:val="20"/>
          <w:lang w:val="es-AR"/>
        </w:rPr>
        <w:t>Al respecto, la Organización Mundial de la Salud ha indicado que la adopción del método anticonceptivo dependerá “</w:t>
      </w:r>
      <w:r w:rsidRPr="00B26A25">
        <w:rPr>
          <w:rFonts w:ascii="Cambria" w:eastAsia="Cambria" w:hAnsi="Cambria" w:cs="Cambria"/>
          <w:b/>
          <w:sz w:val="20"/>
          <w:szCs w:val="20"/>
          <w:lang w:val="es-AR"/>
        </w:rPr>
        <w:t>del estado general de salud de la persona</w:t>
      </w:r>
      <w:r w:rsidRPr="00B26A25">
        <w:rPr>
          <w:rFonts w:ascii="Cambria" w:eastAsia="Cambria" w:hAnsi="Cambria" w:cs="Cambria"/>
          <w:sz w:val="20"/>
          <w:szCs w:val="20"/>
          <w:lang w:val="es-AR"/>
        </w:rPr>
        <w:t>”, entre otros criterios</w:t>
      </w:r>
      <w:r w:rsidR="00A14F05">
        <w:rPr>
          <w:rFonts w:ascii="ZWAdobeF" w:eastAsia="Cambria" w:hAnsi="ZWAdobeF" w:cs="ZWAdobeF"/>
          <w:sz w:val="2"/>
          <w:szCs w:val="2"/>
          <w:lang w:val="es-AR"/>
        </w:rPr>
        <w:t>429F</w:t>
      </w:r>
      <w:r w:rsidRPr="005C52BD">
        <w:rPr>
          <w:rFonts w:ascii="Cambria" w:eastAsia="Cambria" w:hAnsi="Cambria" w:cs="Cambria"/>
          <w:sz w:val="20"/>
          <w:szCs w:val="20"/>
          <w:vertAlign w:val="superscript"/>
        </w:rPr>
        <w:footnoteReference w:id="431"/>
      </w:r>
      <w:r w:rsidRPr="00B26A25">
        <w:rPr>
          <w:rFonts w:ascii="Cambria" w:eastAsia="Cambria" w:hAnsi="Cambria" w:cs="Cambria"/>
          <w:sz w:val="20"/>
          <w:szCs w:val="20"/>
          <w:lang w:val="es-AR"/>
        </w:rPr>
        <w:t xml:space="preserve">.  Esto es de gran relevancia, en tanto da cuenta de que </w:t>
      </w:r>
      <w:r w:rsidRPr="00B26A25">
        <w:rPr>
          <w:rFonts w:ascii="Cambria" w:eastAsia="Cambria" w:hAnsi="Cambria" w:cs="Cambria"/>
          <w:b/>
          <w:sz w:val="20"/>
          <w:szCs w:val="20"/>
          <w:lang w:val="es-AR"/>
        </w:rPr>
        <w:t xml:space="preserve">no todo método anticonceptivo resulta apto para toda persona </w:t>
      </w:r>
      <w:r w:rsidRPr="00B26A25">
        <w:rPr>
          <w:rFonts w:ascii="Cambria" w:eastAsia="Cambria" w:hAnsi="Cambria" w:cs="Cambria"/>
          <w:sz w:val="20"/>
          <w:szCs w:val="20"/>
          <w:lang w:val="es-AR"/>
        </w:rPr>
        <w:t>y que, en este marco, el suministro de aquellos puede representar un riesgo para la salud en casos concretos. Así, resulta esencial que las personas reciban una adecuada orientación sobre los métodos anticonceptivos existentes para que debidamente informados puedan elegir la opción que más les resulte adecuada.</w:t>
      </w:r>
    </w:p>
    <w:p w14:paraId="3B542963" w14:textId="77777777" w:rsidR="00B26A25" w:rsidRPr="00B26A25" w:rsidRDefault="00B26A25" w:rsidP="00B26A25">
      <w:pPr>
        <w:widowControl w:val="0"/>
        <w:jc w:val="both"/>
        <w:rPr>
          <w:rFonts w:ascii="Cambria" w:eastAsia="Cambria" w:hAnsi="Cambria" w:cs="Cambria"/>
          <w:sz w:val="20"/>
          <w:szCs w:val="20"/>
          <w:lang w:val="es-AR"/>
        </w:rPr>
      </w:pPr>
    </w:p>
    <w:p w14:paraId="26C49747" w14:textId="44D37F7A" w:rsidR="00B26A25" w:rsidRPr="00B26A25" w:rsidRDefault="00B26A25" w:rsidP="00B26A25">
      <w:pPr>
        <w:widowControl w:val="0"/>
        <w:jc w:val="both"/>
        <w:rPr>
          <w:rFonts w:ascii="Cambria" w:eastAsia="Cambria" w:hAnsi="Cambria" w:cs="Cambria"/>
          <w:sz w:val="20"/>
          <w:szCs w:val="20"/>
          <w:lang w:val="es-AR"/>
        </w:rPr>
      </w:pPr>
      <w:r w:rsidRPr="00B26A25">
        <w:rPr>
          <w:rFonts w:ascii="Cambria" w:eastAsia="Cambria" w:hAnsi="Cambria" w:cs="Cambria"/>
          <w:sz w:val="20"/>
          <w:szCs w:val="20"/>
          <w:lang w:val="es-AR"/>
        </w:rPr>
        <w:t>Y es que solo con una debida orientación se podrá garantizar que las personas que hagan uso de métodos anticonceptivos presten su consentimiento informado, garantía esencial que se deriva del texto convencional</w:t>
      </w:r>
      <w:r w:rsidR="00A14F05">
        <w:rPr>
          <w:rFonts w:ascii="ZWAdobeF" w:eastAsia="Cambria" w:hAnsi="ZWAdobeF" w:cs="ZWAdobeF"/>
          <w:sz w:val="2"/>
          <w:szCs w:val="2"/>
          <w:lang w:val="es-AR"/>
        </w:rPr>
        <w:t>430F</w:t>
      </w:r>
      <w:r w:rsidRPr="005C52BD">
        <w:rPr>
          <w:rFonts w:ascii="Cambria" w:eastAsia="Cambria" w:hAnsi="Cambria" w:cs="Cambria"/>
          <w:sz w:val="20"/>
          <w:szCs w:val="20"/>
          <w:vertAlign w:val="superscript"/>
        </w:rPr>
        <w:footnoteReference w:id="432"/>
      </w:r>
      <w:r w:rsidRPr="00B26A25">
        <w:rPr>
          <w:rFonts w:ascii="Cambria" w:eastAsia="Cambria" w:hAnsi="Cambria" w:cs="Cambria"/>
          <w:sz w:val="20"/>
          <w:szCs w:val="20"/>
          <w:lang w:val="es-AR"/>
        </w:rPr>
        <w:t>. Frente al consentimiento informado, la Corte IDH ha dejado sentado que:</w:t>
      </w:r>
    </w:p>
    <w:p w14:paraId="5EEC503D" w14:textId="77777777" w:rsidR="00B26A25" w:rsidRPr="00B26A25" w:rsidRDefault="00B26A25" w:rsidP="00B26A25">
      <w:pPr>
        <w:widowControl w:val="0"/>
        <w:jc w:val="both"/>
        <w:rPr>
          <w:rFonts w:ascii="Cambria" w:eastAsia="Cambria" w:hAnsi="Cambria" w:cs="Cambria"/>
          <w:sz w:val="20"/>
          <w:szCs w:val="20"/>
          <w:lang w:val="es-AR"/>
        </w:rPr>
      </w:pPr>
    </w:p>
    <w:p w14:paraId="2ACF1F02" w14:textId="00CE53C6" w:rsidR="00B26A25" w:rsidRPr="00B26A25" w:rsidRDefault="00B26A25" w:rsidP="00B26A25">
      <w:pPr>
        <w:widowControl w:val="0"/>
        <w:ind w:left="720"/>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“el concepto del consentimiento informado consiste en una decisión previa de aceptar o someterse a un acto médico en sentido amplio, obtenida de manera libre, es decir sin amenazas ni coerción, inducción o alicientes impropios, manifestada con posterioridad a la </w:t>
      </w:r>
      <w:r w:rsidRPr="00B26A25">
        <w:rPr>
          <w:rFonts w:ascii="Cambria" w:eastAsia="Cambria" w:hAnsi="Cambria" w:cs="Cambria"/>
          <w:b/>
          <w:sz w:val="20"/>
          <w:szCs w:val="20"/>
          <w:lang w:val="es-AR"/>
        </w:rPr>
        <w:t>obtención de información adecuada, completa, fidedigna, comprensible y accesible, siempre que esta información haya sido realmente comprendida, lo que permitirá el consentimiento pleno del individuo.</w:t>
      </w:r>
      <w:r w:rsidRPr="00B26A25">
        <w:rPr>
          <w:rFonts w:ascii="Cambria" w:eastAsia="Cambria" w:hAnsi="Cambria" w:cs="Cambria"/>
          <w:sz w:val="20"/>
          <w:szCs w:val="20"/>
          <w:lang w:val="es-AR"/>
        </w:rPr>
        <w:t xml:space="preserve"> El consentimiento informado es la decisión positiva de someterse a un acto médico, derivada de un proceso de decisión o elección previo, libre e </w:t>
      </w:r>
      <w:r w:rsidRPr="00B26A25">
        <w:rPr>
          <w:rFonts w:ascii="Cambria" w:eastAsia="Cambria" w:hAnsi="Cambria" w:cs="Cambria"/>
          <w:b/>
          <w:sz w:val="20"/>
          <w:szCs w:val="20"/>
          <w:lang w:val="es-AR"/>
        </w:rPr>
        <w:t>informado,</w:t>
      </w:r>
      <w:r w:rsidRPr="00B26A25">
        <w:rPr>
          <w:rFonts w:ascii="Cambria" w:eastAsia="Cambria" w:hAnsi="Cambria" w:cs="Cambria"/>
          <w:sz w:val="20"/>
          <w:szCs w:val="20"/>
          <w:lang w:val="es-AR"/>
        </w:rPr>
        <w:t xml:space="preserve"> el cual constituye un mecanismo bidireccional de interacción en la relación médico-paciente”</w:t>
      </w:r>
      <w:r w:rsidR="00A14F05">
        <w:rPr>
          <w:rFonts w:ascii="ZWAdobeF" w:eastAsia="Cambria" w:hAnsi="ZWAdobeF" w:cs="ZWAdobeF"/>
          <w:sz w:val="2"/>
          <w:szCs w:val="2"/>
          <w:lang w:val="es-AR"/>
        </w:rPr>
        <w:t>431F</w:t>
      </w:r>
      <w:r w:rsidRPr="005C52BD">
        <w:rPr>
          <w:rFonts w:ascii="Cambria" w:eastAsia="Cambria" w:hAnsi="Cambria" w:cs="Cambria"/>
          <w:sz w:val="20"/>
          <w:szCs w:val="20"/>
          <w:vertAlign w:val="superscript"/>
        </w:rPr>
        <w:footnoteReference w:id="433"/>
      </w:r>
      <w:r w:rsidRPr="00B26A25">
        <w:rPr>
          <w:rFonts w:ascii="Cambria" w:eastAsia="Cambria" w:hAnsi="Cambria" w:cs="Cambria"/>
          <w:sz w:val="20"/>
          <w:szCs w:val="20"/>
          <w:lang w:val="es-AR"/>
        </w:rPr>
        <w:t>.</w:t>
      </w:r>
    </w:p>
    <w:p w14:paraId="66E56A50" w14:textId="77777777" w:rsidR="00B26A25" w:rsidRPr="00B26A25" w:rsidRDefault="00B26A25" w:rsidP="00B26A25">
      <w:pPr>
        <w:widowControl w:val="0"/>
        <w:jc w:val="both"/>
        <w:rPr>
          <w:rFonts w:ascii="Cambria" w:eastAsia="Cambria" w:hAnsi="Cambria" w:cs="Cambria"/>
          <w:sz w:val="20"/>
          <w:szCs w:val="20"/>
          <w:lang w:val="es-AR"/>
        </w:rPr>
      </w:pPr>
    </w:p>
    <w:p w14:paraId="0A2C700F" w14:textId="2711C7BF" w:rsidR="00B26A25" w:rsidRPr="00B26A25" w:rsidRDefault="00B26A25" w:rsidP="00B26A25">
      <w:pPr>
        <w:widowControl w:val="0"/>
        <w:jc w:val="both"/>
        <w:rPr>
          <w:rFonts w:ascii="Cambria" w:eastAsia="Cambria" w:hAnsi="Cambria" w:cs="Cambria"/>
          <w:sz w:val="20"/>
          <w:szCs w:val="20"/>
          <w:lang w:val="es-AR"/>
        </w:rPr>
      </w:pPr>
      <w:r w:rsidRPr="00B26A25">
        <w:rPr>
          <w:rFonts w:ascii="Cambria" w:eastAsia="Cambria" w:hAnsi="Cambria" w:cs="Cambria"/>
          <w:sz w:val="20"/>
          <w:szCs w:val="20"/>
          <w:lang w:val="es-AR"/>
        </w:rPr>
        <w:t>En relación con ello, en el caso I.V vs Bolivia, la Corte reprochó que la víctima nunca tuvo posibilidad de conocer y sopesar diferentes alternativas de métodos de anticoncepción</w:t>
      </w:r>
      <w:r w:rsidR="00A14F05">
        <w:rPr>
          <w:rFonts w:ascii="ZWAdobeF" w:eastAsia="Cambria" w:hAnsi="ZWAdobeF" w:cs="ZWAdobeF"/>
          <w:sz w:val="2"/>
          <w:szCs w:val="2"/>
          <w:lang w:val="es-AR"/>
        </w:rPr>
        <w:t>432F</w:t>
      </w:r>
      <w:r w:rsidRPr="005C52BD">
        <w:rPr>
          <w:rFonts w:ascii="Cambria" w:eastAsia="Cambria" w:hAnsi="Cambria" w:cs="Cambria"/>
          <w:sz w:val="20"/>
          <w:szCs w:val="20"/>
          <w:vertAlign w:val="superscript"/>
        </w:rPr>
        <w:footnoteReference w:id="434"/>
      </w:r>
      <w:r w:rsidRPr="00B26A25">
        <w:rPr>
          <w:rFonts w:ascii="Cambria" w:eastAsia="Cambria" w:hAnsi="Cambria" w:cs="Cambria"/>
          <w:sz w:val="20"/>
          <w:szCs w:val="20"/>
          <w:lang w:val="es-AR"/>
        </w:rPr>
        <w:t>.  En este caso, la Corte IDH destacó la importancia de que las personas cuenten con los datos necesarios para tomar una decisión informada. En este marco, el Tribunal resaltó la relevancia de abordar los efectos o impactos del método para la elección libre</w:t>
      </w:r>
      <w:r w:rsidR="00A14F05">
        <w:rPr>
          <w:rFonts w:ascii="ZWAdobeF" w:eastAsia="Cambria" w:hAnsi="ZWAdobeF" w:cs="ZWAdobeF"/>
          <w:sz w:val="2"/>
          <w:szCs w:val="2"/>
          <w:lang w:val="es-AR"/>
        </w:rPr>
        <w:t>433F</w:t>
      </w:r>
      <w:r w:rsidRPr="005C52BD">
        <w:rPr>
          <w:rFonts w:ascii="Cambria" w:eastAsia="Cambria" w:hAnsi="Cambria" w:cs="Cambria"/>
          <w:sz w:val="20"/>
          <w:szCs w:val="20"/>
          <w:vertAlign w:val="superscript"/>
        </w:rPr>
        <w:footnoteReference w:id="435"/>
      </w:r>
      <w:r w:rsidRPr="00B26A25">
        <w:rPr>
          <w:rFonts w:ascii="Cambria" w:eastAsia="Cambria" w:hAnsi="Cambria" w:cs="Cambria"/>
          <w:sz w:val="20"/>
          <w:szCs w:val="20"/>
          <w:lang w:val="es-AR"/>
        </w:rPr>
        <w:t>.</w:t>
      </w:r>
    </w:p>
    <w:p w14:paraId="65D39FA0" w14:textId="77777777" w:rsidR="00B26A25" w:rsidRPr="00B26A25" w:rsidRDefault="00B26A25" w:rsidP="00B26A25">
      <w:pPr>
        <w:widowControl w:val="0"/>
        <w:jc w:val="both"/>
        <w:rPr>
          <w:rFonts w:ascii="Cambria" w:eastAsia="Cambria" w:hAnsi="Cambria" w:cs="Cambria"/>
          <w:sz w:val="20"/>
          <w:szCs w:val="20"/>
          <w:lang w:val="es-AR"/>
        </w:rPr>
      </w:pPr>
    </w:p>
    <w:p w14:paraId="029FB577" w14:textId="77777777" w:rsidR="00B26A25" w:rsidRPr="00B26A25" w:rsidRDefault="00B26A25" w:rsidP="00B26A25">
      <w:pPr>
        <w:widowControl w:val="0"/>
        <w:jc w:val="both"/>
        <w:rPr>
          <w:rFonts w:ascii="Cambria" w:eastAsia="Cambria" w:hAnsi="Cambria" w:cs="Cambria"/>
          <w:sz w:val="20"/>
          <w:szCs w:val="20"/>
          <w:lang w:val="es-AR"/>
        </w:rPr>
      </w:pPr>
      <w:r w:rsidRPr="00B26A25">
        <w:rPr>
          <w:rFonts w:ascii="Cambria" w:eastAsia="Cambria" w:hAnsi="Cambria" w:cs="Cambria"/>
          <w:sz w:val="20"/>
          <w:szCs w:val="20"/>
          <w:lang w:val="es-AR"/>
        </w:rPr>
        <w:t>Es así que, solamente podrá garantizarse la autonomía de las personas en la elección de métodos anticonceptivos cuando tengan la capacidad de consentir con la información necesaria el uso o no de estos. Así pues, resulta especialmente desafortunado que el Capítulo aprobado haya, deliberadamente, omitido estos elementos.</w:t>
      </w:r>
    </w:p>
    <w:p w14:paraId="44013EC4" w14:textId="77777777" w:rsidR="00B26A25" w:rsidRPr="00B26A25" w:rsidRDefault="00B26A25" w:rsidP="00B26A25">
      <w:pPr>
        <w:widowControl w:val="0"/>
        <w:jc w:val="both"/>
        <w:rPr>
          <w:rFonts w:ascii="Cambria" w:eastAsia="Cambria" w:hAnsi="Cambria" w:cs="Cambria"/>
          <w:color w:val="191919"/>
          <w:sz w:val="20"/>
          <w:szCs w:val="20"/>
          <w:highlight w:val="white"/>
          <w:lang w:val="es-AR"/>
        </w:rPr>
      </w:pPr>
    </w:p>
    <w:p w14:paraId="7ED1C94E" w14:textId="77777777" w:rsidR="00B26A25" w:rsidRPr="00B26A25" w:rsidRDefault="00B26A25" w:rsidP="00B26A25">
      <w:pPr>
        <w:pStyle w:val="IASubttulo3"/>
        <w:suppressAutoHyphens/>
        <w:rPr>
          <w:szCs w:val="20"/>
          <w:highlight w:val="white"/>
          <w:lang w:val="es-AR"/>
        </w:rPr>
      </w:pPr>
      <w:bookmarkStart w:id="53" w:name="_Toc195617496"/>
      <w:r w:rsidRPr="00B26A25">
        <w:rPr>
          <w:szCs w:val="20"/>
          <w:highlight w:val="white"/>
          <w:lang w:val="es-AR"/>
        </w:rPr>
        <w:t>Imprecisiones en relación con los derechos de personas LGTBI</w:t>
      </w:r>
      <w:bookmarkEnd w:id="53"/>
    </w:p>
    <w:p w14:paraId="5124BFF4" w14:textId="77777777" w:rsidR="00B26A25" w:rsidRPr="00B26A25" w:rsidRDefault="00B26A25" w:rsidP="00B26A25">
      <w:pPr>
        <w:spacing w:before="240" w:after="240"/>
        <w:jc w:val="both"/>
        <w:rPr>
          <w:rFonts w:ascii="Cambria" w:eastAsia="Cambria" w:hAnsi="Cambria" w:cs="Cambria"/>
          <w:color w:val="191919"/>
          <w:sz w:val="20"/>
          <w:szCs w:val="20"/>
          <w:highlight w:val="white"/>
          <w:lang w:val="es-AR"/>
        </w:rPr>
      </w:pPr>
      <w:r w:rsidRPr="00B26A25">
        <w:rPr>
          <w:rFonts w:ascii="Cambria" w:eastAsia="Cambria" w:hAnsi="Cambria" w:cs="Cambria"/>
          <w:color w:val="191919"/>
          <w:sz w:val="20"/>
          <w:szCs w:val="20"/>
          <w:highlight w:val="white"/>
          <w:lang w:val="es-AR"/>
        </w:rPr>
        <w:t xml:space="preserve">En el párrafo 206, se establece “Venezuela continua sin producir datos oficiales sobre la violencia y discriminación que afecta a las personas LGBTI. A pesar de ello, no existe un marco legal que garantice </w:t>
      </w:r>
      <w:r w:rsidRPr="00B26A25">
        <w:rPr>
          <w:rFonts w:ascii="Cambria" w:eastAsia="Cambria" w:hAnsi="Cambria" w:cs="Cambria"/>
          <w:b/>
          <w:color w:val="191919"/>
          <w:sz w:val="20"/>
          <w:szCs w:val="20"/>
          <w:highlight w:val="white"/>
          <w:lang w:val="es-AR"/>
        </w:rPr>
        <w:t xml:space="preserve">sus derechos fundamentales </w:t>
      </w:r>
      <w:r w:rsidRPr="00B26A25">
        <w:rPr>
          <w:rFonts w:ascii="Cambria" w:eastAsia="Cambria" w:hAnsi="Cambria" w:cs="Cambria"/>
          <w:color w:val="191919"/>
          <w:sz w:val="20"/>
          <w:szCs w:val="20"/>
          <w:highlight w:val="white"/>
          <w:lang w:val="es-AR"/>
        </w:rPr>
        <w:t xml:space="preserve">sin discriminación, incluidos sus derechos de asociación, libertad de expresión, </w:t>
      </w:r>
      <w:r w:rsidRPr="00B26A25">
        <w:rPr>
          <w:rFonts w:ascii="Cambria" w:eastAsia="Cambria" w:hAnsi="Cambria" w:cs="Cambria"/>
          <w:b/>
          <w:color w:val="191919"/>
          <w:sz w:val="20"/>
          <w:szCs w:val="20"/>
          <w:highlight w:val="white"/>
          <w:lang w:val="es-AR"/>
        </w:rPr>
        <w:t xml:space="preserve">reconocimiento de familias diversas y la identidad de género.” </w:t>
      </w:r>
      <w:r w:rsidRPr="00B26A25">
        <w:rPr>
          <w:rFonts w:ascii="Cambria" w:eastAsia="Cambria" w:hAnsi="Cambria" w:cs="Cambria"/>
          <w:color w:val="191919"/>
          <w:sz w:val="20"/>
          <w:szCs w:val="20"/>
          <w:highlight w:val="white"/>
          <w:lang w:val="es-AR"/>
        </w:rPr>
        <w:t xml:space="preserve"> En relación con ello, a continuación, me referiré a: (i) la inexistencia de un derecho a la identidad de género y (ii) inexistencia del derecho al matrimonio o la adopción en parejas del mismo sexo.</w:t>
      </w:r>
    </w:p>
    <w:p w14:paraId="09E4CEFB" w14:textId="77777777" w:rsidR="00B26A25" w:rsidRPr="00B26A25" w:rsidRDefault="00B26A25" w:rsidP="00B26A25">
      <w:pPr>
        <w:pStyle w:val="ListParagraph"/>
        <w:numPr>
          <w:ilvl w:val="0"/>
          <w:numId w:val="36"/>
        </w:numPr>
        <w:spacing w:before="240" w:after="240" w:line="276" w:lineRule="auto"/>
        <w:contextualSpacing w:val="0"/>
        <w:jc w:val="both"/>
        <w:rPr>
          <w:rFonts w:ascii="Cambria" w:eastAsia="Cambria" w:hAnsi="Cambria" w:cs="Cambria"/>
          <w:b/>
          <w:vanish/>
          <w:color w:val="191919"/>
          <w:sz w:val="20"/>
          <w:szCs w:val="20"/>
          <w:highlight w:val="white"/>
          <w:lang w:val="es-AR"/>
        </w:rPr>
      </w:pPr>
    </w:p>
    <w:p w14:paraId="29E536C5" w14:textId="77777777" w:rsidR="00B26A25" w:rsidRPr="00B26A25" w:rsidRDefault="00B26A25" w:rsidP="00B26A25">
      <w:pPr>
        <w:pStyle w:val="ListParagraph"/>
        <w:numPr>
          <w:ilvl w:val="0"/>
          <w:numId w:val="36"/>
        </w:numPr>
        <w:spacing w:before="240" w:after="240" w:line="276" w:lineRule="auto"/>
        <w:contextualSpacing w:val="0"/>
        <w:jc w:val="both"/>
        <w:rPr>
          <w:rFonts w:ascii="Cambria" w:eastAsia="Cambria" w:hAnsi="Cambria" w:cs="Cambria"/>
          <w:b/>
          <w:vanish/>
          <w:color w:val="191919"/>
          <w:sz w:val="20"/>
          <w:szCs w:val="20"/>
          <w:highlight w:val="white"/>
          <w:lang w:val="es-AR"/>
        </w:rPr>
      </w:pPr>
    </w:p>
    <w:p w14:paraId="5972F743" w14:textId="77777777" w:rsidR="00B26A25" w:rsidRPr="00B26A25" w:rsidRDefault="00B26A25" w:rsidP="00B26A25">
      <w:pPr>
        <w:pStyle w:val="ListParagraph"/>
        <w:numPr>
          <w:ilvl w:val="0"/>
          <w:numId w:val="36"/>
        </w:numPr>
        <w:spacing w:before="240" w:after="240" w:line="276" w:lineRule="auto"/>
        <w:contextualSpacing w:val="0"/>
        <w:jc w:val="both"/>
        <w:rPr>
          <w:rFonts w:ascii="Cambria" w:eastAsia="Cambria" w:hAnsi="Cambria" w:cs="Cambria"/>
          <w:b/>
          <w:vanish/>
          <w:color w:val="191919"/>
          <w:sz w:val="20"/>
          <w:szCs w:val="20"/>
          <w:highlight w:val="white"/>
          <w:lang w:val="es-AR"/>
        </w:rPr>
      </w:pPr>
    </w:p>
    <w:p w14:paraId="2A849B0F" w14:textId="77777777" w:rsidR="00B26A25" w:rsidRPr="00B26A25" w:rsidRDefault="00B26A25" w:rsidP="00B26A25">
      <w:pPr>
        <w:numPr>
          <w:ilvl w:val="1"/>
          <w:numId w:val="36"/>
        </w:numPr>
        <w:spacing w:before="240" w:after="240" w:line="276" w:lineRule="auto"/>
        <w:jc w:val="both"/>
        <w:rPr>
          <w:rFonts w:ascii="Cambria" w:eastAsia="Cambria" w:hAnsi="Cambria" w:cs="Cambria"/>
          <w:b/>
          <w:color w:val="191919"/>
          <w:sz w:val="20"/>
          <w:szCs w:val="20"/>
          <w:highlight w:val="white"/>
          <w:lang w:val="es-AR"/>
        </w:rPr>
      </w:pPr>
      <w:r w:rsidRPr="00B26A25">
        <w:rPr>
          <w:rFonts w:ascii="Cambria" w:eastAsia="Cambria" w:hAnsi="Cambria" w:cs="Cambria"/>
          <w:b/>
          <w:color w:val="191919"/>
          <w:sz w:val="20"/>
          <w:szCs w:val="20"/>
          <w:highlight w:val="white"/>
          <w:lang w:val="es-AR"/>
        </w:rPr>
        <w:t>Inexistencia del derecho a la identidad de género</w:t>
      </w:r>
    </w:p>
    <w:p w14:paraId="3C3D607F" w14:textId="77777777" w:rsidR="00B26A25" w:rsidRPr="00B26A25" w:rsidRDefault="00B26A25" w:rsidP="00B26A25">
      <w:pPr>
        <w:widowControl w:val="0"/>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En el párrafo 206 se incluye dentro de los derechos de las personas LGTBI el de la identidad de género. Al respecto, reitero que la Convención Americana no contempla expresamente un derecho a la identidad de género, ni hay en el Sistema Interamericano un instrumento vinculante que establezca una obligación de adecuar los documentos de identificación a la identidad de género.  </w:t>
      </w:r>
    </w:p>
    <w:p w14:paraId="19ABBE02" w14:textId="77777777" w:rsidR="00B26A25" w:rsidRPr="00B26A25" w:rsidRDefault="00B26A25" w:rsidP="00B26A25">
      <w:pPr>
        <w:widowControl w:val="0"/>
        <w:jc w:val="both"/>
        <w:rPr>
          <w:rFonts w:ascii="Cambria" w:eastAsia="Cambria" w:hAnsi="Cambria" w:cs="Cambria"/>
          <w:sz w:val="20"/>
          <w:szCs w:val="20"/>
          <w:lang w:val="es-AR"/>
        </w:rPr>
      </w:pPr>
    </w:p>
    <w:p w14:paraId="12D77FF6" w14:textId="1E61F7FB" w:rsidR="00B26A25" w:rsidRPr="00B26A25" w:rsidRDefault="00B26A25" w:rsidP="00B26A25">
      <w:pPr>
        <w:pBdr>
          <w:top w:val="none" w:sz="0" w:space="0" w:color="D9D9E3"/>
          <w:left w:val="none" w:sz="0" w:space="0" w:color="D9D9E3"/>
          <w:bottom w:val="none" w:sz="0" w:space="0" w:color="D9D9E3"/>
          <w:right w:val="none" w:sz="0" w:space="0" w:color="D9D9E3"/>
          <w:between w:val="none" w:sz="0" w:space="0" w:color="D9D9E3"/>
        </w:pBdr>
        <w:jc w:val="both"/>
        <w:rPr>
          <w:rFonts w:ascii="Cambria" w:eastAsia="Cambria" w:hAnsi="Cambria" w:cs="Cambria"/>
          <w:sz w:val="20"/>
          <w:szCs w:val="20"/>
          <w:lang w:val="es-AR"/>
        </w:rPr>
      </w:pPr>
      <w:r w:rsidRPr="00B26A25">
        <w:rPr>
          <w:rFonts w:ascii="Cambria" w:eastAsia="Cambria" w:hAnsi="Cambria" w:cs="Cambria"/>
          <w:sz w:val="20"/>
          <w:szCs w:val="20"/>
          <w:lang w:val="es-AR"/>
        </w:rPr>
        <w:t>Como lo he indicado, reconocer nuevos derechos que no están en la Convención mediante una interpretación que no sigue los procedimientos establecidos en la propia Convención socavaría los artículos 31, 76 y 77, desconociendo la voluntad original de los Estados que ratificaron la Convención.</w:t>
      </w:r>
    </w:p>
    <w:p w14:paraId="7054BABC" w14:textId="7028C06F"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Por ende, todo pronunciamiento en el que alguno de los órganos del SIDH aplique un derecho que no establecen los instrumentos vinculantes de derecho internacional que rigen su actividad será un acto que infringirá la literalidad de la Convención Americana y extralimitará el ámbito de competencias de la CIDH o de la Corte IDH según sea el caso. Un acto constitutivo irregular de esa naturaleza también perjudicaría los principios de buena fe y de </w:t>
      </w:r>
      <w:r w:rsidRPr="00B26A25">
        <w:rPr>
          <w:rFonts w:ascii="Cambria" w:eastAsia="Cambria" w:hAnsi="Cambria" w:cs="Cambria"/>
          <w:i/>
          <w:sz w:val="20"/>
          <w:szCs w:val="20"/>
          <w:lang w:val="es-AR"/>
        </w:rPr>
        <w:t>pacta sunt servanda</w:t>
      </w:r>
      <w:r w:rsidR="00A14F05">
        <w:rPr>
          <w:rFonts w:ascii="ZWAdobeF" w:eastAsia="Cambria" w:hAnsi="ZWAdobeF" w:cs="ZWAdobeF"/>
          <w:sz w:val="2"/>
          <w:szCs w:val="2"/>
          <w:lang w:val="es-AR"/>
        </w:rPr>
        <w:t>434F</w:t>
      </w:r>
      <w:r w:rsidRPr="005C52BD">
        <w:rPr>
          <w:rFonts w:ascii="Cambria" w:eastAsia="Cambria" w:hAnsi="Cambria" w:cs="Cambria"/>
          <w:sz w:val="20"/>
          <w:szCs w:val="20"/>
          <w:vertAlign w:val="superscript"/>
        </w:rPr>
        <w:footnoteReference w:id="436"/>
      </w:r>
      <w:r w:rsidRPr="00B26A25">
        <w:rPr>
          <w:rFonts w:ascii="Cambria" w:eastAsia="Cambria" w:hAnsi="Cambria" w:cs="Cambria"/>
          <w:sz w:val="20"/>
          <w:szCs w:val="20"/>
          <w:lang w:val="es-AR"/>
        </w:rPr>
        <w:t xml:space="preserve">. </w:t>
      </w:r>
    </w:p>
    <w:p w14:paraId="7D8CAB3D" w14:textId="77777777" w:rsidR="00B26A25" w:rsidRPr="00B26A25" w:rsidRDefault="00B26A25" w:rsidP="00B26A25">
      <w:pPr>
        <w:jc w:val="both"/>
        <w:rPr>
          <w:rFonts w:ascii="Cambria" w:eastAsia="Cambria" w:hAnsi="Cambria" w:cs="Cambria"/>
          <w:sz w:val="20"/>
          <w:szCs w:val="20"/>
          <w:lang w:val="es-AR"/>
        </w:rPr>
      </w:pPr>
    </w:p>
    <w:p w14:paraId="18924790" w14:textId="666B5F44"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Por otro lado,</w:t>
      </w:r>
      <w:r w:rsidRPr="00B26A25">
        <w:rPr>
          <w:rFonts w:ascii="Cambria" w:eastAsia="Cambria" w:hAnsi="Cambria" w:cs="Cambria"/>
          <w:b/>
          <w:sz w:val="20"/>
          <w:szCs w:val="20"/>
          <w:lang w:val="es-AR"/>
        </w:rPr>
        <w:t xml:space="preserve"> </w:t>
      </w:r>
      <w:r w:rsidRPr="00B26A25">
        <w:rPr>
          <w:rFonts w:ascii="Cambria" w:eastAsia="Cambria" w:hAnsi="Cambria" w:cs="Cambria"/>
          <w:sz w:val="20"/>
          <w:szCs w:val="20"/>
          <w:lang w:val="es-AR"/>
        </w:rPr>
        <w:t>aunque no desconozco que la OC-24/17 afirmó la existencia del denominado “derecho a la identidad de género” y de la señalada obligación de adecuar los documentos de identificación a la identidad de género autopercibida en los términos señalados en este Capítulo, destaco que las Opiniones Consultivas de la Corte IDH no tienen capacidad para contemplar derechos u obligaciones distintos a los expresamente contemplados por la Convención Americana</w:t>
      </w:r>
      <w:r w:rsidR="00A14F05">
        <w:rPr>
          <w:rFonts w:ascii="ZWAdobeF" w:eastAsia="Cambria" w:hAnsi="ZWAdobeF" w:cs="ZWAdobeF"/>
          <w:sz w:val="2"/>
          <w:szCs w:val="2"/>
          <w:lang w:val="es-AR"/>
        </w:rPr>
        <w:t>435F</w:t>
      </w:r>
      <w:r w:rsidRPr="005C52BD">
        <w:rPr>
          <w:rFonts w:ascii="Cambria" w:eastAsia="Cambria" w:hAnsi="Cambria" w:cs="Cambria"/>
          <w:sz w:val="20"/>
          <w:szCs w:val="20"/>
          <w:vertAlign w:val="superscript"/>
        </w:rPr>
        <w:footnoteReference w:id="437"/>
      </w:r>
      <w:r w:rsidRPr="00B26A25">
        <w:rPr>
          <w:rFonts w:ascii="Cambria" w:eastAsia="Cambria" w:hAnsi="Cambria" w:cs="Cambria"/>
          <w:sz w:val="20"/>
          <w:szCs w:val="20"/>
          <w:lang w:val="es-AR"/>
        </w:rPr>
        <w:t>.</w:t>
      </w:r>
    </w:p>
    <w:p w14:paraId="3ED0114A" w14:textId="77777777" w:rsidR="00B26A25" w:rsidRPr="00B26A25" w:rsidRDefault="00B26A25" w:rsidP="00B26A25">
      <w:pPr>
        <w:jc w:val="both"/>
        <w:rPr>
          <w:rFonts w:ascii="Cambria" w:eastAsia="Cambria" w:hAnsi="Cambria" w:cs="Cambria"/>
          <w:sz w:val="20"/>
          <w:szCs w:val="20"/>
          <w:lang w:val="es-AR"/>
        </w:rPr>
      </w:pPr>
    </w:p>
    <w:p w14:paraId="4F3423A4" w14:textId="40329C61"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Al respecto, en primer lugar, el artículo 68 convencional es claro en que los Estados se encuentran obligados a cumplir las decisiones proferidas por la Corte, “en todo caso en que sean partes”. Esta disposición es de gran relevancia en tanto (i) es la única que se refiere al valor jurídico de los pronunciamientos del Tribunal y (ii) circunscribe la vinculatoriedad expresamente para los Estados parte en un caso, limitando así al destinatario de las obligaciones –el Estado parte de un caso– y el contexto en que se profiere el pronunciamiento –esto es, el contencioso–. Esta postura ha sido sostenida también por algunos sectores de la doctrina, fundamentada también en el principio del consentimiento de los Estados como base del derecho convencional</w:t>
      </w:r>
      <w:r w:rsidR="00A14F05">
        <w:rPr>
          <w:rFonts w:ascii="ZWAdobeF" w:eastAsia="Cambria" w:hAnsi="ZWAdobeF" w:cs="ZWAdobeF"/>
          <w:sz w:val="2"/>
          <w:szCs w:val="2"/>
          <w:lang w:val="es-AR"/>
        </w:rPr>
        <w:t>436F</w:t>
      </w:r>
      <w:r w:rsidRPr="005C52BD">
        <w:rPr>
          <w:rFonts w:ascii="Cambria" w:eastAsia="Cambria" w:hAnsi="Cambria" w:cs="Cambria"/>
          <w:sz w:val="20"/>
          <w:szCs w:val="20"/>
          <w:vertAlign w:val="superscript"/>
        </w:rPr>
        <w:footnoteReference w:id="438"/>
      </w:r>
      <w:r w:rsidRPr="00B26A25">
        <w:rPr>
          <w:rFonts w:ascii="Cambria" w:eastAsia="Cambria" w:hAnsi="Cambria" w:cs="Cambria"/>
          <w:sz w:val="20"/>
          <w:szCs w:val="20"/>
          <w:lang w:val="es-AR"/>
        </w:rPr>
        <w:t xml:space="preserve">. </w:t>
      </w:r>
    </w:p>
    <w:p w14:paraId="1E4829AA" w14:textId="77777777" w:rsidR="00B26A25" w:rsidRPr="00B26A25" w:rsidRDefault="00B26A25" w:rsidP="00B26A25">
      <w:pPr>
        <w:jc w:val="both"/>
        <w:rPr>
          <w:rFonts w:ascii="Cambria" w:eastAsia="Cambria" w:hAnsi="Cambria" w:cs="Cambria"/>
          <w:sz w:val="20"/>
          <w:szCs w:val="20"/>
          <w:highlight w:val="green"/>
          <w:lang w:val="es-AR"/>
        </w:rPr>
      </w:pPr>
    </w:p>
    <w:p w14:paraId="5173257D" w14:textId="77777777"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En segundo lugar, específicamente sobre la OC-24/17 conviene tomar en consideración el artículo 64 de la CADH que circunscribe la competencia del Tribunal de emitir opiniones consultivas frente a la Convención o tratados del Sistema Interamericano. Así pues, dado que la OC-24/17 establece presuntos derechos no contemplados en la CADH, ni en ningún otro tratado del SIDH, su vinculatoriedad es aún más cuestionable. </w:t>
      </w:r>
    </w:p>
    <w:p w14:paraId="4972183B" w14:textId="70A6058F" w:rsidR="00B26A25" w:rsidRPr="00B26A25" w:rsidRDefault="00B26A25" w:rsidP="00B26A25">
      <w:pPr>
        <w:spacing w:before="240" w:after="240"/>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En tercer lugar, derivar obligaciones o denominados derechos no contemplados en la Convención, con fundamento exclusivo en una opinión consultiva, resultaría contrario al principio de </w:t>
      </w:r>
      <w:r w:rsidRPr="00B26A25">
        <w:rPr>
          <w:rFonts w:ascii="Cambria" w:eastAsia="Cambria" w:hAnsi="Cambria" w:cs="Cambria"/>
          <w:i/>
          <w:sz w:val="20"/>
          <w:szCs w:val="20"/>
          <w:lang w:val="es-AR"/>
        </w:rPr>
        <w:t>pacta sunt servanda</w:t>
      </w:r>
      <w:r w:rsidRPr="00B26A25">
        <w:rPr>
          <w:rFonts w:ascii="Cambria" w:eastAsia="Cambria" w:hAnsi="Cambria" w:cs="Cambria"/>
          <w:sz w:val="20"/>
          <w:szCs w:val="20"/>
          <w:lang w:val="es-AR"/>
        </w:rPr>
        <w:t xml:space="preserve"> que rige el derecho internacional de los tratados, en virtud del cual, los Estados sólo están obligados a cumplir aquello frente a lo cual expresaron su consentimiento</w:t>
      </w:r>
      <w:r w:rsidR="00A14F05">
        <w:rPr>
          <w:rFonts w:ascii="ZWAdobeF" w:eastAsia="Cambria" w:hAnsi="ZWAdobeF" w:cs="ZWAdobeF"/>
          <w:sz w:val="2"/>
          <w:szCs w:val="2"/>
          <w:lang w:val="es-AR"/>
        </w:rPr>
        <w:t>437F</w:t>
      </w:r>
      <w:r w:rsidRPr="005C52BD">
        <w:rPr>
          <w:rFonts w:ascii="Cambria" w:eastAsia="Cambria" w:hAnsi="Cambria" w:cs="Cambria"/>
          <w:sz w:val="20"/>
          <w:szCs w:val="20"/>
          <w:vertAlign w:val="superscript"/>
        </w:rPr>
        <w:footnoteReference w:id="439"/>
      </w:r>
      <w:r w:rsidRPr="00B26A25">
        <w:rPr>
          <w:rFonts w:ascii="Cambria" w:eastAsia="Cambria" w:hAnsi="Cambria" w:cs="Cambria"/>
          <w:sz w:val="20"/>
          <w:szCs w:val="20"/>
          <w:lang w:val="es-AR"/>
        </w:rPr>
        <w:t>.</w:t>
      </w:r>
    </w:p>
    <w:p w14:paraId="391877E2" w14:textId="50559F89" w:rsidR="00B26A25" w:rsidRPr="00B26A25" w:rsidRDefault="00B26A25" w:rsidP="00B26A25">
      <w:pPr>
        <w:spacing w:before="240" w:after="240"/>
        <w:jc w:val="both"/>
        <w:rPr>
          <w:rFonts w:ascii="Cambria" w:eastAsia="Cambria" w:hAnsi="Cambria" w:cs="Cambria"/>
          <w:i/>
          <w:sz w:val="20"/>
          <w:szCs w:val="20"/>
          <w:lang w:val="es-AR"/>
        </w:rPr>
      </w:pPr>
      <w:r w:rsidRPr="00B26A25">
        <w:rPr>
          <w:rFonts w:ascii="Cambria" w:eastAsia="Cambria" w:hAnsi="Cambria" w:cs="Cambria"/>
          <w:sz w:val="20"/>
          <w:szCs w:val="20"/>
          <w:lang w:val="es-AR"/>
        </w:rPr>
        <w:t>En cuarto lugar, aunque la Corte IDH ha afirmado que las opiniones consultivas son parámetros de control de convencionalidad</w:t>
      </w:r>
      <w:r w:rsidR="00A14F05">
        <w:rPr>
          <w:rFonts w:ascii="ZWAdobeF" w:eastAsia="Cambria" w:hAnsi="ZWAdobeF" w:cs="ZWAdobeF"/>
          <w:sz w:val="2"/>
          <w:szCs w:val="2"/>
          <w:lang w:val="es-AR"/>
        </w:rPr>
        <w:t>438F</w:t>
      </w:r>
      <w:r w:rsidRPr="005C52BD">
        <w:rPr>
          <w:rFonts w:ascii="Cambria" w:eastAsia="Cambria" w:hAnsi="Cambria" w:cs="Cambria"/>
          <w:sz w:val="20"/>
          <w:szCs w:val="20"/>
          <w:vertAlign w:val="superscript"/>
        </w:rPr>
        <w:footnoteReference w:id="440"/>
      </w:r>
      <w:r w:rsidRPr="00B26A25">
        <w:rPr>
          <w:rFonts w:ascii="Cambria" w:eastAsia="Cambria" w:hAnsi="Cambria" w:cs="Cambria"/>
          <w:sz w:val="20"/>
          <w:szCs w:val="20"/>
          <w:lang w:val="es-AR"/>
        </w:rPr>
        <w:t>, resalto que aún es necesario un abierto y transparente diálogo interamericano que permita discutir aún más esta postura que no se deriva expresamente de la Convención Americana, ni de ningún otro instrumento internacional vinculante para los Estados. Llamo la atención respecto de que en la materia aún no hay un consenso ni en los Estados de la región ni en la academia; de ahí que importantes tribunales constitucionales se abstengan aún de invocar la figura del control de convencionalidad y de incorporar como parámetro las opiniones consultivas</w:t>
      </w:r>
      <w:r w:rsidR="00A14F05">
        <w:rPr>
          <w:rFonts w:ascii="ZWAdobeF" w:eastAsia="Cambria" w:hAnsi="ZWAdobeF" w:cs="ZWAdobeF"/>
          <w:sz w:val="2"/>
          <w:szCs w:val="2"/>
          <w:lang w:val="es-AR"/>
        </w:rPr>
        <w:t>439F</w:t>
      </w:r>
      <w:r w:rsidRPr="005C52BD">
        <w:rPr>
          <w:rFonts w:ascii="Cambria" w:eastAsia="Cambria" w:hAnsi="Cambria" w:cs="Cambria"/>
          <w:sz w:val="20"/>
          <w:szCs w:val="20"/>
          <w:vertAlign w:val="superscript"/>
        </w:rPr>
        <w:footnoteReference w:id="441"/>
      </w:r>
      <w:r w:rsidRPr="00B26A25">
        <w:rPr>
          <w:rFonts w:ascii="Cambria" w:eastAsia="Cambria" w:hAnsi="Cambria" w:cs="Cambria"/>
          <w:sz w:val="20"/>
          <w:szCs w:val="20"/>
          <w:lang w:val="es-AR"/>
        </w:rPr>
        <w:t xml:space="preserve">. </w:t>
      </w:r>
    </w:p>
    <w:p w14:paraId="7ABBFAE1" w14:textId="58F33C0E" w:rsidR="00B26A25" w:rsidRPr="00B26A25" w:rsidRDefault="00B26A25" w:rsidP="00B26A25">
      <w:pPr>
        <w:spacing w:before="240" w:after="240"/>
        <w:jc w:val="both"/>
        <w:rPr>
          <w:rFonts w:ascii="Cambria" w:eastAsia="Cambria" w:hAnsi="Cambria" w:cs="Cambria"/>
          <w:sz w:val="20"/>
          <w:szCs w:val="20"/>
          <w:lang w:val="es-AR"/>
        </w:rPr>
      </w:pPr>
      <w:r w:rsidRPr="00B26A25">
        <w:rPr>
          <w:rFonts w:ascii="Cambria" w:eastAsia="Cambria" w:hAnsi="Cambria" w:cs="Cambria"/>
          <w:sz w:val="20"/>
          <w:szCs w:val="20"/>
          <w:lang w:val="es-AR"/>
        </w:rPr>
        <w:t>Por último, pongo de presente que algunos autores han indicado que la ampliación de los efectos de las opiniones consultivas podría contribuir a distorsionar el funcionamiento del Sistema Interamericano y, con ello, a debilitarlo, pues (i) deviene en una equiparación de decisiones emitidas en la función consultiva de la Corte con el texto mismo de la convención</w:t>
      </w:r>
      <w:r w:rsidR="00A14F05">
        <w:rPr>
          <w:rFonts w:ascii="ZWAdobeF" w:eastAsia="Cambria" w:hAnsi="ZWAdobeF" w:cs="ZWAdobeF"/>
          <w:sz w:val="2"/>
          <w:szCs w:val="2"/>
          <w:lang w:val="es-AR"/>
        </w:rPr>
        <w:t>440F</w:t>
      </w:r>
      <w:r w:rsidRPr="005C52BD">
        <w:rPr>
          <w:rFonts w:ascii="Cambria" w:eastAsia="Cambria" w:hAnsi="Cambria" w:cs="Cambria"/>
          <w:sz w:val="20"/>
          <w:szCs w:val="20"/>
          <w:vertAlign w:val="superscript"/>
        </w:rPr>
        <w:footnoteReference w:id="442"/>
      </w:r>
      <w:r w:rsidRPr="00B26A25">
        <w:rPr>
          <w:rFonts w:ascii="Cambria" w:eastAsia="Cambria" w:hAnsi="Cambria" w:cs="Cambria"/>
          <w:sz w:val="20"/>
          <w:szCs w:val="20"/>
          <w:lang w:val="es-AR"/>
        </w:rPr>
        <w:t>, y (ii) desdibuja las diferencias entre la función jurisdiccional y consultiva de la Corte. Incluso, algunos han indicado que estas interpretaciones de la Corte generan inseguridad jurídica, pues no existe certeza sobre los efectos con los cuales se emiten las opiniones consultivas</w:t>
      </w:r>
      <w:r w:rsidR="00A14F05">
        <w:rPr>
          <w:rFonts w:ascii="ZWAdobeF" w:eastAsia="Cambria" w:hAnsi="ZWAdobeF" w:cs="ZWAdobeF"/>
          <w:sz w:val="2"/>
          <w:szCs w:val="2"/>
          <w:lang w:val="es-AR"/>
        </w:rPr>
        <w:t>441F</w:t>
      </w:r>
      <w:r w:rsidRPr="005C52BD">
        <w:rPr>
          <w:rFonts w:ascii="Cambria" w:eastAsia="Cambria" w:hAnsi="Cambria" w:cs="Cambria"/>
          <w:sz w:val="20"/>
          <w:szCs w:val="20"/>
          <w:vertAlign w:val="superscript"/>
        </w:rPr>
        <w:footnoteReference w:id="443"/>
      </w:r>
      <w:r w:rsidRPr="00B26A25">
        <w:rPr>
          <w:rFonts w:ascii="Cambria" w:eastAsia="Cambria" w:hAnsi="Cambria" w:cs="Cambria"/>
          <w:sz w:val="20"/>
          <w:szCs w:val="20"/>
          <w:lang w:val="es-AR"/>
        </w:rPr>
        <w:t>.</w:t>
      </w:r>
    </w:p>
    <w:p w14:paraId="18948B84" w14:textId="77777777"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En virtud de lo anterior, dado que no existe un derecho convencional a la identidad de género en el SIDH, es posible afirmar que tampoco existen obligaciones correlativas de reconocimiento de este derecho por parte de los Estados. </w:t>
      </w:r>
    </w:p>
    <w:p w14:paraId="15B91182" w14:textId="77777777" w:rsidR="00B26A25" w:rsidRPr="00B26A25" w:rsidRDefault="00B26A25" w:rsidP="00B26A25">
      <w:pPr>
        <w:numPr>
          <w:ilvl w:val="1"/>
          <w:numId w:val="36"/>
        </w:numPr>
        <w:spacing w:before="240" w:after="240" w:line="276" w:lineRule="auto"/>
        <w:jc w:val="both"/>
        <w:rPr>
          <w:rFonts w:ascii="Cambria" w:eastAsia="Cambria" w:hAnsi="Cambria" w:cs="Cambria"/>
          <w:b/>
          <w:color w:val="191919"/>
          <w:sz w:val="20"/>
          <w:szCs w:val="20"/>
          <w:highlight w:val="white"/>
          <w:lang w:val="es-AR"/>
        </w:rPr>
      </w:pPr>
      <w:r w:rsidRPr="00B26A25">
        <w:rPr>
          <w:rFonts w:ascii="Cambria" w:eastAsia="Cambria" w:hAnsi="Cambria" w:cs="Cambria"/>
          <w:b/>
          <w:color w:val="191919"/>
          <w:sz w:val="20"/>
          <w:szCs w:val="20"/>
          <w:highlight w:val="white"/>
          <w:lang w:val="es-AR"/>
        </w:rPr>
        <w:t>Inexistencia del derecho al matrimonio o la adopción en parejas del mismo sexo</w:t>
      </w:r>
    </w:p>
    <w:p w14:paraId="77E177CC" w14:textId="77777777" w:rsidR="00B26A25" w:rsidRPr="00B26A25" w:rsidRDefault="00B26A25" w:rsidP="00B26A25">
      <w:pPr>
        <w:widowControl w:val="0"/>
        <w:jc w:val="both"/>
        <w:rPr>
          <w:rFonts w:ascii="Cambria" w:eastAsia="Cambria" w:hAnsi="Cambria" w:cs="Cambria"/>
          <w:sz w:val="20"/>
          <w:szCs w:val="20"/>
          <w:lang w:val="es-AR"/>
        </w:rPr>
      </w:pPr>
      <w:r w:rsidRPr="00B26A25">
        <w:rPr>
          <w:rFonts w:ascii="Cambria" w:eastAsia="Cambria" w:hAnsi="Cambria" w:cs="Cambria"/>
          <w:sz w:val="20"/>
          <w:szCs w:val="20"/>
          <w:lang w:val="es-AR"/>
        </w:rPr>
        <w:t>En primer lugar, reitero que no existe una disposición convencional que obligue a los Estados a reconocer los matrimonios del mismo sexo. Como he mencionado en varias ocasiones, los tratados que hacen parte del Sistema Interamericano de Derechos Humanos y otorgan competencia a la Comisión Interamericana no contemplan ninguna obligación con respecto al reconocimiento del matrimonio entre parejas del mismo sexo. Esta ausencia de obligación se deriva de la literalidad de la Convención Americana, que establece claramente que el matrimonio es un derecho reservado para el "hombre y la mujer”:</w:t>
      </w:r>
    </w:p>
    <w:p w14:paraId="1FBDC991" w14:textId="77777777" w:rsidR="00B26A25" w:rsidRPr="00B26A25" w:rsidRDefault="00B26A25" w:rsidP="00B26A25">
      <w:pPr>
        <w:jc w:val="both"/>
        <w:rPr>
          <w:rFonts w:ascii="Cambria" w:eastAsia="Cambria" w:hAnsi="Cambria" w:cs="Cambria"/>
          <w:sz w:val="20"/>
          <w:szCs w:val="20"/>
          <w:lang w:val="es-AR"/>
        </w:rPr>
      </w:pPr>
    </w:p>
    <w:p w14:paraId="4EEA8E46" w14:textId="0653B9AF" w:rsidR="00B26A25" w:rsidRPr="00B26A25" w:rsidRDefault="00B26A25" w:rsidP="00B26A25">
      <w:pPr>
        <w:ind w:left="700"/>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"Se reconoce </w:t>
      </w:r>
      <w:r w:rsidRPr="00B26A25">
        <w:rPr>
          <w:rFonts w:ascii="Cambria" w:eastAsia="Cambria" w:hAnsi="Cambria" w:cs="Cambria"/>
          <w:b/>
          <w:sz w:val="20"/>
          <w:szCs w:val="20"/>
          <w:lang w:val="es-AR"/>
        </w:rPr>
        <w:t>el derecho del hombre y la mujer</w:t>
      </w:r>
      <w:r w:rsidRPr="00B26A25">
        <w:rPr>
          <w:rFonts w:ascii="Cambria" w:eastAsia="Cambria" w:hAnsi="Cambria" w:cs="Cambria"/>
          <w:sz w:val="20"/>
          <w:szCs w:val="20"/>
          <w:lang w:val="es-AR"/>
        </w:rPr>
        <w:t xml:space="preserve"> a contraer matrimonio y a fundar una familia si tienen la edad y las condiciones requeridas para ello por las leyes internas, en la medida en que éstas no afecten al principio de no discriminación establecido en esta Convención"</w:t>
      </w:r>
      <w:r w:rsidR="00A14F05">
        <w:rPr>
          <w:rFonts w:ascii="ZWAdobeF" w:eastAsia="Cambria" w:hAnsi="ZWAdobeF" w:cs="ZWAdobeF"/>
          <w:sz w:val="2"/>
          <w:szCs w:val="2"/>
          <w:lang w:val="es-AR"/>
        </w:rPr>
        <w:t>442F</w:t>
      </w:r>
      <w:r w:rsidRPr="005C52BD">
        <w:rPr>
          <w:rFonts w:ascii="Cambria" w:eastAsia="Cambria" w:hAnsi="Cambria" w:cs="Cambria"/>
          <w:sz w:val="20"/>
          <w:szCs w:val="20"/>
          <w:vertAlign w:val="superscript"/>
        </w:rPr>
        <w:footnoteReference w:id="444"/>
      </w:r>
      <w:r w:rsidRPr="00B26A25">
        <w:rPr>
          <w:rFonts w:ascii="Cambria" w:eastAsia="Cambria" w:hAnsi="Cambria" w:cs="Cambria"/>
          <w:sz w:val="20"/>
          <w:szCs w:val="20"/>
          <w:lang w:val="es-AR"/>
        </w:rPr>
        <w:t>. (Negrillas fuera de texto original).</w:t>
      </w:r>
    </w:p>
    <w:p w14:paraId="17610207" w14:textId="77777777" w:rsidR="00B26A25" w:rsidRPr="00B26A25" w:rsidRDefault="00B26A25" w:rsidP="00B26A25">
      <w:pPr>
        <w:jc w:val="both"/>
        <w:rPr>
          <w:rFonts w:ascii="Cambria" w:eastAsia="Cambria" w:hAnsi="Cambria" w:cs="Cambria"/>
          <w:sz w:val="20"/>
          <w:szCs w:val="20"/>
          <w:lang w:val="es-AR"/>
        </w:rPr>
      </w:pPr>
    </w:p>
    <w:p w14:paraId="7F977DE9" w14:textId="550724D2"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Por lo tanto, de acuerdo con el principio hermenéutico que llama a una interpretación literal y de buena fe</w:t>
      </w:r>
      <w:r w:rsidR="00A14F05">
        <w:rPr>
          <w:rFonts w:ascii="ZWAdobeF" w:eastAsia="Cambria" w:hAnsi="ZWAdobeF" w:cs="ZWAdobeF"/>
          <w:sz w:val="2"/>
          <w:szCs w:val="2"/>
          <w:lang w:val="es-AR"/>
        </w:rPr>
        <w:t>443F</w:t>
      </w:r>
      <w:r w:rsidRPr="005C52BD">
        <w:rPr>
          <w:rFonts w:ascii="Cambria" w:eastAsia="Cambria" w:hAnsi="Cambria" w:cs="Cambria"/>
          <w:sz w:val="20"/>
          <w:szCs w:val="20"/>
          <w:vertAlign w:val="superscript"/>
        </w:rPr>
        <w:footnoteReference w:id="445"/>
      </w:r>
      <w:r w:rsidRPr="00B26A25">
        <w:rPr>
          <w:rFonts w:ascii="Cambria" w:eastAsia="Cambria" w:hAnsi="Cambria" w:cs="Cambria"/>
          <w:sz w:val="20"/>
          <w:szCs w:val="20"/>
          <w:lang w:val="es-AR"/>
        </w:rPr>
        <w:t>, el Estado sólo está obligado a reconocer el derecho al matrimonio para las parejas específicamente mencionadas en el artículo 17.2 de la Convención Americana.</w:t>
      </w:r>
    </w:p>
    <w:p w14:paraId="71C65CC3" w14:textId="77777777" w:rsidR="00B26A25" w:rsidRPr="00B26A25" w:rsidRDefault="00B26A25" w:rsidP="00B26A25">
      <w:pPr>
        <w:jc w:val="both"/>
        <w:rPr>
          <w:rFonts w:ascii="Cambria" w:eastAsia="Cambria" w:hAnsi="Cambria" w:cs="Cambria"/>
          <w:sz w:val="20"/>
          <w:szCs w:val="20"/>
          <w:lang w:val="es-AR"/>
        </w:rPr>
      </w:pPr>
    </w:p>
    <w:p w14:paraId="61E18E43" w14:textId="75723008"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Es esencial subrayar que, según la jurisprudencia de la Corte Internacional de Justicia, la interpretación de buena fe de un tratado no debería resultar en cambios en la literalidad de los tratados ni en inferir lo que no está expresamente contenido en el texto. Este enfoque implica que el intérprete debe asumir que las partes tuvieron la intención que se desprende del significado ordinario de los términos utilizados en el acuerdo internacional</w:t>
      </w:r>
      <w:r w:rsidR="00A14F05">
        <w:rPr>
          <w:rFonts w:ascii="ZWAdobeF" w:eastAsia="Cambria" w:hAnsi="ZWAdobeF" w:cs="ZWAdobeF"/>
          <w:sz w:val="2"/>
          <w:szCs w:val="2"/>
          <w:lang w:val="es-AR"/>
        </w:rPr>
        <w:t>444F</w:t>
      </w:r>
      <w:r w:rsidRPr="005C52BD">
        <w:rPr>
          <w:rFonts w:ascii="Cambria" w:eastAsia="Cambria" w:hAnsi="Cambria" w:cs="Cambria"/>
          <w:sz w:val="20"/>
          <w:szCs w:val="20"/>
          <w:vertAlign w:val="superscript"/>
        </w:rPr>
        <w:footnoteReference w:id="446"/>
      </w:r>
      <w:r w:rsidRPr="00B26A25">
        <w:rPr>
          <w:rFonts w:ascii="Cambria" w:eastAsia="Cambria" w:hAnsi="Cambria" w:cs="Cambria"/>
          <w:sz w:val="20"/>
          <w:szCs w:val="20"/>
          <w:lang w:val="es-AR"/>
        </w:rPr>
        <w:t>. La perspectiva centrada en el texto para la interpretación de un tratado no solo es aceptada en el ámbito del derecho internacional, sino que también es altamente recomendable, ya que se basa en la única evidencia empíricamente comprobable de las intenciones de los Estados: el propio texto del tratado</w:t>
      </w:r>
      <w:r w:rsidR="00A14F05">
        <w:rPr>
          <w:rFonts w:ascii="ZWAdobeF" w:eastAsia="Cambria" w:hAnsi="ZWAdobeF" w:cs="ZWAdobeF"/>
          <w:sz w:val="2"/>
          <w:szCs w:val="2"/>
          <w:lang w:val="es-AR"/>
        </w:rPr>
        <w:t>445F</w:t>
      </w:r>
      <w:r w:rsidRPr="005C52BD">
        <w:rPr>
          <w:rFonts w:ascii="Cambria" w:eastAsia="Cambria" w:hAnsi="Cambria" w:cs="Cambria"/>
          <w:sz w:val="20"/>
          <w:szCs w:val="20"/>
          <w:vertAlign w:val="superscript"/>
        </w:rPr>
        <w:footnoteReference w:id="447"/>
      </w:r>
      <w:r w:rsidRPr="00B26A25">
        <w:rPr>
          <w:rFonts w:ascii="Cambria" w:eastAsia="Cambria" w:hAnsi="Cambria" w:cs="Cambria"/>
          <w:sz w:val="20"/>
          <w:szCs w:val="20"/>
          <w:lang w:val="es-AR"/>
        </w:rPr>
        <w:t>.</w:t>
      </w:r>
    </w:p>
    <w:p w14:paraId="251B900F" w14:textId="77777777" w:rsidR="00B26A25" w:rsidRPr="00B26A25" w:rsidRDefault="00B26A25" w:rsidP="00B26A25">
      <w:pPr>
        <w:jc w:val="both"/>
        <w:rPr>
          <w:rFonts w:ascii="Cambria" w:eastAsia="Cambria" w:hAnsi="Cambria" w:cs="Cambria"/>
          <w:sz w:val="20"/>
          <w:szCs w:val="20"/>
          <w:lang w:val="es-AR"/>
        </w:rPr>
      </w:pPr>
    </w:p>
    <w:p w14:paraId="183E3911" w14:textId="5F39770A"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Siguiendo estas reglas de interpretación, el Tribunal Europeo de Derechos Humanos ha considerado la concepción del matrimonio como aquel celebrado entre un hombre y una mujer -como está establecido en el Convenio Europeo de Derechos Humanos, en una disposición similar a la de la CADH</w:t>
      </w:r>
      <w:r w:rsidR="00A14F05">
        <w:rPr>
          <w:rFonts w:ascii="ZWAdobeF" w:eastAsia="Cambria" w:hAnsi="ZWAdobeF" w:cs="ZWAdobeF"/>
          <w:sz w:val="2"/>
          <w:szCs w:val="2"/>
          <w:lang w:val="es-AR"/>
        </w:rPr>
        <w:t>446F</w:t>
      </w:r>
      <w:r w:rsidRPr="005C52BD">
        <w:rPr>
          <w:rFonts w:ascii="Cambria" w:eastAsia="Cambria" w:hAnsi="Cambria" w:cs="Cambria"/>
          <w:sz w:val="20"/>
          <w:szCs w:val="20"/>
          <w:vertAlign w:val="superscript"/>
        </w:rPr>
        <w:footnoteReference w:id="448"/>
      </w:r>
      <w:r w:rsidRPr="00B26A25">
        <w:rPr>
          <w:rFonts w:ascii="Cambria" w:eastAsia="Cambria" w:hAnsi="Cambria" w:cs="Cambria"/>
          <w:sz w:val="20"/>
          <w:szCs w:val="20"/>
          <w:lang w:val="es-AR"/>
        </w:rPr>
        <w:t>-. En ese sentido, el Tribunal Europeo respalda la idea de que no existe una obligación vinculante para los Estados de reconocer el matrimonio entre parejas del mismo sexo, lo que deja un amplio margen de configuración estatal para la regulación de esta materia</w:t>
      </w:r>
      <w:r w:rsidR="00A14F05">
        <w:rPr>
          <w:rFonts w:ascii="ZWAdobeF" w:eastAsia="Cambria" w:hAnsi="ZWAdobeF" w:cs="ZWAdobeF"/>
          <w:sz w:val="2"/>
          <w:szCs w:val="2"/>
          <w:lang w:val="es-AR"/>
        </w:rPr>
        <w:t>447F</w:t>
      </w:r>
      <w:r w:rsidRPr="005C52BD">
        <w:rPr>
          <w:rFonts w:ascii="Cambria" w:eastAsia="Cambria" w:hAnsi="Cambria" w:cs="Cambria"/>
          <w:sz w:val="20"/>
          <w:szCs w:val="20"/>
          <w:vertAlign w:val="superscript"/>
        </w:rPr>
        <w:footnoteReference w:id="449"/>
      </w:r>
      <w:r w:rsidRPr="00B26A25">
        <w:rPr>
          <w:rFonts w:ascii="Cambria" w:eastAsia="Cambria" w:hAnsi="Cambria" w:cs="Cambria"/>
          <w:sz w:val="20"/>
          <w:szCs w:val="20"/>
          <w:lang w:val="es-AR"/>
        </w:rPr>
        <w:t>. Asimismo, en términos del Tribunal Europeo de Derechos Humanos:</w:t>
      </w:r>
    </w:p>
    <w:p w14:paraId="262009B5" w14:textId="3A989273" w:rsidR="00B26A25" w:rsidRPr="00B26A25" w:rsidRDefault="00B26A25" w:rsidP="00B26A25">
      <w:pPr>
        <w:ind w:left="700"/>
        <w:jc w:val="both"/>
        <w:rPr>
          <w:rFonts w:ascii="Cambria" w:eastAsia="Cambria" w:hAnsi="Cambria" w:cs="Cambria"/>
          <w:sz w:val="20"/>
          <w:szCs w:val="20"/>
          <w:lang w:val="es-AR"/>
        </w:rPr>
      </w:pPr>
      <w:r w:rsidRPr="00B26A25">
        <w:rPr>
          <w:rFonts w:ascii="Cambria" w:eastAsia="Cambria" w:hAnsi="Cambria" w:cs="Cambria"/>
          <w:sz w:val="20"/>
          <w:szCs w:val="20"/>
          <w:lang w:val="es-AR"/>
        </w:rPr>
        <w:t>"La Corte reitera que, de acuerdo con el artículo 14 en conjunto con el artículo 8, los Estados tienen la libertad de restringir el matrimonio solo a parejas de sexos opuestos y tienen un cierto margen de configuración para decidir la naturaleza exacta del estatus legal otorgado por otros medios de reconocimiento legal"</w:t>
      </w:r>
      <w:r w:rsidR="00A14F05">
        <w:rPr>
          <w:rFonts w:ascii="ZWAdobeF" w:eastAsia="Cambria" w:hAnsi="ZWAdobeF" w:cs="ZWAdobeF"/>
          <w:sz w:val="2"/>
          <w:szCs w:val="2"/>
          <w:lang w:val="es-AR"/>
        </w:rPr>
        <w:t>448F</w:t>
      </w:r>
      <w:r w:rsidRPr="005C52BD">
        <w:rPr>
          <w:rFonts w:ascii="Cambria" w:eastAsia="Cambria" w:hAnsi="Cambria" w:cs="Cambria"/>
          <w:sz w:val="20"/>
          <w:szCs w:val="20"/>
          <w:vertAlign w:val="superscript"/>
        </w:rPr>
        <w:footnoteReference w:id="450"/>
      </w:r>
      <w:r w:rsidRPr="00B26A25">
        <w:rPr>
          <w:rFonts w:ascii="Cambria" w:eastAsia="Cambria" w:hAnsi="Cambria" w:cs="Cambria"/>
          <w:sz w:val="20"/>
          <w:szCs w:val="20"/>
          <w:lang w:val="es-AR"/>
        </w:rPr>
        <w:t>.</w:t>
      </w:r>
    </w:p>
    <w:p w14:paraId="36213800" w14:textId="77777777" w:rsidR="00B26A25" w:rsidRPr="00B26A25" w:rsidRDefault="00B26A25" w:rsidP="00B26A25">
      <w:pPr>
        <w:jc w:val="both"/>
        <w:rPr>
          <w:rFonts w:ascii="Cambria" w:eastAsia="Cambria" w:hAnsi="Cambria" w:cs="Cambria"/>
          <w:sz w:val="20"/>
          <w:szCs w:val="20"/>
          <w:lang w:val="es-AR"/>
        </w:rPr>
      </w:pPr>
    </w:p>
    <w:p w14:paraId="336E2A46" w14:textId="7F1849D4" w:rsidR="00B26A25" w:rsidRPr="00B26A25" w:rsidRDefault="00B26A25" w:rsidP="00B26A25">
      <w:pPr>
        <w:jc w:val="both"/>
        <w:rPr>
          <w:rFonts w:ascii="Cambria" w:eastAsia="Cambria" w:hAnsi="Cambria" w:cs="Cambria"/>
          <w:sz w:val="20"/>
          <w:szCs w:val="20"/>
          <w:lang w:val="es-AR"/>
        </w:rPr>
      </w:pPr>
      <w:r w:rsidRPr="00B26A25">
        <w:rPr>
          <w:rFonts w:ascii="Cambria" w:eastAsia="Cambria" w:hAnsi="Cambria" w:cs="Cambria"/>
          <w:sz w:val="20"/>
          <w:szCs w:val="20"/>
          <w:lang w:val="es-AR"/>
        </w:rPr>
        <w:t xml:space="preserve">Sobre este punto, vale la pena señalar que esta misma aproximación es sostenida por el Tribunal Europeo en los casos </w:t>
      </w:r>
      <w:r w:rsidRPr="00B26A25">
        <w:rPr>
          <w:rFonts w:ascii="Cambria" w:eastAsia="Cambria" w:hAnsi="Cambria" w:cs="Cambria"/>
          <w:i/>
          <w:sz w:val="20"/>
          <w:szCs w:val="20"/>
          <w:lang w:val="es-AR"/>
        </w:rPr>
        <w:t>Orlandi v. Italia</w:t>
      </w:r>
      <w:r w:rsidR="00A14F05">
        <w:rPr>
          <w:rFonts w:ascii="ZWAdobeF" w:eastAsia="Cambria" w:hAnsi="ZWAdobeF" w:cs="ZWAdobeF"/>
          <w:sz w:val="2"/>
          <w:szCs w:val="2"/>
          <w:lang w:val="es-AR"/>
        </w:rPr>
        <w:t>449F</w:t>
      </w:r>
      <w:r w:rsidRPr="005C52BD">
        <w:rPr>
          <w:rFonts w:ascii="Cambria" w:eastAsia="Cambria" w:hAnsi="Cambria" w:cs="Cambria"/>
          <w:sz w:val="20"/>
          <w:szCs w:val="20"/>
          <w:vertAlign w:val="superscript"/>
        </w:rPr>
        <w:footnoteReference w:id="451"/>
      </w:r>
      <w:r w:rsidRPr="00B26A25">
        <w:rPr>
          <w:rFonts w:ascii="Cambria" w:eastAsia="Cambria" w:hAnsi="Cambria" w:cs="Cambria"/>
          <w:sz w:val="20"/>
          <w:szCs w:val="20"/>
          <w:lang w:val="es-AR"/>
        </w:rPr>
        <w:t xml:space="preserve"> y </w:t>
      </w:r>
      <w:r w:rsidRPr="00B26A25">
        <w:rPr>
          <w:rFonts w:ascii="Cambria" w:eastAsia="Cambria" w:hAnsi="Cambria" w:cs="Cambria"/>
          <w:i/>
          <w:sz w:val="20"/>
          <w:szCs w:val="20"/>
          <w:lang w:val="es-AR"/>
        </w:rPr>
        <w:t>Fedotova y otros v. Rusia</w:t>
      </w:r>
      <w:r w:rsidR="00A14F05">
        <w:rPr>
          <w:rFonts w:ascii="ZWAdobeF" w:eastAsia="Cambria" w:hAnsi="ZWAdobeF" w:cs="ZWAdobeF"/>
          <w:sz w:val="2"/>
          <w:szCs w:val="2"/>
          <w:lang w:val="es-AR"/>
        </w:rPr>
        <w:t>450F</w:t>
      </w:r>
      <w:r w:rsidRPr="005C52BD">
        <w:rPr>
          <w:rFonts w:ascii="Cambria" w:eastAsia="Cambria" w:hAnsi="Cambria" w:cs="Cambria"/>
          <w:sz w:val="20"/>
          <w:szCs w:val="20"/>
          <w:vertAlign w:val="superscript"/>
        </w:rPr>
        <w:footnoteReference w:id="452"/>
      </w:r>
      <w:r w:rsidRPr="00B26A25">
        <w:rPr>
          <w:rFonts w:ascii="Cambria" w:eastAsia="Cambria" w:hAnsi="Cambria" w:cs="Cambria"/>
          <w:sz w:val="20"/>
          <w:szCs w:val="20"/>
          <w:lang w:val="es-AR"/>
        </w:rPr>
        <w:t>. En efecto, en ambos casos, el Tribunal Europeo sostuvo que, si bien los Estados deben proveer mecanismos de protección a las uniones entre parejas del mismo sexo, esta protección no se deriva, necesariamente, del reconocimiento del matrimonio entre parejas del mismo sexo.</w:t>
      </w:r>
    </w:p>
    <w:p w14:paraId="245883D7" w14:textId="77777777" w:rsidR="00B26A25" w:rsidRPr="00B26A25" w:rsidRDefault="00B26A25" w:rsidP="00B26A25">
      <w:pPr>
        <w:jc w:val="both"/>
        <w:rPr>
          <w:rFonts w:ascii="Cambria" w:eastAsia="Cambria" w:hAnsi="Cambria" w:cs="Cambria"/>
          <w:sz w:val="20"/>
          <w:szCs w:val="20"/>
          <w:lang w:val="es-AR"/>
        </w:rPr>
      </w:pPr>
    </w:p>
    <w:p w14:paraId="72C6A2B9" w14:textId="77777777" w:rsidR="00B26A25" w:rsidRPr="00B26A25" w:rsidRDefault="00B26A25" w:rsidP="00B26A25">
      <w:pPr>
        <w:jc w:val="both"/>
        <w:rPr>
          <w:rFonts w:ascii="Cambria" w:eastAsia="Cambria" w:hAnsi="Cambria" w:cs="Cambria"/>
          <w:b/>
          <w:sz w:val="20"/>
          <w:szCs w:val="20"/>
          <w:lang w:val="es-AR"/>
        </w:rPr>
      </w:pPr>
      <w:r w:rsidRPr="00B26A25">
        <w:rPr>
          <w:rFonts w:ascii="Cambria" w:eastAsia="Cambria" w:hAnsi="Cambria" w:cs="Cambria"/>
          <w:sz w:val="20"/>
          <w:szCs w:val="20"/>
          <w:lang w:val="es-AR"/>
        </w:rPr>
        <w:t xml:space="preserve">Bajo este marco, comparto plenamente que el margen del que disponen los Estados a este respecto se refiere tanto a la forma de reconocimiento como al contenido de la protección que debe concederse a las parejas del mismo sexo, </w:t>
      </w:r>
      <w:r w:rsidRPr="00B26A25">
        <w:rPr>
          <w:rFonts w:ascii="Cambria" w:eastAsia="Cambria" w:hAnsi="Cambria" w:cs="Cambria"/>
          <w:b/>
          <w:sz w:val="20"/>
          <w:szCs w:val="20"/>
          <w:lang w:val="es-AR"/>
        </w:rPr>
        <w:t>lo que no puede traducirse en una ausencia absoluta de protección.</w:t>
      </w:r>
    </w:p>
    <w:p w14:paraId="495D8852" w14:textId="77777777" w:rsidR="00B26A25" w:rsidRPr="00B26A25" w:rsidRDefault="00B26A25" w:rsidP="00B26A25">
      <w:pPr>
        <w:jc w:val="both"/>
        <w:rPr>
          <w:rFonts w:ascii="Cambria" w:eastAsia="Cambria" w:hAnsi="Cambria" w:cs="Cambria"/>
          <w:sz w:val="20"/>
          <w:szCs w:val="20"/>
          <w:lang w:val="es-AR"/>
        </w:rPr>
      </w:pPr>
    </w:p>
    <w:p w14:paraId="1CC56B17" w14:textId="61D5347D" w:rsidR="00B26A25" w:rsidRPr="00B26A25" w:rsidRDefault="00B26A25" w:rsidP="00B26A25">
      <w:pPr>
        <w:jc w:val="both"/>
        <w:rPr>
          <w:rFonts w:ascii="Cambria" w:eastAsia="Cambria" w:hAnsi="Cambria" w:cs="Cambria"/>
          <w:color w:val="191919"/>
          <w:sz w:val="20"/>
          <w:szCs w:val="20"/>
          <w:highlight w:val="white"/>
          <w:lang w:val="es-AR"/>
        </w:rPr>
      </w:pPr>
      <w:r w:rsidRPr="00B26A25">
        <w:rPr>
          <w:rFonts w:ascii="Cambria" w:eastAsia="Cambria" w:hAnsi="Cambria" w:cs="Cambria"/>
          <w:sz w:val="20"/>
          <w:szCs w:val="20"/>
          <w:lang w:val="es-AR"/>
        </w:rPr>
        <w:t xml:space="preserve">En segundo lugar, pongo de presente que no existe ningún instrumento internacional que consagre obligaciones de reconocimiento frente a la adopción para parejas del mismo sexo, por lo que los Estados cuentan con un amplio margen de configuración en la materia. Sin embargo, es esencial establecer que toda decisión que se tome al respecto </w:t>
      </w:r>
      <w:r w:rsidRPr="00B26A25">
        <w:rPr>
          <w:rFonts w:ascii="Cambria" w:eastAsia="Cambria" w:hAnsi="Cambria" w:cs="Cambria"/>
          <w:b/>
          <w:sz w:val="20"/>
          <w:szCs w:val="20"/>
          <w:lang w:val="es-AR"/>
        </w:rPr>
        <w:t>debe considerar el interés superior del niño, niña o adolescente</w:t>
      </w:r>
      <w:r w:rsidR="00A14F05">
        <w:rPr>
          <w:rFonts w:ascii="ZWAdobeF" w:eastAsia="Cambria" w:hAnsi="ZWAdobeF" w:cs="ZWAdobeF"/>
          <w:sz w:val="2"/>
          <w:szCs w:val="2"/>
          <w:lang w:val="es-AR"/>
        </w:rPr>
        <w:t>451F</w:t>
      </w:r>
      <w:r w:rsidRPr="005C52BD">
        <w:rPr>
          <w:rFonts w:ascii="Cambria" w:eastAsia="Cambria" w:hAnsi="Cambria" w:cs="Cambria"/>
          <w:sz w:val="20"/>
          <w:szCs w:val="20"/>
          <w:vertAlign w:val="superscript"/>
        </w:rPr>
        <w:footnoteReference w:id="453"/>
      </w:r>
      <w:r w:rsidRPr="00B26A25">
        <w:rPr>
          <w:rFonts w:ascii="Cambria" w:eastAsia="Cambria" w:hAnsi="Cambria" w:cs="Cambria"/>
          <w:sz w:val="20"/>
          <w:szCs w:val="20"/>
          <w:lang w:val="es-AR"/>
        </w:rPr>
        <w:t>, que son las personas protegidas por la figura de la adopción.</w:t>
      </w:r>
    </w:p>
    <w:sectPr w:rsidR="00B26A25" w:rsidRPr="00B26A25" w:rsidSect="00115E2C">
      <w:type w:val="oddPage"/>
      <w:pgSz w:w="12240" w:h="15840"/>
      <w:pgMar w:top="1440" w:right="1440" w:bottom="1440" w:left="1440" w:header="720" w:footer="720" w:gutter="0"/>
      <w:pgNumType w:start="78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0092" w14:textId="77777777" w:rsidR="002840B4" w:rsidRDefault="002840B4" w:rsidP="003B41C5">
      <w:r>
        <w:separator/>
      </w:r>
    </w:p>
  </w:endnote>
  <w:endnote w:type="continuationSeparator" w:id="0">
    <w:p w14:paraId="07A29187" w14:textId="77777777" w:rsidR="002840B4" w:rsidRDefault="002840B4" w:rsidP="003B41C5">
      <w:r>
        <w:continuationSeparator/>
      </w:r>
    </w:p>
  </w:endnote>
  <w:endnote w:type="continuationNotice" w:id="1">
    <w:p w14:paraId="0E2CF732" w14:textId="77777777" w:rsidR="002840B4" w:rsidRDefault="00284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238714"/>
      <w:docPartObj>
        <w:docPartGallery w:val="Page Numbers (Bottom of Page)"/>
        <w:docPartUnique/>
      </w:docPartObj>
    </w:sdtPr>
    <w:sdtEndPr>
      <w:rPr>
        <w:noProof/>
      </w:rPr>
    </w:sdtEndPr>
    <w:sdtContent>
      <w:p w14:paraId="295F12F3" w14:textId="60738112" w:rsidR="00AE5813" w:rsidRDefault="00AE58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23B423B9" w:rsidR="003B41C5" w:rsidRDefault="003B41C5" w:rsidP="00AE5813">
    <w:pPr>
      <w:pStyle w:val="Footer"/>
      <w:tabs>
        <w:tab w:val="clear" w:pos="4680"/>
        <w:tab w:val="clear" w:pos="9360"/>
        <w:tab w:val="left" w:pos="633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E9AB" w14:textId="090133A8" w:rsidR="00C468AE" w:rsidRPr="00C468AE" w:rsidRDefault="00C468AE">
    <w:pPr>
      <w:pStyle w:val="Footer"/>
      <w:jc w:val="center"/>
      <w:rPr>
        <w:rFonts w:ascii="Cambria" w:hAnsi="Cambria"/>
      </w:rPr>
    </w:pPr>
  </w:p>
  <w:p w14:paraId="3E7FA3EB" w14:textId="77777777" w:rsidR="003B41C5" w:rsidRPr="00C468AE" w:rsidRDefault="003B41C5">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E8D2" w14:textId="77777777" w:rsidR="002840B4" w:rsidRDefault="002840B4" w:rsidP="003B41C5">
      <w:r>
        <w:separator/>
      </w:r>
    </w:p>
  </w:footnote>
  <w:footnote w:type="continuationSeparator" w:id="0">
    <w:p w14:paraId="618D038E" w14:textId="77777777" w:rsidR="002840B4" w:rsidRDefault="002840B4" w:rsidP="003B41C5">
      <w:r>
        <w:continuationSeparator/>
      </w:r>
    </w:p>
  </w:footnote>
  <w:footnote w:type="continuationNotice" w:id="1">
    <w:p w14:paraId="7A28FECE" w14:textId="77777777" w:rsidR="002840B4" w:rsidRDefault="002840B4"/>
  </w:footnote>
  <w:footnote w:id="2">
    <w:p w14:paraId="57E864AB" w14:textId="4519A0C8" w:rsidR="008717A6" w:rsidRPr="008717A6" w:rsidRDefault="008717A6" w:rsidP="00140FD4">
      <w:pPr>
        <w:pStyle w:val="IAPiedepgina"/>
        <w:rPr>
          <w:szCs w:val="20"/>
        </w:rPr>
      </w:pPr>
      <w:r w:rsidRPr="005C52BD">
        <w:rPr>
          <w:rStyle w:val="FootnoteReference"/>
          <w:sz w:val="20"/>
          <w:szCs w:val="20"/>
        </w:rPr>
        <w:footnoteRef/>
      </w:r>
      <w:r w:rsidRPr="008717A6">
        <w:rPr>
          <w:szCs w:val="20"/>
        </w:rPr>
        <w:t xml:space="preserve"> </w:t>
      </w:r>
      <w:r w:rsidR="00140FD4" w:rsidRPr="00140FD4">
        <w:t>Capítulo no aprobado por el Comisionado Carlos Bernal Pulido, con voto razonado parcial. El voto razonado parcial se encuentra al finalizar este capítulo.</w:t>
      </w:r>
    </w:p>
  </w:footnote>
  <w:footnote w:id="3">
    <w:p w14:paraId="1700B3F7" w14:textId="2B61C1FD" w:rsidR="00825226" w:rsidRPr="00BF5C70" w:rsidRDefault="00825226" w:rsidP="00140FD4">
      <w:pPr>
        <w:pStyle w:val="IAPiedepgina"/>
      </w:pPr>
      <w:r w:rsidRPr="005C52BD">
        <w:rPr>
          <w:rStyle w:val="FootnoteReference"/>
          <w:rFonts w:cstheme="majorBidi"/>
          <w:sz w:val="16"/>
          <w:szCs w:val="16"/>
        </w:rPr>
        <w:footnoteRef/>
      </w:r>
      <w:r w:rsidRPr="00BF5C70">
        <w:t xml:space="preserve"> El Alto Comisionado para los Derechos Humanos de las Naciones Unidas expresó </w:t>
      </w:r>
      <w:r w:rsidR="00272CD1" w:rsidRPr="00BF5C70">
        <w:t xml:space="preserve">una </w:t>
      </w:r>
      <w:r w:rsidRPr="00BF5C70">
        <w:t xml:space="preserve">preocupación </w:t>
      </w:r>
      <w:r w:rsidR="00272CD1" w:rsidRPr="00BF5C70">
        <w:t xml:space="preserve">similar </w:t>
      </w:r>
      <w:r w:rsidRPr="00BF5C70">
        <w:t xml:space="preserve">al señalar en su actualización oral del 13 de agosto de 2024 que las “detenciones arbitrarias y el uso desproporcionado de la fuerza alimentan el clima de miedo”. Al respecto, véase: </w:t>
      </w:r>
      <w:r w:rsidRPr="00BF5C70">
        <w:rPr>
          <w:shd w:val="clear" w:color="auto" w:fill="FFFFFF"/>
        </w:rPr>
        <w:t xml:space="preserve">Oficina del Alto Comisionado de las Naciones Unidas para los Derechos Humanos, Venezuela: Las continuas detenciones arbitrarias y el uso desproporcionado de la fuerza alimentan el clima de miedo, advierte Türk, 13 </w:t>
      </w:r>
      <w:r w:rsidR="005A03A9" w:rsidRPr="00BF5C70">
        <w:rPr>
          <w:shd w:val="clear" w:color="auto" w:fill="FFFFFF"/>
        </w:rPr>
        <w:t xml:space="preserve">de </w:t>
      </w:r>
      <w:r w:rsidRPr="00BF5C70">
        <w:rPr>
          <w:shd w:val="clear" w:color="auto" w:fill="FFFFFF"/>
        </w:rPr>
        <w:t xml:space="preserve">agosto </w:t>
      </w:r>
      <w:r w:rsidR="005A03A9" w:rsidRPr="00BF5C70">
        <w:rPr>
          <w:shd w:val="clear" w:color="auto" w:fill="FFFFFF"/>
        </w:rPr>
        <w:t xml:space="preserve">de </w:t>
      </w:r>
      <w:r w:rsidRPr="00BF5C70">
        <w:rPr>
          <w:shd w:val="clear" w:color="auto" w:fill="FFFFFF"/>
        </w:rPr>
        <w:t>2024.</w:t>
      </w:r>
      <w:r w:rsidR="00FD2BFB" w:rsidRPr="00BF5C70">
        <w:rPr>
          <w:shd w:val="clear" w:color="auto" w:fill="FFFFFF"/>
        </w:rPr>
        <w:t xml:space="preserve"> </w:t>
      </w:r>
      <w:r w:rsidR="00A529C6" w:rsidRPr="00BF5C70">
        <w:rPr>
          <w:shd w:val="clear" w:color="auto" w:fill="FFFFFF"/>
        </w:rPr>
        <w:t xml:space="preserve">Disponible en: </w:t>
      </w:r>
      <w:hyperlink r:id="rId1" w:history="1">
        <w:r w:rsidR="00A529C6" w:rsidRPr="00BF5C70">
          <w:rPr>
            <w:rStyle w:val="Hyperlink"/>
            <w:rFonts w:cstheme="majorBidi"/>
            <w:color w:val="auto"/>
            <w:szCs w:val="16"/>
            <w:shd w:val="clear" w:color="auto" w:fill="FFFFFF"/>
          </w:rPr>
          <w:t>https://www.ohchr.org/es/press-releases/2024/08/venezuela-ongoing-arbitrary-detentions-disproportionate-use-force-fuelling</w:t>
        </w:r>
      </w:hyperlink>
      <w:r w:rsidR="00B35E40">
        <w:t>.</w:t>
      </w:r>
      <w:r w:rsidR="00A529C6" w:rsidRPr="00BF5C70">
        <w:rPr>
          <w:shd w:val="clear" w:color="auto" w:fill="FFFFFF"/>
        </w:rPr>
        <w:t xml:space="preserve"> </w:t>
      </w:r>
    </w:p>
  </w:footnote>
  <w:footnote w:id="4">
    <w:p w14:paraId="15DB9D03" w14:textId="3D066B78" w:rsidR="0087559B" w:rsidRPr="00BF5C70" w:rsidRDefault="0087559B" w:rsidP="00872492">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w:t>
      </w:r>
      <w:r w:rsidR="0018313F" w:rsidRPr="00BF5C70">
        <w:t xml:space="preserve">La institucionalidad democrática en el país no está guiada por la separación y el equilibrio de los poderes públicos, tal como establece la Carta Democrática Interamericana. </w:t>
      </w:r>
      <w:r w:rsidR="0018313F" w:rsidRPr="00BF5C70">
        <w:rPr>
          <w:lang w:val="es-CO"/>
        </w:rPr>
        <w:t xml:space="preserve">El Poder </w:t>
      </w:r>
      <w:r w:rsidR="0018313F" w:rsidRPr="00BF5C70">
        <w:t xml:space="preserve">Ejecutivo concentra el poder público después de haber cooptado instituciones como el Tribunal Supremo de Justicia, la Asamblea Nacional, el Consejo Nacional Electoral, el Ministerio Público y la Defensoría del Pueblo. En 2020 terminó el periodo de la Asamblea Nacional electa en 2015, considerada por esta Comisión como la última institución del poder público </w:t>
      </w:r>
      <w:r w:rsidR="0018313F" w:rsidRPr="00675A13">
        <w:t xml:space="preserve">nacional revestida de legitimidad democrática. Al respecto, véase: </w:t>
      </w:r>
      <w:r w:rsidR="0018313F" w:rsidRPr="00675A13">
        <w:rPr>
          <w:lang w:val="es-ES_tradnl"/>
        </w:rPr>
        <w:t xml:space="preserve">CIDH, Informe Anual 2021, Capítulo IV.B - Venezuela, 2 de junio de 2022. Igualmente, </w:t>
      </w:r>
      <w:r w:rsidR="00C01478" w:rsidRPr="00675A13">
        <w:rPr>
          <w:lang w:val="es-ES_tradnl"/>
        </w:rPr>
        <w:t>véase</w:t>
      </w:r>
      <w:r w:rsidR="0045515E" w:rsidRPr="00675A13">
        <w:rPr>
          <w:lang w:val="es-ES_tradnl"/>
        </w:rPr>
        <w:t xml:space="preserve"> l</w:t>
      </w:r>
      <w:r w:rsidRPr="00675A13">
        <w:rPr>
          <w:shd w:val="clear" w:color="auto" w:fill="FFFFFF"/>
          <w:lang w:val="es-ES_tradnl"/>
        </w:rPr>
        <w:t>a Carta Democrática Interamericana</w:t>
      </w:r>
      <w:r w:rsidR="00AF0A6B" w:rsidRPr="00675A13">
        <w:rPr>
          <w:shd w:val="clear" w:color="auto" w:fill="FFFFFF"/>
          <w:lang w:val="es-ES_tradnl"/>
        </w:rPr>
        <w:t>,</w:t>
      </w:r>
      <w:r w:rsidR="00E36DC4" w:rsidRPr="00675A13">
        <w:rPr>
          <w:shd w:val="clear" w:color="auto" w:fill="FFFFFF"/>
          <w:lang w:val="es-ES_tradnl"/>
        </w:rPr>
        <w:t xml:space="preserve"> </w:t>
      </w:r>
      <w:r w:rsidRPr="00675A13">
        <w:rPr>
          <w:shd w:val="clear" w:color="auto" w:fill="FFFFFF"/>
          <w:lang w:val="es-ES_tradnl"/>
        </w:rPr>
        <w:t>aprobada por los Estados Miembros</w:t>
      </w:r>
      <w:r w:rsidRPr="00BF5C70">
        <w:rPr>
          <w:shd w:val="clear" w:color="auto" w:fill="FFFFFF"/>
          <w:lang w:val="es-ES_tradnl"/>
        </w:rPr>
        <w:t xml:space="preserve"> de la OEA durante una Sesión Extraordinaria de la Asamblea General que se llevó a cabo el 11 de septiembre de 2001 en Lima, Perú.</w:t>
      </w:r>
    </w:p>
  </w:footnote>
  <w:footnote w:id="5">
    <w:p w14:paraId="30367972" w14:textId="5B5AE7F6" w:rsidR="004C176F" w:rsidRPr="00BF5C70" w:rsidRDefault="004C176F" w:rsidP="0070208E">
      <w:pPr>
        <w:pStyle w:val="IAPiedepgina"/>
      </w:pPr>
      <w:r w:rsidRPr="005C52BD">
        <w:rPr>
          <w:rStyle w:val="FootnoteReference"/>
          <w:sz w:val="16"/>
          <w:szCs w:val="16"/>
        </w:rPr>
        <w:footnoteRef/>
      </w:r>
      <w:r w:rsidRPr="00BF5C70">
        <w:t xml:space="preserve"> </w:t>
      </w:r>
      <w:r w:rsidR="006778E9" w:rsidRPr="00BF5C70">
        <w:rPr>
          <w:shd w:val="clear" w:color="auto" w:fill="FFFFFF"/>
        </w:rPr>
        <w:t xml:space="preserve">Los derechos políticos están consignados en diversos instrumentos internacionales en materia de derechos humanos, como la Declaración Americana Sobre Derechos y Deberes del Hombre, en su artículo XX; la Convención Americana sobre Derechos Humanos, en su artículo 23; el </w:t>
      </w:r>
      <w:r w:rsidR="006778E9" w:rsidRPr="0070208E">
        <w:rPr>
          <w:shd w:val="clear" w:color="auto" w:fill="FFFFFF"/>
        </w:rPr>
        <w:t xml:space="preserve">Pacto </w:t>
      </w:r>
      <w:r w:rsidR="00AD79E3" w:rsidRPr="0070208E">
        <w:rPr>
          <w:shd w:val="clear" w:color="auto" w:fill="FFFFFF"/>
        </w:rPr>
        <w:t>Internacional</w:t>
      </w:r>
      <w:r w:rsidR="00AD79E3" w:rsidRPr="00BF5C70">
        <w:rPr>
          <w:shd w:val="clear" w:color="auto" w:fill="FFFFFF"/>
        </w:rPr>
        <w:t xml:space="preserve"> </w:t>
      </w:r>
      <w:r w:rsidR="006778E9" w:rsidRPr="00BF5C70">
        <w:rPr>
          <w:shd w:val="clear" w:color="auto" w:fill="FFFFFF"/>
        </w:rPr>
        <w:t>de Derechos Civiles y Políticos, en su artículo 25. La Corte Interamericana de Derechos Humanos (Corte IDH) ha señalado que “el ejercicio efectivo de los derechos políticos constituye un fin en sí mismo y, a la vez, un medio fundamental que las sociedades democráticas tienen para garantizar los demás derechos humanos previstos en la Convención”. Los derechos políticos tienen una dimensión tanto individual como colectiva, pues protegen tanto a las personas que participan en asuntos públicos como a personas candidatas y a sus electores. En términos generales, estos derechos implican: i) participar en la dirección de los asuntos públicos, directamente o por medio de representantes libremente elegidos; ii) votar y ser elegidos en elecciones auténticas y periódicas, realizadas por sufragio universal e igualitario, mediante voto secreto que garantice la libre expresión de la voluntad de los electores; y, iii) acceder, en condiciones generales de igualdad, a funciones públicas de su país</w:t>
      </w:r>
      <w:r w:rsidR="0070208E">
        <w:rPr>
          <w:shd w:val="clear" w:color="auto" w:fill="FFFFFF"/>
        </w:rPr>
        <w:t>.</w:t>
      </w:r>
    </w:p>
  </w:footnote>
  <w:footnote w:id="6">
    <w:p w14:paraId="606F113B" w14:textId="62307EF4" w:rsidR="00D166C4" w:rsidRPr="00BF5C70" w:rsidRDefault="00D166C4" w:rsidP="00B95730">
      <w:pPr>
        <w:pStyle w:val="IAPiedepgina"/>
      </w:pPr>
      <w:r w:rsidRPr="005C52BD">
        <w:rPr>
          <w:rStyle w:val="FootnoteReference"/>
          <w:sz w:val="16"/>
          <w:szCs w:val="16"/>
        </w:rPr>
        <w:footnoteRef/>
      </w:r>
      <w:r w:rsidRPr="00BF5C70">
        <w:t xml:space="preserve"> </w:t>
      </w:r>
      <w:r w:rsidR="00142923" w:rsidRPr="00BF5C70">
        <w:rPr>
          <w:shd w:val="clear" w:color="auto" w:fill="FFFFFF"/>
        </w:rPr>
        <w:t xml:space="preserve">CIDH, Comunicado de Prensa No. 217/21, </w:t>
      </w:r>
      <w:hyperlink r:id="rId2" w:history="1">
        <w:r w:rsidR="00142923" w:rsidRPr="00984EDE">
          <w:rPr>
            <w:rStyle w:val="Hyperlink"/>
            <w:rFonts w:cstheme="majorBidi"/>
            <w:color w:val="auto"/>
            <w:szCs w:val="16"/>
          </w:rPr>
          <w:t>CIDH llama a un diálogo serio, amplio e inclusivo para la urgente reconstrucción de la institucionalidad democrática en Venezuela</w:t>
        </w:r>
      </w:hyperlink>
      <w:r w:rsidR="00142923" w:rsidRPr="00BF5C70">
        <w:rPr>
          <w:shd w:val="clear" w:color="auto" w:fill="FFFFFF"/>
        </w:rPr>
        <w:t>, 23 de agosto de 2021.</w:t>
      </w:r>
    </w:p>
  </w:footnote>
  <w:footnote w:id="7">
    <w:p w14:paraId="70FFB041" w14:textId="02F4D276" w:rsidR="00F23612" w:rsidRPr="00BF5C70" w:rsidRDefault="00F23612" w:rsidP="00B95730">
      <w:pPr>
        <w:pStyle w:val="IAPiedepgina"/>
      </w:pPr>
      <w:r w:rsidRPr="005C52BD">
        <w:rPr>
          <w:rStyle w:val="FootnoteReference"/>
          <w:sz w:val="16"/>
          <w:szCs w:val="16"/>
        </w:rPr>
        <w:footnoteRef/>
      </w:r>
      <w:r w:rsidRPr="00BF5C70">
        <w:t xml:space="preserve"> </w:t>
      </w:r>
      <w:r w:rsidR="00614543" w:rsidRPr="00BF5C70">
        <w:rPr>
          <w:lang w:val="es-CO"/>
        </w:rPr>
        <w:t xml:space="preserve">Punto 1, </w:t>
      </w:r>
      <w:r w:rsidR="00614543" w:rsidRPr="00BF5C70">
        <w:rPr>
          <w:shd w:val="clear" w:color="auto" w:fill="FFFFFF"/>
          <w:lang w:val="es-CO"/>
        </w:rPr>
        <w:t>Acuerdo parcial sobre la promoción de derechos políticos y garantías electorales para todos los venezolanos. Firmado el 17 de octubre de 2023 por el gobierno de Maduro y la Plataforma Unitaria en Bridgetown, Barbados.</w:t>
      </w:r>
    </w:p>
  </w:footnote>
  <w:footnote w:id="8">
    <w:p w14:paraId="6CF1D837" w14:textId="4A1CCC5A" w:rsidR="00665812" w:rsidRPr="00BF5C70" w:rsidRDefault="00665812" w:rsidP="00B95730">
      <w:pPr>
        <w:pStyle w:val="IAPiedepgina"/>
      </w:pPr>
      <w:r w:rsidRPr="005C52BD">
        <w:rPr>
          <w:rStyle w:val="FootnoteReference"/>
          <w:sz w:val="16"/>
          <w:szCs w:val="16"/>
        </w:rPr>
        <w:footnoteRef/>
      </w:r>
      <w:r w:rsidRPr="00BF5C70">
        <w:t xml:space="preserve"> </w:t>
      </w:r>
      <w:r w:rsidR="00287363" w:rsidRPr="00BF5C70">
        <w:rPr>
          <w:lang w:val="es-CO"/>
        </w:rPr>
        <w:t xml:space="preserve">Punto 1, </w:t>
      </w:r>
      <w:r w:rsidR="00287363" w:rsidRPr="00BF5C70">
        <w:rPr>
          <w:shd w:val="clear" w:color="auto" w:fill="FFFFFF"/>
          <w:lang w:val="es-CO"/>
        </w:rPr>
        <w:t>Acuerdo parcial sobre la promoción de derechos políticos y garantías electorales para todos los venezolanos. Firmado el 17 de octubre de 2023 por el gobierno de Maduro y la Plataforma Unitaria en Bridgetown, Barbados.</w:t>
      </w:r>
    </w:p>
  </w:footnote>
  <w:footnote w:id="9">
    <w:p w14:paraId="18A27487" w14:textId="26AA92A6" w:rsidR="00CE7B01" w:rsidRPr="00675A13" w:rsidRDefault="00CE7B01" w:rsidP="00B95730">
      <w:pPr>
        <w:pStyle w:val="IAPiedepgina"/>
        <w:rPr>
          <w:rFonts w:cstheme="majorBidi"/>
          <w:lang w:val="es-ES_tradnl"/>
        </w:rPr>
      </w:pPr>
      <w:r w:rsidRPr="005C52BD">
        <w:rPr>
          <w:rStyle w:val="FootnoteReference"/>
          <w:rFonts w:cstheme="majorBidi"/>
          <w:sz w:val="16"/>
          <w:szCs w:val="16"/>
          <w:lang w:val="es-ES_tradnl"/>
        </w:rPr>
        <w:footnoteRef/>
      </w:r>
      <w:r w:rsidR="00DD340E" w:rsidRPr="00BF5C70">
        <w:rPr>
          <w:rFonts w:cstheme="majorBidi"/>
          <w:lang w:val="es-ES_tradnl"/>
        </w:rPr>
        <w:t xml:space="preserve"> </w:t>
      </w:r>
      <w:r w:rsidRPr="00BF5C70">
        <w:rPr>
          <w:rFonts w:cstheme="majorBidi"/>
          <w:lang w:val="es-ES_tradnl"/>
        </w:rPr>
        <w:t>CIDH, Comunicado de Prensa No. 25/24, </w:t>
      </w:r>
      <w:hyperlink r:id="rId3" w:history="1">
        <w:r w:rsidRPr="00756B58">
          <w:rPr>
            <w:rStyle w:val="Hyperlink"/>
            <w:rFonts w:cstheme="majorBidi"/>
            <w:color w:val="auto"/>
            <w:szCs w:val="16"/>
          </w:rPr>
          <w:t>Venezuela: CIDH condena inhabilitaciones políticas a lideres opositores</w:t>
        </w:r>
      </w:hyperlink>
      <w:r w:rsidRPr="00675A13">
        <w:rPr>
          <w:rFonts w:cstheme="majorBidi"/>
          <w:shd w:val="clear" w:color="auto" w:fill="FFFFFF"/>
          <w:lang w:val="es-ES_tradnl"/>
        </w:rPr>
        <w:t>, 31 de enero de 2024.</w:t>
      </w:r>
    </w:p>
  </w:footnote>
  <w:footnote w:id="10">
    <w:p w14:paraId="72B4FB4C" w14:textId="4A5D99B4" w:rsidR="00931F9C" w:rsidRPr="00675A13" w:rsidRDefault="00931F9C" w:rsidP="00B95730">
      <w:pPr>
        <w:pStyle w:val="IAPiedepgina"/>
        <w:rPr>
          <w:rFonts w:cstheme="majorBidi"/>
        </w:rPr>
      </w:pPr>
      <w:r w:rsidRPr="005C52BD">
        <w:rPr>
          <w:rStyle w:val="FootnoteReference"/>
          <w:rFonts w:cstheme="majorBidi"/>
          <w:sz w:val="16"/>
          <w:szCs w:val="16"/>
        </w:rPr>
        <w:footnoteRef/>
      </w:r>
      <w:r w:rsidRPr="00675A13">
        <w:rPr>
          <w:rFonts w:cstheme="majorBidi"/>
        </w:rPr>
        <w:t xml:space="preserve"> </w:t>
      </w:r>
      <w:r w:rsidR="00471B88" w:rsidRPr="00675A13">
        <w:rPr>
          <w:rFonts w:cstheme="majorBidi"/>
        </w:rPr>
        <w:t>Centro de Justicia y Paz (Cepaz)</w:t>
      </w:r>
      <w:r w:rsidR="00CB7D41" w:rsidRPr="00675A13">
        <w:rPr>
          <w:rFonts w:cstheme="majorBidi"/>
        </w:rPr>
        <w:t xml:space="preserve">, </w:t>
      </w:r>
      <w:r w:rsidR="00961C5B" w:rsidRPr="00675A13">
        <w:rPr>
          <w:rFonts w:eastAsiaTheme="minorEastAsia" w:cstheme="majorBidi"/>
        </w:rPr>
        <w:t>En Venezuela arrecia la persecución contra personas vinculadas a la política</w:t>
      </w:r>
      <w:r w:rsidR="00961C5B" w:rsidRPr="00675A13">
        <w:rPr>
          <w:rFonts w:cstheme="majorBidi"/>
        </w:rPr>
        <w:t xml:space="preserve">, </w:t>
      </w:r>
      <w:r w:rsidR="0078472F" w:rsidRPr="00675A13">
        <w:rPr>
          <w:rFonts w:cstheme="majorBidi"/>
        </w:rPr>
        <w:t>disponible</w:t>
      </w:r>
      <w:r w:rsidR="00471B88" w:rsidRPr="00675A13">
        <w:rPr>
          <w:rFonts w:cstheme="majorBidi"/>
        </w:rPr>
        <w:t xml:space="preserve"> en </w:t>
      </w:r>
      <w:hyperlink r:id="rId4" w:history="1">
        <w:r w:rsidR="00DA25A5" w:rsidRPr="00675A13">
          <w:rPr>
            <w:rStyle w:val="Hyperlink"/>
            <w:rFonts w:cstheme="majorBidi"/>
            <w:color w:val="auto"/>
            <w:szCs w:val="16"/>
          </w:rPr>
          <w:t>https://cepaz.org/en-venezuela-arrecia-la-persecucion-contra-personas-vinculadas-a-la-politica/</w:t>
        </w:r>
      </w:hyperlink>
      <w:r w:rsidR="00DA25A5" w:rsidRPr="00675A13">
        <w:rPr>
          <w:rFonts w:cstheme="majorBidi"/>
        </w:rPr>
        <w:t xml:space="preserve">, </w:t>
      </w:r>
      <w:r w:rsidR="00961C5B" w:rsidRPr="00675A13">
        <w:rPr>
          <w:rFonts w:cstheme="majorBidi"/>
          <w:shd w:val="clear" w:color="auto" w:fill="FFFFFF"/>
        </w:rPr>
        <w:t xml:space="preserve">22 de </w:t>
      </w:r>
      <w:r w:rsidR="00347541" w:rsidRPr="00675A13">
        <w:rPr>
          <w:rFonts w:cstheme="majorBidi"/>
          <w:shd w:val="clear" w:color="auto" w:fill="FFFFFF"/>
        </w:rPr>
        <w:t>marzo</w:t>
      </w:r>
      <w:r w:rsidR="00961C5B" w:rsidRPr="00675A13">
        <w:rPr>
          <w:rFonts w:cstheme="majorBidi"/>
          <w:shd w:val="clear" w:color="auto" w:fill="FFFFFF"/>
        </w:rPr>
        <w:t xml:space="preserve"> de 202</w:t>
      </w:r>
      <w:r w:rsidR="00347541" w:rsidRPr="00675A13">
        <w:rPr>
          <w:rFonts w:cstheme="majorBidi"/>
          <w:shd w:val="clear" w:color="auto" w:fill="FFFFFF"/>
        </w:rPr>
        <w:t>4</w:t>
      </w:r>
      <w:r w:rsidR="00961C5B" w:rsidRPr="00675A13">
        <w:rPr>
          <w:rFonts w:cstheme="majorBidi"/>
          <w:shd w:val="clear" w:color="auto" w:fill="FFFFFF"/>
        </w:rPr>
        <w:t>.</w:t>
      </w:r>
      <w:r w:rsidR="00471B88" w:rsidRPr="00675A13">
        <w:rPr>
          <w:rFonts w:cstheme="majorBidi"/>
          <w:shd w:val="clear" w:color="auto" w:fill="FFFFFF"/>
        </w:rPr>
        <w:t xml:space="preserve"> </w:t>
      </w:r>
    </w:p>
  </w:footnote>
  <w:footnote w:id="11">
    <w:p w14:paraId="2E914143" w14:textId="0E5BF78B" w:rsidR="00DF2663" w:rsidRPr="00BF5C70" w:rsidRDefault="00DF2663" w:rsidP="00B95730">
      <w:pPr>
        <w:pStyle w:val="IAPiedepgina"/>
      </w:pPr>
      <w:r w:rsidRPr="005C52BD">
        <w:rPr>
          <w:rStyle w:val="FootnoteReference"/>
          <w:sz w:val="16"/>
          <w:szCs w:val="16"/>
        </w:rPr>
        <w:footnoteRef/>
      </w:r>
      <w:r w:rsidRPr="00675A13">
        <w:t xml:space="preserve"> </w:t>
      </w:r>
      <w:r w:rsidR="00B20936" w:rsidRPr="00675A13">
        <w:t xml:space="preserve">Infobae, </w:t>
      </w:r>
      <w:r w:rsidR="007E745D" w:rsidRPr="00675A13">
        <w:t>L</w:t>
      </w:r>
      <w:r w:rsidR="00B20936" w:rsidRPr="00675A13">
        <w:t>a Justicia Electoral chavista formalizó la</w:t>
      </w:r>
      <w:r w:rsidR="00B20936" w:rsidRPr="00BF5C70">
        <w:t xml:space="preserve"> inhabilitación de María Corina machado para las presidenciales de julio, 11 de marzo de 2024.</w:t>
      </w:r>
      <w:r w:rsidR="007E745D" w:rsidRPr="00BF5C70">
        <w:t xml:space="preserve"> </w:t>
      </w:r>
      <w:r w:rsidR="009358A3" w:rsidRPr="00BF5C70">
        <w:t xml:space="preserve">Disponible en: </w:t>
      </w:r>
      <w:r w:rsidR="009358A3" w:rsidRPr="00BF5C70">
        <w:rPr>
          <w:rStyle w:val="Hyperlink"/>
          <w:rFonts w:cstheme="majorBidi"/>
          <w:color w:val="auto"/>
          <w:szCs w:val="16"/>
        </w:rPr>
        <w:t>https://www.infobae.com/venezuela/2024/03/11/la-justicia-electoral-chavista-formalizo-la-inhabilitacion-de-maria-corina-machado-para-las-presidenciales-de-julio/</w:t>
      </w:r>
      <w:r w:rsidR="00B95730">
        <w:rPr>
          <w:rStyle w:val="Hyperlink"/>
          <w:rFonts w:cstheme="majorBidi"/>
          <w:color w:val="auto"/>
          <w:szCs w:val="16"/>
        </w:rPr>
        <w:t>.</w:t>
      </w:r>
      <w:r w:rsidR="00556D99" w:rsidRPr="00BF5C70">
        <w:t xml:space="preserve"> </w:t>
      </w:r>
    </w:p>
  </w:footnote>
  <w:footnote w:id="12">
    <w:p w14:paraId="1288871A" w14:textId="3AD7D480" w:rsidR="00931F9C" w:rsidRPr="00BF5C70" w:rsidRDefault="00931F9C" w:rsidP="0097717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008B202A" w:rsidRPr="00BF5C70">
        <w:rPr>
          <w:rFonts w:cstheme="majorBidi"/>
          <w:szCs w:val="16"/>
          <w:lang w:val="es-ES_tradnl"/>
        </w:rPr>
        <w:t xml:space="preserve">El </w:t>
      </w:r>
      <w:r w:rsidR="006D63A2" w:rsidRPr="00BF5C70">
        <w:rPr>
          <w:rFonts w:cstheme="majorBidi"/>
          <w:szCs w:val="16"/>
          <w:lang w:val="es-ES_tradnl"/>
        </w:rPr>
        <w:t>Estímulo</w:t>
      </w:r>
      <w:r w:rsidR="008B202A" w:rsidRPr="00BF5C70">
        <w:rPr>
          <w:rFonts w:cstheme="majorBidi"/>
          <w:szCs w:val="16"/>
          <w:lang w:val="es-ES_tradnl"/>
        </w:rPr>
        <w:t xml:space="preserve">, </w:t>
      </w:r>
      <w:r w:rsidR="00E24C8D" w:rsidRPr="00BF5C70">
        <w:rPr>
          <w:rFonts w:eastAsiaTheme="minorHAnsi" w:cstheme="majorBidi"/>
          <w:szCs w:val="16"/>
          <w:lang w:val="es-ES_tradnl"/>
        </w:rPr>
        <w:t>TSJ ratifica inhabilitación de María Corina Machado y Henrique Capriles</w:t>
      </w:r>
      <w:r w:rsidR="00E24C8D" w:rsidRPr="00675A13">
        <w:rPr>
          <w:rFonts w:cstheme="majorBidi"/>
          <w:szCs w:val="16"/>
          <w:lang w:val="es-ES_tradnl"/>
        </w:rPr>
        <w:t xml:space="preserve">, </w:t>
      </w:r>
      <w:r w:rsidR="00000C1F" w:rsidRPr="00675A13">
        <w:rPr>
          <w:rFonts w:cstheme="majorBidi"/>
          <w:szCs w:val="16"/>
          <w:lang w:val="es-ES_tradnl"/>
        </w:rPr>
        <w:t>disponible</w:t>
      </w:r>
      <w:r w:rsidR="00E24C8D" w:rsidRPr="00675A13">
        <w:rPr>
          <w:rFonts w:cstheme="majorBidi"/>
          <w:szCs w:val="16"/>
          <w:lang w:val="es-ES_tradnl"/>
        </w:rPr>
        <w:t xml:space="preserve"> en</w:t>
      </w:r>
      <w:r w:rsidR="006D63A2" w:rsidRPr="00BF5C70">
        <w:rPr>
          <w:rFonts w:cstheme="majorBidi"/>
          <w:szCs w:val="16"/>
          <w:lang w:val="es-ES_tradnl"/>
        </w:rPr>
        <w:t xml:space="preserve"> </w:t>
      </w:r>
      <w:hyperlink r:id="rId5" w:history="1">
        <w:r w:rsidR="006D63A2" w:rsidRPr="00BF5C70">
          <w:rPr>
            <w:rStyle w:val="Hyperlink"/>
            <w:rFonts w:cstheme="majorBidi"/>
            <w:color w:val="auto"/>
            <w:szCs w:val="16"/>
            <w:lang w:val="es-ES_tradnl"/>
          </w:rPr>
          <w:t>https://elestimulo.com/politica/2024-01-26/tsj-anula-inhabilitacion-de-leocenis-garcia-y-richard-mardo-mas-anuncios/</w:t>
        </w:r>
      </w:hyperlink>
      <w:r w:rsidR="006D63A2" w:rsidRPr="00BF5C70">
        <w:rPr>
          <w:rFonts w:cstheme="majorBidi"/>
          <w:szCs w:val="16"/>
          <w:lang w:val="es-ES_tradnl"/>
        </w:rPr>
        <w:t>, 26 de enero de 2024.</w:t>
      </w:r>
    </w:p>
  </w:footnote>
  <w:footnote w:id="13">
    <w:p w14:paraId="2B5D2088" w14:textId="52C28FF1" w:rsidR="00CE7B01" w:rsidRPr="00BF5C70" w:rsidRDefault="00CE7B01" w:rsidP="0097717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Pr="00BF5C70">
        <w:rPr>
          <w:rFonts w:cstheme="majorBidi"/>
          <w:szCs w:val="16"/>
          <w:shd w:val="clear" w:color="auto" w:fill="FFFFFF"/>
          <w:lang w:val="es-ES_tradnl"/>
        </w:rPr>
        <w:t xml:space="preserve">CIDH, Comunicado de Prensa No. 085/22, </w:t>
      </w:r>
      <w:hyperlink r:id="rId6" w:history="1">
        <w:r w:rsidRPr="001338FA">
          <w:rPr>
            <w:rStyle w:val="Hyperlink"/>
            <w:rFonts w:cstheme="majorBidi"/>
            <w:color w:val="auto"/>
            <w:szCs w:val="16"/>
            <w:lang w:val="es-ES_tradnl"/>
          </w:rPr>
          <w:t>Venezuela debe garantizar los derechos políticos a todas las personas conforme a los estándares interamericanos</w:t>
        </w:r>
      </w:hyperlink>
      <w:r w:rsidRPr="00BF5C70">
        <w:rPr>
          <w:rFonts w:cstheme="majorBidi"/>
          <w:szCs w:val="16"/>
          <w:shd w:val="clear" w:color="auto" w:fill="FFFFFF"/>
          <w:lang w:val="es-ES_tradnl"/>
        </w:rPr>
        <w:t>, 22 de abril de 2022.</w:t>
      </w:r>
    </w:p>
  </w:footnote>
  <w:footnote w:id="14">
    <w:p w14:paraId="2EB5D1CE" w14:textId="365DA47F" w:rsidR="00CE7B01" w:rsidRPr="00BF5C70" w:rsidRDefault="00CE7B01" w:rsidP="0097717B">
      <w:pPr>
        <w:pStyle w:val="IAPiedepgina"/>
        <w:rPr>
          <w:rFonts w:cstheme="majorBidi"/>
          <w:szCs w:val="16"/>
          <w:lang w:val="es-ES_tradnl"/>
        </w:rPr>
      </w:pPr>
      <w:r w:rsidRPr="005C52BD">
        <w:rPr>
          <w:rStyle w:val="FootnoteReference"/>
          <w:rFonts w:cstheme="majorBidi"/>
          <w:sz w:val="16"/>
          <w:szCs w:val="16"/>
          <w:lang w:val="es-ES_tradnl"/>
        </w:rPr>
        <w:footnoteRef/>
      </w:r>
      <w:r w:rsidRPr="00675A13">
        <w:rPr>
          <w:rFonts w:cstheme="majorBidi"/>
          <w:szCs w:val="16"/>
          <w:lang w:val="pt-BR"/>
        </w:rPr>
        <w:t xml:space="preserve"> </w:t>
      </w:r>
      <w:r w:rsidR="00C07AF2" w:rsidRPr="00675A13">
        <w:rPr>
          <w:rFonts w:cstheme="majorBidi"/>
          <w:szCs w:val="16"/>
          <w:lang w:val="pt-BR"/>
        </w:rPr>
        <w:t xml:space="preserve">Corte </w:t>
      </w:r>
      <w:r w:rsidR="00BC5D06" w:rsidRPr="00675A13">
        <w:rPr>
          <w:rFonts w:cstheme="majorBidi"/>
          <w:szCs w:val="16"/>
          <w:shd w:val="clear" w:color="auto" w:fill="FFFFFF"/>
          <w:lang w:val="pt-BR"/>
        </w:rPr>
        <w:t>IDH</w:t>
      </w:r>
      <w:r w:rsidR="00C3789C" w:rsidRPr="00675A13">
        <w:rPr>
          <w:rFonts w:cstheme="majorBidi"/>
          <w:szCs w:val="16"/>
          <w:shd w:val="clear" w:color="auto" w:fill="FFFFFF"/>
          <w:lang w:val="pt-BR"/>
        </w:rPr>
        <w:t>.</w:t>
      </w:r>
      <w:r w:rsidR="00BC5D06" w:rsidRPr="00675A13">
        <w:rPr>
          <w:rFonts w:cstheme="majorBidi"/>
          <w:szCs w:val="16"/>
          <w:shd w:val="clear" w:color="auto" w:fill="FFFFFF"/>
          <w:lang w:val="pt-BR"/>
        </w:rPr>
        <w:t xml:space="preserve"> Caso López Mendoza Vs. </w:t>
      </w:r>
      <w:r w:rsidR="00BC5D06" w:rsidRPr="00134AC1">
        <w:rPr>
          <w:rFonts w:cstheme="majorBidi"/>
          <w:szCs w:val="16"/>
          <w:shd w:val="clear" w:color="auto" w:fill="FFFFFF"/>
          <w:lang w:val="es-US"/>
        </w:rPr>
        <w:t xml:space="preserve">Venezuela. </w:t>
      </w:r>
      <w:r w:rsidR="00BC5D06" w:rsidRPr="00BF5C70">
        <w:rPr>
          <w:rFonts w:cstheme="majorBidi"/>
          <w:szCs w:val="16"/>
          <w:shd w:val="clear" w:color="auto" w:fill="FFFFFF"/>
          <w:lang w:val="es-ES_tradnl"/>
        </w:rPr>
        <w:t>Fondo, Reparaciones y Costas. Sentencia de 1 de septiembre de 2011 C No. 233.</w:t>
      </w:r>
    </w:p>
  </w:footnote>
  <w:footnote w:id="15">
    <w:p w14:paraId="5133385F" w14:textId="192204C2" w:rsidR="00DD2985" w:rsidRPr="00BF5C70" w:rsidRDefault="00DD2985" w:rsidP="0097717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Pr="00BF5C70">
        <w:rPr>
          <w:rFonts w:cstheme="majorBidi"/>
          <w:szCs w:val="16"/>
          <w:shd w:val="clear" w:color="auto" w:fill="FFFFFF"/>
          <w:lang w:val="es-ES_tradnl"/>
        </w:rPr>
        <w:t xml:space="preserve">CIDH, Comunicado de Prensa No. 067/24, </w:t>
      </w:r>
      <w:hyperlink r:id="rId7" w:history="1">
        <w:r w:rsidRPr="001338FA">
          <w:rPr>
            <w:rStyle w:val="Hyperlink"/>
            <w:rFonts w:cstheme="majorBidi"/>
            <w:color w:val="auto"/>
            <w:szCs w:val="16"/>
            <w:lang w:val="es-ES_tradnl"/>
          </w:rPr>
          <w:t>CIDH: el Estado de Venezuela debe asegurar la participación política de la oposición en las elecciones presidenciales, sin arbitrariedades</w:t>
        </w:r>
      </w:hyperlink>
      <w:r w:rsidRPr="00BF5C70">
        <w:rPr>
          <w:rFonts w:cstheme="majorBidi"/>
          <w:szCs w:val="16"/>
          <w:shd w:val="clear" w:color="auto" w:fill="FFFFFF"/>
          <w:lang w:val="es-ES_tradnl"/>
        </w:rPr>
        <w:t>, 5 de abril de 2024.</w:t>
      </w:r>
    </w:p>
  </w:footnote>
  <w:footnote w:id="16">
    <w:p w14:paraId="2EED2D70" w14:textId="4FF39F1B" w:rsidR="009F67A4" w:rsidRPr="00BF5C70" w:rsidRDefault="009F67A4" w:rsidP="0097717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Pr="00BF5C70">
        <w:rPr>
          <w:rFonts w:cstheme="majorBidi"/>
          <w:szCs w:val="16"/>
          <w:shd w:val="clear" w:color="auto" w:fill="FFFFFF"/>
          <w:lang w:val="es-ES_tradnl"/>
        </w:rPr>
        <w:t>El País, Quiénes son los 10 candidatos a la presidencia de Venezuela, 27 de julio de 2024.</w:t>
      </w:r>
      <w:r w:rsidR="00002F1A" w:rsidRPr="00BF5C70">
        <w:rPr>
          <w:rFonts w:cstheme="majorBidi"/>
          <w:szCs w:val="16"/>
          <w:shd w:val="clear" w:color="auto" w:fill="FFFFFF"/>
          <w:lang w:val="es-ES_tradnl"/>
        </w:rPr>
        <w:t xml:space="preserve"> Disponible en: </w:t>
      </w:r>
      <w:hyperlink r:id="rId8" w:history="1">
        <w:r w:rsidR="00002F1A" w:rsidRPr="00BF5C70">
          <w:rPr>
            <w:rStyle w:val="Hyperlink"/>
            <w:rFonts w:cstheme="majorBidi"/>
            <w:color w:val="auto"/>
            <w:szCs w:val="16"/>
            <w:lang w:val="es-ES_tradnl"/>
          </w:rPr>
          <w:t>https://elpais.com/america/2024-07-27/quienes-son-los-10-candidatos-a-la-presidencia-de-venezuela.html</w:t>
        </w:r>
      </w:hyperlink>
      <w:r w:rsidR="0097717B">
        <w:t>.</w:t>
      </w:r>
      <w:r w:rsidR="00002F1A" w:rsidRPr="00BF5C70">
        <w:rPr>
          <w:rFonts w:cstheme="majorBidi"/>
          <w:szCs w:val="16"/>
          <w:shd w:val="clear" w:color="auto" w:fill="FFFFFF"/>
          <w:lang w:val="es-ES_tradnl"/>
        </w:rPr>
        <w:t xml:space="preserve"> </w:t>
      </w:r>
    </w:p>
  </w:footnote>
  <w:footnote w:id="17">
    <w:p w14:paraId="4C7D450E" w14:textId="4077B700" w:rsidR="00CA23E5" w:rsidRPr="00BF5C70" w:rsidRDefault="00CA23E5" w:rsidP="0097717B">
      <w:pPr>
        <w:pStyle w:val="IAPiedepgina"/>
        <w:rPr>
          <w:szCs w:val="16"/>
          <w:lang w:val="es-US"/>
        </w:rPr>
      </w:pPr>
      <w:r w:rsidRPr="005C52BD">
        <w:rPr>
          <w:rStyle w:val="FootnoteReference"/>
          <w:sz w:val="16"/>
          <w:szCs w:val="16"/>
        </w:rPr>
        <w:footnoteRef/>
      </w:r>
      <w:r w:rsidRPr="00BF5C70">
        <w:rPr>
          <w:szCs w:val="16"/>
          <w:lang w:val="es-US"/>
        </w:rPr>
        <w:t xml:space="preserve"> Véase párr. 23. </w:t>
      </w:r>
    </w:p>
  </w:footnote>
  <w:footnote w:id="18">
    <w:p w14:paraId="13442CC9" w14:textId="42366F35" w:rsidR="00DD2985" w:rsidRPr="00BF5C70" w:rsidRDefault="00DD2985" w:rsidP="0097717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Pr="00BF5C70">
        <w:rPr>
          <w:rFonts w:cstheme="majorBidi"/>
          <w:szCs w:val="16"/>
          <w:shd w:val="clear" w:color="auto" w:fill="FFFFFF"/>
          <w:lang w:val="es-ES_tradnl"/>
        </w:rPr>
        <w:t>CIDH, Comunicado de Prensa No. 067/24</w:t>
      </w:r>
      <w:hyperlink r:id="rId9" w:history="1">
        <w:r w:rsidRPr="001338FA">
          <w:rPr>
            <w:rStyle w:val="Hyperlink"/>
            <w:rFonts w:cstheme="majorBidi"/>
            <w:color w:val="auto"/>
            <w:szCs w:val="16"/>
            <w:lang w:val="es-ES_tradnl"/>
          </w:rPr>
          <w:t>, CIDH: el Estado de Venezuela debe asegurar la participación política de la oposición en las elecciones presidenciales, sin arbitrariedades</w:t>
        </w:r>
      </w:hyperlink>
      <w:r w:rsidRPr="00BF5C70">
        <w:rPr>
          <w:rFonts w:cstheme="majorBidi"/>
          <w:szCs w:val="16"/>
          <w:shd w:val="clear" w:color="auto" w:fill="FFFFFF"/>
          <w:lang w:val="es-ES_tradnl"/>
        </w:rPr>
        <w:t>, 5 de abril de 2024.</w:t>
      </w:r>
    </w:p>
  </w:footnote>
  <w:footnote w:id="19">
    <w:p w14:paraId="4DFF34B5" w14:textId="67FADFF4" w:rsidR="00232B81" w:rsidRPr="00BF5C70" w:rsidRDefault="00232B81" w:rsidP="00F1652B">
      <w:pPr>
        <w:pStyle w:val="IAPiedepgina"/>
      </w:pPr>
      <w:r w:rsidRPr="005C52BD">
        <w:rPr>
          <w:rStyle w:val="FootnoteReference"/>
          <w:rFonts w:cstheme="majorBidi"/>
          <w:sz w:val="16"/>
          <w:szCs w:val="16"/>
          <w:lang w:val="es-ES_tradnl"/>
        </w:rPr>
        <w:footnoteRef/>
      </w:r>
      <w:r w:rsidRPr="00BF5C70">
        <w:t xml:space="preserve"> </w:t>
      </w:r>
      <w:r w:rsidR="00640CEC" w:rsidRPr="00BF5C70">
        <w:rPr>
          <w:shd w:val="clear" w:color="auto" w:fill="FFFFFF"/>
        </w:rPr>
        <w:t xml:space="preserve">CIDH, Comunicado de Prensa No. 141/24, </w:t>
      </w:r>
      <w:hyperlink r:id="rId10" w:history="1">
        <w:r w:rsidR="00640CEC" w:rsidRPr="001338FA">
          <w:rPr>
            <w:rStyle w:val="Hyperlink"/>
            <w:rFonts w:cstheme="majorBidi"/>
            <w:color w:val="auto"/>
            <w:szCs w:val="16"/>
            <w:lang w:val="es-ES_tradnl"/>
          </w:rPr>
          <w:t>CIDH: Venezuela debe garantizar el derecho al voto de connacionales que residen en el extranjero, sin distinción de su estatus migratorio</w:t>
        </w:r>
      </w:hyperlink>
      <w:r w:rsidR="00640CEC" w:rsidRPr="00BF5C70">
        <w:rPr>
          <w:shd w:val="clear" w:color="auto" w:fill="FFFFFF"/>
        </w:rPr>
        <w:t>, 18 de junio de 2024.</w:t>
      </w:r>
    </w:p>
  </w:footnote>
  <w:footnote w:id="20">
    <w:p w14:paraId="64FFD7C2" w14:textId="0C37802E" w:rsidR="006F34FC" w:rsidRPr="00BF5C70" w:rsidRDefault="006F34FC" w:rsidP="00F1652B">
      <w:pPr>
        <w:pStyle w:val="IAPiedepgina"/>
      </w:pPr>
      <w:r w:rsidRPr="005C52BD">
        <w:rPr>
          <w:rStyle w:val="FootnoteReference"/>
          <w:rFonts w:cstheme="majorBidi"/>
          <w:sz w:val="16"/>
          <w:szCs w:val="16"/>
          <w:lang w:val="es-ES_tradnl"/>
        </w:rPr>
        <w:footnoteRef/>
      </w:r>
      <w:r w:rsidRPr="00BF5C70">
        <w:t xml:space="preserve"> </w:t>
      </w:r>
      <w:r w:rsidR="00640CEC" w:rsidRPr="00BF5C70">
        <w:rPr>
          <w:shd w:val="clear" w:color="auto" w:fill="FFFFFF"/>
        </w:rPr>
        <w:t xml:space="preserve">CIDH, Comunicado de Prensa No. 141/24, </w:t>
      </w:r>
      <w:hyperlink r:id="rId11" w:history="1">
        <w:r w:rsidR="00640CEC" w:rsidRPr="001338FA">
          <w:rPr>
            <w:rStyle w:val="Hyperlink"/>
            <w:rFonts w:cstheme="majorBidi"/>
            <w:color w:val="auto"/>
            <w:szCs w:val="16"/>
            <w:shd w:val="clear" w:color="auto" w:fill="FFFFFF"/>
            <w:lang w:val="es-ES_tradnl"/>
          </w:rPr>
          <w:t>CIDH: Venezuela debe garantizar el derecho al voto de connacionales que residen en el extranjero, sin distinción de su estatus migratorio</w:t>
        </w:r>
      </w:hyperlink>
      <w:r w:rsidR="00640CEC" w:rsidRPr="00BF5C70">
        <w:rPr>
          <w:shd w:val="clear" w:color="auto" w:fill="FFFFFF"/>
        </w:rPr>
        <w:t>, 18 de junio de 2024.</w:t>
      </w:r>
    </w:p>
  </w:footnote>
  <w:footnote w:id="21">
    <w:p w14:paraId="04F0A20A" w14:textId="2E5759BF" w:rsidR="00EB66E2" w:rsidRPr="00BF5C70" w:rsidRDefault="00EB66E2" w:rsidP="00F1652B">
      <w:pPr>
        <w:pStyle w:val="IAPiedepgina"/>
      </w:pPr>
      <w:r w:rsidRPr="005C52BD">
        <w:rPr>
          <w:rStyle w:val="FootnoteReference"/>
          <w:rFonts w:cstheme="majorBidi"/>
          <w:sz w:val="16"/>
          <w:szCs w:val="16"/>
          <w:lang w:val="es-CO"/>
        </w:rPr>
        <w:footnoteRef/>
      </w:r>
      <w:r w:rsidRPr="00BF5C70">
        <w:rPr>
          <w:lang w:val="es-CO"/>
        </w:rPr>
        <w:t xml:space="preserve"> </w:t>
      </w:r>
      <w:r w:rsidR="002A1CFB" w:rsidRPr="00BF5C70">
        <w:rPr>
          <w:lang w:val="es-CO"/>
        </w:rPr>
        <w:t xml:space="preserve">CIDH, </w:t>
      </w:r>
      <w:r w:rsidR="00002F1A" w:rsidRPr="00BF5C70">
        <w:rPr>
          <w:lang w:val="es-CO"/>
        </w:rPr>
        <w:t>Informe temático</w:t>
      </w:r>
      <w:r w:rsidR="00964EFF" w:rsidRPr="00BF5C70">
        <w:rPr>
          <w:lang w:val="es-CO"/>
        </w:rPr>
        <w:t>,</w:t>
      </w:r>
      <w:r w:rsidR="00002F1A" w:rsidRPr="00BF5C70">
        <w:rPr>
          <w:lang w:val="es-CO"/>
        </w:rPr>
        <w:t xml:space="preserve"> </w:t>
      </w:r>
      <w:r w:rsidR="002A1CFB" w:rsidRPr="00BF5C70">
        <w:rPr>
          <w:lang w:val="es-CO"/>
        </w:rPr>
        <w:t xml:space="preserve">Personas refugiadas y migrantes provenientes de Venezuela, </w:t>
      </w:r>
      <w:r w:rsidR="00F77792" w:rsidRPr="00BF5C70">
        <w:rPr>
          <w:lang w:val="es-CO"/>
        </w:rPr>
        <w:t>20 de julio de 2023.</w:t>
      </w:r>
      <w:r w:rsidR="008F37EE" w:rsidRPr="00BF5C70">
        <w:rPr>
          <w:lang w:val="es-CO"/>
        </w:rPr>
        <w:t xml:space="preserve"> </w:t>
      </w:r>
      <w:r w:rsidR="00002F1A" w:rsidRPr="00BF5C70">
        <w:t>Disponible en:</w:t>
      </w:r>
      <w:r w:rsidR="00D02C5C">
        <w:t xml:space="preserve"> </w:t>
      </w:r>
      <w:hyperlink r:id="rId12" w:history="1">
        <w:r w:rsidR="00C82D72" w:rsidRPr="00BF5C70">
          <w:rPr>
            <w:rStyle w:val="Hyperlink"/>
            <w:rFonts w:cstheme="majorBidi"/>
            <w:color w:val="auto"/>
            <w:szCs w:val="16"/>
            <w:shd w:val="clear" w:color="auto" w:fill="FFFFFF"/>
            <w:lang w:val="es-ES_tradnl"/>
          </w:rPr>
          <w:t>https://www.oas.org/es/CIDH/jsForm/?File=/es/cidh/prensa/comunicados/2023/260.asp</w:t>
        </w:r>
      </w:hyperlink>
      <w:r w:rsidR="00F1652B">
        <w:t>.</w:t>
      </w:r>
    </w:p>
  </w:footnote>
  <w:footnote w:id="22">
    <w:p w14:paraId="6139652F" w14:textId="7D637AFF" w:rsidR="00816E88" w:rsidRPr="00BF5C70" w:rsidRDefault="00816E88" w:rsidP="00F1652B">
      <w:pPr>
        <w:pStyle w:val="IAPiedepgina"/>
      </w:pPr>
      <w:r w:rsidRPr="005C52BD">
        <w:rPr>
          <w:rStyle w:val="FootnoteReference"/>
          <w:rFonts w:cstheme="majorBidi"/>
          <w:sz w:val="16"/>
          <w:szCs w:val="16"/>
          <w:lang w:val="es-ES_tradnl"/>
        </w:rPr>
        <w:footnoteRef/>
      </w:r>
      <w:r w:rsidRPr="00BF5C70">
        <w:t xml:space="preserve"> </w:t>
      </w:r>
      <w:r w:rsidR="00CC6117" w:rsidRPr="00BF5C70">
        <w:rPr>
          <w:shd w:val="clear" w:color="auto" w:fill="FFFFFF"/>
        </w:rPr>
        <w:t>El País, Sólo el 1% de los venezolanos en el exterior puede votar en las elecciones presidenciales, 27 de julio de 2024.</w:t>
      </w:r>
      <w:r w:rsidR="00077380" w:rsidRPr="00BF5C70">
        <w:rPr>
          <w:shd w:val="clear" w:color="auto" w:fill="FFFFFF"/>
        </w:rPr>
        <w:t xml:space="preserve"> </w:t>
      </w:r>
      <w:r w:rsidR="00C856A1" w:rsidRPr="00BF5C70">
        <w:rPr>
          <w:shd w:val="clear" w:color="auto" w:fill="FFFFFF"/>
        </w:rPr>
        <w:t xml:space="preserve">Disponible en: </w:t>
      </w:r>
      <w:hyperlink r:id="rId13" w:history="1">
        <w:r w:rsidR="00C856A1" w:rsidRPr="00BF5C70">
          <w:rPr>
            <w:rStyle w:val="Hyperlink"/>
            <w:rFonts w:cstheme="majorBidi"/>
            <w:color w:val="auto"/>
            <w:szCs w:val="16"/>
            <w:shd w:val="clear" w:color="auto" w:fill="FFFFFF"/>
            <w:lang w:val="es-ES_tradnl"/>
          </w:rPr>
          <w:t>https://elpais.com/america/2024-07-27/solo-el-1-de-los-venezolanos-en-el-exterior-puede-votar-en-las-elecciones-presidenciales.html</w:t>
        </w:r>
      </w:hyperlink>
      <w:r w:rsidR="009A2389">
        <w:t>,</w:t>
      </w:r>
      <w:r w:rsidR="00C856A1" w:rsidRPr="00BF5C70">
        <w:rPr>
          <w:shd w:val="clear" w:color="auto" w:fill="FFFFFF"/>
        </w:rPr>
        <w:t xml:space="preserve"> </w:t>
      </w:r>
    </w:p>
  </w:footnote>
  <w:footnote w:id="23">
    <w:p w14:paraId="13E47941" w14:textId="31E58A8A" w:rsidR="006F34FC" w:rsidRPr="00BF5C70" w:rsidRDefault="006F34FC" w:rsidP="00F1652B">
      <w:pPr>
        <w:pStyle w:val="IAPiedepgina"/>
      </w:pPr>
      <w:r w:rsidRPr="005C52BD">
        <w:rPr>
          <w:rStyle w:val="FootnoteReference"/>
          <w:rFonts w:cstheme="majorBidi"/>
          <w:sz w:val="16"/>
          <w:szCs w:val="16"/>
          <w:lang w:val="es-ES_tradnl"/>
        </w:rPr>
        <w:footnoteRef/>
      </w:r>
      <w:r w:rsidRPr="00BF5C70">
        <w:t xml:space="preserve"> </w:t>
      </w:r>
      <w:r w:rsidR="00640CEC" w:rsidRPr="00BF5C70">
        <w:rPr>
          <w:shd w:val="clear" w:color="auto" w:fill="FFFFFF"/>
        </w:rPr>
        <w:t xml:space="preserve">CIDH, Comunicado de Prensa No. 141/24, </w:t>
      </w:r>
      <w:hyperlink r:id="rId14" w:history="1">
        <w:r w:rsidR="00640CEC" w:rsidRPr="001338FA">
          <w:rPr>
            <w:rStyle w:val="Hyperlink"/>
            <w:rFonts w:cstheme="majorBidi"/>
            <w:color w:val="auto"/>
            <w:szCs w:val="16"/>
            <w:shd w:val="clear" w:color="auto" w:fill="FFFFFF"/>
            <w:lang w:val="es-ES_tradnl"/>
          </w:rPr>
          <w:t>CIDH: Venezuela debe garantizar el derecho al voto de connacionales que residen en el extranjero, sin distinción de su estatus migratorio</w:t>
        </w:r>
      </w:hyperlink>
      <w:r w:rsidR="00640CEC" w:rsidRPr="00BF5C70">
        <w:rPr>
          <w:shd w:val="clear" w:color="auto" w:fill="FFFFFF"/>
        </w:rPr>
        <w:t>, 18 de junio de 2024.</w:t>
      </w:r>
    </w:p>
  </w:footnote>
  <w:footnote w:id="24">
    <w:p w14:paraId="63E6233D" w14:textId="1A8307ED" w:rsidR="008217CE" w:rsidRPr="00BF5C70" w:rsidRDefault="008217CE" w:rsidP="00F1652B">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 xml:space="preserve">CIDH, Comunicado de Prensa No. 141/24, </w:t>
      </w:r>
      <w:hyperlink r:id="rId15" w:history="1">
        <w:r w:rsidRPr="001338FA">
          <w:rPr>
            <w:rStyle w:val="Hyperlink"/>
            <w:rFonts w:cstheme="majorBidi"/>
            <w:color w:val="auto"/>
            <w:szCs w:val="16"/>
            <w:shd w:val="clear" w:color="auto" w:fill="FFFFFF"/>
            <w:lang w:val="es-ES_tradnl"/>
          </w:rPr>
          <w:t>CIDH: Venezuela debe garantizar el derecho al voto de connacionales que residen en el extranjero, sin distinción de su estatus migratorio</w:t>
        </w:r>
      </w:hyperlink>
      <w:r w:rsidRPr="00BF5C70">
        <w:rPr>
          <w:shd w:val="clear" w:color="auto" w:fill="FFFFFF"/>
        </w:rPr>
        <w:t>, 18 de junio de 2024.</w:t>
      </w:r>
    </w:p>
  </w:footnote>
  <w:footnote w:id="25">
    <w:p w14:paraId="2E042DF5" w14:textId="2E026CD8" w:rsidR="00E448D9" w:rsidRPr="00BF5C70" w:rsidRDefault="00E448D9" w:rsidP="00F1652B">
      <w:pPr>
        <w:pStyle w:val="IAPiedepgina"/>
        <w:rPr>
          <w:lang w:val="es-US"/>
        </w:rPr>
      </w:pPr>
      <w:r w:rsidRPr="005C52BD">
        <w:rPr>
          <w:rStyle w:val="FootnoteReference"/>
          <w:sz w:val="16"/>
          <w:szCs w:val="16"/>
        </w:rPr>
        <w:footnoteRef/>
      </w:r>
      <w:r w:rsidRPr="00BF5C70">
        <w:rPr>
          <w:lang w:val="es-US"/>
        </w:rPr>
        <w:t xml:space="preserve"> France 24, Venezuela retira invitación a la Unión Europea para observar elecciones presidenciales, 29 de mayo de 2024.</w:t>
      </w:r>
    </w:p>
  </w:footnote>
  <w:footnote w:id="26">
    <w:p w14:paraId="747D2C53" w14:textId="0315DDB7" w:rsidR="00E448D9" w:rsidRPr="00BF5C70" w:rsidRDefault="00E448D9" w:rsidP="00F1652B">
      <w:pPr>
        <w:pStyle w:val="IAPiedepgina"/>
        <w:rPr>
          <w:lang w:val="es-US"/>
        </w:rPr>
      </w:pPr>
      <w:r w:rsidRPr="005C52BD">
        <w:rPr>
          <w:rStyle w:val="FootnoteReference"/>
          <w:sz w:val="16"/>
          <w:szCs w:val="16"/>
        </w:rPr>
        <w:footnoteRef/>
      </w:r>
      <w:r w:rsidRPr="00BF5C70">
        <w:rPr>
          <w:lang w:val="es-US"/>
        </w:rPr>
        <w:t xml:space="preserve"> Punto 4, Acuerdo parcial sobre la promoción de derechos políticos y garantías electorales para todos los venezolanos.</w:t>
      </w:r>
    </w:p>
  </w:footnote>
  <w:footnote w:id="27">
    <w:p w14:paraId="3745B5CD" w14:textId="19AE52F6" w:rsidR="008E5A27" w:rsidRPr="00BF5C70" w:rsidRDefault="008E5A27" w:rsidP="009A2389">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CIDH, Comunicado de prensa No. 159/24, </w:t>
      </w:r>
      <w:hyperlink r:id="rId16" w:history="1">
        <w:r w:rsidRPr="001338FA">
          <w:rPr>
            <w:rStyle w:val="Hyperlink"/>
            <w:rFonts w:cstheme="majorBidi"/>
            <w:color w:val="auto"/>
            <w:szCs w:val="16"/>
            <w:shd w:val="clear" w:color="auto" w:fill="FFFFFF"/>
            <w:lang w:val="es-ES_tradnl"/>
          </w:rPr>
          <w:t>CIDH: Venezuela debe poner fin a la persecución política y garantizar el desarrollo de elecciones libres</w:t>
        </w:r>
      </w:hyperlink>
      <w:r w:rsidRPr="00BF5C70">
        <w:rPr>
          <w:shd w:val="clear" w:color="auto" w:fill="FFFFFF"/>
        </w:rPr>
        <w:t>, 8 de julio de 2024.</w:t>
      </w:r>
    </w:p>
  </w:footnote>
  <w:footnote w:id="28">
    <w:p w14:paraId="3160BBAF" w14:textId="67166B75" w:rsidR="00F8639C" w:rsidRPr="00675A13" w:rsidRDefault="00F8639C" w:rsidP="009A2389">
      <w:pPr>
        <w:pStyle w:val="IAPiedepgina"/>
      </w:pPr>
      <w:r w:rsidRPr="005C52BD">
        <w:rPr>
          <w:rStyle w:val="FootnoteReference"/>
          <w:sz w:val="16"/>
          <w:szCs w:val="16"/>
        </w:rPr>
        <w:footnoteRef/>
      </w:r>
      <w:r w:rsidR="4324C698" w:rsidRPr="4324C698">
        <w:t xml:space="preserve"> </w:t>
      </w:r>
      <w:r w:rsidR="4324C698" w:rsidRPr="4324C698">
        <w:rPr>
          <w:shd w:val="clear" w:color="auto" w:fill="FFFFFF"/>
        </w:rPr>
        <w:t>Misión internacional independiente de determinación de los hechos sobre la República Bolivariana de Venezuela, Represión sin precedentes en Venezuela sumerge a la nación en una grave crisis de derechos humanos, dice la Misión de Determinación de los Hechos de la ONU, 17 septiembre 2024, párrs. 106; 111 y 112.</w:t>
      </w:r>
    </w:p>
  </w:footnote>
  <w:footnote w:id="29">
    <w:p w14:paraId="4E694C5D" w14:textId="232E06E8" w:rsidR="00A30A8E" w:rsidRPr="00675A13" w:rsidRDefault="00A30A8E" w:rsidP="009A2389">
      <w:pPr>
        <w:pStyle w:val="IAPiedepgina"/>
      </w:pPr>
      <w:r w:rsidRPr="005C52BD">
        <w:rPr>
          <w:rStyle w:val="FootnoteReference"/>
          <w:sz w:val="16"/>
          <w:szCs w:val="16"/>
        </w:rPr>
        <w:footnoteRef/>
      </w:r>
      <w:r w:rsidRPr="00675A13">
        <w:t xml:space="preserve"> Acceso a la Justicia – El Observatorio Venezolano de la Justicia, Cronología del caso de Rocío San Miguel, </w:t>
      </w:r>
      <w:r w:rsidR="001A6155" w:rsidRPr="00675A13">
        <w:t>disponible</w:t>
      </w:r>
      <w:r w:rsidRPr="00675A13">
        <w:t xml:space="preserve"> en </w:t>
      </w:r>
      <w:hyperlink r:id="rId17" w:history="1">
        <w:r w:rsidRPr="00675A13">
          <w:rPr>
            <w:rStyle w:val="Hyperlink"/>
            <w:color w:val="auto"/>
            <w:szCs w:val="16"/>
            <w:lang w:val="es-ES_tradnl"/>
          </w:rPr>
          <w:t>https://accesoalajusticia.org/cronologia-del-caso-de-rocio-san-miguel</w:t>
        </w:r>
      </w:hyperlink>
      <w:r w:rsidRPr="00675A13">
        <w:rPr>
          <w:rStyle w:val="Hyperlink"/>
          <w:color w:val="auto"/>
          <w:lang w:val="es-ES_tradnl"/>
        </w:rPr>
        <w:t>/,</w:t>
      </w:r>
      <w:r w:rsidRPr="00675A13">
        <w:t xml:space="preserve"> el 23 de septiembre de 2024.</w:t>
      </w:r>
    </w:p>
  </w:footnote>
  <w:footnote w:id="30">
    <w:p w14:paraId="40F77D90" w14:textId="5B3501AB" w:rsidR="004D3235" w:rsidRPr="00675A13" w:rsidRDefault="004D3235" w:rsidP="009A2389">
      <w:pPr>
        <w:pStyle w:val="IAPiedepgina"/>
      </w:pPr>
      <w:r w:rsidRPr="005C52BD">
        <w:rPr>
          <w:rStyle w:val="FootnoteReference"/>
          <w:sz w:val="16"/>
          <w:szCs w:val="16"/>
        </w:rPr>
        <w:footnoteRef/>
      </w:r>
      <w:r w:rsidRPr="00675A13">
        <w:t xml:space="preserve"> </w:t>
      </w:r>
      <w:r w:rsidR="00B476F3" w:rsidRPr="00675A13">
        <w:rPr>
          <w:rFonts w:cs="Arial"/>
          <w:shd w:val="clear" w:color="auto" w:fill="FFFFFF"/>
        </w:rPr>
        <w:t>CIDH, Medida Cautelar</w:t>
      </w:r>
      <w:r w:rsidR="000E43F7" w:rsidRPr="00675A13">
        <w:rPr>
          <w:rFonts w:cs="Arial"/>
          <w:shd w:val="clear" w:color="auto" w:fill="FFFFFF"/>
        </w:rPr>
        <w:t xml:space="preserve">, </w:t>
      </w:r>
      <w:r w:rsidR="00B476F3" w:rsidRPr="00675A13">
        <w:rPr>
          <w:rFonts w:cs="Arial"/>
          <w:shd w:val="clear" w:color="auto" w:fill="FFFFFF"/>
        </w:rPr>
        <w:t>MC 349/11, 18 de enero de 2012.</w:t>
      </w:r>
    </w:p>
  </w:footnote>
  <w:footnote w:id="31">
    <w:p w14:paraId="3A5AE338" w14:textId="77777777" w:rsidR="00AC6AA1" w:rsidRPr="00675A13" w:rsidRDefault="00AC6AA1" w:rsidP="009A2389">
      <w:pPr>
        <w:pStyle w:val="IAPiedepgina"/>
      </w:pPr>
      <w:r w:rsidRPr="005C52BD">
        <w:rPr>
          <w:rStyle w:val="FootnoteReference"/>
          <w:rFonts w:cstheme="majorBidi"/>
          <w:sz w:val="16"/>
          <w:szCs w:val="16"/>
          <w:lang w:val="es-ES_tradnl"/>
        </w:rPr>
        <w:footnoteRef/>
      </w:r>
      <w:r w:rsidRPr="00675A13">
        <w:t xml:space="preserve"> Lista de personas presas políticas suministrada a la CIDH el 10 de noviembre de 2024.</w:t>
      </w:r>
    </w:p>
  </w:footnote>
  <w:footnote w:id="32">
    <w:p w14:paraId="3027BBF7" w14:textId="1A250C5B" w:rsidR="0032258B" w:rsidRPr="00675A13" w:rsidRDefault="0032258B" w:rsidP="009A2389">
      <w:pPr>
        <w:pStyle w:val="IAPiedepgina"/>
      </w:pPr>
      <w:r w:rsidRPr="005C52BD">
        <w:rPr>
          <w:rStyle w:val="FootnoteReference"/>
          <w:sz w:val="16"/>
          <w:szCs w:val="16"/>
          <w:lang w:val="es-ES_tradnl"/>
        </w:rPr>
        <w:footnoteRef/>
      </w:r>
      <w:r w:rsidRPr="00675A13">
        <w:t xml:space="preserve"> El País, </w:t>
      </w:r>
      <w:r w:rsidR="000618BE" w:rsidRPr="00675A13">
        <w:t xml:space="preserve">El servicio secreto de Venezuela detiene a uno de los coordinadores de campaña de María Corina Machado, </w:t>
      </w:r>
      <w:r w:rsidR="002F0E6A" w:rsidRPr="00675A13">
        <w:t>disponible</w:t>
      </w:r>
      <w:r w:rsidR="00F66DF2" w:rsidRPr="00675A13">
        <w:t xml:space="preserve"> en </w:t>
      </w:r>
      <w:hyperlink r:id="rId18" w:history="1">
        <w:r w:rsidR="00F66DF2" w:rsidRPr="00675A13">
          <w:rPr>
            <w:rStyle w:val="Hyperlink"/>
            <w:color w:val="auto"/>
            <w:szCs w:val="16"/>
            <w:lang w:val="es-ES_tradnl"/>
          </w:rPr>
          <w:t>https://elpais.com/america/2024-03-09/el-servicio-secreto-de-venezuela-detiene-a-uno-de-los-coordinadores-de-campana-de-maria-corina-machado.html</w:t>
        </w:r>
      </w:hyperlink>
      <w:r w:rsidR="002F0E6A" w:rsidRPr="00675A13">
        <w:t>,</w:t>
      </w:r>
      <w:r w:rsidR="00F66DF2" w:rsidRPr="00675A13">
        <w:t xml:space="preserve"> 9 de marzo de 2024.</w:t>
      </w:r>
    </w:p>
  </w:footnote>
  <w:footnote w:id="33">
    <w:p w14:paraId="747DD56F" w14:textId="78CC159C" w:rsidR="00A14625" w:rsidRPr="00BF5C70" w:rsidRDefault="00A14625" w:rsidP="009A2389">
      <w:pPr>
        <w:pStyle w:val="IAPiedepgina"/>
      </w:pPr>
      <w:r w:rsidRPr="005C52BD">
        <w:rPr>
          <w:rStyle w:val="FootnoteReference"/>
          <w:sz w:val="16"/>
          <w:szCs w:val="16"/>
        </w:rPr>
        <w:footnoteRef/>
      </w:r>
      <w:r w:rsidRPr="00675A13">
        <w:t xml:space="preserve"> </w:t>
      </w:r>
      <w:r w:rsidR="00FA251C" w:rsidRPr="00675A13">
        <w:t xml:space="preserve">CNN Venezuela, Detienen a dos colaboradores cercanos de María Corina Machado en Venezuela, </w:t>
      </w:r>
      <w:r w:rsidR="002F0E6A" w:rsidRPr="00675A13">
        <w:t>disponible</w:t>
      </w:r>
      <w:r w:rsidR="00FA251C" w:rsidRPr="00675A13">
        <w:t xml:space="preserve"> en</w:t>
      </w:r>
      <w:r w:rsidR="000E43F7" w:rsidRPr="00675A13">
        <w:t xml:space="preserve"> </w:t>
      </w:r>
      <w:hyperlink r:id="rId19" w:history="1">
        <w:r w:rsidR="009D5C8E" w:rsidRPr="00675A13">
          <w:rPr>
            <w:rStyle w:val="Hyperlink"/>
            <w:color w:val="auto"/>
            <w:szCs w:val="16"/>
          </w:rPr>
          <w:t>https://cnnespanol.cnn.com/2024/03/20/venezuela-maria-corina-machado-captura-colaboradores-orix</w:t>
        </w:r>
      </w:hyperlink>
      <w:r w:rsidR="002F0E6A" w:rsidRPr="00675A13">
        <w:rPr>
          <w:rStyle w:val="Hyperlink"/>
          <w:color w:val="auto"/>
          <w:szCs w:val="16"/>
        </w:rPr>
        <w:t>,</w:t>
      </w:r>
      <w:r w:rsidR="000E43F7" w:rsidRPr="00675A13">
        <w:rPr>
          <w:rStyle w:val="Hyperlink"/>
          <w:color w:val="auto"/>
          <w:szCs w:val="16"/>
        </w:rPr>
        <w:t xml:space="preserve"> </w:t>
      </w:r>
      <w:r w:rsidR="009D5C8E" w:rsidRPr="00675A13">
        <w:t>20 de marzo de 2024</w:t>
      </w:r>
      <w:r w:rsidR="002F0E6A" w:rsidRPr="00675A13">
        <w:t>. V</w:t>
      </w:r>
      <w:r w:rsidR="00D405B6" w:rsidRPr="00675A13">
        <w:t xml:space="preserve">éase también: El Universal, </w:t>
      </w:r>
      <w:r w:rsidR="001F2054" w:rsidRPr="00675A13">
        <w:t>Fiscal General anunció las detenciones de Henry Alviarez y Dignora Hernández por supuestos planes de violencia</w:t>
      </w:r>
      <w:r w:rsidR="001704B7" w:rsidRPr="00675A13">
        <w:t>,</w:t>
      </w:r>
      <w:r w:rsidR="001704B7" w:rsidRPr="00BF5C70">
        <w:t xml:space="preserve"> </w:t>
      </w:r>
      <w:r w:rsidR="008348D8" w:rsidRPr="00BF5C70">
        <w:t>disponible</w:t>
      </w:r>
      <w:r w:rsidR="001704B7" w:rsidRPr="00BF5C70">
        <w:t xml:space="preserve"> en </w:t>
      </w:r>
      <w:hyperlink r:id="rId20" w:history="1">
        <w:r w:rsidR="008348D8" w:rsidRPr="00BF5C70">
          <w:rPr>
            <w:rStyle w:val="Hyperlink"/>
            <w:color w:val="auto"/>
            <w:szCs w:val="16"/>
          </w:rPr>
          <w:t>https://www.eluniversal.com/sucesos/177586/fiscal-general-confirmo-las-detenciones-de-henry-alviarez-y-dignora-hernandez-por-supuestos-planes</w:t>
        </w:r>
      </w:hyperlink>
      <w:r w:rsidR="008348D8" w:rsidRPr="009A2389">
        <w:t>,</w:t>
      </w:r>
      <w:r w:rsidR="008348D8" w:rsidRPr="00BF5C70">
        <w:t xml:space="preserve"> </w:t>
      </w:r>
      <w:r w:rsidR="003E7273" w:rsidRPr="00BF5C70">
        <w:t>20 de marzo de 2024.</w:t>
      </w:r>
    </w:p>
  </w:footnote>
  <w:footnote w:id="34">
    <w:p w14:paraId="0C25B4B8" w14:textId="7697C524" w:rsidR="00037E3E" w:rsidRPr="00BF5C70" w:rsidRDefault="00037E3E" w:rsidP="00BB5815">
      <w:pPr>
        <w:pStyle w:val="IAPiedepgina"/>
      </w:pPr>
      <w:r w:rsidRPr="005C52BD">
        <w:rPr>
          <w:rStyle w:val="FootnoteReference"/>
          <w:sz w:val="16"/>
          <w:szCs w:val="16"/>
          <w:lang w:val="es-ES_tradnl"/>
        </w:rPr>
        <w:footnoteRef/>
      </w:r>
      <w:r w:rsidRPr="00BF5C70">
        <w:t xml:space="preserve"> </w:t>
      </w:r>
      <w:r w:rsidR="007C404D" w:rsidRPr="00BF5C70">
        <w:t xml:space="preserve">DW, </w:t>
      </w:r>
      <w:r w:rsidR="005A153F" w:rsidRPr="00BF5C70">
        <w:t>Antichavistas denuncian detención "arbitraria" de activistas</w:t>
      </w:r>
      <w:r w:rsidR="008432B8" w:rsidRPr="00BF5C70">
        <w:t xml:space="preserve">, </w:t>
      </w:r>
      <w:r w:rsidR="00DD0294" w:rsidRPr="00BF5C70">
        <w:t>accesible</w:t>
      </w:r>
      <w:r w:rsidR="008432B8" w:rsidRPr="00BF5C70">
        <w:t xml:space="preserve"> en </w:t>
      </w:r>
      <w:hyperlink r:id="rId21" w:history="1">
        <w:r w:rsidR="008432B8" w:rsidRPr="00BB5815">
          <w:rPr>
            <w:rStyle w:val="Hyperlink"/>
            <w:color w:val="auto"/>
            <w:szCs w:val="16"/>
            <w:lang w:val="es-ES_tradnl"/>
          </w:rPr>
          <w:t>https://www.dw.com/es/antichavistas-denuncian-detención-arbitraria-de-activistas/a-68943837</w:t>
        </w:r>
      </w:hyperlink>
      <w:r w:rsidR="00DD0294" w:rsidRPr="00BB5815">
        <w:rPr>
          <w:rStyle w:val="Hyperlink"/>
          <w:color w:val="auto"/>
          <w:szCs w:val="16"/>
          <w:u w:val="none"/>
          <w:lang w:val="es-ES_tradnl"/>
        </w:rPr>
        <w:t xml:space="preserve">, </w:t>
      </w:r>
      <w:r w:rsidR="000411AC" w:rsidRPr="00BB5815">
        <w:t>2</w:t>
      </w:r>
      <w:r w:rsidR="000411AC" w:rsidRPr="00BF5C70">
        <w:t>9 de marzo de 2024.</w:t>
      </w:r>
    </w:p>
  </w:footnote>
  <w:footnote w:id="35">
    <w:p w14:paraId="33E0EB79" w14:textId="0B8EDD54" w:rsidR="00A04097" w:rsidRPr="00BF5C70" w:rsidRDefault="00A04097" w:rsidP="00BB5815">
      <w:pPr>
        <w:pStyle w:val="IAPiedepgina"/>
      </w:pPr>
      <w:r w:rsidRPr="005C52BD">
        <w:rPr>
          <w:rStyle w:val="FootnoteReference"/>
          <w:sz w:val="16"/>
          <w:szCs w:val="16"/>
        </w:rPr>
        <w:footnoteRef/>
      </w:r>
      <w:r w:rsidRPr="00BF5C70">
        <w:t xml:space="preserve"> </w:t>
      </w:r>
      <w:r w:rsidR="00FA0CF7" w:rsidRPr="00BF5C70">
        <w:t>Tarek Wialliam Saab</w:t>
      </w:r>
      <w:r w:rsidR="00444C40" w:rsidRPr="00BF5C70">
        <w:t xml:space="preserve"> (</w:t>
      </w:r>
      <w:r w:rsidR="00FF0F56" w:rsidRPr="00BF5C70">
        <w:t>@TarekWilliamSaab)</w:t>
      </w:r>
      <w:r w:rsidR="000A1AD6" w:rsidRPr="00BF5C70">
        <w:t xml:space="preserve">, </w:t>
      </w:r>
      <w:r w:rsidR="00AD69CD" w:rsidRPr="00BF5C70">
        <w:t>X</w:t>
      </w:r>
      <w:r w:rsidR="0089520C" w:rsidRPr="00BF5C70">
        <w:t xml:space="preserve"> (</w:t>
      </w:r>
      <w:r w:rsidR="00766AAD" w:rsidRPr="00BF5C70">
        <w:t>19 de junio de 2024</w:t>
      </w:r>
      <w:r w:rsidR="008736A8" w:rsidRPr="00BF5C70">
        <w:t>, 3:10 PM</w:t>
      </w:r>
      <w:r w:rsidR="00766AAD" w:rsidRPr="00BF5C70">
        <w:t>)</w:t>
      </w:r>
      <w:r w:rsidR="00532CD9" w:rsidRPr="00BF5C70">
        <w:t xml:space="preserve">, </w:t>
      </w:r>
      <w:r w:rsidR="009B051C" w:rsidRPr="00BF5C70">
        <w:t>disponible</w:t>
      </w:r>
      <w:r w:rsidR="00532CD9" w:rsidRPr="00BF5C70">
        <w:t xml:space="preserve"> en</w:t>
      </w:r>
      <w:r w:rsidR="004112AA" w:rsidRPr="00BF5C70">
        <w:t xml:space="preserve"> </w:t>
      </w:r>
      <w:hyperlink r:id="rId22" w:history="1">
        <w:r w:rsidR="00773F85" w:rsidRPr="00BF5C70">
          <w:rPr>
            <w:rStyle w:val="Hyperlink"/>
            <w:color w:val="auto"/>
            <w:szCs w:val="16"/>
          </w:rPr>
          <w:t>https://x.com/TarekWiliamSaab/status/1803505551843672449?ref_src=twsrc%5Etfw%7Ctwcamp%5Etweetembed%7Ctwterm%5E1803505551843672449%7Ctwgr%5Ebf63173da02c1eb0cd704efc40558f1eef92a360%7Ctwcon%5Es1_c10&amp;ref_url=https%3A%2F%2Fpublish.twitter.com%2F%3Furl%3Dhttps%3A%2F%2Ftwitter.com%2FTarekWiliamSaab%2Fstatus%2F1803505551843672449</w:t>
        </w:r>
      </w:hyperlink>
      <w:r w:rsidR="00773F85" w:rsidRPr="00BF5C70">
        <w:t xml:space="preserve"> </w:t>
      </w:r>
    </w:p>
  </w:footnote>
  <w:footnote w:id="36">
    <w:p w14:paraId="731FB3DD" w14:textId="10F53276" w:rsidR="006A3B11" w:rsidRPr="00BF5C70" w:rsidRDefault="006A3B11" w:rsidP="00BB5815">
      <w:pPr>
        <w:pStyle w:val="IAPiedepgina"/>
        <w:rPr>
          <w:lang w:val="es-US"/>
        </w:rPr>
      </w:pPr>
      <w:r w:rsidRPr="005C52BD">
        <w:rPr>
          <w:rStyle w:val="FootnoteReference"/>
          <w:sz w:val="16"/>
          <w:szCs w:val="16"/>
          <w:lang w:val="es-ES_tradnl"/>
        </w:rPr>
        <w:footnoteRef/>
      </w:r>
      <w:r w:rsidRPr="00BF5C70">
        <w:t xml:space="preserve"> </w:t>
      </w:r>
      <w:r w:rsidR="003D20C2" w:rsidRPr="00BF5C70">
        <w:t>Amnest</w:t>
      </w:r>
      <w:r w:rsidR="0006199A" w:rsidRPr="00BF5C70">
        <w:t xml:space="preserve">y International, </w:t>
      </w:r>
      <w:r w:rsidR="00911C6F" w:rsidRPr="00BF5C70">
        <w:t>Gabriel</w:t>
      </w:r>
      <w:r w:rsidR="0006199A" w:rsidRPr="00BF5C70">
        <w:t xml:space="preserve"> González: En Venezuela </w:t>
      </w:r>
      <w:r w:rsidR="0068259F" w:rsidRPr="00BF5C70">
        <w:t xml:space="preserve">hay </w:t>
      </w:r>
      <w:r w:rsidR="005D128E" w:rsidRPr="00BF5C70">
        <w:t>p</w:t>
      </w:r>
      <w:r w:rsidR="0068259F" w:rsidRPr="00BF5C70">
        <w:t>eriodistas en detención arbitraria</w:t>
      </w:r>
      <w:r w:rsidR="005D128E" w:rsidRPr="00BF5C70">
        <w:t xml:space="preserve">, </w:t>
      </w:r>
      <w:r w:rsidR="00911C6F" w:rsidRPr="00BF5C70">
        <w:t>accesible</w:t>
      </w:r>
      <w:r w:rsidR="005D128E" w:rsidRPr="00BF5C70">
        <w:t xml:space="preserve"> en https://www.amnistia.org/en/news/2024/09/27314/gabriel-gonzalez-en-venezuela-hay-periodistas-en-detencion-arbitraria</w:t>
      </w:r>
      <w:r w:rsidR="00D614B9" w:rsidRPr="00BF5C70">
        <w:t>, 13 de septiembre de 2024.</w:t>
      </w:r>
    </w:p>
  </w:footnote>
  <w:footnote w:id="37">
    <w:p w14:paraId="0DE6868D" w14:textId="6A680CFA" w:rsidR="000B7F27" w:rsidRPr="00BF5C70" w:rsidRDefault="000B7F27" w:rsidP="00BB5815">
      <w:pPr>
        <w:pStyle w:val="IAPiedepgina"/>
        <w:rPr>
          <w:lang w:val="es-US"/>
        </w:rPr>
      </w:pPr>
      <w:r w:rsidRPr="005C52BD">
        <w:rPr>
          <w:rStyle w:val="FootnoteReference"/>
          <w:sz w:val="16"/>
          <w:szCs w:val="16"/>
        </w:rPr>
        <w:footnoteRef/>
      </w:r>
      <w:r w:rsidRPr="00BF5C70">
        <w:rPr>
          <w:lang w:val="es-US"/>
        </w:rPr>
        <w:t xml:space="preserve"> </w:t>
      </w:r>
      <w:r w:rsidR="003A4DCA" w:rsidRPr="00BF5C70">
        <w:rPr>
          <w:lang w:val="es-US"/>
        </w:rPr>
        <w:t>El Pitazo, Portuguesa | Funcionarios detienen a dos líderes de Vente Venezuela y allanaron sus casas</w:t>
      </w:r>
      <w:r w:rsidR="00CC11FC" w:rsidRPr="00BF5C70">
        <w:rPr>
          <w:lang w:val="es-US"/>
        </w:rPr>
        <w:t xml:space="preserve">, </w:t>
      </w:r>
      <w:r w:rsidR="00812F49" w:rsidRPr="00BF5C70">
        <w:rPr>
          <w:lang w:val="es-US"/>
        </w:rPr>
        <w:t>accesible</w:t>
      </w:r>
      <w:r w:rsidR="00CC11FC" w:rsidRPr="00BF5C70">
        <w:rPr>
          <w:lang w:val="es-US"/>
        </w:rPr>
        <w:t xml:space="preserve"> en </w:t>
      </w:r>
      <w:hyperlink r:id="rId23" w:history="1">
        <w:r w:rsidR="00404A61" w:rsidRPr="00BF5C70">
          <w:rPr>
            <w:rStyle w:val="Hyperlink"/>
            <w:color w:val="auto"/>
            <w:szCs w:val="16"/>
            <w:lang w:val="es-US"/>
          </w:rPr>
          <w:t>https://elpitazo.net/los-llanos/portuguesa-funcionarios-detienen-a-dos-lideresas-de-vente-venezuela-y-allanaron-sus-casas/</w:t>
        </w:r>
      </w:hyperlink>
      <w:r w:rsidR="00911C6F" w:rsidRPr="00BF5C70">
        <w:rPr>
          <w:lang w:val="es-US"/>
        </w:rPr>
        <w:t>,</w:t>
      </w:r>
      <w:r w:rsidR="00404A61" w:rsidRPr="00BF5C70">
        <w:rPr>
          <w:lang w:val="es-US"/>
        </w:rPr>
        <w:t xml:space="preserve"> </w:t>
      </w:r>
      <w:r w:rsidR="00480889" w:rsidRPr="00BF5C70">
        <w:rPr>
          <w:lang w:val="es-US"/>
        </w:rPr>
        <w:t>14 de julio de 2024.</w:t>
      </w:r>
    </w:p>
  </w:footnote>
  <w:footnote w:id="38">
    <w:p w14:paraId="2B06FDBA" w14:textId="2DFA9EEA" w:rsidR="00F74750" w:rsidRPr="00BF5C70" w:rsidRDefault="00F74750" w:rsidP="00BB5815">
      <w:pPr>
        <w:pStyle w:val="IAPiedepgina"/>
        <w:rPr>
          <w:rFonts w:cstheme="majorBidi"/>
        </w:rPr>
      </w:pPr>
      <w:r w:rsidRPr="005C52BD">
        <w:rPr>
          <w:rStyle w:val="FootnoteReference"/>
          <w:rFonts w:cstheme="majorBidi"/>
          <w:sz w:val="16"/>
          <w:szCs w:val="16"/>
          <w:lang w:val="es-ES_tradnl"/>
        </w:rPr>
        <w:footnoteRef/>
      </w:r>
      <w:r w:rsidRPr="00BF5C70">
        <w:rPr>
          <w:rFonts w:cstheme="majorBidi"/>
        </w:rPr>
        <w:t xml:space="preserve"> </w:t>
      </w:r>
      <w:r w:rsidR="00B403C0" w:rsidRPr="00BF5C70">
        <w:rPr>
          <w:rFonts w:cstheme="majorBidi"/>
          <w:shd w:val="clear" w:color="auto" w:fill="FFFFFF"/>
        </w:rPr>
        <w:t>CIDH, Comunicado de prensa No. 159/24, </w:t>
      </w:r>
      <w:hyperlink r:id="rId24" w:history="1">
        <w:r w:rsidR="00B403C0" w:rsidRPr="00091092">
          <w:rPr>
            <w:rStyle w:val="Hyperlink"/>
            <w:color w:val="auto"/>
            <w:szCs w:val="16"/>
            <w:lang w:val="es-US"/>
          </w:rPr>
          <w:t>CIDH: Venezuela debe poner fin a la persecución política y garantizar el desarrollo de elecciones libres</w:t>
        </w:r>
      </w:hyperlink>
      <w:r w:rsidR="00B403C0" w:rsidRPr="00BF5C70">
        <w:rPr>
          <w:rFonts w:cstheme="majorBidi"/>
          <w:shd w:val="clear" w:color="auto" w:fill="FFFFFF"/>
        </w:rPr>
        <w:t>, 8 de julio de 2024.</w:t>
      </w:r>
    </w:p>
  </w:footnote>
  <w:footnote w:id="39">
    <w:p w14:paraId="27ED8A92" w14:textId="42CB97B3" w:rsidR="006C19B8" w:rsidRPr="00BF5C70" w:rsidRDefault="006C19B8" w:rsidP="00BB5815">
      <w:pPr>
        <w:pStyle w:val="IAPiedepgina"/>
      </w:pPr>
      <w:r w:rsidRPr="005C52BD">
        <w:rPr>
          <w:rStyle w:val="FootnoteReference"/>
          <w:sz w:val="16"/>
          <w:szCs w:val="16"/>
          <w:lang w:val="es-ES_tradnl"/>
        </w:rPr>
        <w:footnoteRef/>
      </w:r>
      <w:r w:rsidRPr="00BF5C70">
        <w:t xml:space="preserve"> Infobae, En su afán por sabotear el paso de la campaña opositora, el régimen de Maduro ataca los negocios de comerciantes pobres, </w:t>
      </w:r>
      <w:r w:rsidR="00911C6F" w:rsidRPr="00BF5C70">
        <w:t>disponible</w:t>
      </w:r>
      <w:r w:rsidRPr="00BF5C70">
        <w:t xml:space="preserve"> en </w:t>
      </w:r>
      <w:hyperlink r:id="rId25" w:history="1">
        <w:r w:rsidRPr="00BF5C70">
          <w:rPr>
            <w:rStyle w:val="Hyperlink"/>
            <w:color w:val="auto"/>
            <w:szCs w:val="16"/>
            <w:lang w:val="es-ES_tradnl"/>
          </w:rPr>
          <w:t>https://www.infobae.com/venezuela/2024/06/04/en-su-afan-por-sabotear-el-paso-de-la-campana-opositora-el-regimen-de-maduro-ataca-los-negocios-de-comerciantes-pobres/?utm_source=chatgpt.com</w:t>
        </w:r>
      </w:hyperlink>
      <w:r w:rsidR="000B220C" w:rsidRPr="00BF5C70">
        <w:t>,</w:t>
      </w:r>
      <w:r w:rsidR="00D02C5C">
        <w:t xml:space="preserve"> </w:t>
      </w:r>
      <w:r w:rsidRPr="00BF5C70">
        <w:t>4 de junio de 2024.</w:t>
      </w:r>
    </w:p>
  </w:footnote>
  <w:footnote w:id="40">
    <w:p w14:paraId="1C0A6589" w14:textId="196D6C6E" w:rsidR="0001128B" w:rsidRPr="00BF5C70" w:rsidRDefault="0001128B" w:rsidP="00BB5815">
      <w:pPr>
        <w:pStyle w:val="IAPiedepgina"/>
      </w:pPr>
      <w:r w:rsidRPr="005C52BD">
        <w:rPr>
          <w:rStyle w:val="FootnoteReference"/>
          <w:sz w:val="16"/>
          <w:szCs w:val="16"/>
          <w:lang w:val="es-ES_tradnl"/>
        </w:rPr>
        <w:footnoteRef/>
      </w:r>
      <w:r w:rsidRPr="00BF5C70">
        <w:t xml:space="preserve"> Infobae, </w:t>
      </w:r>
      <w:r w:rsidR="00D50CD4" w:rsidRPr="00BF5C70">
        <w:t xml:space="preserve">El régimen de Maduro clausuró otro establecimiento comercial en el que atendieron al opositor Edmundo González, </w:t>
      </w:r>
      <w:r w:rsidR="00812F49" w:rsidRPr="00BF5C70">
        <w:t>disponible</w:t>
      </w:r>
      <w:r w:rsidR="00D50CD4" w:rsidRPr="00BF5C70">
        <w:t xml:space="preserve"> en </w:t>
      </w:r>
      <w:hyperlink r:id="rId26" w:history="1">
        <w:r w:rsidR="00D50CD4" w:rsidRPr="00BF5C70">
          <w:rPr>
            <w:rStyle w:val="Hyperlink"/>
            <w:color w:val="auto"/>
            <w:szCs w:val="16"/>
            <w:lang w:val="es-ES_tradnl"/>
          </w:rPr>
          <w:t>https://www.infobae.com/venezuela/2024/07/09/el-regimen-de-maduro-clausuro-otro-establecimiento-comercial-que-fue-visitado-por-el-opositor-edmundo-gonzalez/?utm_source=chatgpt.com</w:t>
        </w:r>
      </w:hyperlink>
      <w:r w:rsidR="000B220C" w:rsidRPr="00BF5C70">
        <w:t xml:space="preserve">, </w:t>
      </w:r>
      <w:r w:rsidR="00F258EC" w:rsidRPr="00BF5C70">
        <w:t>8 de julio de 2024.</w:t>
      </w:r>
    </w:p>
  </w:footnote>
  <w:footnote w:id="41">
    <w:p w14:paraId="26986894" w14:textId="77777777" w:rsidR="00883739" w:rsidRPr="00BF5C70" w:rsidRDefault="00883739" w:rsidP="00BB5815">
      <w:pPr>
        <w:pStyle w:val="IAPiedepgina"/>
        <w:rPr>
          <w:rFonts w:cstheme="majorBidi"/>
          <w:highlight w:val="yellow"/>
        </w:rPr>
      </w:pPr>
      <w:r w:rsidRPr="005C52BD">
        <w:rPr>
          <w:rStyle w:val="FootnoteReference"/>
          <w:rFonts w:cstheme="majorBidi"/>
          <w:sz w:val="16"/>
          <w:szCs w:val="16"/>
          <w:lang w:val="es-ES_tradnl"/>
        </w:rPr>
        <w:footnoteRef/>
      </w:r>
      <w:r w:rsidRPr="00BF5C70">
        <w:rPr>
          <w:rFonts w:cstheme="majorBidi"/>
        </w:rPr>
        <w:t xml:space="preserve"> </w:t>
      </w:r>
      <w:r w:rsidRPr="00BF5C70">
        <w:rPr>
          <w:rFonts w:cstheme="majorBidi"/>
          <w:shd w:val="clear" w:color="auto" w:fill="FFFFFF"/>
        </w:rPr>
        <w:t>CNN en español, Maduro advirtió de “baño de sangre” en Venezuela si no gana las elecciones, 17 de julio de 2024.</w:t>
      </w:r>
    </w:p>
  </w:footnote>
  <w:footnote w:id="42">
    <w:p w14:paraId="24619DC6" w14:textId="67F69683" w:rsidR="006F3331" w:rsidRPr="00BF5C70" w:rsidRDefault="006F3331" w:rsidP="001C4C92">
      <w:pPr>
        <w:pStyle w:val="IAPiedepgina"/>
      </w:pPr>
      <w:r w:rsidRPr="005C52BD">
        <w:rPr>
          <w:rStyle w:val="FootnoteReference"/>
          <w:rFonts w:cstheme="majorBidi"/>
          <w:sz w:val="16"/>
          <w:szCs w:val="16"/>
          <w:lang w:val="es-ES_tradnl"/>
        </w:rPr>
        <w:footnoteRef/>
      </w:r>
      <w:r w:rsidRPr="00BF5C70">
        <w:t xml:space="preserve"> </w:t>
      </w:r>
      <w:r w:rsidR="00A071A4" w:rsidRPr="00BF5C70">
        <w:t xml:space="preserve">Panel de Expertos de la ONU para la Elección presidencial de Venezuela del 28 de Julio, Informe Preliminar, </w:t>
      </w:r>
      <w:r w:rsidR="00C336FB" w:rsidRPr="00BF5C70">
        <w:t>9 de agosto de 2024.</w:t>
      </w:r>
    </w:p>
  </w:footnote>
  <w:footnote w:id="43">
    <w:p w14:paraId="2BAC1C44" w14:textId="4F61C0AE" w:rsidR="00566449" w:rsidRPr="00BF5C70" w:rsidRDefault="00566449" w:rsidP="001C4C92">
      <w:pPr>
        <w:pStyle w:val="IAPiedepgina"/>
      </w:pPr>
      <w:r w:rsidRPr="005C52BD">
        <w:rPr>
          <w:rStyle w:val="FootnoteReference"/>
          <w:rFonts w:cstheme="majorBidi"/>
          <w:sz w:val="16"/>
          <w:szCs w:val="16"/>
          <w:lang w:val="es-ES_tradnl"/>
        </w:rPr>
        <w:footnoteRef/>
      </w:r>
      <w:r w:rsidRPr="00BF5C70">
        <w:t xml:space="preserve"> </w:t>
      </w:r>
      <w:r w:rsidR="00B02A6D" w:rsidRPr="00BF5C70">
        <w:t>Centro Carter, Declaración del Centro Carter sobre la Elección en Venezuela, 30 de julio de 2024</w:t>
      </w:r>
      <w:r w:rsidR="00DA03E1" w:rsidRPr="00BF5C70">
        <w:t>.</w:t>
      </w:r>
    </w:p>
  </w:footnote>
  <w:footnote w:id="44">
    <w:p w14:paraId="7AA48B91" w14:textId="09905648" w:rsidR="00604E58" w:rsidRPr="00BF5C70" w:rsidRDefault="00604E58" w:rsidP="001C4C92">
      <w:pPr>
        <w:pStyle w:val="IAPiedepgina"/>
      </w:pPr>
      <w:r w:rsidRPr="005C52BD">
        <w:rPr>
          <w:rStyle w:val="FootnoteReference"/>
          <w:rFonts w:cstheme="majorBidi"/>
          <w:sz w:val="16"/>
          <w:szCs w:val="16"/>
          <w:lang w:val="es-ES_tradnl"/>
        </w:rPr>
        <w:footnoteRef/>
      </w:r>
      <w:r w:rsidRPr="00BF5C70">
        <w:t xml:space="preserve"> </w:t>
      </w:r>
      <w:r w:rsidR="0048636B" w:rsidRPr="00BF5C70">
        <w:t>Panel de Expertos de la ONU para la Elección presidencial de Venezuela del 28 de Julio, Informe Preliminar, 9 de agosto de 2024.</w:t>
      </w:r>
    </w:p>
  </w:footnote>
  <w:footnote w:id="45">
    <w:p w14:paraId="049A16C0" w14:textId="69ECE2B5" w:rsidR="00983BEC" w:rsidRPr="00BF5C70" w:rsidRDefault="00983BEC" w:rsidP="001C4C92">
      <w:pPr>
        <w:pStyle w:val="IAPiedepgina"/>
      </w:pPr>
      <w:r w:rsidRPr="005C52BD">
        <w:rPr>
          <w:rStyle w:val="FootnoteReference"/>
          <w:rFonts w:cstheme="majorBidi"/>
          <w:sz w:val="16"/>
          <w:szCs w:val="16"/>
        </w:rPr>
        <w:footnoteRef/>
      </w:r>
      <w:r w:rsidRPr="00BF5C70">
        <w:t xml:space="preserve"> </w:t>
      </w:r>
      <w:r w:rsidR="008D4182" w:rsidRPr="00BF5C70">
        <w:t xml:space="preserve">Intervención de Jennie K. Lincon, </w:t>
      </w:r>
      <w:r w:rsidR="00E80664" w:rsidRPr="00BF5C70">
        <w:t xml:space="preserve">Asesora Senior del Centro Carter, </w:t>
      </w:r>
      <w:r w:rsidR="008D4182" w:rsidRPr="00BF5C70">
        <w:t>Consejo Permanente de la Organización de Estados Americanos</w:t>
      </w:r>
      <w:r w:rsidR="000C7FAA" w:rsidRPr="00BF5C70">
        <w:t>, octubre 2 de 2024.</w:t>
      </w:r>
    </w:p>
  </w:footnote>
  <w:footnote w:id="46">
    <w:p w14:paraId="2B389661" w14:textId="38192E12" w:rsidR="571B825A" w:rsidRPr="00BF5C70" w:rsidRDefault="571B825A" w:rsidP="001C4C92">
      <w:pPr>
        <w:pStyle w:val="IAPiedepgina"/>
      </w:pPr>
      <w:r w:rsidRPr="005C52BD">
        <w:rPr>
          <w:vertAlign w:val="superscript"/>
        </w:rPr>
        <w:footnoteRef/>
      </w:r>
      <w:r w:rsidRPr="00BF5C70">
        <w:rPr>
          <w:vertAlign w:val="superscript"/>
          <w:lang w:val="es-US"/>
        </w:rPr>
        <w:t xml:space="preserve"> </w:t>
      </w:r>
      <w:r w:rsidRPr="00BF5C70">
        <w:t xml:space="preserve">Espacio Público, </w:t>
      </w:r>
      <w:hyperlink r:id="rId27" w:history="1">
        <w:hyperlink r:id="rId28" w:history="1">
          <w:r w:rsidRPr="00BF5C70">
            <w:rPr>
              <w:rStyle w:val="Hyperlink"/>
              <w:rFonts w:cstheme="majorBidi"/>
              <w:color w:val="auto"/>
              <w:szCs w:val="16"/>
            </w:rPr>
            <w:t>Toda elección legítima debe ser transparente</w:t>
          </w:r>
        </w:hyperlink>
      </w:hyperlink>
      <w:r w:rsidRPr="00BF5C70">
        <w:t>, 30 de julio de 2024.</w:t>
      </w:r>
    </w:p>
    <w:p w14:paraId="62EE34AF" w14:textId="651AAA04" w:rsidR="571B825A" w:rsidRPr="00BF5C70" w:rsidRDefault="571B825A" w:rsidP="001C4C92">
      <w:pPr>
        <w:pStyle w:val="IAPiedepgina"/>
        <w:rPr>
          <w:szCs w:val="16"/>
          <w:lang w:val="es-US"/>
        </w:rPr>
      </w:pPr>
    </w:p>
  </w:footnote>
  <w:footnote w:id="47">
    <w:p w14:paraId="345D9ACA" w14:textId="55E8EA88" w:rsidR="00DA1144" w:rsidRPr="00BF5C70" w:rsidRDefault="00DA1144" w:rsidP="001C4C92">
      <w:pPr>
        <w:pStyle w:val="IAPiedepgina"/>
      </w:pPr>
      <w:r w:rsidRPr="005C52BD">
        <w:rPr>
          <w:rStyle w:val="FootnoteReference"/>
          <w:rFonts w:cstheme="majorBidi"/>
          <w:sz w:val="16"/>
          <w:szCs w:val="16"/>
          <w:lang w:val="es-ES_tradnl"/>
        </w:rPr>
        <w:footnoteRef/>
      </w:r>
      <w:r w:rsidRPr="00BF5C70">
        <w:t xml:space="preserve"> </w:t>
      </w:r>
      <w:r w:rsidR="00C049E8" w:rsidRPr="00BF5C70">
        <w:t>Panel de Expertos de la ONU para la Elección presidencial de Venezuela del 28 de Julio, Informe Preliminar, 9 de agosto de 2024.</w:t>
      </w:r>
    </w:p>
  </w:footnote>
  <w:footnote w:id="48">
    <w:p w14:paraId="00807D86" w14:textId="77777777" w:rsidR="004A0668" w:rsidRPr="00BF5C70" w:rsidRDefault="004A0668" w:rsidP="00180EAF">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NTN 24, Fiscal Saab abre investigación a María Corina Machado por supuesto ataque informático desde Macedonia del Norte, 29 de julio de 2024.</w:t>
      </w:r>
    </w:p>
  </w:footnote>
  <w:footnote w:id="49">
    <w:p w14:paraId="59FE845F" w14:textId="205CC1F6" w:rsidR="004A0668" w:rsidRPr="00BF5C70" w:rsidRDefault="004A0668" w:rsidP="00180EAF">
      <w:pPr>
        <w:pStyle w:val="IAPiedepgina"/>
        <w:rPr>
          <w:highlight w:val="yellow"/>
        </w:rPr>
      </w:pPr>
      <w:r w:rsidRPr="005C52BD">
        <w:rPr>
          <w:rStyle w:val="FootnoteReference"/>
          <w:rFonts w:cstheme="majorBidi"/>
          <w:sz w:val="16"/>
          <w:szCs w:val="16"/>
          <w:lang w:val="es-ES_tradnl"/>
        </w:rPr>
        <w:footnoteRef/>
      </w:r>
      <w:r w:rsidRPr="00BF5C70">
        <w:t xml:space="preserve"> El Diar</w:t>
      </w:r>
      <w:r w:rsidR="0070138C" w:rsidRPr="00BF5C70">
        <w:t>io</w:t>
      </w:r>
      <w:r w:rsidRPr="00BF5C70">
        <w:t>, Macedonia del Norte pidió pruebas a Venezuela de supuesto ataque electoral, 30 de julio de 2024.</w:t>
      </w:r>
    </w:p>
  </w:footnote>
  <w:footnote w:id="50">
    <w:p w14:paraId="3DBF0736" w14:textId="637A5585" w:rsidR="002B034F" w:rsidRPr="00BF5C70" w:rsidRDefault="002B034F" w:rsidP="00180EAF">
      <w:pPr>
        <w:pStyle w:val="IAPiedepgina"/>
      </w:pPr>
      <w:r w:rsidRPr="005C52BD">
        <w:rPr>
          <w:rStyle w:val="FootnoteReference"/>
          <w:rFonts w:cstheme="majorBidi"/>
          <w:sz w:val="16"/>
          <w:szCs w:val="16"/>
          <w:lang w:val="es-ES_tradnl"/>
        </w:rPr>
        <w:footnoteRef/>
      </w:r>
      <w:r w:rsidRPr="00BF5C70">
        <w:t xml:space="preserve"> </w:t>
      </w:r>
      <w:r w:rsidR="00C049E8" w:rsidRPr="00BF5C70">
        <w:t>Panel de Expertos de la ONU para la Elección presidencial de Venezuela del 28 de Julio, Informe Preliminar, 9 de agosto de 2024.</w:t>
      </w:r>
    </w:p>
  </w:footnote>
  <w:footnote w:id="51">
    <w:p w14:paraId="6250EF7E" w14:textId="1A0A55B9" w:rsidR="571B825A" w:rsidRPr="00BF5C70" w:rsidRDefault="571B825A" w:rsidP="00180EAF">
      <w:pPr>
        <w:pStyle w:val="IAPiedepgina"/>
        <w:rPr>
          <w:rFonts w:eastAsia="Cambria" w:cs="Cambria"/>
          <w:lang w:val="es-US"/>
        </w:rPr>
      </w:pPr>
      <w:r w:rsidRPr="005C52BD">
        <w:rPr>
          <w:vertAlign w:val="superscript"/>
        </w:rPr>
        <w:footnoteRef/>
      </w:r>
      <w:r w:rsidRPr="00BF5C70">
        <w:rPr>
          <w:lang w:val="es-US"/>
        </w:rPr>
        <w:t xml:space="preserve"> </w:t>
      </w:r>
      <w:r w:rsidRPr="00BF5C70">
        <w:rPr>
          <w:rFonts w:eastAsia="Cambria" w:cs="Cambria"/>
          <w:lang w:val="es-US"/>
        </w:rPr>
        <w:t>Panel de Expertos de la ONU para la Elección presidencial de Venezuela del 28 de Julio, Informe Preliminar, 9 de agosto de 2024.</w:t>
      </w:r>
    </w:p>
  </w:footnote>
  <w:footnote w:id="52">
    <w:p w14:paraId="2AB4662F" w14:textId="482605DD" w:rsidR="571B825A" w:rsidRPr="00BF5C70" w:rsidRDefault="571B825A" w:rsidP="00180EAF">
      <w:pPr>
        <w:pStyle w:val="IAPiedepgina"/>
        <w:rPr>
          <w:rFonts w:eastAsia="Cambria" w:cs="Cambria"/>
          <w:lang w:val="es-US"/>
        </w:rPr>
      </w:pPr>
      <w:r w:rsidRPr="005C52BD">
        <w:rPr>
          <w:vertAlign w:val="superscript"/>
        </w:rPr>
        <w:footnoteRef/>
      </w:r>
      <w:r w:rsidRPr="00BF5C70">
        <w:rPr>
          <w:lang w:val="es-US"/>
        </w:rPr>
        <w:t xml:space="preserve"> </w:t>
      </w:r>
      <w:r w:rsidRPr="00BF5C70">
        <w:rPr>
          <w:rFonts w:eastAsia="Cambria" w:cs="Cambria"/>
          <w:lang w:val="es-US"/>
        </w:rPr>
        <w:t xml:space="preserve">Espacio Público, </w:t>
      </w:r>
      <w:hyperlink r:id="rId29" w:history="1">
        <w:r w:rsidRPr="00BF5C70">
          <w:rPr>
            <w:rStyle w:val="Hyperlink"/>
            <w:rFonts w:eastAsia="Cambria" w:cs="Cambria"/>
            <w:color w:val="auto"/>
            <w:szCs w:val="16"/>
            <w:lang w:val="es-US"/>
          </w:rPr>
          <w:t>Toda elección legítima debe ser transparente</w:t>
        </w:r>
      </w:hyperlink>
      <w:r w:rsidRPr="00BF5C70">
        <w:rPr>
          <w:rFonts w:eastAsia="Cambria" w:cs="Cambria"/>
          <w:lang w:val="es-US"/>
        </w:rPr>
        <w:t>, 30 de julio de 2024.</w:t>
      </w:r>
    </w:p>
  </w:footnote>
  <w:footnote w:id="53">
    <w:p w14:paraId="61DE75A7" w14:textId="4DCED31E" w:rsidR="00007B52" w:rsidRPr="00BF5C70" w:rsidRDefault="00007B52" w:rsidP="00180EAF">
      <w:pPr>
        <w:pStyle w:val="IAPiedepgina"/>
      </w:pPr>
      <w:r w:rsidRPr="005C52BD">
        <w:rPr>
          <w:rStyle w:val="FootnoteReference"/>
          <w:rFonts w:cstheme="majorBidi"/>
          <w:sz w:val="16"/>
          <w:szCs w:val="16"/>
          <w:lang w:val="es-ES_tradnl"/>
        </w:rPr>
        <w:footnoteRef/>
      </w:r>
      <w:r w:rsidRPr="00BF5C70">
        <w:t xml:space="preserve"> Panel de Expertos de la ONU para la Elección presidencial de Venezuela del 28 de Julio, Informe Preliminar, 9 de agosto de 2024.</w:t>
      </w:r>
    </w:p>
  </w:footnote>
  <w:footnote w:id="54">
    <w:p w14:paraId="2ED2E88E" w14:textId="77777777" w:rsidR="00080B6E" w:rsidRPr="00BF5C70" w:rsidRDefault="00080B6E" w:rsidP="00180EAF">
      <w:pPr>
        <w:pStyle w:val="IAPiedepgina"/>
      </w:pPr>
      <w:r w:rsidRPr="005C52BD">
        <w:rPr>
          <w:rStyle w:val="FootnoteReference"/>
          <w:rFonts w:cstheme="majorBidi"/>
          <w:sz w:val="16"/>
          <w:szCs w:val="16"/>
          <w:lang w:val="es-ES_tradnl"/>
        </w:rPr>
        <w:footnoteRef/>
      </w:r>
      <w:r w:rsidRPr="00BF5C70">
        <w:t xml:space="preserve"> Centro Carter, Declaración del Centro Carter sobre la Elección en Venezuela, 30 de julio de 2024.</w:t>
      </w:r>
    </w:p>
  </w:footnote>
  <w:footnote w:id="55">
    <w:p w14:paraId="6C3BEC0A" w14:textId="4FAB45A7" w:rsidR="00F63EA6" w:rsidRPr="00BF5C70" w:rsidRDefault="00F63EA6" w:rsidP="00A86347">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 xml:space="preserve">CIDH, Comunicado de Prensa 184/24, </w:t>
      </w:r>
      <w:hyperlink r:id="rId30" w:history="1">
        <w:r w:rsidRPr="00BD086D">
          <w:rPr>
            <w:rStyle w:val="Hyperlink"/>
            <w:rFonts w:eastAsia="Cambria" w:cs="Cambria"/>
            <w:color w:val="auto"/>
            <w:szCs w:val="16"/>
            <w:lang w:val="es-US"/>
          </w:rPr>
          <w:t>CIDH y RELE condenan prácticas de terrorismo de estado en Venezuela</w:t>
        </w:r>
      </w:hyperlink>
      <w:r w:rsidRPr="00BF5C70">
        <w:rPr>
          <w:shd w:val="clear" w:color="auto" w:fill="FFFFFF"/>
        </w:rPr>
        <w:t>, 15 de agosto de 2024.</w:t>
      </w:r>
    </w:p>
  </w:footnote>
  <w:footnote w:id="56">
    <w:p w14:paraId="51DB2009" w14:textId="77777777" w:rsidR="00F63EA6" w:rsidRPr="00BF5C70" w:rsidRDefault="00F63EA6" w:rsidP="00A86347">
      <w:pPr>
        <w:pStyle w:val="IAPiedepgina"/>
      </w:pPr>
      <w:r w:rsidRPr="005C52BD">
        <w:rPr>
          <w:rStyle w:val="FootnoteReference"/>
          <w:rFonts w:cstheme="majorBidi"/>
          <w:sz w:val="16"/>
          <w:szCs w:val="16"/>
          <w:lang w:val="es-ES_tradnl"/>
        </w:rPr>
        <w:footnoteRef/>
      </w:r>
      <w:r w:rsidRPr="00BF5C70">
        <w:t xml:space="preserve"> Resultados Con VZLA, Resultados Elecciones Presidenciales 2024, acceso en </w:t>
      </w:r>
      <w:hyperlink r:id="rId31" w:history="1">
        <w:r w:rsidRPr="00BF5C70">
          <w:rPr>
            <w:rStyle w:val="Hyperlink"/>
            <w:rFonts w:cstheme="majorBidi"/>
            <w:color w:val="auto"/>
            <w:szCs w:val="16"/>
            <w:lang w:val="es-ES_tradnl"/>
          </w:rPr>
          <w:t>https://resultadosconvzla.com</w:t>
        </w:r>
      </w:hyperlink>
      <w:r w:rsidRPr="00BF5C70">
        <w:t>, 5 de agosto de 2024.</w:t>
      </w:r>
    </w:p>
  </w:footnote>
  <w:footnote w:id="57">
    <w:p w14:paraId="77D95B37" w14:textId="0769E5C7" w:rsidR="571B825A" w:rsidRPr="00BF5C70" w:rsidRDefault="571B825A" w:rsidP="00A86347">
      <w:pPr>
        <w:pStyle w:val="IAPiedepgina"/>
        <w:rPr>
          <w:lang w:val="es-US"/>
        </w:rPr>
      </w:pPr>
      <w:r w:rsidRPr="005C52BD">
        <w:rPr>
          <w:vertAlign w:val="superscript"/>
        </w:rPr>
        <w:footnoteRef/>
      </w:r>
      <w:r w:rsidRPr="00BF5C70">
        <w:rPr>
          <w:lang w:val="es-US"/>
        </w:rPr>
        <w:t xml:space="preserve"> </w:t>
      </w:r>
      <w:r w:rsidRPr="00BF5C70">
        <w:rPr>
          <w:rFonts w:eastAsia="Cambria" w:cs="Cambria"/>
          <w:lang w:val="es-US"/>
        </w:rPr>
        <w:t xml:space="preserve">Espacio Público, </w:t>
      </w:r>
      <w:hyperlink r:id="rId32" w:history="1">
        <w:r w:rsidRPr="00BF5C70">
          <w:rPr>
            <w:rStyle w:val="Hyperlink"/>
            <w:rFonts w:eastAsia="Cambria" w:cs="Cambria"/>
            <w:color w:val="auto"/>
            <w:szCs w:val="16"/>
            <w:lang w:val="es-US"/>
          </w:rPr>
          <w:t>Agosto: censura y represión postelectoral</w:t>
        </w:r>
      </w:hyperlink>
      <w:r w:rsidRPr="00BF5C70">
        <w:rPr>
          <w:rFonts w:eastAsia="Cambria" w:cs="Cambria"/>
          <w:lang w:val="es-US"/>
        </w:rPr>
        <w:t>, 5 de septiembre de 2024</w:t>
      </w:r>
    </w:p>
  </w:footnote>
  <w:footnote w:id="58">
    <w:p w14:paraId="0A472ACE" w14:textId="1B9CC5AD" w:rsidR="571B825A" w:rsidRPr="00BF5C70" w:rsidRDefault="571B825A" w:rsidP="00A86347">
      <w:pPr>
        <w:pStyle w:val="IAPiedepgina"/>
        <w:rPr>
          <w:rFonts w:eastAsia="Cambria" w:cs="Cambria"/>
          <w:color w:val="auto"/>
          <w:lang w:val="es-US"/>
        </w:rPr>
      </w:pPr>
      <w:r w:rsidRPr="005C52BD">
        <w:rPr>
          <w:rFonts w:eastAsia="Cambria" w:cs="Cambria"/>
          <w:color w:val="auto"/>
          <w:vertAlign w:val="superscript"/>
        </w:rPr>
        <w:footnoteRef/>
      </w:r>
      <w:r w:rsidRPr="00BF5C70">
        <w:rPr>
          <w:rFonts w:eastAsia="Cambria" w:cs="Cambria"/>
          <w:color w:val="auto"/>
          <w:lang w:val="es-US"/>
        </w:rPr>
        <w:t xml:space="preserve"> CIDH, Comunicado </w:t>
      </w:r>
      <w:r w:rsidR="00531DF0">
        <w:rPr>
          <w:rFonts w:eastAsia="Cambria" w:cs="Cambria"/>
          <w:color w:val="auto"/>
          <w:lang w:val="es-US"/>
        </w:rPr>
        <w:t xml:space="preserve">de Prensa </w:t>
      </w:r>
      <w:r w:rsidRPr="00BF5C70">
        <w:rPr>
          <w:rFonts w:eastAsia="Cambria" w:cs="Cambria"/>
          <w:color w:val="auto"/>
          <w:lang w:val="es-US"/>
        </w:rPr>
        <w:t xml:space="preserve">No. 184/24, </w:t>
      </w:r>
      <w:hyperlink r:id="rId33" w:history="1">
        <w:r w:rsidRPr="001C1A91">
          <w:rPr>
            <w:rStyle w:val="Hyperlink"/>
            <w:rFonts w:eastAsia="Cambria"/>
            <w:color w:val="auto"/>
            <w:szCs w:val="16"/>
          </w:rPr>
          <w:t>CIDH y RELE condenan prácticas de terrorismo de estado en</w:t>
        </w:r>
        <w:r w:rsidRPr="00BF5C70">
          <w:rPr>
            <w:rStyle w:val="Hyperlink"/>
            <w:rFonts w:eastAsia="Cambria" w:cs="Cambria"/>
            <w:color w:val="auto"/>
            <w:szCs w:val="16"/>
            <w:lang w:val="es-US"/>
          </w:rPr>
          <w:t xml:space="preserve"> Venezuela</w:t>
        </w:r>
      </w:hyperlink>
      <w:r w:rsidRPr="00BF5C70">
        <w:rPr>
          <w:rFonts w:eastAsia="Cambria" w:cs="Cambria"/>
          <w:color w:val="auto"/>
          <w:lang w:val="es-US"/>
        </w:rPr>
        <w:t>, 15 de agosto de 2024.</w:t>
      </w:r>
    </w:p>
  </w:footnote>
  <w:footnote w:id="59">
    <w:p w14:paraId="6C42939F" w14:textId="66E6D24C" w:rsidR="007D3C7B" w:rsidRPr="00BF5C70" w:rsidRDefault="007D3C7B" w:rsidP="00A86347">
      <w:pPr>
        <w:pStyle w:val="IAPiedepgina"/>
        <w:rPr>
          <w:highlight w:val="yellow"/>
        </w:rPr>
      </w:pPr>
      <w:r w:rsidRPr="005C52BD">
        <w:rPr>
          <w:rStyle w:val="FootnoteReference"/>
          <w:rFonts w:cstheme="majorBidi"/>
          <w:sz w:val="16"/>
          <w:szCs w:val="16"/>
          <w:lang w:val="es-ES_tradnl"/>
        </w:rPr>
        <w:footnoteRef/>
      </w:r>
      <w:r w:rsidRPr="00BF5C70">
        <w:t xml:space="preserve"> </w:t>
      </w:r>
      <w:r w:rsidRPr="00BF5C70">
        <w:rPr>
          <w:shd w:val="clear" w:color="auto" w:fill="FFFFFF"/>
        </w:rPr>
        <w:t xml:space="preserve">CIDH, Comunicado de Prensa 184/24, </w:t>
      </w:r>
      <w:hyperlink r:id="rId34" w:history="1">
        <w:r w:rsidRPr="001C1A91">
          <w:rPr>
            <w:rStyle w:val="Hyperlink"/>
            <w:rFonts w:eastAsia="Cambria"/>
            <w:color w:val="auto"/>
            <w:szCs w:val="16"/>
          </w:rPr>
          <w:t>CIDH y RELE condenan prácticas de terrorismo de estado en Venezuela</w:t>
        </w:r>
      </w:hyperlink>
      <w:r w:rsidRPr="00BF5C70">
        <w:rPr>
          <w:shd w:val="clear" w:color="auto" w:fill="FFFFFF"/>
        </w:rPr>
        <w:t>, 15 de agosto de 2024.</w:t>
      </w:r>
    </w:p>
  </w:footnote>
  <w:footnote w:id="60">
    <w:p w14:paraId="195CB104" w14:textId="77777777" w:rsidR="00213182" w:rsidRPr="00BF5C70" w:rsidRDefault="00213182" w:rsidP="00A86347">
      <w:pPr>
        <w:pStyle w:val="IAPiedepgina"/>
      </w:pPr>
      <w:r w:rsidRPr="005C52BD">
        <w:rPr>
          <w:rStyle w:val="FootnoteReference"/>
          <w:rFonts w:cstheme="majorBidi"/>
          <w:sz w:val="16"/>
          <w:szCs w:val="16"/>
          <w:lang w:val="es-ES_tradnl"/>
        </w:rPr>
        <w:footnoteRef/>
      </w:r>
      <w:r w:rsidRPr="00BF5C70">
        <w:t xml:space="preserve"> CNN en español, Maduro interpone un recurso ante el Tribunal Supremo de Justicia para que certifique los resultados, 31 de julio de 2024.</w:t>
      </w:r>
    </w:p>
  </w:footnote>
  <w:footnote w:id="61">
    <w:p w14:paraId="33111823" w14:textId="77777777" w:rsidR="00213182" w:rsidRPr="00BF5C70" w:rsidRDefault="00213182" w:rsidP="00A86347">
      <w:pPr>
        <w:pStyle w:val="IAPiedepgina"/>
      </w:pPr>
      <w:r w:rsidRPr="005C52BD">
        <w:rPr>
          <w:rStyle w:val="FootnoteReference"/>
          <w:rFonts w:cstheme="majorBidi"/>
          <w:sz w:val="16"/>
          <w:szCs w:val="16"/>
          <w:lang w:val="es-ES_tradnl"/>
        </w:rPr>
        <w:footnoteRef/>
      </w:r>
      <w:r w:rsidRPr="00BF5C70">
        <w:t xml:space="preserve"> Acceso a la Justicia, Seis observaciones al recurso contencioso electoral ante el TSJ sobre las elecciones del 28J, agosto 8, 2024.</w:t>
      </w:r>
    </w:p>
  </w:footnote>
  <w:footnote w:id="62">
    <w:p w14:paraId="35D0210D" w14:textId="77777777" w:rsidR="003F760F" w:rsidRPr="00BF5C70" w:rsidRDefault="003F760F" w:rsidP="00A86347">
      <w:pPr>
        <w:pStyle w:val="IAPiedepgina"/>
      </w:pPr>
      <w:r w:rsidRPr="005C52BD">
        <w:rPr>
          <w:rStyle w:val="FootnoteReference"/>
          <w:rFonts w:cstheme="majorBidi"/>
          <w:sz w:val="16"/>
          <w:szCs w:val="16"/>
          <w:lang w:val="es-ES_tradnl"/>
        </w:rPr>
        <w:footnoteRef/>
      </w:r>
      <w:r w:rsidRPr="00BF5C70">
        <w:t xml:space="preserve"> Acceso a la Justicia, Seis observaciones al recurso contencioso electoral ante el TSJ sobre las elecciones del 28J, agosto 8, 2024.</w:t>
      </w:r>
    </w:p>
  </w:footnote>
  <w:footnote w:id="63">
    <w:p w14:paraId="3F161044" w14:textId="77777777" w:rsidR="003F760F" w:rsidRPr="00BF5C70" w:rsidRDefault="003F760F" w:rsidP="00DF73BF">
      <w:pPr>
        <w:pStyle w:val="IAPiedepgina"/>
      </w:pPr>
      <w:r w:rsidRPr="005C52BD">
        <w:rPr>
          <w:rStyle w:val="FootnoteReference"/>
          <w:rFonts w:cstheme="majorBidi"/>
          <w:sz w:val="16"/>
          <w:szCs w:val="16"/>
        </w:rPr>
        <w:footnoteRef/>
      </w:r>
      <w:r w:rsidRPr="00BF5C70">
        <w:t xml:space="preserve"> Acceso a la Justicia, SC declara cosa juzgada para rechazar la revisión de la sentencia de la SE que valida la victoria de Maduro en las elecciones, octubre 14, 2024.</w:t>
      </w:r>
    </w:p>
  </w:footnote>
  <w:footnote w:id="64">
    <w:p w14:paraId="080F496D" w14:textId="77777777" w:rsidR="00491DCB" w:rsidRPr="00BF5C70" w:rsidRDefault="00491DCB" w:rsidP="00DF73BF">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Acceso a la Justicia, Seis observaciones al recurso contencioso electoral ante el TSJ sobre las elecciones del 28J, agosto 8, 2024.</w:t>
      </w:r>
    </w:p>
  </w:footnote>
  <w:footnote w:id="65">
    <w:p w14:paraId="4BFC6E62" w14:textId="77777777" w:rsidR="00754F88" w:rsidRPr="00BF5C70" w:rsidRDefault="00754F88" w:rsidP="00DF73BF">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Acceso a la Justicia, Seis observaciones al recurso contencioso electoral ante el TSJ sobre las elecciones del 28J, agosto 8, 2024.</w:t>
      </w:r>
    </w:p>
  </w:footnote>
  <w:footnote w:id="66">
    <w:p w14:paraId="2A6DE35C" w14:textId="77777777" w:rsidR="00EA4607" w:rsidRPr="00BF5C70" w:rsidRDefault="00EA4607" w:rsidP="00DF73BF">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Acceso a la Justicia, Seis observaciones al recurso contencioso electoral ante el TSJ sobre las elecciones del 28J, agosto 8, 2024.</w:t>
      </w:r>
    </w:p>
  </w:footnote>
  <w:footnote w:id="67">
    <w:p w14:paraId="387CA054" w14:textId="77777777" w:rsidR="00C53970" w:rsidRPr="00BF5C70" w:rsidRDefault="00C53970" w:rsidP="00DF73BF">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w:t>
      </w:r>
      <w:r w:rsidRPr="00BF5C70">
        <w:rPr>
          <w:shd w:val="clear" w:color="auto" w:fill="FFFFFF"/>
          <w:lang w:val="es-ES_tradnl"/>
        </w:rPr>
        <w:t>CIDH, Comunicado de Prensa 184/24, CIDH y RELE condenan prácticas de terrorismo de estado en Venezuela, 15 de agosto de 2024.</w:t>
      </w:r>
    </w:p>
  </w:footnote>
  <w:footnote w:id="68">
    <w:p w14:paraId="75254011" w14:textId="77777777" w:rsidR="00FF1065" w:rsidRPr="00BF5C70" w:rsidRDefault="00FF1065" w:rsidP="00DF73BF">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Véase artículos 1 y 4.2 del Decreto Número 1.471, del 19 de noviembre de 2014.</w:t>
      </w:r>
    </w:p>
  </w:footnote>
  <w:footnote w:id="69">
    <w:p w14:paraId="346EBABB" w14:textId="0A269B0E" w:rsidR="00C53970" w:rsidRPr="00BF5C70" w:rsidRDefault="00C53970" w:rsidP="00D96C3A">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 xml:space="preserve">CIDH, Comunicado de Prensa 184/24, </w:t>
      </w:r>
      <w:hyperlink r:id="rId35" w:history="1">
        <w:r w:rsidRPr="001C1A91">
          <w:rPr>
            <w:rStyle w:val="Hyperlink"/>
            <w:rFonts w:eastAsia="Cambria"/>
            <w:color w:val="auto"/>
            <w:szCs w:val="16"/>
          </w:rPr>
          <w:t>CIDH y RELE condenan prácticas de terrorismo de estado en Venezuela</w:t>
        </w:r>
      </w:hyperlink>
      <w:r w:rsidRPr="00BF5C70">
        <w:rPr>
          <w:shd w:val="clear" w:color="auto" w:fill="FFFFFF"/>
        </w:rPr>
        <w:t>, 15 de agosto de 2024.</w:t>
      </w:r>
    </w:p>
  </w:footnote>
  <w:footnote w:id="70">
    <w:p w14:paraId="5D5444C1" w14:textId="77777777" w:rsidR="00573CEF" w:rsidRPr="00BF5C70" w:rsidRDefault="00573CEF" w:rsidP="00D96C3A">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CNN en español, Maduro advirtió de “baño de sangre” en Venezuela si no gana las elecciones, 17 de julio de 2024.</w:t>
      </w:r>
    </w:p>
  </w:footnote>
  <w:footnote w:id="71">
    <w:p w14:paraId="692F7253" w14:textId="78C11719" w:rsidR="00573CEF" w:rsidRPr="00675A13" w:rsidRDefault="00573CEF" w:rsidP="00D96C3A">
      <w:pPr>
        <w:pStyle w:val="IAPiedepgina"/>
      </w:pPr>
      <w:r w:rsidRPr="005C52BD">
        <w:rPr>
          <w:rStyle w:val="FootnoteReference"/>
          <w:sz w:val="16"/>
          <w:szCs w:val="16"/>
        </w:rPr>
        <w:footnoteRef/>
      </w:r>
      <w:r w:rsidRPr="00BF5C70">
        <w:rPr>
          <w:lang w:val="es-US"/>
        </w:rPr>
        <w:t xml:space="preserve"> </w:t>
      </w:r>
      <w:r w:rsidR="00063011" w:rsidRPr="00BF5C70">
        <w:t xml:space="preserve">Misión Internacional Independiente de Determinación de los Hechos sobre la República Bolivariana de Venezuela, Informe, del 9 al 11 de septiembre de </w:t>
      </w:r>
      <w:r w:rsidR="00063011" w:rsidRPr="00675A13">
        <w:t>2024, párr. 6</w:t>
      </w:r>
      <w:r w:rsidR="007A6C87" w:rsidRPr="00675A13">
        <w:t>49.</w:t>
      </w:r>
    </w:p>
  </w:footnote>
  <w:footnote w:id="72">
    <w:p w14:paraId="48EC1113" w14:textId="77777777" w:rsidR="009F0B8C" w:rsidRPr="00675A13" w:rsidRDefault="009F0B8C" w:rsidP="00D96C3A">
      <w:pPr>
        <w:pStyle w:val="IAPiedepgina"/>
      </w:pPr>
      <w:r w:rsidRPr="005C52BD">
        <w:rPr>
          <w:rStyle w:val="FootnoteReference"/>
          <w:sz w:val="16"/>
          <w:szCs w:val="16"/>
        </w:rPr>
        <w:footnoteRef/>
      </w:r>
      <w:r w:rsidRPr="00675A13">
        <w:rPr>
          <w:lang w:val="es-US"/>
        </w:rPr>
        <w:t xml:space="preserve"> </w:t>
      </w:r>
      <w:r w:rsidRPr="00675A13">
        <w:t>Misión Internacional Independiente de Determinación de los Hechos sobre la República Bolivariana de Venezuela, Informe, del 9 al 11 de septiembre de 2024, párr. 603.</w:t>
      </w:r>
    </w:p>
  </w:footnote>
  <w:footnote w:id="73">
    <w:p w14:paraId="12EC274B" w14:textId="7D88C4B2" w:rsidR="009B0F75" w:rsidRPr="00675A13" w:rsidRDefault="009B0F75" w:rsidP="00D96C3A">
      <w:pPr>
        <w:pStyle w:val="IAPiedepgina"/>
        <w:rPr>
          <w:shd w:val="clear" w:color="auto" w:fill="FFFFFF"/>
          <w:lang w:val="es-US"/>
        </w:rPr>
      </w:pPr>
      <w:r w:rsidRPr="005C52BD">
        <w:rPr>
          <w:rStyle w:val="FootnoteReference"/>
          <w:sz w:val="16"/>
          <w:szCs w:val="16"/>
        </w:rPr>
        <w:footnoteRef/>
      </w:r>
      <w:r w:rsidRPr="00675A13">
        <w:rPr>
          <w:lang w:val="es-US"/>
        </w:rPr>
        <w:t xml:space="preserve"> </w:t>
      </w:r>
      <w:r w:rsidRPr="00675A13">
        <w:rPr>
          <w:shd w:val="clear" w:color="auto" w:fill="FFFFFF"/>
          <w:lang w:val="es-US"/>
        </w:rPr>
        <w:t>Si bien en los medios internacionales se dio cuenta de la magnitud de la “Operación Tun Tun”, la Comisión Interamericana no cuenta con elementos de juicio suficientes para determinar si toda la represión estatal se enmarcó en un operativo específico, según el discurso oficial de las más altas autoridades, o si se articularon diferentes operativos de seguridad.</w:t>
      </w:r>
    </w:p>
  </w:footnote>
  <w:footnote w:id="74">
    <w:p w14:paraId="504E3C1A" w14:textId="3AA196C5" w:rsidR="007B796F" w:rsidRPr="00BF5C70" w:rsidRDefault="007B796F" w:rsidP="00D96C3A">
      <w:pPr>
        <w:pStyle w:val="IAPiedepgina"/>
      </w:pPr>
      <w:r w:rsidRPr="005C52BD">
        <w:rPr>
          <w:rStyle w:val="FootnoteReference"/>
          <w:sz w:val="16"/>
          <w:szCs w:val="16"/>
        </w:rPr>
        <w:footnoteRef/>
      </w:r>
      <w:r w:rsidRPr="00675A13">
        <w:t xml:space="preserve"> </w:t>
      </w:r>
      <w:r w:rsidRPr="00675A13">
        <w:rPr>
          <w:shd w:val="clear" w:color="auto" w:fill="FFFFFF"/>
        </w:rPr>
        <w:t xml:space="preserve">CIDH, Comunicado de Prensa 184/24, </w:t>
      </w:r>
      <w:hyperlink r:id="rId36" w:history="1">
        <w:r w:rsidRPr="001C1A91">
          <w:rPr>
            <w:rStyle w:val="Hyperlink"/>
            <w:color w:val="auto"/>
            <w:szCs w:val="16"/>
          </w:rPr>
          <w:t>CIDH y RELE condenan prácticas de terrorismo de estado en Venezuela</w:t>
        </w:r>
      </w:hyperlink>
      <w:r w:rsidRPr="00BF5C70">
        <w:rPr>
          <w:shd w:val="clear" w:color="auto" w:fill="FFFFFF"/>
        </w:rPr>
        <w:t>, 15 de agosto de 2024.</w:t>
      </w:r>
    </w:p>
  </w:footnote>
  <w:footnote w:id="75">
    <w:p w14:paraId="5C07617F" w14:textId="45714173" w:rsidR="00150C67" w:rsidRPr="00BF5C70" w:rsidRDefault="00150C67" w:rsidP="00D96C3A">
      <w:pPr>
        <w:pStyle w:val="IAPiedepgina"/>
      </w:pPr>
      <w:r w:rsidRPr="005C52BD">
        <w:rPr>
          <w:rStyle w:val="FootnoteReference"/>
          <w:sz w:val="16"/>
          <w:szCs w:val="16"/>
        </w:rPr>
        <w:footnoteRef/>
      </w:r>
      <w:r w:rsidR="00D02C5C">
        <w:t xml:space="preserve"> </w:t>
      </w:r>
      <w:r w:rsidRPr="00BF5C70">
        <w:t>Corte IDH. Caso Goiburú y otros Vs. Paraguay. Fondo, Reparaciones y Costas. Sentencia de 22 de septiembre de 2006. Serie C No. 153, párr. 66.</w:t>
      </w:r>
    </w:p>
  </w:footnote>
  <w:footnote w:id="76">
    <w:p w14:paraId="12FF6369" w14:textId="3BD078DF" w:rsidR="007E05F4" w:rsidRPr="00BF5C70" w:rsidRDefault="007E05F4" w:rsidP="00D96C3A">
      <w:pPr>
        <w:pStyle w:val="IAPiedepgina"/>
      </w:pPr>
      <w:r w:rsidRPr="005C52BD">
        <w:rPr>
          <w:rStyle w:val="FootnoteReference"/>
          <w:sz w:val="16"/>
          <w:szCs w:val="16"/>
        </w:rPr>
        <w:footnoteRef/>
      </w:r>
      <w:r w:rsidRPr="00BF5C70">
        <w:t xml:space="preserve"> CIDH, </w:t>
      </w:r>
      <w:hyperlink r:id="rId37" w:history="1">
        <w:r w:rsidRPr="00BF5C70">
          <w:rPr>
            <w:rStyle w:val="Hyperlink"/>
            <w:color w:val="auto"/>
            <w:szCs w:val="16"/>
          </w:rPr>
          <w:t>Informe sobre Terrorismo y Derechos Humanos</w:t>
        </w:r>
      </w:hyperlink>
      <w:r w:rsidRPr="00BF5C70">
        <w:t>, OEA/Ser.L/V/ll.116 Doc. 5 rev. 1 corr., 22 de octubre de 2002, párr. 17. a)</w:t>
      </w:r>
      <w:r w:rsidR="00557DAF" w:rsidRPr="00BF5C70">
        <w:t>; Corte IDH. Caso Goiburú y otros Vs. Paraguay. Fondo, Reparaciones y Costas. Sentencia de 22 de septiembre de 2006. Serie C No. 153, párr. 66 y Caso Gelman Vs. Uruguay. Fondo y Reparaciones. Sentencia de 24 de febrero de 2011. Serie C No. 221, párr. 99.</w:t>
      </w:r>
    </w:p>
  </w:footnote>
  <w:footnote w:id="77">
    <w:p w14:paraId="2E2FB26B" w14:textId="334F4794" w:rsidR="00A52959" w:rsidRPr="00BF5C70" w:rsidRDefault="00A52959" w:rsidP="00D96C3A">
      <w:pPr>
        <w:pStyle w:val="IAPiedepgina"/>
      </w:pPr>
      <w:r w:rsidRPr="005C52BD">
        <w:rPr>
          <w:rStyle w:val="FootnoteReference"/>
          <w:sz w:val="16"/>
          <w:szCs w:val="16"/>
        </w:rPr>
        <w:footnoteRef/>
      </w:r>
      <w:r w:rsidRPr="00BF5C70">
        <w:t xml:space="preserve"> CIDH, </w:t>
      </w:r>
      <w:hyperlink r:id="rId38" w:history="1">
        <w:r w:rsidRPr="00BF5C70">
          <w:rPr>
            <w:rStyle w:val="Hyperlink"/>
            <w:color w:val="auto"/>
            <w:szCs w:val="16"/>
          </w:rPr>
          <w:t>Informe sobre Terrorismo y Derechos Humanos</w:t>
        </w:r>
      </w:hyperlink>
      <w:r w:rsidRPr="00BF5C70">
        <w:t>, OEA/Ser.L/V/ll.116 Doc. 5 rev. 1 corr., 22 de octubre de 2002, párr. 17. a)</w:t>
      </w:r>
      <w:r w:rsidR="00D96C3A">
        <w:t>.</w:t>
      </w:r>
      <w:r w:rsidRPr="00BF5C70">
        <w:t xml:space="preserve"> </w:t>
      </w:r>
    </w:p>
  </w:footnote>
  <w:footnote w:id="78">
    <w:p w14:paraId="47E27623" w14:textId="77777777" w:rsidR="00891420" w:rsidRPr="00BF5C70" w:rsidRDefault="00891420" w:rsidP="001B6060">
      <w:pPr>
        <w:pStyle w:val="IAPiedepgina"/>
        <w:rPr>
          <w:lang w:val="es-US"/>
        </w:rPr>
      </w:pPr>
      <w:r w:rsidRPr="005C52BD">
        <w:rPr>
          <w:rStyle w:val="FootnoteReference"/>
          <w:sz w:val="16"/>
          <w:szCs w:val="16"/>
        </w:rPr>
        <w:footnoteRef/>
      </w:r>
      <w:r w:rsidRPr="00BF5C70">
        <w:rPr>
          <w:lang w:val="es-US"/>
        </w:rPr>
        <w:t xml:space="preserve"> </w:t>
      </w:r>
      <w:r w:rsidRPr="00BF5C70">
        <w:t>Misión Internacional Independiente de Determinación de los Hechos sobre la República Bolivariana de Venezuela, Informe, del 9 al 11 de septiembre de 2024, párr. 547.</w:t>
      </w:r>
    </w:p>
  </w:footnote>
  <w:footnote w:id="79">
    <w:p w14:paraId="7BA04390" w14:textId="26032EE9" w:rsidR="005733B9" w:rsidRPr="00BF5C70" w:rsidRDefault="005733B9" w:rsidP="001B6060">
      <w:pPr>
        <w:pStyle w:val="IAPiedepgina"/>
        <w:rPr>
          <w:lang w:val="es-US"/>
        </w:rPr>
      </w:pPr>
      <w:r w:rsidRPr="005C52BD">
        <w:rPr>
          <w:rStyle w:val="FootnoteReference"/>
          <w:sz w:val="16"/>
          <w:szCs w:val="16"/>
        </w:rPr>
        <w:footnoteRef/>
      </w:r>
      <w:r w:rsidRPr="00BF5C70">
        <w:rPr>
          <w:lang w:val="es-US"/>
        </w:rPr>
        <w:t xml:space="preserve"> </w:t>
      </w:r>
      <w:r w:rsidR="00891DC7" w:rsidRPr="00BF5C70">
        <w:t>Misión Internacional Independiente de Determinación de los Hechos sobre la República Bolivariana de Venezuela, Informe, del 9 al 11 de septiembre de 2024, párr. 532.</w:t>
      </w:r>
    </w:p>
  </w:footnote>
  <w:footnote w:id="80">
    <w:p w14:paraId="56C8F99A" w14:textId="1073C173" w:rsidR="00A1294F" w:rsidRPr="00BF5C70" w:rsidRDefault="00A1294F" w:rsidP="001B6060">
      <w:pPr>
        <w:pStyle w:val="IAPiedepgina"/>
      </w:pPr>
      <w:r w:rsidRPr="005C52BD">
        <w:rPr>
          <w:rStyle w:val="FootnoteReference"/>
          <w:rFonts w:cstheme="majorBidi"/>
          <w:sz w:val="16"/>
          <w:szCs w:val="16"/>
          <w:lang w:val="es-ES_tradnl"/>
        </w:rPr>
        <w:footnoteRef/>
      </w:r>
      <w:r w:rsidRPr="00BF5C70">
        <w:t xml:space="preserve"> </w:t>
      </w:r>
      <w:r w:rsidR="00403473" w:rsidRPr="00BF5C70">
        <w:t>Véa</w:t>
      </w:r>
      <w:r w:rsidR="00AF6541" w:rsidRPr="00BF5C70">
        <w:t>n</w:t>
      </w:r>
      <w:r w:rsidR="00403473" w:rsidRPr="00BF5C70">
        <w:t>se artículos 1 y 4.2 del Decreto Número 1.471</w:t>
      </w:r>
      <w:r w:rsidR="00036AF3" w:rsidRPr="00BF5C70">
        <w:t xml:space="preserve"> del 19 de noviembre de 2014.</w:t>
      </w:r>
    </w:p>
  </w:footnote>
  <w:footnote w:id="81">
    <w:p w14:paraId="5FEFC5BB" w14:textId="7DEC6936" w:rsidR="009B1E9A" w:rsidRPr="00BF5C70" w:rsidRDefault="009B1E9A" w:rsidP="001B6060">
      <w:pPr>
        <w:pStyle w:val="IAPiedepgina"/>
      </w:pPr>
      <w:r w:rsidRPr="005C52BD">
        <w:rPr>
          <w:rStyle w:val="FootnoteReference"/>
          <w:rFonts w:cstheme="majorBidi"/>
          <w:sz w:val="16"/>
          <w:szCs w:val="16"/>
          <w:lang w:val="es-ES_tradnl"/>
        </w:rPr>
        <w:footnoteRef/>
      </w:r>
      <w:r w:rsidRPr="00BF5C70">
        <w:t xml:space="preserve"> </w:t>
      </w:r>
      <w:r w:rsidR="00390330" w:rsidRPr="00BF5C70">
        <w:rPr>
          <w:shd w:val="clear" w:color="auto" w:fill="FFFFFF"/>
        </w:rPr>
        <w:t xml:space="preserve">CIDH, Comunicado de Prensa 184/24, </w:t>
      </w:r>
      <w:hyperlink r:id="rId39" w:history="1">
        <w:r w:rsidR="00390330" w:rsidRPr="00C1655E">
          <w:rPr>
            <w:rStyle w:val="Hyperlink"/>
            <w:color w:val="auto"/>
            <w:szCs w:val="16"/>
          </w:rPr>
          <w:t>CIDH y RELE condenan prácticas de terrorismo de estado en Venezuela</w:t>
        </w:r>
      </w:hyperlink>
      <w:r w:rsidR="00390330" w:rsidRPr="00BF5C70">
        <w:rPr>
          <w:shd w:val="clear" w:color="auto" w:fill="FFFFFF"/>
        </w:rPr>
        <w:t>, 15 de agosto de 2024.</w:t>
      </w:r>
    </w:p>
  </w:footnote>
  <w:footnote w:id="82">
    <w:p w14:paraId="315BF607" w14:textId="48CD4C35" w:rsidR="00344FD6" w:rsidRPr="00BF5C70" w:rsidRDefault="00344FD6" w:rsidP="001B6060">
      <w:pPr>
        <w:pStyle w:val="IAPiedepgina"/>
        <w:rPr>
          <w:lang w:val="es-US"/>
        </w:rPr>
      </w:pPr>
      <w:r w:rsidRPr="005C52BD">
        <w:rPr>
          <w:rStyle w:val="FootnoteReference"/>
          <w:sz w:val="16"/>
          <w:szCs w:val="16"/>
        </w:rPr>
        <w:footnoteRef/>
      </w:r>
      <w:r w:rsidRPr="00BF5C70">
        <w:rPr>
          <w:lang w:val="es-US"/>
        </w:rPr>
        <w:t xml:space="preserve"> </w:t>
      </w:r>
      <w:r w:rsidRPr="00BF5C70">
        <w:t>Misión Internacional Independiente de Determinación de los Hechos sobre la República Bolivariana de Venezuela, Informe, del 9 al 11 de septiembre de 2024, párr. 534.</w:t>
      </w:r>
    </w:p>
  </w:footnote>
  <w:footnote w:id="83">
    <w:p w14:paraId="67290D4D" w14:textId="6434235D" w:rsidR="00391B36" w:rsidRPr="00BF5C70" w:rsidRDefault="00391B36" w:rsidP="001B6060">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 xml:space="preserve">CIDH, Comunicado de Prensa 184/24, </w:t>
      </w:r>
      <w:hyperlink r:id="rId40" w:history="1">
        <w:r w:rsidRPr="00C1655E">
          <w:rPr>
            <w:rStyle w:val="Hyperlink"/>
            <w:color w:val="auto"/>
            <w:szCs w:val="16"/>
          </w:rPr>
          <w:t>CIDH y RELE condenan prácticas de terrorismo de estado en Venezuela</w:t>
        </w:r>
      </w:hyperlink>
      <w:r w:rsidRPr="00BF5C70">
        <w:rPr>
          <w:shd w:val="clear" w:color="auto" w:fill="FFFFFF"/>
        </w:rPr>
        <w:t>, 15 de agosto de 2024.</w:t>
      </w:r>
    </w:p>
  </w:footnote>
  <w:footnote w:id="84">
    <w:p w14:paraId="53A4FAA4" w14:textId="77777777" w:rsidR="005E1412" w:rsidRPr="00BF5C70" w:rsidRDefault="005E1412" w:rsidP="001B6060">
      <w:pPr>
        <w:pStyle w:val="IAPiedepgina"/>
        <w:rPr>
          <w:lang w:val="es-US"/>
        </w:rPr>
      </w:pPr>
      <w:r w:rsidRPr="005C52BD">
        <w:rPr>
          <w:rStyle w:val="FootnoteReference"/>
          <w:sz w:val="16"/>
          <w:szCs w:val="16"/>
        </w:rPr>
        <w:footnoteRef/>
      </w:r>
      <w:r w:rsidRPr="00BF5C70">
        <w:rPr>
          <w:lang w:val="es-US"/>
        </w:rPr>
        <w:t xml:space="preserve"> </w:t>
      </w:r>
      <w:r w:rsidRPr="00BF5C70">
        <w:t>Misión Internacional Independiente de Determinación de los Hechos sobre la República Bolivariana de Venezuela, Informe, del 9 al 11 de septiembre de 2024, párr. 534.</w:t>
      </w:r>
    </w:p>
  </w:footnote>
  <w:footnote w:id="85">
    <w:p w14:paraId="5BE0AB31" w14:textId="30132181" w:rsidR="00ED43BE" w:rsidRPr="00BF5C70" w:rsidRDefault="00ED43BE" w:rsidP="001B6060">
      <w:pPr>
        <w:pStyle w:val="IAPiedepgina"/>
        <w:rPr>
          <w:lang w:val="es-US"/>
        </w:rPr>
      </w:pPr>
      <w:r w:rsidRPr="005C52BD">
        <w:rPr>
          <w:rStyle w:val="FootnoteReference"/>
          <w:sz w:val="16"/>
          <w:szCs w:val="16"/>
        </w:rPr>
        <w:footnoteRef/>
      </w:r>
      <w:r w:rsidRPr="00BF5C70">
        <w:rPr>
          <w:lang w:val="es-US"/>
        </w:rPr>
        <w:t xml:space="preserve"> </w:t>
      </w:r>
      <w:r w:rsidRPr="00BF5C70">
        <w:t>Misión Internacional Independiente de Determinación de los Hechos sobre la República Bolivariana de Venezuela, Informe, del 9 al 11 de septiembre de 2024, párr. 5</w:t>
      </w:r>
      <w:r w:rsidR="009A6891" w:rsidRPr="00BF5C70">
        <w:t>42.</w:t>
      </w:r>
    </w:p>
  </w:footnote>
  <w:footnote w:id="86">
    <w:p w14:paraId="1386C79D" w14:textId="32BF82CB" w:rsidR="00A85A3E" w:rsidRPr="00BF5C70" w:rsidRDefault="00A85A3E" w:rsidP="00C64934">
      <w:pPr>
        <w:pStyle w:val="IAPiedepgina"/>
        <w:rPr>
          <w:lang w:val="es-US"/>
        </w:rPr>
      </w:pPr>
      <w:r w:rsidRPr="005C52BD">
        <w:rPr>
          <w:rStyle w:val="FootnoteReference"/>
          <w:sz w:val="16"/>
          <w:szCs w:val="16"/>
        </w:rPr>
        <w:footnoteRef/>
      </w:r>
      <w:r w:rsidRPr="00BF5C70">
        <w:rPr>
          <w:lang w:val="es-US"/>
        </w:rPr>
        <w:t xml:space="preserve"> </w:t>
      </w:r>
      <w:r w:rsidR="006C3029" w:rsidRPr="00BF5C70">
        <w:t>Misión Internacional Independiente de Determinación de los Hechos sobre la República Bolivariana de Venezuela, Informe, del 9 al 11 de septiembre de 2024, párr</w:t>
      </w:r>
      <w:r w:rsidR="008E5540" w:rsidRPr="00BF5C70">
        <w:t>s</w:t>
      </w:r>
      <w:r w:rsidR="006C3029" w:rsidRPr="00BF5C70">
        <w:t>. 5</w:t>
      </w:r>
      <w:r w:rsidR="00283454" w:rsidRPr="00BF5C70">
        <w:t>51 y 552.</w:t>
      </w:r>
    </w:p>
  </w:footnote>
  <w:footnote w:id="87">
    <w:p w14:paraId="7C39A3DE" w14:textId="05276AA6" w:rsidR="00B32109" w:rsidRPr="00BF5C70" w:rsidRDefault="00B32109" w:rsidP="00C64934">
      <w:pPr>
        <w:pStyle w:val="IAPiedepgina"/>
        <w:rPr>
          <w:lang w:val="es-US"/>
        </w:rPr>
      </w:pPr>
      <w:r w:rsidRPr="005C52BD">
        <w:rPr>
          <w:rStyle w:val="FootnoteReference"/>
          <w:sz w:val="16"/>
          <w:szCs w:val="16"/>
        </w:rPr>
        <w:footnoteRef/>
      </w:r>
      <w:r w:rsidRPr="00BF5C70">
        <w:rPr>
          <w:lang w:val="es-US"/>
        </w:rPr>
        <w:t xml:space="preserve"> </w:t>
      </w:r>
      <w:r w:rsidRPr="00BF5C70">
        <w:rPr>
          <w:rFonts w:cstheme="minorBidi"/>
          <w:lang w:val="es-US"/>
        </w:rPr>
        <w:t>S</w:t>
      </w:r>
      <w:r w:rsidRPr="00BF5C70">
        <w:rPr>
          <w:rFonts w:cstheme="minorHAnsi"/>
          <w:lang w:val="es-US"/>
        </w:rPr>
        <w:t xml:space="preserve">esión número 57 del Consejo de Derechos Humanos de las Naciones Unidas, diálogo interactivo, </w:t>
      </w:r>
      <w:r w:rsidR="00F948D3" w:rsidRPr="00BF5C70">
        <w:rPr>
          <w:rFonts w:cstheme="minorHAnsi"/>
          <w:lang w:val="es-US"/>
        </w:rPr>
        <w:t>19 de septiembre de 2024.</w:t>
      </w:r>
    </w:p>
  </w:footnote>
  <w:footnote w:id="88">
    <w:p w14:paraId="50FCAD0A" w14:textId="2DCF3287" w:rsidR="00B146E6" w:rsidRPr="00BF5C70" w:rsidRDefault="00B146E6" w:rsidP="00C64934">
      <w:pPr>
        <w:pStyle w:val="IAPiedepgina"/>
        <w:rPr>
          <w:lang w:val="es-US"/>
        </w:rPr>
      </w:pPr>
      <w:r w:rsidRPr="005C52BD">
        <w:rPr>
          <w:rStyle w:val="FootnoteReference"/>
          <w:sz w:val="16"/>
          <w:szCs w:val="16"/>
        </w:rPr>
        <w:footnoteRef/>
      </w:r>
      <w:r w:rsidRPr="00BF5C70">
        <w:rPr>
          <w:lang w:val="es-US"/>
        </w:rPr>
        <w:t xml:space="preserve"> </w:t>
      </w:r>
      <w:r w:rsidRPr="00BF5C70">
        <w:t>Véase artículos 1 y 4.2 del Decreto Número 1.471, del 19 de noviembre de 2014.</w:t>
      </w:r>
    </w:p>
  </w:footnote>
  <w:footnote w:id="89">
    <w:p w14:paraId="72F5D467" w14:textId="020A5284" w:rsidR="00D976B5" w:rsidRPr="00BF5C70" w:rsidRDefault="00D976B5" w:rsidP="00C64934">
      <w:pPr>
        <w:pStyle w:val="IAPiedepgina"/>
        <w:rPr>
          <w:lang w:val="es-US"/>
        </w:rPr>
      </w:pPr>
      <w:r w:rsidRPr="005C52BD">
        <w:rPr>
          <w:rStyle w:val="FootnoteReference"/>
          <w:sz w:val="16"/>
          <w:szCs w:val="16"/>
        </w:rPr>
        <w:footnoteRef/>
      </w:r>
      <w:r w:rsidRPr="00BF5C70">
        <w:rPr>
          <w:lang w:val="es-US"/>
        </w:rPr>
        <w:t xml:space="preserve"> Efecto Cocuyo, “Indefensión, vulnerabilidad y silencio: las mujeres detenidas en las protestas postelectorales”, 17 de agosto de 2024. Disponible en: </w:t>
      </w:r>
      <w:hyperlink r:id="rId41" w:history="1">
        <w:r w:rsidR="003835B5" w:rsidRPr="00BF5C70">
          <w:rPr>
            <w:rStyle w:val="Hyperlink"/>
            <w:color w:val="auto"/>
            <w:szCs w:val="16"/>
            <w:lang w:val="es-US"/>
          </w:rPr>
          <w:t>https://efectococuyo.com/lahumanidad/indefension-vulnerabilidad-y-silencio-las-mujeres-detenidas-en-las-protestasposelectorales/</w:t>
        </w:r>
      </w:hyperlink>
      <w:r w:rsidR="003835B5" w:rsidRPr="00BF5C70">
        <w:rPr>
          <w:lang w:val="es-US"/>
        </w:rPr>
        <w:t xml:space="preserve"> </w:t>
      </w:r>
    </w:p>
  </w:footnote>
  <w:footnote w:id="90">
    <w:p w14:paraId="08C5407A" w14:textId="5527D871" w:rsidR="001B6DA6" w:rsidRPr="00BF5C70" w:rsidRDefault="001B6DA6" w:rsidP="00C64934">
      <w:pPr>
        <w:pStyle w:val="IAPiedepgina"/>
      </w:pPr>
      <w:r w:rsidRPr="005C52BD">
        <w:rPr>
          <w:rStyle w:val="FootnoteReference"/>
          <w:rFonts w:cstheme="majorBidi"/>
          <w:sz w:val="16"/>
          <w:szCs w:val="16"/>
          <w:lang w:val="es-ES_tradnl"/>
        </w:rPr>
        <w:footnoteRef/>
      </w:r>
      <w:r w:rsidRPr="00BF5C70">
        <w:rPr>
          <w:lang w:val="es-US"/>
        </w:rPr>
        <w:t xml:space="preserve"> </w:t>
      </w:r>
      <w:r w:rsidR="00A567D1" w:rsidRPr="00BF5C70">
        <w:rPr>
          <w:lang w:val="es-US"/>
        </w:rPr>
        <w:t xml:space="preserve">Foro Penal, “Political Prisioners in Venezuela”. Disponible en: </w:t>
      </w:r>
      <w:hyperlink r:id="rId42" w:history="1">
        <w:r w:rsidR="003835B5" w:rsidRPr="00BF5C70">
          <w:rPr>
            <w:rStyle w:val="Hyperlink"/>
            <w:color w:val="auto"/>
            <w:szCs w:val="16"/>
            <w:lang w:val="es-US"/>
          </w:rPr>
          <w:t>https://foropenal.com/foro-penalbalance-de-presospoliticos-en-venezuela-al-26-de-agosto-2024/</w:t>
        </w:r>
      </w:hyperlink>
      <w:r w:rsidR="003835B5" w:rsidRPr="00BF5C70">
        <w:rPr>
          <w:lang w:val="es-US"/>
        </w:rPr>
        <w:t xml:space="preserve"> </w:t>
      </w:r>
    </w:p>
  </w:footnote>
  <w:footnote w:id="91">
    <w:p w14:paraId="3F0A76F0" w14:textId="737ACA5C" w:rsidR="00F9400A" w:rsidRPr="00BF5C70" w:rsidRDefault="00F9400A" w:rsidP="00C64934">
      <w:pPr>
        <w:pStyle w:val="IAPiedepgina"/>
      </w:pPr>
      <w:r w:rsidRPr="005C52BD">
        <w:rPr>
          <w:rStyle w:val="FootnoteReference"/>
          <w:rFonts w:cstheme="majorBidi"/>
          <w:sz w:val="16"/>
          <w:szCs w:val="16"/>
          <w:lang w:val="es-ES_tradnl"/>
        </w:rPr>
        <w:footnoteRef/>
      </w:r>
      <w:r w:rsidRPr="00BF5C70">
        <w:t xml:space="preserve"> </w:t>
      </w:r>
      <w:r w:rsidR="00554ACC" w:rsidRPr="00BF5C70">
        <w:t>Misión Internacional Independiente de Determinación de los Hechos sobre la República Bolivariana de Venezuela, Informe, del 9 al 11 de septiembre de 2024, párr. 580.</w:t>
      </w:r>
    </w:p>
  </w:footnote>
  <w:footnote w:id="92">
    <w:p w14:paraId="22F60326" w14:textId="77777777" w:rsidR="00712200" w:rsidRPr="00BF5C70" w:rsidRDefault="00712200" w:rsidP="00C64934">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Acceso a la Justicia, Procesos sumariales sin derecho a la defensa ni información para los detenidos en el marco de las protestas, 13 de agosto de 2024.</w:t>
      </w:r>
    </w:p>
  </w:footnote>
  <w:footnote w:id="93">
    <w:p w14:paraId="6699F668" w14:textId="33306A25" w:rsidR="005D2866" w:rsidRPr="00BF5C70" w:rsidRDefault="005D2866" w:rsidP="00C64934">
      <w:pPr>
        <w:pStyle w:val="IAPiedepgina"/>
      </w:pPr>
      <w:r w:rsidRPr="005C52BD">
        <w:rPr>
          <w:rStyle w:val="FootnoteReference"/>
          <w:sz w:val="16"/>
          <w:szCs w:val="16"/>
        </w:rPr>
        <w:footnoteRef/>
      </w:r>
      <w:r w:rsidRPr="00BF5C70">
        <w:rPr>
          <w:lang w:val="es-US"/>
        </w:rPr>
        <w:t xml:space="preserve"> </w:t>
      </w:r>
      <w:r w:rsidR="00217D2D" w:rsidRPr="00BF5C70">
        <w:t>Misión Internacional Independiente de Determinación de los Hechos sobre la República Bolivariana de Venezuela, Informe, del 9 al 11 de septiembre de 2024, párr. 557.</w:t>
      </w:r>
    </w:p>
  </w:footnote>
  <w:footnote w:id="94">
    <w:p w14:paraId="66CDF5D4" w14:textId="7795B442" w:rsidR="0014276F" w:rsidRPr="00BF5C70" w:rsidRDefault="0014276F" w:rsidP="00C64934">
      <w:pPr>
        <w:pStyle w:val="IAPiedepgina"/>
      </w:pPr>
      <w:r w:rsidRPr="005C52BD">
        <w:rPr>
          <w:rStyle w:val="FootnoteReference"/>
          <w:rFonts w:cstheme="majorBidi"/>
          <w:sz w:val="16"/>
          <w:szCs w:val="16"/>
          <w:lang w:val="es-ES_tradnl"/>
        </w:rPr>
        <w:footnoteRef/>
      </w:r>
      <w:r w:rsidRPr="00BF5C70">
        <w:t xml:space="preserve"> CIDH, Comunicado de Prensa No. 212/24, </w:t>
      </w:r>
      <w:hyperlink r:id="rId43" w:history="1">
        <w:r w:rsidRPr="001464CA">
          <w:rPr>
            <w:rStyle w:val="Hyperlink"/>
            <w:color w:val="auto"/>
            <w:szCs w:val="16"/>
            <w:lang w:val="es-US"/>
          </w:rPr>
          <w:t>CIDH condena detenciones arbitrarias de niñas, niños y adolescentes en Venezuela en el contexto poselectoral</w:t>
        </w:r>
      </w:hyperlink>
      <w:r w:rsidRPr="00BF5C70">
        <w:t>, 12 de septiembre de 2024.</w:t>
      </w:r>
    </w:p>
  </w:footnote>
  <w:footnote w:id="95">
    <w:p w14:paraId="065CBF2E" w14:textId="77777777" w:rsidR="0014276F" w:rsidRPr="00BF5C70" w:rsidRDefault="0014276F" w:rsidP="00C64934">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Comisión de la Mujer de la Universidad de los Andes, “Régimen de Maduro ignora enfoque de género al detener y privar de libertad a mujeres tras elecciones presidenciales”, 21 de agosto de 2024; Debate, “Te vamos a hacer abortar para que no tengas hijos terroristas: Gobierno de Maduro amenaza a embarazada”, 18 de agosto de 2024; La Patilla, “Hay una joven embarazada: Reportan que al menos 10 adolescentes se encuentran detenidos en Mérida tras protestas”, 5 de agosto de 2024.</w:t>
      </w:r>
    </w:p>
  </w:footnote>
  <w:footnote w:id="96">
    <w:p w14:paraId="2F1EF02C" w14:textId="38EAB98F" w:rsidR="0014276F" w:rsidRPr="00BF5C70" w:rsidRDefault="0014276F" w:rsidP="00C64934">
      <w:pPr>
        <w:pStyle w:val="IAPiedepgina"/>
      </w:pPr>
      <w:r w:rsidRPr="005C52BD">
        <w:rPr>
          <w:rStyle w:val="FootnoteReference"/>
          <w:rFonts w:cstheme="majorBidi"/>
          <w:sz w:val="16"/>
          <w:szCs w:val="16"/>
          <w:lang w:val="es-ES_tradnl"/>
        </w:rPr>
        <w:footnoteRef/>
      </w:r>
      <w:r w:rsidRPr="00BF5C70">
        <w:t xml:space="preserve"> CIDH, Comunicado de Prensa No. 212/24, </w:t>
      </w:r>
      <w:hyperlink r:id="rId44" w:history="1">
        <w:r w:rsidRPr="001464CA">
          <w:rPr>
            <w:rStyle w:val="Hyperlink"/>
            <w:color w:val="auto"/>
            <w:szCs w:val="16"/>
            <w:lang w:val="es-US"/>
          </w:rPr>
          <w:t>CIDH condena detenciones arbitrarias de niñas, niños y adolescentes en Venezuela en el contexto poselectoral</w:t>
        </w:r>
      </w:hyperlink>
      <w:r w:rsidRPr="00BF5C70">
        <w:t>, 12 de septiembre de 2024.</w:t>
      </w:r>
    </w:p>
  </w:footnote>
  <w:footnote w:id="97">
    <w:p w14:paraId="011BB398" w14:textId="77777777" w:rsidR="00E41E87" w:rsidRPr="00BF5C70" w:rsidRDefault="00E41E87" w:rsidP="00C64934">
      <w:pPr>
        <w:pStyle w:val="IAPiedepgina"/>
        <w:rPr>
          <w:vertAlign w:val="superscript"/>
          <w:lang w:val="es-US"/>
        </w:rPr>
      </w:pPr>
      <w:r w:rsidRPr="005C52BD">
        <w:rPr>
          <w:rStyle w:val="FootnoteReference"/>
          <w:sz w:val="16"/>
          <w:szCs w:val="16"/>
        </w:rPr>
        <w:footnoteRef/>
      </w:r>
      <w:r w:rsidRPr="00BF5C70">
        <w:rPr>
          <w:vertAlign w:val="superscript"/>
          <w:lang w:val="es-US"/>
        </w:rPr>
        <w:t xml:space="preserve"> </w:t>
      </w:r>
      <w:r w:rsidRPr="00BF5C70">
        <w:rPr>
          <w:rFonts w:cs="Arial"/>
          <w:shd w:val="clear" w:color="auto" w:fill="FFFFFF"/>
          <w:lang w:val="es-US"/>
        </w:rPr>
        <w:t>BBC, "Mi hijo se pasa el día llorando y les da su comida a otros presos porque ya no quiere comer": el testimonio de la madre de uno de los más de 100 adolescentes detenidos tras las elecciones en Venezuela, 30 de agosto de 2024.</w:t>
      </w:r>
    </w:p>
  </w:footnote>
  <w:footnote w:id="98">
    <w:p w14:paraId="50F0A51F" w14:textId="62124A36" w:rsidR="0014276F" w:rsidRPr="00BF5C70" w:rsidRDefault="0014276F" w:rsidP="00C64934">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Corte IDH. Caso Cabrera García y Montiel Flores Vs. México. Excepción Preliminar, Fondo, Reparaciones y Costas. Sentencia de 26 de noviembre de 2010. Serie C No. 22, párr. 166.</w:t>
      </w:r>
    </w:p>
  </w:footnote>
  <w:footnote w:id="99">
    <w:p w14:paraId="7ABB485B" w14:textId="264BC220" w:rsidR="00FF2A52" w:rsidRPr="00BF5C70" w:rsidRDefault="00FF2A52" w:rsidP="00AE2B32">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CIDH, Comunicado de Prensa No. 178/24, </w:t>
      </w:r>
      <w:hyperlink r:id="rId45" w:history="1">
        <w:r w:rsidRPr="001464CA">
          <w:rPr>
            <w:rStyle w:val="Hyperlink"/>
            <w:color w:val="auto"/>
            <w:szCs w:val="16"/>
            <w:lang w:val="es-US"/>
          </w:rPr>
          <w:t>CIDH otorga medidas cautelares a María Andreina Oropeza Camacho, desaparecida en Venezuela</w:t>
        </w:r>
      </w:hyperlink>
      <w:r w:rsidRPr="00BF5C70">
        <w:rPr>
          <w:shd w:val="clear" w:color="auto" w:fill="FFFFFF"/>
        </w:rPr>
        <w:t>, 10 de agosto de 2024.</w:t>
      </w:r>
    </w:p>
  </w:footnote>
  <w:footnote w:id="100">
    <w:p w14:paraId="7DD3C94F" w14:textId="76002EF4" w:rsidR="00FF2A52" w:rsidRPr="00BF5C70" w:rsidRDefault="00FF2A52" w:rsidP="00AE2B32">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 xml:space="preserve">CIDH, Comunicado de Prensa No. 183/24, </w:t>
      </w:r>
      <w:hyperlink r:id="rId46" w:history="1">
        <w:r w:rsidRPr="001464CA">
          <w:rPr>
            <w:rStyle w:val="Hyperlink"/>
            <w:color w:val="auto"/>
            <w:szCs w:val="16"/>
            <w:lang w:val="es-US"/>
          </w:rPr>
          <w:t>CIDH da seguimiento y modifica medidas cautelares respecto de Williams Dávila en Venezuela</w:t>
        </w:r>
      </w:hyperlink>
      <w:r w:rsidRPr="001464CA">
        <w:rPr>
          <w:rStyle w:val="Hyperlink"/>
          <w:color w:val="auto"/>
          <w:szCs w:val="16"/>
          <w:lang w:val="es-US"/>
        </w:rPr>
        <w:t>,</w:t>
      </w:r>
      <w:r w:rsidRPr="00BF5C70">
        <w:rPr>
          <w:shd w:val="clear" w:color="auto" w:fill="FFFFFF"/>
        </w:rPr>
        <w:t xml:space="preserve"> 14 de agosto de 2024.</w:t>
      </w:r>
    </w:p>
  </w:footnote>
  <w:footnote w:id="101">
    <w:p w14:paraId="40DEDE73" w14:textId="296807AD" w:rsidR="00FF2A52" w:rsidRPr="00BF5C70" w:rsidRDefault="00FF2A52" w:rsidP="00AE2B32">
      <w:pPr>
        <w:pStyle w:val="IAPiedepgina"/>
      </w:pPr>
      <w:r w:rsidRPr="005C52BD">
        <w:rPr>
          <w:rStyle w:val="FootnoteReference"/>
          <w:rFonts w:cstheme="majorBidi"/>
          <w:sz w:val="16"/>
          <w:szCs w:val="16"/>
        </w:rPr>
        <w:footnoteRef/>
      </w:r>
      <w:r w:rsidRPr="00BF5C70">
        <w:t xml:space="preserve"> </w:t>
      </w:r>
      <w:r w:rsidRPr="00BF5C70">
        <w:rPr>
          <w:shd w:val="clear" w:color="auto" w:fill="FFFFFF"/>
        </w:rPr>
        <w:t xml:space="preserve">CIDH, Comunicado de Prensa No. 193/24, </w:t>
      </w:r>
      <w:hyperlink r:id="rId47" w:history="1">
        <w:r w:rsidRPr="001464CA">
          <w:rPr>
            <w:rStyle w:val="Hyperlink"/>
            <w:color w:val="auto"/>
            <w:szCs w:val="16"/>
            <w:lang w:val="es-US"/>
          </w:rPr>
          <w:t>CIDH otorga medidas cautelares al dirigente político Freddy Superlano en Venezuela</w:t>
        </w:r>
      </w:hyperlink>
      <w:r w:rsidRPr="00BF5C70">
        <w:rPr>
          <w:shd w:val="clear" w:color="auto" w:fill="FFFFFF"/>
        </w:rPr>
        <w:t>, 26 de agosto de 2024.</w:t>
      </w:r>
    </w:p>
  </w:footnote>
  <w:footnote w:id="102">
    <w:p w14:paraId="4108BA45" w14:textId="1645CD16" w:rsidR="00FF2A52" w:rsidRPr="00BF5C70" w:rsidRDefault="00FF2A52" w:rsidP="00AE2B32">
      <w:pPr>
        <w:pStyle w:val="IAPiedepgina"/>
      </w:pPr>
      <w:r w:rsidRPr="005C52BD">
        <w:rPr>
          <w:rStyle w:val="FootnoteReference"/>
          <w:rFonts w:cstheme="majorBidi"/>
          <w:sz w:val="16"/>
          <w:szCs w:val="16"/>
        </w:rPr>
        <w:footnoteRef/>
      </w:r>
      <w:r w:rsidRPr="00BF5C70">
        <w:t xml:space="preserve"> </w:t>
      </w:r>
      <w:r w:rsidRPr="00BF5C70">
        <w:rPr>
          <w:shd w:val="clear" w:color="auto" w:fill="FFFFFF"/>
        </w:rPr>
        <w:t xml:space="preserve">CIDH, Comunicado de Prensa No. 209/24, </w:t>
      </w:r>
      <w:hyperlink r:id="rId48" w:history="1">
        <w:r w:rsidRPr="001464CA">
          <w:rPr>
            <w:rStyle w:val="Hyperlink"/>
            <w:color w:val="auto"/>
            <w:szCs w:val="16"/>
            <w:lang w:val="es-US"/>
          </w:rPr>
          <w:t>CIDH otorga medidas cautelares a Biagio Pilieri y su hijo, integrantes del partido Convergencia</w:t>
        </w:r>
      </w:hyperlink>
      <w:r w:rsidRPr="00BF5C70">
        <w:rPr>
          <w:shd w:val="clear" w:color="auto" w:fill="FFFFFF"/>
        </w:rPr>
        <w:t>, en Venezuela, 7 de septiembre de 2024.</w:t>
      </w:r>
    </w:p>
  </w:footnote>
  <w:footnote w:id="103">
    <w:p w14:paraId="729531D2" w14:textId="77777777" w:rsidR="00BF717C" w:rsidRPr="00BF5C70" w:rsidRDefault="00BF717C" w:rsidP="00AE2B32">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Acceso a la Justicia, Procesos sumariales sin derecho a la defensa ni información para los detenidos en el marco de las protestas, 13 de agosto de 2024.</w:t>
      </w:r>
    </w:p>
  </w:footnote>
  <w:footnote w:id="104">
    <w:p w14:paraId="23C8E552" w14:textId="12D42EA0" w:rsidR="005C2CF1" w:rsidRPr="00BF5C70" w:rsidRDefault="005C2CF1" w:rsidP="00AE2B32">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 xml:space="preserve">CIDH, Comunicado de Prensa 184/24, </w:t>
      </w:r>
      <w:hyperlink r:id="rId49" w:history="1">
        <w:r w:rsidRPr="004C70EE">
          <w:rPr>
            <w:rStyle w:val="Hyperlink"/>
            <w:color w:val="auto"/>
            <w:szCs w:val="16"/>
            <w:lang w:val="es-US"/>
          </w:rPr>
          <w:t>CIDH y RELE condenan prácticas de terrorismo de estado en Venezuela</w:t>
        </w:r>
      </w:hyperlink>
      <w:r w:rsidRPr="00BF5C70">
        <w:rPr>
          <w:shd w:val="clear" w:color="auto" w:fill="FFFFFF"/>
        </w:rPr>
        <w:t>, 15 de agosto de 2024.</w:t>
      </w:r>
    </w:p>
  </w:footnote>
  <w:footnote w:id="105">
    <w:p w14:paraId="7A1DD07F" w14:textId="6BCC6DCA" w:rsidR="00304C5E" w:rsidRPr="00BF5C70" w:rsidRDefault="00304C5E" w:rsidP="00AE2B32">
      <w:pPr>
        <w:pStyle w:val="IAPiedepgina"/>
        <w:rPr>
          <w:lang w:val="es-US"/>
        </w:rPr>
      </w:pPr>
      <w:r w:rsidRPr="005C52BD">
        <w:rPr>
          <w:rStyle w:val="FootnoteReference"/>
          <w:sz w:val="16"/>
          <w:szCs w:val="16"/>
        </w:rPr>
        <w:footnoteRef/>
      </w:r>
      <w:r w:rsidRPr="00BF5C70">
        <w:rPr>
          <w:lang w:val="es-US"/>
        </w:rPr>
        <w:t xml:space="preserve"> </w:t>
      </w:r>
      <w:r w:rsidRPr="00BF5C70">
        <w:rPr>
          <w:shd w:val="clear" w:color="auto" w:fill="FFFFFF"/>
        </w:rPr>
        <w:t xml:space="preserve">CIDH, Comunicado de Prensa 184/24, </w:t>
      </w:r>
      <w:hyperlink r:id="rId50" w:history="1">
        <w:r w:rsidRPr="004C70EE">
          <w:rPr>
            <w:rStyle w:val="Hyperlink"/>
            <w:color w:val="auto"/>
            <w:szCs w:val="16"/>
            <w:lang w:val="es-US"/>
          </w:rPr>
          <w:t>CIDH y RELE condenan prácticas de terrorismo de estado en Venezuela</w:t>
        </w:r>
      </w:hyperlink>
      <w:r w:rsidRPr="00BF5C70">
        <w:rPr>
          <w:shd w:val="clear" w:color="auto" w:fill="FFFFFF"/>
        </w:rPr>
        <w:t>, 15 de agosto de 2024.</w:t>
      </w:r>
    </w:p>
  </w:footnote>
  <w:footnote w:id="106">
    <w:p w14:paraId="1F3E4F3E" w14:textId="77777777" w:rsidR="0044526D" w:rsidRPr="00BF5C70" w:rsidRDefault="0044526D" w:rsidP="00AE2B32">
      <w:pPr>
        <w:pStyle w:val="IAPiedepgina"/>
        <w:rPr>
          <w:lang w:val="es-US"/>
        </w:rPr>
      </w:pPr>
      <w:r w:rsidRPr="005C52BD">
        <w:rPr>
          <w:rStyle w:val="FootnoteReference"/>
          <w:sz w:val="16"/>
          <w:szCs w:val="16"/>
        </w:rPr>
        <w:footnoteRef/>
      </w:r>
      <w:r w:rsidRPr="00BF5C70">
        <w:rPr>
          <w:lang w:val="es-US"/>
        </w:rPr>
        <w:t xml:space="preserve"> </w:t>
      </w:r>
      <w:r w:rsidRPr="00BF5C70">
        <w:rPr>
          <w:rFonts w:cs="Arial"/>
          <w:shd w:val="clear" w:color="auto" w:fill="FFFFFF"/>
          <w:lang w:val="es-US"/>
        </w:rPr>
        <w:t>The New York Times, Observadores electorales venezolanos son obligados a exiliarse en Colombia, 10 de septiembre de 2024.</w:t>
      </w:r>
    </w:p>
  </w:footnote>
  <w:footnote w:id="107">
    <w:p w14:paraId="7CF4CC64" w14:textId="17544635" w:rsidR="00414B31" w:rsidRPr="00BF5C70" w:rsidRDefault="00414B31" w:rsidP="00AE2B32">
      <w:pPr>
        <w:pStyle w:val="IAPiedepgina"/>
        <w:rPr>
          <w:lang w:val="es-US"/>
        </w:rPr>
      </w:pPr>
      <w:r w:rsidRPr="005C52BD">
        <w:rPr>
          <w:rStyle w:val="FootnoteReference"/>
          <w:sz w:val="16"/>
          <w:szCs w:val="16"/>
        </w:rPr>
        <w:footnoteRef/>
      </w:r>
      <w:r w:rsidRPr="00BF5C70">
        <w:rPr>
          <w:lang w:val="es-US"/>
        </w:rPr>
        <w:t xml:space="preserve"> </w:t>
      </w:r>
      <w:r w:rsidR="009C10FC" w:rsidRPr="00BF5C70">
        <w:t xml:space="preserve">Misión Internacional Independiente de Determinación de los Hechos sobre la República Bolivariana de Venezuela, Informe, del 9 al 11 de septiembre de 2024, </w:t>
      </w:r>
      <w:r w:rsidR="00934809" w:rsidRPr="00BF5C70">
        <w:t>resumen</w:t>
      </w:r>
      <w:r w:rsidR="009C10FC" w:rsidRPr="00BF5C70">
        <w:t>.</w:t>
      </w:r>
    </w:p>
  </w:footnote>
  <w:footnote w:id="108">
    <w:p w14:paraId="744909EB" w14:textId="7CB48633" w:rsidR="00416F6A" w:rsidRPr="00BF5C70" w:rsidRDefault="00416F6A" w:rsidP="00AE2B32">
      <w:pPr>
        <w:pStyle w:val="IAPiedepgina"/>
        <w:rPr>
          <w:lang w:val="pt-BR"/>
        </w:rPr>
      </w:pPr>
      <w:r w:rsidRPr="005C52BD">
        <w:rPr>
          <w:rStyle w:val="FootnoteReference"/>
          <w:sz w:val="16"/>
          <w:szCs w:val="16"/>
        </w:rPr>
        <w:footnoteRef/>
      </w:r>
      <w:r w:rsidRPr="00BF5C70">
        <w:rPr>
          <w:lang w:val="pt-BR"/>
        </w:rPr>
        <w:t xml:space="preserve"> CIDH, </w:t>
      </w:r>
      <w:hyperlink r:id="rId51" w:history="1">
        <w:r w:rsidRPr="004C70EE">
          <w:rPr>
            <w:rStyle w:val="Hyperlink"/>
            <w:color w:val="auto"/>
            <w:szCs w:val="16"/>
            <w:lang w:val="pt-BR"/>
          </w:rPr>
          <w:t>Informe Anual 2020</w:t>
        </w:r>
      </w:hyperlink>
      <w:r w:rsidR="00571F59" w:rsidRPr="00BF5C70">
        <w:rPr>
          <w:lang w:val="pt-BR"/>
        </w:rPr>
        <w:t>, 16 de abril de 2021.</w:t>
      </w:r>
    </w:p>
  </w:footnote>
  <w:footnote w:id="109">
    <w:p w14:paraId="3E99E9A6" w14:textId="77777777" w:rsidR="00030D8B" w:rsidRPr="00BF5C70" w:rsidRDefault="00030D8B" w:rsidP="009C0019">
      <w:pPr>
        <w:pStyle w:val="IAPiedepgina"/>
      </w:pPr>
      <w:r w:rsidRPr="005C52BD">
        <w:rPr>
          <w:rStyle w:val="FootnoteReference"/>
          <w:rFonts w:cstheme="majorBidi"/>
          <w:sz w:val="16"/>
          <w:szCs w:val="16"/>
          <w:lang w:val="es-ES_tradnl"/>
        </w:rPr>
        <w:footnoteRef/>
      </w:r>
      <w:r w:rsidRPr="00BF5C70">
        <w:t xml:space="preserve"> Ministerio de Relaciones Exteriores, Comercio Internacional y Culto de la República Argentina, Comunicado de Prensa: Partida del personal de la Embajada argentina en Venezuela, 1 de agosto de 2024.</w:t>
      </w:r>
    </w:p>
  </w:footnote>
  <w:footnote w:id="110">
    <w:p w14:paraId="31A54A64" w14:textId="4FF3BFD7" w:rsidR="00030D8B" w:rsidRPr="00BF5C70" w:rsidRDefault="00030D8B" w:rsidP="009C0019">
      <w:pPr>
        <w:pStyle w:val="IAPiedepgina"/>
      </w:pPr>
      <w:r w:rsidRPr="005C52BD">
        <w:rPr>
          <w:rStyle w:val="FootnoteReference"/>
          <w:rFonts w:cstheme="majorBidi"/>
          <w:sz w:val="16"/>
          <w:szCs w:val="16"/>
          <w:lang w:val="es-ES_tradnl"/>
        </w:rPr>
        <w:footnoteRef/>
      </w:r>
      <w:r w:rsidRPr="00BF5C70">
        <w:t xml:space="preserve"> </w:t>
      </w:r>
      <w:r w:rsidRPr="00BF5C70">
        <w:rPr>
          <w:shd w:val="clear" w:color="auto" w:fill="FFFFFF"/>
        </w:rPr>
        <w:t xml:space="preserve">CIDH, Comunicado de Prensa No 215/24, </w:t>
      </w:r>
      <w:hyperlink r:id="rId52" w:history="1">
        <w:r w:rsidRPr="004C70EE">
          <w:rPr>
            <w:rStyle w:val="Hyperlink"/>
            <w:color w:val="auto"/>
            <w:szCs w:val="16"/>
            <w:lang w:val="es-US"/>
          </w:rPr>
          <w:t>Venezuela: CIDH condena exilio de Edmundo González y hostigamiento a la residencia de la embajada de Argentina</w:t>
        </w:r>
      </w:hyperlink>
      <w:r w:rsidRPr="00BF5C70">
        <w:rPr>
          <w:shd w:val="clear" w:color="auto" w:fill="FFFFFF"/>
        </w:rPr>
        <w:t>, 13 de septiembre de 2024.</w:t>
      </w:r>
    </w:p>
  </w:footnote>
  <w:footnote w:id="111">
    <w:p w14:paraId="70C966E2" w14:textId="5A59028B" w:rsidR="00842FC4" w:rsidRPr="00BF5C70" w:rsidRDefault="00842FC4" w:rsidP="009C0019">
      <w:pPr>
        <w:pStyle w:val="IAPiedepgina"/>
        <w:rPr>
          <w:lang w:val="es-US"/>
        </w:rPr>
      </w:pPr>
      <w:r w:rsidRPr="005C52BD">
        <w:rPr>
          <w:rStyle w:val="FootnoteReference"/>
          <w:sz w:val="16"/>
          <w:szCs w:val="16"/>
        </w:rPr>
        <w:footnoteRef/>
      </w:r>
      <w:r w:rsidRPr="00BF5C70">
        <w:rPr>
          <w:lang w:val="es-US"/>
        </w:rPr>
        <w:t xml:space="preserve"> </w:t>
      </w:r>
      <w:r w:rsidR="00AB657E" w:rsidRPr="00BF5C70">
        <w:rPr>
          <w:rFonts w:cs="Arial"/>
          <w:shd w:val="clear" w:color="auto" w:fill="FFFFFF"/>
          <w:lang w:val="es-US"/>
        </w:rPr>
        <w:t>DW, Argentina denuncia nuevo "asedio" a su embajada en Caracas, 23 de noviembre de 2024.</w:t>
      </w:r>
    </w:p>
  </w:footnote>
  <w:footnote w:id="112">
    <w:p w14:paraId="382268C4" w14:textId="77777777" w:rsidR="00A07D76" w:rsidRPr="00BF5C70" w:rsidRDefault="00A07D76" w:rsidP="009C0019">
      <w:pPr>
        <w:pStyle w:val="IAPiedepgina"/>
      </w:pPr>
      <w:r w:rsidRPr="005C52BD">
        <w:rPr>
          <w:rStyle w:val="FootnoteReference"/>
          <w:rFonts w:cstheme="majorBidi"/>
          <w:sz w:val="16"/>
          <w:szCs w:val="16"/>
          <w:lang w:val="es-ES_tradnl"/>
        </w:rPr>
        <w:footnoteRef/>
      </w:r>
      <w:r w:rsidRPr="00BF5C70">
        <w:t xml:space="preserve"> Relatoría Especial para la Libertad de Expresión (RELE), Comunicado de prensa No. 190/24, </w:t>
      </w:r>
      <w:hyperlink r:id="rId53" w:history="1">
        <w:r w:rsidRPr="00BF5C70">
          <w:rPr>
            <w:rStyle w:val="Hyperlink"/>
            <w:rFonts w:cstheme="majorBidi"/>
            <w:color w:val="auto"/>
            <w:szCs w:val="16"/>
            <w:lang w:val="es-ES_tradnl"/>
          </w:rPr>
          <w:t>La RELE alerta a la comunidad internacional sobre detención arbitraria de periodistas y criminalización de la disidencia en Venezuela</w:t>
        </w:r>
      </w:hyperlink>
      <w:r w:rsidRPr="00BF5C70">
        <w:t>, 23 de agosto de 2024.</w:t>
      </w:r>
    </w:p>
  </w:footnote>
  <w:footnote w:id="113">
    <w:p w14:paraId="1B19EA6B" w14:textId="77777777" w:rsidR="00A07D76" w:rsidRPr="00BF5C70" w:rsidRDefault="00A07D76" w:rsidP="009C0019">
      <w:pPr>
        <w:pStyle w:val="IAPiedepgina"/>
      </w:pPr>
      <w:r w:rsidRPr="005C52BD">
        <w:rPr>
          <w:rStyle w:val="FootnoteReference"/>
          <w:rFonts w:cstheme="majorBidi"/>
          <w:sz w:val="16"/>
          <w:szCs w:val="16"/>
          <w:lang w:val="es-ES_tradnl"/>
        </w:rPr>
        <w:footnoteRef/>
      </w:r>
      <w:r w:rsidRPr="00BF5C70">
        <w:t xml:space="preserve"> Espacio Público, </w:t>
      </w:r>
      <w:hyperlink r:id="rId54" w:history="1">
        <w:r w:rsidRPr="00BF5C70">
          <w:rPr>
            <w:rStyle w:val="Hyperlink"/>
            <w:rFonts w:cstheme="majorBidi"/>
            <w:color w:val="auto"/>
            <w:szCs w:val="16"/>
            <w:lang w:val="es-ES_tradnl"/>
          </w:rPr>
          <w:t>Fiscalía ordena detención de periodista Sebastiana Barráez, defensora Tamara Suju y otros</w:t>
        </w:r>
      </w:hyperlink>
      <w:r w:rsidRPr="00BF5C70">
        <w:t>, 22 de enero de 2024.</w:t>
      </w:r>
    </w:p>
  </w:footnote>
  <w:footnote w:id="114">
    <w:p w14:paraId="4C42BBB9" w14:textId="77777777" w:rsidR="00A07D76" w:rsidRPr="00BF5C70" w:rsidRDefault="00A07D76" w:rsidP="005250CE">
      <w:pPr>
        <w:pStyle w:val="IAPiedepgina"/>
      </w:pPr>
      <w:r w:rsidRPr="005C52BD">
        <w:rPr>
          <w:rStyle w:val="FootnoteReference"/>
          <w:rFonts w:cstheme="majorBidi"/>
          <w:sz w:val="16"/>
          <w:szCs w:val="16"/>
          <w:lang w:val="es-ES_tradnl"/>
        </w:rPr>
        <w:footnoteRef/>
      </w:r>
      <w:r w:rsidRPr="00BF5C70">
        <w:t xml:space="preserve"> Espacio Público, </w:t>
      </w:r>
      <w:hyperlink r:id="rId55" w:history="1">
        <w:r w:rsidRPr="00BF5C70">
          <w:rPr>
            <w:rStyle w:val="Hyperlink"/>
            <w:rFonts w:cstheme="majorBidi"/>
            <w:color w:val="auto"/>
            <w:szCs w:val="16"/>
            <w:lang w:val="es-ES_tradnl"/>
          </w:rPr>
          <w:t>Fiscalía ordena detención de periodista Sebastiana Barráez, defensora Tamara Suju y otros</w:t>
        </w:r>
      </w:hyperlink>
      <w:r w:rsidRPr="00BF5C70">
        <w:t>, 22 de enero de 2024.</w:t>
      </w:r>
    </w:p>
  </w:footnote>
  <w:footnote w:id="115">
    <w:p w14:paraId="2A8A3B95" w14:textId="77777777" w:rsidR="00A07D76" w:rsidRPr="00BF5C70" w:rsidRDefault="00A07D76" w:rsidP="005250CE">
      <w:pPr>
        <w:pStyle w:val="IAPiedepgina"/>
      </w:pPr>
      <w:r w:rsidRPr="005C52BD">
        <w:rPr>
          <w:rStyle w:val="FootnoteReference"/>
          <w:rFonts w:cstheme="majorBidi"/>
          <w:sz w:val="16"/>
          <w:szCs w:val="16"/>
          <w:lang w:val="es-ES_tradnl"/>
        </w:rPr>
        <w:footnoteRef/>
      </w:r>
      <w:r w:rsidRPr="00BF5C70">
        <w:t xml:space="preserve"> Radio noticias Venezuela, </w:t>
      </w:r>
      <w:hyperlink r:id="rId56" w:anchor="google_vignette" w:history="1">
        <w:r w:rsidRPr="00BF5C70">
          <w:rPr>
            <w:rStyle w:val="Hyperlink"/>
            <w:rFonts w:cstheme="majorBidi"/>
            <w:color w:val="auto"/>
            <w:szCs w:val="16"/>
            <w:lang w:val="es-ES_tradnl"/>
          </w:rPr>
          <w:t>Colegio Nacional de Periodistas respaldó a Sebastiana Barráez</w:t>
        </w:r>
      </w:hyperlink>
      <w:r w:rsidRPr="00BF5C70">
        <w:t>, 1 de febrero de 2024.</w:t>
      </w:r>
    </w:p>
  </w:footnote>
  <w:footnote w:id="116">
    <w:p w14:paraId="141C843F" w14:textId="77777777" w:rsidR="00A07D76" w:rsidRPr="00BF5C70" w:rsidRDefault="00A07D76" w:rsidP="005250CE">
      <w:pPr>
        <w:pStyle w:val="IAPiedepgina"/>
      </w:pPr>
      <w:r w:rsidRPr="005C52BD">
        <w:rPr>
          <w:rStyle w:val="FootnoteReference"/>
          <w:rFonts w:cstheme="majorBidi"/>
          <w:sz w:val="16"/>
          <w:szCs w:val="16"/>
          <w:lang w:val="es-ES_tradnl"/>
        </w:rPr>
        <w:footnoteRef/>
      </w:r>
      <w:r w:rsidRPr="00BF5C70">
        <w:t xml:space="preserve"> Reporte Ya, [@ReporteYa], (1 de febrero de 2024), La CNP advirtió a la comunidad internacional que el Estado venezolano intenta silenciar a los comunicadores del país, especialmente, en este año electoral, X, </w:t>
      </w:r>
      <w:hyperlink r:id="rId57" w:history="1">
        <w:r w:rsidRPr="00BF5C70">
          <w:rPr>
            <w:rStyle w:val="Hyperlink"/>
            <w:rFonts w:cstheme="majorBidi"/>
            <w:color w:val="auto"/>
            <w:szCs w:val="16"/>
            <w:lang w:val="es-ES_tradnl"/>
          </w:rPr>
          <w:t>https://x.com/reporteya/status/1753035060712738905?s=48&amp;t=058FybLgNCirdwkhUkjOkw</w:t>
        </w:r>
      </w:hyperlink>
      <w:r w:rsidRPr="00BF5C70">
        <w:t xml:space="preserve">. </w:t>
      </w:r>
    </w:p>
  </w:footnote>
  <w:footnote w:id="117">
    <w:p w14:paraId="250A1272" w14:textId="407229DD" w:rsidR="00A07D76" w:rsidRPr="00BF5C70" w:rsidRDefault="00A07D76" w:rsidP="005250CE">
      <w:pPr>
        <w:pStyle w:val="IAPiedepgina"/>
      </w:pPr>
      <w:r w:rsidRPr="005C52BD">
        <w:rPr>
          <w:rStyle w:val="FootnoteReference"/>
          <w:rFonts w:cstheme="majorBidi"/>
          <w:sz w:val="16"/>
          <w:szCs w:val="16"/>
          <w:lang w:val="es-ES_tradnl"/>
        </w:rPr>
        <w:footnoteRef/>
      </w:r>
      <w:r w:rsidRPr="00BF5C70">
        <w:t xml:space="preserve"> Voz, </w:t>
      </w:r>
      <w:hyperlink r:id="rId58" w:history="1">
        <w:r w:rsidRPr="00BF5C70">
          <w:rPr>
            <w:rStyle w:val="Hyperlink"/>
            <w:rFonts w:cstheme="majorBidi"/>
            <w:color w:val="auto"/>
            <w:szCs w:val="16"/>
            <w:lang w:val="es-ES_tradnl"/>
          </w:rPr>
          <w:t xml:space="preserve">El </w:t>
        </w:r>
        <w:r w:rsidR="00506760" w:rsidRPr="00BF5C70">
          <w:rPr>
            <w:rStyle w:val="Hyperlink"/>
            <w:rFonts w:cstheme="majorBidi"/>
            <w:color w:val="auto"/>
            <w:szCs w:val="16"/>
            <w:lang w:val="es-ES_tradnl"/>
          </w:rPr>
          <w:t>gobierno de turno</w:t>
        </w:r>
        <w:r w:rsidRPr="00BF5C70">
          <w:rPr>
            <w:rStyle w:val="Hyperlink"/>
            <w:rFonts w:cstheme="majorBidi"/>
            <w:color w:val="auto"/>
            <w:szCs w:val="16"/>
            <w:lang w:val="es-ES_tradnl"/>
          </w:rPr>
          <w:t xml:space="preserve"> de Maduro acusa falsamente a Orlando Avendaño, periodista de Voz Media, de “instigar al odio” y llamar a la rebelión</w:t>
        </w:r>
      </w:hyperlink>
      <w:r w:rsidRPr="00BF5C70">
        <w:t xml:space="preserve">, 1 de abril de 2024; Infobae, </w:t>
      </w:r>
      <w:hyperlink r:id="rId59" w:history="1">
        <w:r w:rsidRPr="00BF5C70">
          <w:rPr>
            <w:rStyle w:val="Hyperlink"/>
            <w:rFonts w:cstheme="majorBidi"/>
            <w:color w:val="auto"/>
            <w:szCs w:val="16"/>
            <w:lang w:val="es-ES_tradnl"/>
          </w:rPr>
          <w:t xml:space="preserve">Persecución en Venezuela: el </w:t>
        </w:r>
        <w:r w:rsidR="00506760" w:rsidRPr="00BF5C70">
          <w:rPr>
            <w:rStyle w:val="Hyperlink"/>
            <w:rFonts w:cstheme="majorBidi"/>
            <w:color w:val="auto"/>
            <w:szCs w:val="16"/>
            <w:lang w:val="es-ES_tradnl"/>
          </w:rPr>
          <w:t>gobierno de turno</w:t>
        </w:r>
        <w:r w:rsidRPr="00BF5C70">
          <w:rPr>
            <w:rStyle w:val="Hyperlink"/>
            <w:rFonts w:cstheme="majorBidi"/>
            <w:color w:val="auto"/>
            <w:szCs w:val="16"/>
            <w:lang w:val="es-ES_tradnl"/>
          </w:rPr>
          <w:t xml:space="preserve"> de Maduro investiga al periodista Orlando Avendaño, que rechazó las acusaciones</w:t>
        </w:r>
      </w:hyperlink>
      <w:r w:rsidRPr="00BF5C70">
        <w:t xml:space="preserve">, 2 de abril de 2024. </w:t>
      </w:r>
    </w:p>
  </w:footnote>
  <w:footnote w:id="118">
    <w:p w14:paraId="0E7263AD" w14:textId="58BFB2A5" w:rsidR="00A07D76" w:rsidRPr="00BF5C70" w:rsidRDefault="00A07D76" w:rsidP="005250CE">
      <w:pPr>
        <w:pStyle w:val="IAPiedepgina"/>
      </w:pPr>
      <w:r w:rsidRPr="005C52BD">
        <w:rPr>
          <w:rStyle w:val="FootnoteReference"/>
          <w:rFonts w:cstheme="majorBidi"/>
          <w:sz w:val="16"/>
          <w:szCs w:val="16"/>
          <w:lang w:val="es-ES_tradnl"/>
        </w:rPr>
        <w:footnoteRef/>
      </w:r>
      <w:r w:rsidRPr="00BF5C70">
        <w:t xml:space="preserve"> Voz, </w:t>
      </w:r>
      <w:hyperlink r:id="rId60" w:history="1">
        <w:r w:rsidRPr="00BF5C70">
          <w:rPr>
            <w:rStyle w:val="Hyperlink"/>
            <w:rFonts w:cstheme="majorBidi"/>
            <w:color w:val="auto"/>
            <w:szCs w:val="16"/>
            <w:lang w:val="es-ES_tradnl"/>
          </w:rPr>
          <w:t xml:space="preserve">El </w:t>
        </w:r>
        <w:r w:rsidR="00506760" w:rsidRPr="00BF5C70">
          <w:rPr>
            <w:rStyle w:val="Hyperlink"/>
            <w:rFonts w:cstheme="majorBidi"/>
            <w:color w:val="auto"/>
            <w:szCs w:val="16"/>
            <w:lang w:val="es-ES_tradnl"/>
          </w:rPr>
          <w:t>gobierno de turno</w:t>
        </w:r>
        <w:r w:rsidRPr="00BF5C70">
          <w:rPr>
            <w:rStyle w:val="Hyperlink"/>
            <w:rFonts w:cstheme="majorBidi"/>
            <w:color w:val="auto"/>
            <w:szCs w:val="16"/>
            <w:lang w:val="es-ES_tradnl"/>
          </w:rPr>
          <w:t xml:space="preserve"> de Maduro acusa falsamente a Orlando Avendaño, periodista de Voz Media, de “instigar al odio” y llamar a la rebelión</w:t>
        </w:r>
      </w:hyperlink>
      <w:r w:rsidRPr="00BF5C70">
        <w:t xml:space="preserve">, 1 de abril de 2024; Infobae, </w:t>
      </w:r>
      <w:hyperlink r:id="rId61" w:history="1">
        <w:r w:rsidRPr="00BF5C70">
          <w:rPr>
            <w:rStyle w:val="Hyperlink"/>
            <w:rFonts w:cstheme="majorBidi"/>
            <w:color w:val="auto"/>
            <w:szCs w:val="16"/>
            <w:lang w:val="es-ES_tradnl"/>
          </w:rPr>
          <w:t xml:space="preserve">Persecución en Venezuela: el </w:t>
        </w:r>
        <w:r w:rsidR="00506760" w:rsidRPr="00BF5C70">
          <w:rPr>
            <w:rStyle w:val="Hyperlink"/>
            <w:rFonts w:cstheme="majorBidi"/>
            <w:color w:val="auto"/>
            <w:szCs w:val="16"/>
            <w:lang w:val="es-ES_tradnl"/>
          </w:rPr>
          <w:t>gobierno de turno</w:t>
        </w:r>
        <w:r w:rsidRPr="00BF5C70">
          <w:rPr>
            <w:rStyle w:val="Hyperlink"/>
            <w:rFonts w:cstheme="majorBidi"/>
            <w:color w:val="auto"/>
            <w:szCs w:val="16"/>
            <w:lang w:val="es-ES_tradnl"/>
          </w:rPr>
          <w:t xml:space="preserve"> de Maduro investiga al periodista Orlando Avendaño, que rechazó las acusaciones</w:t>
        </w:r>
      </w:hyperlink>
      <w:r w:rsidRPr="00BF5C70">
        <w:t xml:space="preserve">, 2 de abril de 2024. </w:t>
      </w:r>
    </w:p>
  </w:footnote>
  <w:footnote w:id="119">
    <w:p w14:paraId="5566A988" w14:textId="77777777" w:rsidR="00A07D76" w:rsidRPr="00BF5C70" w:rsidRDefault="00A07D76" w:rsidP="005250CE">
      <w:pPr>
        <w:pStyle w:val="IAPiedepgina"/>
      </w:pPr>
      <w:r w:rsidRPr="005C52BD">
        <w:rPr>
          <w:rStyle w:val="FootnoteReference"/>
          <w:rFonts w:cstheme="majorBidi"/>
          <w:sz w:val="16"/>
          <w:szCs w:val="16"/>
          <w:lang w:val="es-ES_tradnl"/>
        </w:rPr>
        <w:footnoteRef/>
      </w:r>
      <w:r w:rsidRPr="00BF5C70">
        <w:t xml:space="preserve"> Voz, </w:t>
      </w:r>
      <w:hyperlink r:id="rId62" w:history="1">
        <w:r w:rsidRPr="00BF5C70">
          <w:rPr>
            <w:rStyle w:val="Hyperlink"/>
            <w:rFonts w:cstheme="majorBidi"/>
            <w:color w:val="auto"/>
            <w:szCs w:val="16"/>
            <w:lang w:val="es-ES_tradnl"/>
          </w:rPr>
          <w:t>Líderes de la comunidad internacional condenan la persecución de la dictadura de Maduro contra Orlando Avendaño, reconocido periodista venezolano crítico del chavismo</w:t>
        </w:r>
      </w:hyperlink>
      <w:r w:rsidRPr="00BF5C70">
        <w:t xml:space="preserve">, 1 de abril de 2024; Efecto Cocuyo, </w:t>
      </w:r>
      <w:hyperlink r:id="rId63" w:anchor="google_vignette" w:history="1">
        <w:r w:rsidRPr="00BF5C70">
          <w:rPr>
            <w:rStyle w:val="Hyperlink"/>
            <w:rFonts w:cstheme="majorBidi"/>
            <w:color w:val="auto"/>
            <w:szCs w:val="16"/>
            <w:lang w:val="es-ES_tradnl"/>
          </w:rPr>
          <w:t>ONG: Investigación contra Orlando Avendaño es un acto de hostigamiento</w:t>
        </w:r>
      </w:hyperlink>
      <w:r w:rsidRPr="00BF5C70">
        <w:t xml:space="preserve">, 3 de abril de 2024. </w:t>
      </w:r>
    </w:p>
  </w:footnote>
  <w:footnote w:id="120">
    <w:p w14:paraId="5E829D65" w14:textId="77777777" w:rsidR="00A07D76" w:rsidRPr="00BF5C70" w:rsidRDefault="00A07D76" w:rsidP="005250CE">
      <w:pPr>
        <w:pStyle w:val="IAPiedepgina"/>
      </w:pPr>
      <w:r w:rsidRPr="005C52BD">
        <w:rPr>
          <w:rStyle w:val="FootnoteReference"/>
          <w:rFonts w:cstheme="majorBidi"/>
          <w:sz w:val="16"/>
          <w:szCs w:val="16"/>
          <w:lang w:val="es-ES_tradnl"/>
        </w:rPr>
        <w:footnoteRef/>
      </w:r>
      <w:r w:rsidRPr="00BF5C70">
        <w:t xml:space="preserve"> Avendaño, O., [@OrlvndoA], (1 de abril de 2024), Lo único que yo he hecho, como periodista, es ejercer mi libertad de expresión. No es un delito, X, </w:t>
      </w:r>
      <w:hyperlink r:id="rId64" w:history="1">
        <w:r w:rsidRPr="00BF5C70">
          <w:rPr>
            <w:rStyle w:val="Hyperlink"/>
            <w:rFonts w:cstheme="majorBidi"/>
            <w:color w:val="auto"/>
            <w:szCs w:val="16"/>
            <w:lang w:val="es-ES_tradnl"/>
          </w:rPr>
          <w:t>https://x.com/OrlvndoA/status/1774917112588386689</w:t>
        </w:r>
      </w:hyperlink>
      <w:r w:rsidRPr="00BF5C70">
        <w:t xml:space="preserve">. </w:t>
      </w:r>
    </w:p>
  </w:footnote>
  <w:footnote w:id="121">
    <w:p w14:paraId="53DD2779" w14:textId="77777777" w:rsidR="00A07D76" w:rsidRPr="00BF5C70" w:rsidRDefault="00A07D76" w:rsidP="005250CE">
      <w:pPr>
        <w:pStyle w:val="IAPiedepgina"/>
      </w:pPr>
      <w:r w:rsidRPr="005C52BD">
        <w:rPr>
          <w:rStyle w:val="FootnoteReference"/>
          <w:rFonts w:cstheme="majorBidi"/>
          <w:sz w:val="16"/>
          <w:szCs w:val="16"/>
          <w:lang w:val="es-ES_tradnl"/>
        </w:rPr>
        <w:footnoteRef/>
      </w:r>
      <w:r w:rsidRPr="00BF5C70">
        <w:t xml:space="preserve"> Espacio Público, [@esppaciopublico], (16 de julio de 2024), Nicolás Maduro volvió a hostigar y amenazó en transmisión de televisión al periodista Orlando Avendaño, X, </w:t>
      </w:r>
      <w:hyperlink r:id="rId65" w:history="1">
        <w:r w:rsidRPr="00BF5C70">
          <w:rPr>
            <w:rStyle w:val="Hyperlink"/>
            <w:rFonts w:cstheme="majorBidi"/>
            <w:color w:val="auto"/>
            <w:szCs w:val="16"/>
            <w:lang w:val="es-ES_tradnl"/>
          </w:rPr>
          <w:t>https://x.com/espaciopublico/status/1813333723888209971</w:t>
        </w:r>
      </w:hyperlink>
      <w:r w:rsidRPr="00BF5C70">
        <w:t xml:space="preserve">. </w:t>
      </w:r>
    </w:p>
  </w:footnote>
  <w:footnote w:id="122">
    <w:p w14:paraId="6640297E" w14:textId="77777777" w:rsidR="00A07D76" w:rsidRPr="00BF5C70" w:rsidRDefault="00A07D76" w:rsidP="005250CE">
      <w:pPr>
        <w:pStyle w:val="IAPiedepgina"/>
      </w:pPr>
      <w:r w:rsidRPr="005C52BD">
        <w:rPr>
          <w:rStyle w:val="FootnoteReference"/>
          <w:rFonts w:cstheme="majorBidi"/>
          <w:sz w:val="16"/>
          <w:szCs w:val="16"/>
          <w:lang w:val="es-ES_tradnl"/>
        </w:rPr>
        <w:footnoteRef/>
      </w:r>
      <w:r w:rsidRPr="00BF5C70">
        <w:t xml:space="preserve"> Espacio Público, </w:t>
      </w:r>
      <w:hyperlink r:id="rId66" w:history="1">
        <w:r w:rsidRPr="00BF5C70">
          <w:rPr>
            <w:rStyle w:val="Hyperlink"/>
            <w:rFonts w:cstheme="majorBidi"/>
            <w:color w:val="auto"/>
            <w:szCs w:val="16"/>
            <w:lang w:val="es-ES_tradnl"/>
          </w:rPr>
          <w:t>Detienen al creador de contenidos Oscar Alejandro Pérez en el Aeropuerto de Maiquetía</w:t>
        </w:r>
      </w:hyperlink>
      <w:r w:rsidRPr="00BF5C70">
        <w:t>, 1 de abril de 2024.</w:t>
      </w:r>
    </w:p>
  </w:footnote>
  <w:footnote w:id="123">
    <w:p w14:paraId="4684AD20" w14:textId="77777777" w:rsidR="00A07D76" w:rsidRPr="00BF5C70" w:rsidRDefault="00A07D76" w:rsidP="005250CE">
      <w:pPr>
        <w:pStyle w:val="IAPiedepgina"/>
      </w:pPr>
      <w:r w:rsidRPr="005C52BD">
        <w:rPr>
          <w:rStyle w:val="FootnoteReference"/>
          <w:rFonts w:cstheme="majorBidi"/>
          <w:sz w:val="16"/>
          <w:szCs w:val="16"/>
          <w:lang w:val="es-ES_tradnl"/>
        </w:rPr>
        <w:footnoteRef/>
      </w:r>
      <w:r w:rsidRPr="00BF5C70">
        <w:t xml:space="preserve"> Infobae,</w:t>
      </w:r>
      <w:r w:rsidRPr="00BF5C70">
        <w:rPr>
          <w:kern w:val="36"/>
          <w:lang w:eastAsia="es-MX"/>
        </w:rPr>
        <w:t xml:space="preserve"> </w:t>
      </w:r>
      <w:hyperlink r:id="rId67" w:history="1">
        <w:r w:rsidRPr="00BF5C70">
          <w:rPr>
            <w:rStyle w:val="Hyperlink"/>
            <w:rFonts w:cstheme="majorBidi"/>
            <w:color w:val="auto"/>
            <w:szCs w:val="16"/>
            <w:lang w:val="es-ES_tradnl"/>
          </w:rPr>
          <w:t>Periodistas presos o con orden de captura y medios bajo amenaza: crece la represión contra la prensa en Venezuela</w:t>
        </w:r>
      </w:hyperlink>
      <w:r w:rsidRPr="00BF5C70">
        <w:t>, 7 de abril de 2024.</w:t>
      </w:r>
    </w:p>
  </w:footnote>
  <w:footnote w:id="124">
    <w:p w14:paraId="6AF2831B" w14:textId="33C2128B" w:rsidR="00A07D76" w:rsidRPr="00BF5C70" w:rsidRDefault="00A07D76" w:rsidP="005250CE">
      <w:pPr>
        <w:pStyle w:val="IAPiedepgina"/>
      </w:pPr>
      <w:r w:rsidRPr="005C52BD">
        <w:rPr>
          <w:rStyle w:val="FootnoteReference"/>
          <w:rFonts w:cstheme="majorBidi"/>
          <w:sz w:val="16"/>
          <w:szCs w:val="16"/>
          <w:lang w:val="es-ES_tradnl"/>
        </w:rPr>
        <w:footnoteRef/>
      </w:r>
      <w:r w:rsidRPr="00BF5C70">
        <w:t xml:space="preserve">Espacio Público, [@espaciopublico], (15 de abril de 2024), Dos hombres vestidos de negro, encapuchados y a bordo de una camioneta sin placas, se llevaron –a la fuerza- al activista y periodista Carlos Julio Rojas, X, </w:t>
      </w:r>
      <w:hyperlink r:id="rId68" w:history="1">
        <w:r w:rsidR="008215AC" w:rsidRPr="008215AC">
          <w:rPr>
            <w:rStyle w:val="Hyperlink"/>
            <w:rFonts w:cstheme="majorBidi"/>
            <w:color w:val="auto"/>
            <w:szCs w:val="16"/>
            <w:lang w:val="es-ES_tradnl"/>
          </w:rPr>
          <w:t>https://x.com/espaciopublico/status/1780051098922868919</w:t>
        </w:r>
      </w:hyperlink>
      <w:r w:rsidR="008215AC">
        <w:t xml:space="preserve">; </w:t>
      </w:r>
      <w:r w:rsidRPr="00BF5C70">
        <w:t xml:space="preserve"> Sindicato Nacional de Trabajadores de la Prensa de Venezuela. (SNTP), [@sntpvenezuela], (15 de abril de 2024) Hombres encapuchados y vestidos de negro se llevaron la noche de este #15Abr al periodista y activista comunitario Carlos Julio Rojas, X, </w:t>
      </w:r>
      <w:hyperlink r:id="rId69" w:history="1">
        <w:r w:rsidR="008215AC" w:rsidRPr="00E642F8">
          <w:rPr>
            <w:rStyle w:val="Hyperlink"/>
            <w:rFonts w:cstheme="majorBidi"/>
            <w:color w:val="auto"/>
            <w:szCs w:val="16"/>
            <w:lang w:val="es-ES_tradnl"/>
          </w:rPr>
          <w:t>https://x.com/sntpvenezuela/status/1780045720738795958</w:t>
        </w:r>
      </w:hyperlink>
      <w:r w:rsidR="00E642F8">
        <w:t>;</w:t>
      </w:r>
      <w:r w:rsidR="008215AC">
        <w:t xml:space="preserve"> </w:t>
      </w:r>
      <w:r w:rsidRPr="00BF5C70">
        <w:t xml:space="preserve"> Provea, [@_Provea], (15 de abril de 2024), 2 hombres de negro secuestran al activista comunitario y periodista, Carlos Julio Rojas, este lunes 15 en Caracas, denuncian sus familiares, X, </w:t>
      </w:r>
      <w:hyperlink r:id="rId70" w:history="1">
        <w:r w:rsidRPr="00BF5C70">
          <w:rPr>
            <w:rStyle w:val="Hyperlink"/>
            <w:rFonts w:cstheme="majorBidi"/>
            <w:color w:val="auto"/>
            <w:szCs w:val="16"/>
            <w:lang w:val="es-ES_tradnl"/>
          </w:rPr>
          <w:t>https://x.com/_Provea/status/1780044290472743423</w:t>
        </w:r>
      </w:hyperlink>
      <w:r w:rsidRPr="00BF5C70">
        <w:t xml:space="preserve">. </w:t>
      </w:r>
    </w:p>
  </w:footnote>
  <w:footnote w:id="125">
    <w:p w14:paraId="749CA4E2" w14:textId="41A87A82" w:rsidR="00A07D76" w:rsidRPr="00BF5C70" w:rsidRDefault="00A07D76" w:rsidP="007B6DF6">
      <w:pPr>
        <w:pStyle w:val="IAPiedepgina"/>
        <w:rPr>
          <w:b/>
        </w:rPr>
      </w:pPr>
      <w:r w:rsidRPr="005C52BD">
        <w:rPr>
          <w:rStyle w:val="FootnoteReference"/>
          <w:rFonts w:cstheme="majorBidi"/>
          <w:sz w:val="16"/>
          <w:szCs w:val="16"/>
        </w:rPr>
        <w:footnoteRef/>
      </w:r>
      <w:r w:rsidRPr="00BF5C70">
        <w:t xml:space="preserve"> Saab, T.W., [@TarekWilliamSaab], (15 de abril de 2024), el Ministerio Público@MinpublicoVEN #informa de la detención el día de #hoy de Carlos Julio Rojas, X, </w:t>
      </w:r>
      <w:hyperlink r:id="rId71" w:history="1">
        <w:r w:rsidRPr="00BF5C70">
          <w:rPr>
            <w:rStyle w:val="Hyperlink"/>
            <w:rFonts w:cstheme="majorBidi"/>
            <w:color w:val="auto"/>
          </w:rPr>
          <w:t>https://x.com/TarekWiliamSaab/status/1780075541804065271?t=JvCxoI0a4Ehk7wr2gTDdpw&amp;s=19</w:t>
        </w:r>
      </w:hyperlink>
      <w:r w:rsidRPr="00BF5C70">
        <w:t>;</w:t>
      </w:r>
      <w:r w:rsidR="006D501F">
        <w:t xml:space="preserve"> </w:t>
      </w:r>
      <w:r w:rsidRPr="00BF5C70">
        <w:t xml:space="preserve">Runrun.es, </w:t>
      </w:r>
      <w:hyperlink r:id="rId72" w:history="1">
        <w:r w:rsidRPr="00BF5C70">
          <w:rPr>
            <w:rStyle w:val="Hyperlink"/>
            <w:rFonts w:cstheme="majorBidi"/>
            <w:color w:val="auto"/>
          </w:rPr>
          <w:t>Cinco delitos le imputaron a periodista Carlos Julio Rojas,</w:t>
        </w:r>
      </w:hyperlink>
      <w:r w:rsidRPr="00BF5C70">
        <w:t xml:space="preserve"> abril de 2024. </w:t>
      </w:r>
    </w:p>
  </w:footnote>
  <w:footnote w:id="126">
    <w:p w14:paraId="386E5888" w14:textId="77777777" w:rsidR="00A07D76" w:rsidRPr="00BF5C70" w:rsidRDefault="00A07D76" w:rsidP="007B6DF6">
      <w:pPr>
        <w:pStyle w:val="IAPiedepgina"/>
        <w:rPr>
          <w:b/>
          <w:szCs w:val="16"/>
          <w:lang w:val="es-ES_tradnl"/>
        </w:rPr>
      </w:pPr>
      <w:r w:rsidRPr="005C52BD">
        <w:rPr>
          <w:rStyle w:val="FootnoteReference"/>
          <w:rFonts w:cstheme="majorBidi"/>
          <w:sz w:val="16"/>
          <w:szCs w:val="16"/>
          <w:lang w:val="es-ES_tradnl"/>
        </w:rPr>
        <w:footnoteRef/>
      </w:r>
      <w:r w:rsidRPr="00BF5C70">
        <w:rPr>
          <w:szCs w:val="16"/>
          <w:lang w:val="es-ES_tradnl"/>
        </w:rPr>
        <w:t xml:space="preserve"> Infobae, </w:t>
      </w:r>
      <w:hyperlink r:id="rId73" w:history="1">
        <w:r w:rsidRPr="00BF5C70">
          <w:rPr>
            <w:rStyle w:val="Hyperlink"/>
            <w:rFonts w:cstheme="majorBidi"/>
            <w:color w:val="auto"/>
            <w:szCs w:val="16"/>
            <w:lang w:val="es-ES_tradnl"/>
          </w:rPr>
          <w:t>Nueva arremetida contra la prensa en Venezuela: detuvieron a un periodista y otro forcejeó con quienes pretendieron llevárselo</w:t>
        </w:r>
      </w:hyperlink>
      <w:r w:rsidRPr="00BF5C70">
        <w:rPr>
          <w:szCs w:val="16"/>
          <w:lang w:val="es-ES_tradnl"/>
        </w:rPr>
        <w:t>, 16 de abril de 2024.</w:t>
      </w:r>
    </w:p>
  </w:footnote>
  <w:footnote w:id="127">
    <w:p w14:paraId="7C471891" w14:textId="77777777" w:rsidR="00A07D76" w:rsidRPr="00BF5C70" w:rsidRDefault="00A07D76" w:rsidP="007B6DF6">
      <w:pPr>
        <w:pStyle w:val="IAPiedepgina"/>
        <w:rPr>
          <w:szCs w:val="16"/>
          <w:lang w:val="es-ES_tradnl"/>
        </w:rPr>
      </w:pPr>
      <w:r w:rsidRPr="005C52BD">
        <w:rPr>
          <w:rStyle w:val="FootnoteReference"/>
          <w:rFonts w:cstheme="majorBidi"/>
          <w:sz w:val="16"/>
          <w:szCs w:val="16"/>
          <w:lang w:val="es-ES_tradnl"/>
        </w:rPr>
        <w:footnoteRef/>
      </w:r>
      <w:r w:rsidRPr="00BF5C70">
        <w:rPr>
          <w:szCs w:val="16"/>
          <w:lang w:val="es-ES_tradnl"/>
        </w:rPr>
        <w:t xml:space="preserve"> Instituto Prensa y Sociedad (IPYS), </w:t>
      </w:r>
      <w:hyperlink r:id="rId74" w:history="1">
        <w:r w:rsidRPr="00BF5C70">
          <w:rPr>
            <w:rStyle w:val="Hyperlink"/>
            <w:rFonts w:cstheme="majorBidi"/>
            <w:color w:val="auto"/>
            <w:szCs w:val="16"/>
            <w:lang w:val="es-ES_tradnl"/>
          </w:rPr>
          <w:t>Presuntos funcionarios de la PNB intentaron detener al periodista Yuyser González,</w:t>
        </w:r>
      </w:hyperlink>
      <w:r w:rsidRPr="00BF5C70">
        <w:rPr>
          <w:szCs w:val="16"/>
          <w:lang w:val="es-ES_tradnl"/>
        </w:rPr>
        <w:t xml:space="preserve"> 15 de abril de 2024. </w:t>
      </w:r>
    </w:p>
  </w:footnote>
  <w:footnote w:id="128">
    <w:p w14:paraId="4E867799" w14:textId="77777777" w:rsidR="00A07D76" w:rsidRPr="00BF5C70" w:rsidRDefault="00A07D76" w:rsidP="007B6DF6">
      <w:pPr>
        <w:pStyle w:val="IAPiedepgina"/>
        <w:rPr>
          <w:szCs w:val="16"/>
          <w:lang w:val="es-ES_tradnl"/>
        </w:rPr>
      </w:pPr>
      <w:r w:rsidRPr="005C52BD">
        <w:rPr>
          <w:rStyle w:val="FootnoteReference"/>
          <w:rFonts w:cstheme="majorBidi"/>
          <w:sz w:val="16"/>
          <w:szCs w:val="16"/>
          <w:lang w:val="es-ES_tradnl"/>
        </w:rPr>
        <w:footnoteRef/>
      </w:r>
      <w:r w:rsidRPr="00BF5C70">
        <w:rPr>
          <w:szCs w:val="16"/>
          <w:lang w:val="es-ES_tradnl"/>
        </w:rPr>
        <w:t xml:space="preserve"> Infobae, </w:t>
      </w:r>
      <w:hyperlink r:id="rId75" w:history="1">
        <w:r w:rsidRPr="00BF5C70">
          <w:rPr>
            <w:rStyle w:val="Hyperlink"/>
            <w:rFonts w:cstheme="majorBidi"/>
            <w:color w:val="auto"/>
            <w:szCs w:val="16"/>
            <w:lang w:val="es-ES_tradnl"/>
          </w:rPr>
          <w:t>Nueva arremetida contra la prensa en Venezuela: detuvieron a un periodista y otro forcejeó con quienes pretendieron llevárselo</w:t>
        </w:r>
      </w:hyperlink>
      <w:r w:rsidRPr="00BF5C70">
        <w:rPr>
          <w:szCs w:val="16"/>
          <w:lang w:val="es-ES_tradnl"/>
        </w:rPr>
        <w:t>, 16 de abril de 2024.</w:t>
      </w:r>
    </w:p>
  </w:footnote>
  <w:footnote w:id="129">
    <w:p w14:paraId="17A70B6A" w14:textId="77777777" w:rsidR="00A07D76" w:rsidRPr="00BF5C70" w:rsidRDefault="00A07D76" w:rsidP="007B6DF6">
      <w:pPr>
        <w:pStyle w:val="IAPiedepgina"/>
        <w:rPr>
          <w:szCs w:val="16"/>
          <w:lang w:val="es-ES_tradnl"/>
        </w:rPr>
      </w:pPr>
      <w:r w:rsidRPr="005C52BD">
        <w:rPr>
          <w:rStyle w:val="FootnoteReference"/>
          <w:rFonts w:cstheme="majorBidi"/>
          <w:sz w:val="16"/>
          <w:szCs w:val="16"/>
          <w:lang w:val="es-ES_tradnl"/>
        </w:rPr>
        <w:footnoteRef/>
      </w:r>
      <w:r w:rsidRPr="00BF5C70">
        <w:rPr>
          <w:szCs w:val="16"/>
          <w:lang w:val="es-ES_tradnl"/>
        </w:rPr>
        <w:t xml:space="preserve"> El Nacional, </w:t>
      </w:r>
      <w:hyperlink r:id="rId76" w:history="1">
        <w:r w:rsidRPr="00BF5C70">
          <w:rPr>
            <w:rStyle w:val="Hyperlink"/>
            <w:rFonts w:cstheme="majorBidi"/>
            <w:color w:val="auto"/>
            <w:szCs w:val="16"/>
            <w:lang w:val="es-ES_tradnl"/>
          </w:rPr>
          <w:t>Saab vincula a periodistas venezolanos con El Aissami: «Dirigían campañas de descrédito contra el Estado»,</w:t>
        </w:r>
      </w:hyperlink>
      <w:r w:rsidRPr="00BF5C70">
        <w:rPr>
          <w:szCs w:val="16"/>
          <w:lang w:val="es-ES_tradnl"/>
        </w:rPr>
        <w:t xml:space="preserve"> 7 de mayo de 2024. </w:t>
      </w:r>
    </w:p>
  </w:footnote>
  <w:footnote w:id="130">
    <w:p w14:paraId="7E6DAB62" w14:textId="77777777" w:rsidR="00A07D76" w:rsidRPr="00BF5C70" w:rsidRDefault="00A07D76" w:rsidP="007B6DF6">
      <w:pPr>
        <w:pStyle w:val="IAPiedepgina"/>
        <w:rPr>
          <w:szCs w:val="16"/>
        </w:rPr>
      </w:pPr>
      <w:r w:rsidRPr="005C52BD">
        <w:rPr>
          <w:rStyle w:val="FootnoteReference"/>
          <w:rFonts w:cstheme="majorBidi"/>
          <w:sz w:val="16"/>
          <w:szCs w:val="16"/>
        </w:rPr>
        <w:footnoteRef/>
      </w:r>
      <w:r w:rsidRPr="00BF5C70">
        <w:rPr>
          <w:szCs w:val="16"/>
        </w:rPr>
        <w:t xml:space="preserve"> Ministerio Público de la República Bolivariana de Venezuela, [@MinpublicoVEN], (7 de mayo de 2024), Tarek William Saab: Refiere también que El Aissami tenía una relación con el portal ArmandoInfo, dirigido por Roberto Deniz y Ewald Scharfenberg, X, </w:t>
      </w:r>
      <w:hyperlink r:id="rId77" w:history="1">
        <w:r w:rsidRPr="00BF5C70">
          <w:rPr>
            <w:rStyle w:val="Hyperlink"/>
            <w:rFonts w:cstheme="majorBidi"/>
            <w:color w:val="auto"/>
            <w:szCs w:val="16"/>
          </w:rPr>
          <w:t>https://x.com/MinpublicoVEN/status/1787899980641931629?t=pMQWCgoAkmc-hXwhZmKQ2g&amp;s=08</w:t>
        </w:r>
      </w:hyperlink>
      <w:r w:rsidRPr="00BF5C70">
        <w:rPr>
          <w:szCs w:val="16"/>
        </w:rPr>
        <w:t xml:space="preserve">; Armando.Info, </w:t>
      </w:r>
      <w:hyperlink r:id="rId78" w:history="1">
        <w:r w:rsidRPr="00BF5C70">
          <w:rPr>
            <w:rStyle w:val="Hyperlink"/>
            <w:rFonts w:cstheme="majorBidi"/>
            <w:color w:val="auto"/>
            <w:szCs w:val="16"/>
          </w:rPr>
          <w:t>A la opinión pública</w:t>
        </w:r>
      </w:hyperlink>
      <w:r w:rsidRPr="00BF5C70">
        <w:rPr>
          <w:szCs w:val="16"/>
        </w:rPr>
        <w:t>, 7 de mayo de 2024.</w:t>
      </w:r>
    </w:p>
  </w:footnote>
  <w:footnote w:id="131">
    <w:p w14:paraId="5054D28D" w14:textId="7CE29BF5" w:rsidR="00A07D76" w:rsidRPr="00BF5C70" w:rsidRDefault="00A07D76" w:rsidP="007B6DF6">
      <w:pPr>
        <w:pStyle w:val="IAPiedepgina"/>
        <w:rPr>
          <w:szCs w:val="16"/>
          <w:lang w:val="es-ES_tradnl"/>
        </w:rPr>
      </w:pPr>
      <w:r w:rsidRPr="005C52BD">
        <w:rPr>
          <w:rStyle w:val="FootnoteReference"/>
          <w:rFonts w:cstheme="majorBidi"/>
          <w:sz w:val="16"/>
          <w:szCs w:val="16"/>
          <w:lang w:val="es-ES_tradnl"/>
        </w:rPr>
        <w:footnoteRef/>
      </w:r>
      <w:r w:rsidRPr="00BF5C70">
        <w:rPr>
          <w:szCs w:val="16"/>
          <w:lang w:val="es-ES_tradnl"/>
        </w:rPr>
        <w:t xml:space="preserve"> Fundación para la Libertad de Prensa (FLIP), </w:t>
      </w:r>
      <w:hyperlink r:id="rId79" w:history="1">
        <w:r w:rsidRPr="00BF5C70">
          <w:rPr>
            <w:rStyle w:val="Hyperlink"/>
            <w:rFonts w:cstheme="majorBidi"/>
            <w:color w:val="auto"/>
            <w:szCs w:val="16"/>
            <w:lang w:val="es-ES_tradnl"/>
          </w:rPr>
          <w:t>Ministerio Público de Venezuela criminaliza el trabajo investigativo de periodistas de Armando.</w:t>
        </w:r>
        <w:r w:rsidR="00E657F3">
          <w:rPr>
            <w:rStyle w:val="Hyperlink"/>
            <w:rFonts w:cstheme="majorBidi"/>
            <w:color w:val="auto"/>
            <w:szCs w:val="16"/>
            <w:lang w:val="es-ES_tradnl"/>
          </w:rPr>
          <w:t xml:space="preserve"> </w:t>
        </w:r>
        <w:r w:rsidRPr="00BF5C70">
          <w:rPr>
            <w:rStyle w:val="Hyperlink"/>
            <w:rFonts w:cstheme="majorBidi"/>
            <w:color w:val="auto"/>
            <w:szCs w:val="16"/>
            <w:lang w:val="es-ES_tradnl"/>
          </w:rPr>
          <w:t>Info</w:t>
        </w:r>
      </w:hyperlink>
      <w:r w:rsidRPr="00BF5C70">
        <w:rPr>
          <w:szCs w:val="16"/>
          <w:lang w:val="es-ES_tradnl"/>
        </w:rPr>
        <w:t xml:space="preserve">, 9 de mayo de 2024; Ntn24, </w:t>
      </w:r>
      <w:hyperlink r:id="rId80" w:history="1">
        <w:r w:rsidRPr="00BF5C70">
          <w:rPr>
            <w:rStyle w:val="Hyperlink"/>
            <w:rFonts w:cstheme="majorBidi"/>
            <w:color w:val="auto"/>
            <w:szCs w:val="16"/>
            <w:lang w:val="es-ES_tradnl"/>
          </w:rPr>
          <w:t>"Un mal chiste": Periodistas de 'ArmandoInfo' niegan vínculos con Tareck El Aissami</w:t>
        </w:r>
      </w:hyperlink>
      <w:r w:rsidRPr="00BF5C70">
        <w:rPr>
          <w:szCs w:val="16"/>
          <w:lang w:val="es-ES_tradnl"/>
        </w:rPr>
        <w:t xml:space="preserve">, 8 de mayo de 2024. </w:t>
      </w:r>
    </w:p>
  </w:footnote>
  <w:footnote w:id="132">
    <w:p w14:paraId="611E401D" w14:textId="77777777" w:rsidR="00A07D76" w:rsidRPr="00BF5C70" w:rsidRDefault="00A07D76" w:rsidP="007B6DF6">
      <w:pPr>
        <w:pStyle w:val="IAPiedepgina"/>
        <w:rPr>
          <w:szCs w:val="16"/>
          <w:lang w:val="es-ES_tradnl"/>
        </w:rPr>
      </w:pPr>
      <w:r w:rsidRPr="005C52BD">
        <w:rPr>
          <w:rStyle w:val="FootnoteReference"/>
          <w:rFonts w:cstheme="majorBidi"/>
          <w:sz w:val="16"/>
          <w:szCs w:val="16"/>
          <w:lang w:val="es-ES_tradnl"/>
        </w:rPr>
        <w:footnoteRef/>
      </w:r>
      <w:r w:rsidRPr="00BF5C70">
        <w:rPr>
          <w:szCs w:val="16"/>
          <w:lang w:val="es-ES_tradnl"/>
        </w:rPr>
        <w:t xml:space="preserve"> Reporteros Sin Fronteras (RSF), </w:t>
      </w:r>
      <w:hyperlink r:id="rId81" w:history="1">
        <w:r w:rsidRPr="00BF5C70">
          <w:rPr>
            <w:rStyle w:val="Hyperlink"/>
            <w:rFonts w:cstheme="majorBidi"/>
            <w:color w:val="auto"/>
            <w:szCs w:val="16"/>
            <w:lang w:val="es-ES_tradnl"/>
          </w:rPr>
          <w:t>Venezuela: RSF registra 70 ataques a la libertad de prensa en 15 días</w:t>
        </w:r>
      </w:hyperlink>
      <w:r w:rsidRPr="00BF5C70">
        <w:rPr>
          <w:szCs w:val="16"/>
          <w:lang w:val="es-ES_tradnl"/>
        </w:rPr>
        <w:t xml:space="preserve">, 13 de agosto de 2024. </w:t>
      </w:r>
    </w:p>
  </w:footnote>
  <w:footnote w:id="133">
    <w:p w14:paraId="608E9105" w14:textId="77777777" w:rsidR="00A07D76" w:rsidRPr="00BF5C70" w:rsidRDefault="00A07D76" w:rsidP="007B6DF6">
      <w:pPr>
        <w:pStyle w:val="IAPiedepgina"/>
        <w:rPr>
          <w:szCs w:val="16"/>
          <w:lang w:val="es-ES_tradnl"/>
        </w:rPr>
      </w:pPr>
      <w:r w:rsidRPr="005C52BD">
        <w:rPr>
          <w:rStyle w:val="FootnoteReference"/>
          <w:rFonts w:cstheme="majorBidi"/>
          <w:sz w:val="16"/>
          <w:szCs w:val="16"/>
          <w:lang w:val="es-ES_tradnl"/>
        </w:rPr>
        <w:footnoteRef/>
      </w:r>
      <w:r w:rsidRPr="00BF5C70">
        <w:rPr>
          <w:szCs w:val="16"/>
          <w:lang w:val="es-ES_tradnl"/>
        </w:rPr>
        <w:t xml:space="preserve"> RSF, </w:t>
      </w:r>
      <w:hyperlink r:id="rId82" w:history="1">
        <w:r w:rsidRPr="00BF5C70">
          <w:rPr>
            <w:rStyle w:val="Hyperlink"/>
            <w:rFonts w:cstheme="majorBidi"/>
            <w:color w:val="auto"/>
            <w:szCs w:val="16"/>
            <w:lang w:val="es-ES_tradnl"/>
          </w:rPr>
          <w:t>Venezuela: RSF registra 70 ataques a la libertad de prensa en 15 días</w:t>
        </w:r>
      </w:hyperlink>
      <w:r w:rsidRPr="00BF5C70">
        <w:rPr>
          <w:szCs w:val="16"/>
          <w:lang w:val="es-ES_tradnl"/>
        </w:rPr>
        <w:t xml:space="preserve">, 13 de agosto de 2024. </w:t>
      </w:r>
    </w:p>
  </w:footnote>
  <w:footnote w:id="134">
    <w:p w14:paraId="585E49A7" w14:textId="77777777" w:rsidR="00A07D76" w:rsidRPr="00BF5C70" w:rsidRDefault="00A07D76" w:rsidP="007B6DF6">
      <w:pPr>
        <w:pStyle w:val="IAPiedepgina"/>
        <w:rPr>
          <w:szCs w:val="16"/>
          <w:lang w:val="es-ES_tradnl"/>
        </w:rPr>
      </w:pPr>
      <w:r w:rsidRPr="005C52BD">
        <w:rPr>
          <w:rStyle w:val="FootnoteReference"/>
          <w:rFonts w:cstheme="majorBidi"/>
          <w:sz w:val="16"/>
          <w:szCs w:val="16"/>
          <w:lang w:val="es-ES_tradnl"/>
        </w:rPr>
        <w:footnoteRef/>
      </w:r>
      <w:r w:rsidRPr="00BF5C70">
        <w:rPr>
          <w:szCs w:val="16"/>
          <w:lang w:val="es-ES_tradnl"/>
        </w:rPr>
        <w:t xml:space="preserve"> El Pitazo, </w:t>
      </w:r>
      <w:hyperlink r:id="rId83" w:history="1">
        <w:r w:rsidRPr="00BF5C70">
          <w:rPr>
            <w:rStyle w:val="Hyperlink"/>
            <w:rFonts w:cstheme="majorBidi"/>
            <w:color w:val="auto"/>
            <w:szCs w:val="16"/>
            <w:lang w:val="es-ES_tradnl"/>
          </w:rPr>
          <w:t>Camarógrafo Paúl León irá a juicio tras ser detenido en una cobertura postelectoral</w:t>
        </w:r>
      </w:hyperlink>
      <w:r w:rsidRPr="00BF5C70">
        <w:rPr>
          <w:szCs w:val="16"/>
          <w:lang w:val="es-ES_tradnl"/>
        </w:rPr>
        <w:t>, 23 de octubre de 2024.</w:t>
      </w:r>
    </w:p>
  </w:footnote>
  <w:footnote w:id="135">
    <w:p w14:paraId="343C6788" w14:textId="77777777" w:rsidR="00A07D76" w:rsidRPr="00BF5C70" w:rsidRDefault="00A07D76" w:rsidP="007B6DF6">
      <w:pPr>
        <w:pStyle w:val="IAPiedepgina"/>
        <w:rPr>
          <w:szCs w:val="16"/>
          <w:lang w:val="es-ES_tradnl"/>
        </w:rPr>
      </w:pPr>
      <w:r w:rsidRPr="005C52BD">
        <w:rPr>
          <w:rStyle w:val="FootnoteReference"/>
          <w:rFonts w:cstheme="majorBidi"/>
          <w:sz w:val="16"/>
          <w:szCs w:val="16"/>
          <w:lang w:val="es-ES_tradnl"/>
        </w:rPr>
        <w:footnoteRef/>
      </w:r>
      <w:r w:rsidRPr="00BF5C70">
        <w:rPr>
          <w:szCs w:val="16"/>
          <w:lang w:val="es-ES_tradnl"/>
        </w:rPr>
        <w:t xml:space="preserve"> RSF, </w:t>
      </w:r>
      <w:hyperlink r:id="rId84" w:history="1">
        <w:r w:rsidRPr="00BF5C70">
          <w:rPr>
            <w:rStyle w:val="Hyperlink"/>
            <w:rFonts w:cstheme="majorBidi"/>
            <w:color w:val="auto"/>
            <w:szCs w:val="16"/>
            <w:lang w:val="es-ES_tradnl"/>
          </w:rPr>
          <w:t>Venezuela: RSF registra 70 ataques a la libertad de prensa en 15 días</w:t>
        </w:r>
      </w:hyperlink>
      <w:r w:rsidRPr="00BF5C70">
        <w:rPr>
          <w:szCs w:val="16"/>
          <w:lang w:val="es-ES_tradnl"/>
        </w:rPr>
        <w:t xml:space="preserve">, 13 de agosto de 2024; Efecto Cocuyo, </w:t>
      </w:r>
      <w:hyperlink r:id="rId85" w:history="1">
        <w:r w:rsidRPr="00BF5C70">
          <w:rPr>
            <w:rStyle w:val="Hyperlink"/>
            <w:rFonts w:cstheme="majorBidi"/>
            <w:color w:val="auto"/>
            <w:szCs w:val="16"/>
            <w:lang w:val="es-ES_tradnl"/>
          </w:rPr>
          <w:t>Fiscalía ratifica cargos de terrorismo contra reportera Deisy Peña</w:t>
        </w:r>
      </w:hyperlink>
      <w:r w:rsidRPr="00BF5C70">
        <w:rPr>
          <w:szCs w:val="16"/>
          <w:lang w:val="es-ES_tradnl"/>
        </w:rPr>
        <w:t>, 23 de octubre de 2024.</w:t>
      </w:r>
    </w:p>
  </w:footnote>
  <w:footnote w:id="136">
    <w:p w14:paraId="0C5C9A69" w14:textId="77777777" w:rsidR="00A07D76" w:rsidRPr="00BF5C70" w:rsidRDefault="00A07D76" w:rsidP="007B6DF6">
      <w:pPr>
        <w:pStyle w:val="IAPiedepgina"/>
        <w:rPr>
          <w:szCs w:val="16"/>
          <w:lang w:val="es-ES_tradnl"/>
        </w:rPr>
      </w:pPr>
      <w:r w:rsidRPr="005C52BD">
        <w:rPr>
          <w:rStyle w:val="FootnoteReference"/>
          <w:rFonts w:cstheme="majorBidi"/>
          <w:sz w:val="16"/>
          <w:szCs w:val="16"/>
          <w:lang w:val="es-ES_tradnl"/>
        </w:rPr>
        <w:footnoteRef/>
      </w:r>
      <w:r w:rsidRPr="00BF5C70">
        <w:rPr>
          <w:szCs w:val="16"/>
          <w:lang w:val="es-ES_tradnl"/>
        </w:rPr>
        <w:t xml:space="preserve"> DW, </w:t>
      </w:r>
      <w:hyperlink r:id="rId86" w:history="1">
        <w:r w:rsidRPr="00BF5C70">
          <w:rPr>
            <w:rStyle w:val="Hyperlink"/>
            <w:rFonts w:cstheme="majorBidi"/>
            <w:color w:val="auto"/>
            <w:szCs w:val="16"/>
            <w:lang w:val="es-ES_tradnl"/>
          </w:rPr>
          <w:t>SNTP: acusan a 4 periodistas de "terrorismo" en Venezuela</w:t>
        </w:r>
      </w:hyperlink>
      <w:r w:rsidRPr="00BF5C70">
        <w:rPr>
          <w:szCs w:val="16"/>
          <w:lang w:val="es-ES_tradnl"/>
        </w:rPr>
        <w:t xml:space="preserve">, 8 de agosto de 2024. </w:t>
      </w:r>
    </w:p>
  </w:footnote>
  <w:footnote w:id="137">
    <w:p w14:paraId="579C64FE" w14:textId="3AFFA826" w:rsidR="00A07D76" w:rsidRPr="00BF5C70" w:rsidRDefault="00A07D76" w:rsidP="007B6DF6">
      <w:pPr>
        <w:pStyle w:val="IAPiedepgina"/>
        <w:rPr>
          <w:szCs w:val="16"/>
          <w:lang w:val="es-ES_tradnl"/>
        </w:rPr>
      </w:pPr>
      <w:r w:rsidRPr="005C52BD">
        <w:rPr>
          <w:rStyle w:val="FootnoteReference"/>
          <w:rFonts w:cstheme="majorBidi"/>
          <w:sz w:val="16"/>
          <w:szCs w:val="16"/>
          <w:lang w:val="es-ES_tradnl"/>
        </w:rPr>
        <w:footnoteRef/>
      </w:r>
      <w:r w:rsidRPr="00BF5C70">
        <w:rPr>
          <w:szCs w:val="16"/>
          <w:lang w:val="es-ES_tradnl"/>
        </w:rPr>
        <w:t xml:space="preserve"> Espacio Público,</w:t>
      </w:r>
      <w:r w:rsidR="00E657F3">
        <w:rPr>
          <w:szCs w:val="16"/>
          <w:lang w:val="es-ES_tradnl"/>
        </w:rPr>
        <w:t xml:space="preserve"> </w:t>
      </w:r>
      <w:hyperlink r:id="rId87" w:history="1">
        <w:r w:rsidRPr="00BF5C70">
          <w:rPr>
            <w:rStyle w:val="Hyperlink"/>
            <w:rFonts w:cstheme="majorBidi"/>
            <w:color w:val="auto"/>
            <w:szCs w:val="16"/>
            <w:lang w:val="es-ES_tradnl"/>
          </w:rPr>
          <w:t>Agosto: censura y represión poselectoral</w:t>
        </w:r>
      </w:hyperlink>
      <w:r w:rsidRPr="00BF5C70">
        <w:rPr>
          <w:szCs w:val="16"/>
          <w:lang w:val="es-ES_tradnl"/>
        </w:rPr>
        <w:t>, 5 de septiembre de 2024.</w:t>
      </w:r>
    </w:p>
  </w:footnote>
  <w:footnote w:id="138">
    <w:p w14:paraId="25DB3C9E"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CIDH, </w:t>
      </w:r>
      <w:hyperlink r:id="rId88" w:history="1">
        <w:r w:rsidRPr="00BF5C70">
          <w:rPr>
            <w:rStyle w:val="Hyperlink"/>
            <w:rFonts w:cstheme="majorBidi"/>
            <w:color w:val="auto"/>
            <w:szCs w:val="16"/>
            <w:lang w:val="es-ES_tradnl"/>
          </w:rPr>
          <w:t>Resolución 50/2024</w:t>
        </w:r>
      </w:hyperlink>
      <w:r w:rsidRPr="00BF5C70">
        <w:t>, Medidas Cautelares No. 883-24, Asunto Roland Oswaldo Carreño Gutiérrez respecto de Venezuela, 17 de agosto de 2024, párr. 4.</w:t>
      </w:r>
    </w:p>
  </w:footnote>
  <w:footnote w:id="139">
    <w:p w14:paraId="66B132CB"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CIDH, </w:t>
      </w:r>
      <w:hyperlink r:id="rId89" w:history="1">
        <w:r w:rsidRPr="00BF5C70">
          <w:rPr>
            <w:rStyle w:val="Hyperlink"/>
            <w:rFonts w:cstheme="majorBidi"/>
            <w:color w:val="auto"/>
            <w:szCs w:val="16"/>
            <w:lang w:val="es-ES_tradnl"/>
          </w:rPr>
          <w:t>Resolución 50/2024</w:t>
        </w:r>
      </w:hyperlink>
      <w:r w:rsidRPr="00BF5C70">
        <w:t>, Medidas Cautelares No. 883-24, Asunto Roland Oswaldo Carreño Gutiérrez respecto de Venezuela, 17 de agosto de 2024, párr. 5.</w:t>
      </w:r>
    </w:p>
  </w:footnote>
  <w:footnote w:id="140">
    <w:p w14:paraId="27ECD61D" w14:textId="1CDCB359"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CIDH, </w:t>
      </w:r>
      <w:hyperlink r:id="rId90" w:history="1">
        <w:r w:rsidRPr="00BF5C70">
          <w:rPr>
            <w:rStyle w:val="Hyperlink"/>
            <w:rFonts w:cstheme="majorBidi"/>
            <w:color w:val="auto"/>
            <w:szCs w:val="16"/>
            <w:lang w:val="es-ES_tradnl"/>
          </w:rPr>
          <w:t>Resolución 50/2024</w:t>
        </w:r>
      </w:hyperlink>
      <w:r w:rsidRPr="00BF5C70">
        <w:t>, Medidas Cautelares No. 883-24, Asunto Roland Oswaldo Carreño Gutiérrez respecto de Venezuela, 17 de agosto de 2024, párr. 5.</w:t>
      </w:r>
    </w:p>
  </w:footnote>
  <w:footnote w:id="141">
    <w:p w14:paraId="43DEDBFE"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CIDH, </w:t>
      </w:r>
      <w:hyperlink r:id="rId91" w:history="1">
        <w:r w:rsidRPr="00BF5C70">
          <w:rPr>
            <w:rStyle w:val="Hyperlink"/>
            <w:rFonts w:cstheme="majorBidi"/>
            <w:color w:val="auto"/>
            <w:szCs w:val="16"/>
            <w:lang w:val="es-ES_tradnl"/>
          </w:rPr>
          <w:t>Resolución 50/2024</w:t>
        </w:r>
      </w:hyperlink>
      <w:r w:rsidRPr="00BF5C70">
        <w:t>, Medidas Cautelares No. 883-24, Asunto Roland Oswaldo Carreño Gutiérrez respecto de Venezuela, 17 de agosto de 2024, párr. 5.</w:t>
      </w:r>
    </w:p>
  </w:footnote>
  <w:footnote w:id="142">
    <w:p w14:paraId="57AA87B9"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CIDH, Comunicado de prensa No. 186/24, </w:t>
      </w:r>
      <w:hyperlink r:id="rId92" w:history="1">
        <w:r w:rsidRPr="00BF5C70">
          <w:rPr>
            <w:rStyle w:val="Hyperlink"/>
            <w:rFonts w:cstheme="majorBidi"/>
            <w:color w:val="auto"/>
            <w:szCs w:val="16"/>
            <w:lang w:val="es-ES_tradnl"/>
          </w:rPr>
          <w:t>CIDH otorga medidas cautelares al periodista Roland Oswaldo Carreño Gutiérrez en Venezuela</w:t>
        </w:r>
      </w:hyperlink>
      <w:r w:rsidRPr="00BF5C70">
        <w:t xml:space="preserve">, 17 de agosto de 2024. </w:t>
      </w:r>
    </w:p>
  </w:footnote>
  <w:footnote w:id="143">
    <w:p w14:paraId="4425A5FD"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CIDH, </w:t>
      </w:r>
      <w:hyperlink r:id="rId93" w:history="1">
        <w:r w:rsidRPr="00BF5C70">
          <w:rPr>
            <w:rStyle w:val="Hyperlink"/>
            <w:rFonts w:cstheme="majorBidi"/>
            <w:color w:val="auto"/>
            <w:szCs w:val="16"/>
            <w:lang w:val="es-ES_tradnl"/>
          </w:rPr>
          <w:t>Resolución 58/2024</w:t>
        </w:r>
      </w:hyperlink>
      <w:r w:rsidRPr="00BF5C70">
        <w:t>, Medidas Cautelares No. 907-24, Asunto Ana Carolina Guaita Barreto respecto de Venezuela, 27 de agosto de 2024, párr. 4.</w:t>
      </w:r>
    </w:p>
  </w:footnote>
  <w:footnote w:id="144">
    <w:p w14:paraId="735DB652" w14:textId="68A95F9F"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CIDH, </w:t>
      </w:r>
      <w:hyperlink r:id="rId94" w:history="1">
        <w:r w:rsidRPr="00BF5C70">
          <w:rPr>
            <w:rStyle w:val="Hyperlink"/>
            <w:rFonts w:cstheme="majorBidi"/>
            <w:color w:val="auto"/>
            <w:szCs w:val="16"/>
            <w:lang w:val="es-ES_tradnl"/>
          </w:rPr>
          <w:t>Resolución 58/2024</w:t>
        </w:r>
      </w:hyperlink>
      <w:r w:rsidRPr="00BF5C70">
        <w:t>, Medidas Cautelares No. 907-24, Asunto Ana Carolina Guaita Barreto respecto de Venezuela, 27 de agosto de 2024, párr. 4.</w:t>
      </w:r>
    </w:p>
  </w:footnote>
  <w:footnote w:id="145">
    <w:p w14:paraId="6D2858B4"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CIDH, </w:t>
      </w:r>
      <w:hyperlink r:id="rId95" w:history="1">
        <w:r w:rsidRPr="00BF5C70">
          <w:rPr>
            <w:rStyle w:val="Hyperlink"/>
            <w:rFonts w:cstheme="majorBidi"/>
            <w:color w:val="auto"/>
            <w:szCs w:val="16"/>
            <w:lang w:val="es-ES_tradnl"/>
          </w:rPr>
          <w:t>Resolución 58/2024</w:t>
        </w:r>
      </w:hyperlink>
      <w:r w:rsidRPr="00BF5C70">
        <w:t>, Medidas Cautelares No. 907-24, Asunto Ana Carolina Guaita Barreto respecto de Venezuela, 27 de agosto de 2024, párr. 4.</w:t>
      </w:r>
    </w:p>
  </w:footnote>
  <w:footnote w:id="146">
    <w:p w14:paraId="3FDFE767" w14:textId="77777777" w:rsidR="00A07D76" w:rsidRPr="00BF5C70" w:rsidRDefault="00A07D76" w:rsidP="00A72C55">
      <w:pPr>
        <w:pStyle w:val="IAPiedepgina"/>
      </w:pPr>
      <w:r w:rsidRPr="005C52BD">
        <w:rPr>
          <w:rStyle w:val="FootnoteReference"/>
          <w:rFonts w:cstheme="majorBidi"/>
          <w:sz w:val="16"/>
          <w:szCs w:val="16"/>
        </w:rPr>
        <w:footnoteRef/>
      </w:r>
      <w:r w:rsidRPr="00BF5C70">
        <w:t xml:space="preserve"> Villegas, V., [@Vladi_VillegasP], (22 de agosto de 2024), Familiares de la periodista Ana Carolina Guaita Barreto informan que está detenida en la sede de la Dirección de Seguridad de la Gob de La Guaira, X, </w:t>
      </w:r>
      <w:hyperlink r:id="rId96" w:history="1">
        <w:r w:rsidRPr="00BF5C70">
          <w:rPr>
            <w:rStyle w:val="Hyperlink"/>
            <w:rFonts w:cstheme="majorBidi"/>
            <w:color w:val="auto"/>
            <w:szCs w:val="16"/>
          </w:rPr>
          <w:t>https://x.com/Vladi_VillegasP/status/1826600742712737841?t=g5rRPxf3KRnYfWC_TwI5yA&amp;s=09</w:t>
        </w:r>
      </w:hyperlink>
      <w:r w:rsidRPr="00BF5C70">
        <w:t xml:space="preserve">. </w:t>
      </w:r>
    </w:p>
  </w:footnote>
  <w:footnote w:id="147">
    <w:p w14:paraId="0BBD378F"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CIDH, </w:t>
      </w:r>
      <w:hyperlink r:id="rId97" w:history="1">
        <w:r w:rsidRPr="00BF5C70">
          <w:rPr>
            <w:rStyle w:val="Hyperlink"/>
            <w:rFonts w:cstheme="majorBidi"/>
            <w:color w:val="auto"/>
            <w:szCs w:val="16"/>
            <w:lang w:val="es-ES_tradnl"/>
          </w:rPr>
          <w:t>Resolución 58/2024</w:t>
        </w:r>
      </w:hyperlink>
      <w:r w:rsidRPr="00BF5C70">
        <w:t xml:space="preserve">, Medidas Cautelares No. 907-24, Asunto Ana Carolina Guaita Barreto respecto de Venezuela, 27 de agosto de 2024, párr. 5. </w:t>
      </w:r>
    </w:p>
  </w:footnote>
  <w:footnote w:id="148">
    <w:p w14:paraId="750913F5"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CIDH, </w:t>
      </w:r>
      <w:hyperlink r:id="rId98" w:history="1">
        <w:r w:rsidRPr="00BF5C70">
          <w:rPr>
            <w:rStyle w:val="Hyperlink"/>
            <w:rFonts w:cstheme="majorBidi"/>
            <w:color w:val="auto"/>
            <w:szCs w:val="16"/>
            <w:lang w:val="es-ES_tradnl"/>
          </w:rPr>
          <w:t>Resolución 58/2024</w:t>
        </w:r>
      </w:hyperlink>
      <w:r w:rsidRPr="00BF5C70">
        <w:t>, Medidas Cautelares No. 907-24, Asunto Ana Carolina Guaita Barreto respecto de Venezuela, 27 de agosto de 2024, párr. 5.</w:t>
      </w:r>
    </w:p>
  </w:footnote>
  <w:footnote w:id="149">
    <w:p w14:paraId="784F81E1"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CIDH, Comunicado de prensa No. 196/24, </w:t>
      </w:r>
      <w:hyperlink r:id="rId99" w:history="1">
        <w:r w:rsidRPr="00BF5C70">
          <w:rPr>
            <w:rStyle w:val="Hyperlink"/>
            <w:rFonts w:cstheme="majorBidi"/>
            <w:color w:val="auto"/>
            <w:szCs w:val="16"/>
            <w:lang w:val="es-ES_tradnl"/>
          </w:rPr>
          <w:t>CIDH otorga medidas cautelares a la periodista Ana Carolina Guaita en Venezuela</w:t>
        </w:r>
      </w:hyperlink>
      <w:r w:rsidRPr="00BF5C70">
        <w:t xml:space="preserve">, 27 de agosto de 2024. </w:t>
      </w:r>
    </w:p>
  </w:footnote>
  <w:footnote w:id="150">
    <w:p w14:paraId="1D3699E3"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El Carabobeño, </w:t>
      </w:r>
      <w:hyperlink r:id="rId100" w:history="1">
        <w:r w:rsidRPr="00BF5C70">
          <w:rPr>
            <w:rStyle w:val="Hyperlink"/>
            <w:rFonts w:cstheme="majorBidi"/>
            <w:color w:val="auto"/>
            <w:szCs w:val="16"/>
            <w:lang w:val="es-ES_tradnl"/>
          </w:rPr>
          <w:t>Detenido editor del semanario digital La Sapa del Orinoco</w:t>
        </w:r>
      </w:hyperlink>
      <w:r w:rsidRPr="00BF5C70">
        <w:t>, 17 de agosto de 2024.</w:t>
      </w:r>
    </w:p>
  </w:footnote>
  <w:footnote w:id="151">
    <w:p w14:paraId="52BA6AC3"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Espacio Público, </w:t>
      </w:r>
      <w:hyperlink r:id="rId101" w:history="1">
        <w:r w:rsidRPr="00BF5C70">
          <w:rPr>
            <w:rStyle w:val="Hyperlink"/>
            <w:rFonts w:cstheme="majorBidi"/>
            <w:color w:val="auto"/>
            <w:szCs w:val="16"/>
            <w:lang w:val="es-ES_tradnl"/>
          </w:rPr>
          <w:t>Agosto: censura y represión postelectoral</w:t>
        </w:r>
      </w:hyperlink>
      <w:r w:rsidRPr="00BF5C70">
        <w:t>, 5 de septiembre de 2024.</w:t>
      </w:r>
    </w:p>
  </w:footnote>
  <w:footnote w:id="152">
    <w:p w14:paraId="549E97C0"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Espacio Público, </w:t>
      </w:r>
      <w:hyperlink r:id="rId102" w:history="1">
        <w:r w:rsidRPr="00BF5C70">
          <w:rPr>
            <w:rStyle w:val="Hyperlink"/>
            <w:rFonts w:cstheme="majorBidi"/>
            <w:color w:val="auto"/>
            <w:szCs w:val="16"/>
            <w:lang w:val="es-ES_tradnl"/>
          </w:rPr>
          <w:t>Agosto: censura y represión postelectoral</w:t>
        </w:r>
      </w:hyperlink>
      <w:r w:rsidRPr="00BF5C70">
        <w:t>, 5 de septiembre de 2024.</w:t>
      </w:r>
    </w:p>
  </w:footnote>
  <w:footnote w:id="153">
    <w:p w14:paraId="5734B502" w14:textId="1F3554E4"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Espacio Público, </w:t>
      </w:r>
      <w:hyperlink r:id="rId103" w:history="1">
        <w:r w:rsidRPr="00BF5C70">
          <w:rPr>
            <w:rStyle w:val="Hyperlink"/>
            <w:rFonts w:cstheme="majorBidi"/>
            <w:color w:val="auto"/>
            <w:szCs w:val="16"/>
            <w:lang w:val="es-ES_tradnl"/>
          </w:rPr>
          <w:t>Agosto: censura y represión postelectoral</w:t>
        </w:r>
      </w:hyperlink>
      <w:r w:rsidRPr="00BF5C70">
        <w:t>, 5 de septiembre de 2024.</w:t>
      </w:r>
    </w:p>
  </w:footnote>
  <w:footnote w:id="154">
    <w:p w14:paraId="1C10EB51"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Espacio Público, </w:t>
      </w:r>
      <w:hyperlink r:id="rId104" w:history="1">
        <w:r w:rsidRPr="00BF5C70">
          <w:rPr>
            <w:rStyle w:val="Hyperlink"/>
            <w:rFonts w:cstheme="majorBidi"/>
            <w:color w:val="auto"/>
            <w:szCs w:val="16"/>
            <w:lang w:val="es-ES_tradnl"/>
          </w:rPr>
          <w:t>Agosto: censura y represión postelectoral</w:t>
        </w:r>
      </w:hyperlink>
      <w:r w:rsidRPr="00BF5C70">
        <w:t>, 5 de septiembre de 2024.</w:t>
      </w:r>
    </w:p>
  </w:footnote>
  <w:footnote w:id="155">
    <w:p w14:paraId="502030E1"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Espacio Público, </w:t>
      </w:r>
      <w:hyperlink r:id="rId105" w:history="1">
        <w:r w:rsidRPr="00BF5C70">
          <w:rPr>
            <w:rStyle w:val="Hyperlink"/>
            <w:rFonts w:cstheme="majorBidi"/>
            <w:color w:val="auto"/>
            <w:szCs w:val="16"/>
            <w:lang w:val="es-ES_tradnl"/>
          </w:rPr>
          <w:t>Agosto: censura y represión postelectoral</w:t>
        </w:r>
      </w:hyperlink>
      <w:r w:rsidRPr="00BF5C70">
        <w:t>, 5 de septiembre de 2024.</w:t>
      </w:r>
    </w:p>
  </w:footnote>
  <w:footnote w:id="156">
    <w:p w14:paraId="7E001940" w14:textId="6F7DA128" w:rsidR="00A07D76" w:rsidRPr="00BF5C70" w:rsidRDefault="00A07D76" w:rsidP="00A72C55">
      <w:pPr>
        <w:pStyle w:val="IAPiedepgina"/>
      </w:pPr>
      <w:r w:rsidRPr="005C52BD">
        <w:rPr>
          <w:rStyle w:val="FootnoteReference"/>
          <w:rFonts w:cstheme="majorBidi"/>
          <w:sz w:val="16"/>
          <w:szCs w:val="16"/>
        </w:rPr>
        <w:footnoteRef/>
      </w:r>
      <w:r w:rsidRPr="00BF5C70">
        <w:t xml:space="preserve"> Efecto Cocuyo, [@EfectoCocuyo], (26 de octubre de 2024), @cnpven denunció que se desconoce el paradero del periodista Nelin Escalante, quien fue abordado por funcionarios de la Dgcim, X, </w:t>
      </w:r>
      <w:hyperlink r:id="rId106">
        <w:r w:rsidR="7CEBB128" w:rsidRPr="00BF5C70">
          <w:rPr>
            <w:rStyle w:val="Hyperlink"/>
            <w:rFonts w:cstheme="majorBidi"/>
            <w:color w:val="auto"/>
            <w:szCs w:val="16"/>
          </w:rPr>
          <w:t>https://x.com/EfectoCocuyo/status/1850260938085036472?t=fXbA8I93OoG9aPZEpNXwJQ&amp;s=19</w:t>
        </w:r>
      </w:hyperlink>
      <w:r w:rsidRPr="00BF5C70">
        <w:t xml:space="preserve">. </w:t>
      </w:r>
    </w:p>
  </w:footnote>
  <w:footnote w:id="157">
    <w:p w14:paraId="64D5B392" w14:textId="3B2B9F74" w:rsidR="00A07D76" w:rsidRPr="00BF5C70" w:rsidRDefault="00A07D76" w:rsidP="00A72C55">
      <w:pPr>
        <w:pStyle w:val="IAPiedepgina"/>
      </w:pPr>
      <w:r w:rsidRPr="005C52BD">
        <w:rPr>
          <w:rStyle w:val="FootnoteReference"/>
          <w:rFonts w:cstheme="majorBidi"/>
          <w:sz w:val="16"/>
          <w:szCs w:val="16"/>
        </w:rPr>
        <w:footnoteRef/>
      </w:r>
      <w:r w:rsidRPr="00BF5C70">
        <w:t xml:space="preserve"> VPItv, [@VPITV], (26 de octubre de 2024), El Colegio Nacional de Periodistas (@cnpven) denunció la detención arbitraria del periodista Nelin Escalante, X, </w:t>
      </w:r>
      <w:hyperlink r:id="rId107" w:anchor="google_vignette">
        <w:r w:rsidR="7CEBB128" w:rsidRPr="00BF5C70">
          <w:rPr>
            <w:rStyle w:val="Hyperlink"/>
            <w:rFonts w:cstheme="majorBidi"/>
            <w:color w:val="auto"/>
            <w:szCs w:val="16"/>
          </w:rPr>
          <w:t>https://elinformadorve.com/29/10/2024/venezuela/colegio-nacional-de-periodistas-exige-fe-de-vida-del-periodista-nelin-escalante/#google_vignette</w:t>
        </w:r>
      </w:hyperlink>
      <w:r w:rsidRPr="00BF5C70">
        <w:t xml:space="preserve">; SNTP, [@sntpvenezuela], (30 de octubre de 2024), Moisés Gutiérrez, abogado de la@Coalicion_ddhh, informó que van 120 horas de la desaparición del periodista Nelin Escalante, X, </w:t>
      </w:r>
      <w:hyperlink r:id="rId108">
        <w:r w:rsidR="7CEBB128" w:rsidRPr="00BF5C70">
          <w:rPr>
            <w:rStyle w:val="Hyperlink"/>
            <w:rFonts w:cstheme="majorBidi"/>
            <w:color w:val="auto"/>
            <w:szCs w:val="16"/>
          </w:rPr>
          <w:t>https://x.com/sntpvenezuela/status/1851674638679408706?t=EZgtEriV8jQjKTZEJjK5HA&amp;s=08</w:t>
        </w:r>
      </w:hyperlink>
      <w:r w:rsidRPr="00BF5C70">
        <w:t xml:space="preserve">; Colegio Nacional de Periodistas (CNP), [@cnpven], (29 de octubre de 2024), Ya van más de 96 horas sin saber sobre Nelin Escalante.Familiares y abogados no han podido verlo a pesar de haberse dirigido a la Dgcim para conocer status de su situación, X, </w:t>
      </w:r>
      <w:hyperlink r:id="rId109">
        <w:r w:rsidR="7CEBB128" w:rsidRPr="00BF5C70">
          <w:rPr>
            <w:rStyle w:val="Hyperlink"/>
            <w:rFonts w:cstheme="majorBidi"/>
            <w:color w:val="auto"/>
            <w:szCs w:val="16"/>
          </w:rPr>
          <w:t>https://x.com/cnpven/status/1851323890867241092?t=kmlbWfCUJZEtgBVuontUaQ&amp;s=08</w:t>
        </w:r>
      </w:hyperlink>
      <w:r w:rsidRPr="00BF5C70">
        <w:rPr>
          <w:rStyle w:val="Hyperlink"/>
          <w:rFonts w:cstheme="majorBidi"/>
          <w:color w:val="auto"/>
          <w:szCs w:val="16"/>
        </w:rPr>
        <w:t>.</w:t>
      </w:r>
    </w:p>
  </w:footnote>
  <w:footnote w:id="158">
    <w:p w14:paraId="7556C3AC" w14:textId="11A94FA3"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Infobae, </w:t>
      </w:r>
      <w:hyperlink r:id="rId110" w:history="1">
        <w:r w:rsidRPr="00BF5C70">
          <w:rPr>
            <w:rStyle w:val="Hyperlink"/>
            <w:rFonts w:cstheme="majorBidi"/>
            <w:color w:val="auto"/>
            <w:szCs w:val="16"/>
            <w:lang w:val="es-ES_tradnl"/>
          </w:rPr>
          <w:t xml:space="preserve">El </w:t>
        </w:r>
        <w:r w:rsidR="00506760" w:rsidRPr="00BF5C70">
          <w:rPr>
            <w:rStyle w:val="Hyperlink"/>
            <w:rFonts w:cstheme="majorBidi"/>
            <w:color w:val="auto"/>
            <w:szCs w:val="16"/>
            <w:lang w:val="es-ES_tradnl"/>
          </w:rPr>
          <w:t>gobierno de turno</w:t>
        </w:r>
        <w:r w:rsidRPr="00BF5C70">
          <w:rPr>
            <w:rStyle w:val="Hyperlink"/>
            <w:rFonts w:cstheme="majorBidi"/>
            <w:color w:val="auto"/>
            <w:szCs w:val="16"/>
            <w:lang w:val="es-ES_tradnl"/>
          </w:rPr>
          <w:t xml:space="preserve"> de Nicolás Maduro liberó al periodista Nelin Escalante tras estar desaparecido durante seis días</w:t>
        </w:r>
      </w:hyperlink>
      <w:r w:rsidRPr="00BF5C70">
        <w:t xml:space="preserve">, 1 de noviembre de 2024; Noticias de aquí, </w:t>
      </w:r>
      <w:hyperlink r:id="rId111" w:history="1">
        <w:r w:rsidRPr="00BF5C70">
          <w:rPr>
            <w:rStyle w:val="Hyperlink"/>
            <w:rFonts w:cstheme="majorBidi"/>
            <w:color w:val="auto"/>
            <w:szCs w:val="16"/>
            <w:lang w:val="es-ES_tradnl"/>
          </w:rPr>
          <w:t>El periodista Nelin Escalante fue puesto en libertad y se encuentra con su familia</w:t>
        </w:r>
      </w:hyperlink>
      <w:r w:rsidRPr="00BF5C70">
        <w:t>, 1 de noviembre de 2024; Ntn24, "</w:t>
      </w:r>
      <w:hyperlink r:id="rId112" w:history="1">
        <w:r w:rsidRPr="00BF5C70">
          <w:rPr>
            <w:rStyle w:val="Hyperlink"/>
            <w:rFonts w:cstheme="majorBidi"/>
            <w:color w:val="auto"/>
            <w:szCs w:val="16"/>
            <w:lang w:val="es-ES_tradnl"/>
          </w:rPr>
          <w:t>Estamos bien": aparece el periodista venezolano Nelin Escalante tras ser interrogado por varios días en el DGCIM</w:t>
        </w:r>
      </w:hyperlink>
      <w:r w:rsidRPr="00BF5C70">
        <w:t>, 1 de noviembre de 2024.</w:t>
      </w:r>
    </w:p>
  </w:footnote>
  <w:footnote w:id="159">
    <w:p w14:paraId="1C9DA34F" w14:textId="77777777" w:rsidR="00A07D76" w:rsidRPr="00BF5C70" w:rsidRDefault="00A07D76" w:rsidP="00A72C55">
      <w:pPr>
        <w:pStyle w:val="IAPiedepgina"/>
      </w:pPr>
      <w:r w:rsidRPr="005C52BD">
        <w:rPr>
          <w:rStyle w:val="FootnoteReference"/>
          <w:rFonts w:cstheme="majorBidi"/>
          <w:sz w:val="16"/>
          <w:szCs w:val="16"/>
          <w:lang w:val="es-ES_tradnl"/>
        </w:rPr>
        <w:footnoteRef/>
      </w:r>
      <w:r w:rsidRPr="00BF5C70">
        <w:t xml:space="preserve"> Espacio Público, [@espaciopublico], (25 de octubre de 2024), Hallan sin vida al locutor y activista del partido Voluntad Popular, Edwin Santos, este viernes 25 de octubre, X, </w:t>
      </w:r>
      <w:hyperlink r:id="rId113" w:history="1">
        <w:r w:rsidRPr="00BF5C70">
          <w:rPr>
            <w:rStyle w:val="Hyperlink"/>
            <w:rFonts w:cstheme="majorBidi"/>
            <w:color w:val="auto"/>
            <w:szCs w:val="16"/>
            <w:lang w:val="es-ES_tradnl"/>
          </w:rPr>
          <w:t>https://x.com/espaciopublico/status/1849889475570102746</w:t>
        </w:r>
      </w:hyperlink>
      <w:r w:rsidRPr="00BF5C70">
        <w:t xml:space="preserve">. </w:t>
      </w:r>
    </w:p>
  </w:footnote>
  <w:footnote w:id="160">
    <w:p w14:paraId="668ED10F" w14:textId="1ADEC5CC" w:rsidR="00A07D76" w:rsidRPr="00BF5C70" w:rsidRDefault="00A07D76" w:rsidP="00A72C55">
      <w:pPr>
        <w:pStyle w:val="IAPiedepgina"/>
      </w:pPr>
      <w:r w:rsidRPr="005C52BD">
        <w:rPr>
          <w:rStyle w:val="FootnoteReference"/>
          <w:rFonts w:cstheme="majorBidi"/>
          <w:sz w:val="16"/>
          <w:szCs w:val="16"/>
        </w:rPr>
        <w:footnoteRef/>
      </w:r>
      <w:r w:rsidR="7CEBB128" w:rsidRPr="00BF5C70">
        <w:t xml:space="preserve"> CIDH, Informe Anual 2022, </w:t>
      </w:r>
      <w:hyperlink r:id="rId114">
        <w:r w:rsidR="7CEBB128" w:rsidRPr="00BF5C70">
          <w:rPr>
            <w:rStyle w:val="Hyperlink"/>
            <w:rFonts w:cstheme="majorBidi"/>
            <w:color w:val="auto"/>
            <w:szCs w:val="16"/>
          </w:rPr>
          <w:t>Informe de la Relatoría Especial para la Libertad de Expresión</w:t>
        </w:r>
      </w:hyperlink>
      <w:r w:rsidR="7CEBB128" w:rsidRPr="00BF5C70">
        <w:t xml:space="preserve">, OEA/Ser.L/V/II Doc. </w:t>
      </w:r>
      <w:r w:rsidRPr="00BF5C70">
        <w:t>50, 6 de marzo de 2023, párr</w:t>
      </w:r>
      <w:r w:rsidR="00D40928" w:rsidRPr="00BF5C70">
        <w:t>s</w:t>
      </w:r>
      <w:r w:rsidRPr="00BF5C70">
        <w:t xml:space="preserve">. 1367, 1377; CIDH, Informe Anual 2023, </w:t>
      </w:r>
      <w:hyperlink r:id="rId115">
        <w:r w:rsidR="7CEBB128" w:rsidRPr="00BF5C70">
          <w:rPr>
            <w:rStyle w:val="Hyperlink"/>
            <w:rFonts w:cstheme="majorBidi"/>
            <w:color w:val="auto"/>
            <w:szCs w:val="16"/>
          </w:rPr>
          <w:t>Informe de la Relatoría Especial para la Libertad de Expresión</w:t>
        </w:r>
      </w:hyperlink>
      <w:r w:rsidR="7CEBB128" w:rsidRPr="00BF5C70">
        <w:t xml:space="preserve">, OEA/Ser.L/V/II Doc. </w:t>
      </w:r>
      <w:r w:rsidRPr="00BF5C70">
        <w:t>386, 6 de diciembre de 2023, párr</w:t>
      </w:r>
      <w:r w:rsidR="00D40928" w:rsidRPr="00BF5C70">
        <w:t>s</w:t>
      </w:r>
      <w:r w:rsidRPr="00BF5C70">
        <w:t xml:space="preserve">. 1615, 1618, 1624, 1625. </w:t>
      </w:r>
    </w:p>
  </w:footnote>
  <w:footnote w:id="161">
    <w:p w14:paraId="0FF7119B" w14:textId="0EC71805" w:rsidR="00A07D76" w:rsidRPr="00BF5C70" w:rsidRDefault="00A07D76" w:rsidP="001A726B">
      <w:pPr>
        <w:pStyle w:val="IAPiedepgina"/>
      </w:pPr>
      <w:r w:rsidRPr="005C52BD">
        <w:rPr>
          <w:rStyle w:val="FootnoteReference"/>
          <w:rFonts w:cstheme="majorBidi"/>
          <w:sz w:val="16"/>
          <w:szCs w:val="16"/>
          <w:lang w:val="es-ES_tradnl"/>
        </w:rPr>
        <w:footnoteRef/>
      </w:r>
      <w:r w:rsidRPr="00BF5C70">
        <w:t xml:space="preserve"> </w:t>
      </w:r>
      <w:r w:rsidR="00D40928" w:rsidRPr="00BF5C70">
        <w:t>Corte IDH,</w:t>
      </w:r>
      <w:r w:rsidRPr="00BF5C70">
        <w:t xml:space="preserve"> Opinión Consultiva OC-5/85 del 13 de noviembre de 1985. “La colegiación obligatoria de periodistas (Arts. 13 y 29 Convención Americana sobre Derechos Humanos)</w:t>
      </w:r>
      <w:r w:rsidR="00D40928" w:rsidRPr="00BF5C70">
        <w:t>, p</w:t>
      </w:r>
      <w:r w:rsidRPr="00BF5C70">
        <w:t xml:space="preserve">árr. 71; CIDH, </w:t>
      </w:r>
      <w:hyperlink r:id="rId116" w:history="1">
        <w:r w:rsidRPr="00BF5C70">
          <w:rPr>
            <w:rStyle w:val="Hyperlink"/>
            <w:rFonts w:cstheme="majorBidi"/>
            <w:color w:val="auto"/>
            <w:szCs w:val="16"/>
            <w:lang w:val="es-ES_tradnl"/>
          </w:rPr>
          <w:t>Antecedentes e Interpretación de la Declaración de Principios</w:t>
        </w:r>
      </w:hyperlink>
      <w:r w:rsidRPr="00BF5C70">
        <w:t>.</w:t>
      </w:r>
    </w:p>
  </w:footnote>
  <w:footnote w:id="162">
    <w:p w14:paraId="146B2308" w14:textId="77777777" w:rsidR="00A07D76" w:rsidRPr="00BF5C70" w:rsidRDefault="00A07D76" w:rsidP="001A726B">
      <w:pPr>
        <w:pStyle w:val="IAPiedepgina"/>
      </w:pPr>
      <w:r w:rsidRPr="005C52BD">
        <w:rPr>
          <w:rStyle w:val="FootnoteReference"/>
          <w:rFonts w:cstheme="majorBidi"/>
          <w:sz w:val="16"/>
          <w:szCs w:val="16"/>
        </w:rPr>
        <w:footnoteRef/>
      </w:r>
      <w:r w:rsidRPr="00BF5C70">
        <w:t xml:space="preserve"> CIDH, Relatoría Especial para la Libertad de Expresión, </w:t>
      </w:r>
      <w:hyperlink r:id="rId117" w:history="1">
        <w:r w:rsidRPr="00BF5C70">
          <w:rPr>
            <w:rStyle w:val="Hyperlink"/>
            <w:rFonts w:cstheme="majorBidi"/>
            <w:color w:val="auto"/>
            <w:szCs w:val="16"/>
          </w:rPr>
          <w:t>Marco jurídico interamericano sobre el derecho a la libertad de expresión</w:t>
        </w:r>
      </w:hyperlink>
      <w:r w:rsidRPr="00BF5C70">
        <w:t>, OEA/Ser.L/V/II CIDH/RELE/INF. 2/09, 30 de diciembre de 2009, párr. 8 y párr. 165 y siguientes.</w:t>
      </w:r>
    </w:p>
  </w:footnote>
  <w:footnote w:id="163">
    <w:p w14:paraId="6D2B9477" w14:textId="77777777" w:rsidR="00A07D76" w:rsidRPr="00BF5C70" w:rsidRDefault="00A07D76" w:rsidP="001A726B">
      <w:pPr>
        <w:pStyle w:val="IAPiedepgina"/>
      </w:pPr>
      <w:r w:rsidRPr="005C52BD">
        <w:rPr>
          <w:rStyle w:val="FootnoteReference"/>
          <w:rFonts w:cstheme="majorBidi"/>
          <w:sz w:val="16"/>
          <w:szCs w:val="16"/>
          <w:lang w:val="es-ES_tradnl"/>
        </w:rPr>
        <w:footnoteRef/>
      </w:r>
      <w:r w:rsidRPr="00BF5C70">
        <w:t xml:space="preserve"> RSF, </w:t>
      </w:r>
      <w:hyperlink r:id="rId118" w:history="1">
        <w:r w:rsidRPr="00BF5C70">
          <w:rPr>
            <w:rStyle w:val="Hyperlink"/>
            <w:rFonts w:cstheme="majorBidi"/>
            <w:color w:val="auto"/>
            <w:szCs w:val="16"/>
            <w:lang w:val="es-ES_tradnl"/>
          </w:rPr>
          <w:t>Venezuela: RSF registra 70 ataques a la libertad de prensa en 15 días</w:t>
        </w:r>
      </w:hyperlink>
      <w:r w:rsidRPr="00BF5C70">
        <w:t xml:space="preserve">, 13 de agosto de 2024. </w:t>
      </w:r>
    </w:p>
  </w:footnote>
  <w:footnote w:id="164">
    <w:p w14:paraId="3BEB79AA" w14:textId="77777777" w:rsidR="00A07D76" w:rsidRPr="00BF5C70" w:rsidRDefault="00A07D76" w:rsidP="001A726B">
      <w:pPr>
        <w:pStyle w:val="IAPiedepgina"/>
      </w:pPr>
      <w:r w:rsidRPr="005C52BD">
        <w:rPr>
          <w:rStyle w:val="FootnoteReference"/>
          <w:rFonts w:cstheme="majorBidi"/>
          <w:sz w:val="16"/>
          <w:szCs w:val="16"/>
          <w:lang w:val="es-ES_tradnl"/>
        </w:rPr>
        <w:footnoteRef/>
      </w:r>
      <w:r w:rsidRPr="00BF5C70">
        <w:t xml:space="preserve"> Espacio Público, </w:t>
      </w:r>
      <w:hyperlink r:id="rId119" w:history="1">
        <w:r w:rsidRPr="00BF5C70">
          <w:rPr>
            <w:rStyle w:val="Hyperlink"/>
            <w:rFonts w:cstheme="majorBidi"/>
            <w:color w:val="auto"/>
            <w:szCs w:val="16"/>
            <w:lang w:val="es-ES_tradnl"/>
          </w:rPr>
          <w:t>Situación general del derecho a la libertad de expresión e información, enero – abril 2024</w:t>
        </w:r>
      </w:hyperlink>
      <w:r w:rsidRPr="00BF5C70">
        <w:t>, 3 de mayo de 2024.</w:t>
      </w:r>
    </w:p>
  </w:footnote>
  <w:footnote w:id="165">
    <w:p w14:paraId="53A73FE7" w14:textId="77777777" w:rsidR="00A07D76" w:rsidRPr="00BF5C70" w:rsidRDefault="00A07D76" w:rsidP="001A726B">
      <w:pPr>
        <w:pStyle w:val="IAPiedepgina"/>
      </w:pPr>
      <w:r w:rsidRPr="005C52BD">
        <w:rPr>
          <w:rStyle w:val="FootnoteReference"/>
          <w:rFonts w:cstheme="majorBidi"/>
          <w:sz w:val="16"/>
          <w:szCs w:val="16"/>
          <w:lang w:val="es-ES_tradnl"/>
        </w:rPr>
        <w:footnoteRef/>
      </w:r>
      <w:r w:rsidRPr="00BF5C70">
        <w:t xml:space="preserve"> Espacio Público, </w:t>
      </w:r>
      <w:hyperlink r:id="rId120" w:history="1">
        <w:r w:rsidRPr="00BF5C70">
          <w:rPr>
            <w:rStyle w:val="Hyperlink"/>
            <w:rFonts w:cstheme="majorBidi"/>
            <w:color w:val="auto"/>
            <w:szCs w:val="16"/>
            <w:lang w:val="es-ES_tradnl"/>
          </w:rPr>
          <w:t>Situación general del derecho a la libertad de expresión e información, enero – abril 2024</w:t>
        </w:r>
      </w:hyperlink>
      <w:r w:rsidRPr="00BF5C70">
        <w:t>, 3 de mayo de 2024.</w:t>
      </w:r>
    </w:p>
  </w:footnote>
  <w:footnote w:id="166">
    <w:p w14:paraId="524B7641" w14:textId="77777777" w:rsidR="00A07D76" w:rsidRPr="00BF5C70" w:rsidRDefault="00A07D76" w:rsidP="001A726B">
      <w:pPr>
        <w:pStyle w:val="IAPiedepgina"/>
      </w:pPr>
      <w:r w:rsidRPr="005C52BD">
        <w:rPr>
          <w:rStyle w:val="FootnoteReference"/>
          <w:rFonts w:cstheme="majorBidi"/>
          <w:sz w:val="16"/>
          <w:szCs w:val="16"/>
          <w:lang w:val="es-ES_tradnl"/>
        </w:rPr>
        <w:footnoteRef/>
      </w:r>
      <w:r w:rsidRPr="00BF5C70">
        <w:t xml:space="preserve"> Espacio Público, </w:t>
      </w:r>
      <w:hyperlink r:id="rId121" w:history="1">
        <w:r w:rsidRPr="00BF5C70">
          <w:rPr>
            <w:rStyle w:val="Hyperlink"/>
            <w:rFonts w:cstheme="majorBidi"/>
            <w:color w:val="auto"/>
            <w:szCs w:val="16"/>
            <w:lang w:val="es-ES_tradnl"/>
          </w:rPr>
          <w:t>Situación general del derecho a la libertad de expresión e información, enero – abril 2024</w:t>
        </w:r>
      </w:hyperlink>
      <w:r w:rsidRPr="00BF5C70">
        <w:t>, 3 de mayo de 2024.</w:t>
      </w:r>
    </w:p>
  </w:footnote>
  <w:footnote w:id="167">
    <w:p w14:paraId="340486B0" w14:textId="77777777" w:rsidR="00A07D76" w:rsidRPr="00BF5C70" w:rsidRDefault="00A07D76" w:rsidP="001A726B">
      <w:pPr>
        <w:pStyle w:val="IAPiedepgina"/>
      </w:pPr>
      <w:r w:rsidRPr="005C52BD">
        <w:rPr>
          <w:rStyle w:val="FootnoteReference"/>
          <w:rFonts w:cstheme="majorBidi"/>
          <w:sz w:val="16"/>
          <w:szCs w:val="16"/>
          <w:lang w:val="es-ES_tradnl"/>
        </w:rPr>
        <w:footnoteRef/>
      </w:r>
      <w:r w:rsidRPr="00BF5C70">
        <w:t xml:space="preserve"> IPYS, </w:t>
      </w:r>
      <w:hyperlink r:id="rId122" w:history="1">
        <w:r w:rsidRPr="00BF5C70">
          <w:rPr>
            <w:rStyle w:val="Hyperlink"/>
            <w:rFonts w:cstheme="majorBidi"/>
            <w:color w:val="auto"/>
            <w:szCs w:val="16"/>
            <w:lang w:val="es-ES_tradnl"/>
          </w:rPr>
          <w:t>Efectivos de seguridad del Estado borraron contenido informativo a dos comunicadores en Barinas</w:t>
        </w:r>
      </w:hyperlink>
      <w:r w:rsidRPr="00BF5C70">
        <w:t>, 24 de enero de 2024.</w:t>
      </w:r>
    </w:p>
  </w:footnote>
  <w:footnote w:id="168">
    <w:p w14:paraId="2CAFD712" w14:textId="77777777" w:rsidR="00A07D76" w:rsidRPr="00BF5C70" w:rsidRDefault="00A07D76" w:rsidP="001A726B">
      <w:pPr>
        <w:pStyle w:val="IAPiedepgina"/>
      </w:pPr>
      <w:r w:rsidRPr="005C52BD">
        <w:rPr>
          <w:rStyle w:val="FootnoteReference"/>
          <w:rFonts w:cstheme="majorBidi"/>
          <w:sz w:val="16"/>
          <w:szCs w:val="16"/>
          <w:lang w:val="es-ES_tradnl"/>
        </w:rPr>
        <w:footnoteRef/>
      </w:r>
      <w:r w:rsidRPr="00BF5C70">
        <w:t xml:space="preserve"> Espacio Público</w:t>
      </w:r>
      <w:hyperlink r:id="rId123" w:history="1">
        <w:r w:rsidRPr="00BF5C70">
          <w:rPr>
            <w:rStyle w:val="Hyperlink"/>
            <w:rFonts w:cstheme="majorBidi"/>
            <w:color w:val="auto"/>
            <w:szCs w:val="16"/>
            <w:lang w:val="es-ES_tradnl"/>
          </w:rPr>
          <w:t>, Reporte parcial 28jul: prohíben cobertura en centros electorales</w:t>
        </w:r>
      </w:hyperlink>
      <w:r w:rsidRPr="00BF5C70">
        <w:t>, 28 de julio de 2024.</w:t>
      </w:r>
    </w:p>
  </w:footnote>
  <w:footnote w:id="169">
    <w:p w14:paraId="70DA8BCD" w14:textId="77777777" w:rsidR="00A07D76" w:rsidRPr="00BF5C70" w:rsidRDefault="00A07D76" w:rsidP="001A726B">
      <w:pPr>
        <w:pStyle w:val="IAPiedepgina"/>
      </w:pPr>
      <w:r w:rsidRPr="005C52BD">
        <w:rPr>
          <w:rStyle w:val="FootnoteReference"/>
          <w:rFonts w:cstheme="majorBidi"/>
          <w:sz w:val="16"/>
          <w:szCs w:val="16"/>
          <w:lang w:val="es-ES_tradnl"/>
        </w:rPr>
        <w:footnoteRef/>
      </w:r>
      <w:r w:rsidRPr="00BF5C70">
        <w:t>Espacio Público</w:t>
      </w:r>
      <w:hyperlink r:id="rId124" w:history="1">
        <w:r w:rsidRPr="00BF5C70">
          <w:rPr>
            <w:rStyle w:val="Hyperlink"/>
            <w:rFonts w:cstheme="majorBidi"/>
            <w:color w:val="auto"/>
            <w:szCs w:val="16"/>
            <w:lang w:val="es-ES_tradnl"/>
          </w:rPr>
          <w:t>, Reporte parcial 28jul: prohíben cobertura en centros electorales</w:t>
        </w:r>
      </w:hyperlink>
      <w:r w:rsidRPr="00BF5C70">
        <w:t>, 28 de julio de 2024.</w:t>
      </w:r>
    </w:p>
  </w:footnote>
  <w:footnote w:id="170">
    <w:p w14:paraId="0B323581" w14:textId="77777777" w:rsidR="00A07D76" w:rsidRPr="00BF5C70" w:rsidRDefault="00A07D76" w:rsidP="001A726B">
      <w:pPr>
        <w:pStyle w:val="IAPiedepgina"/>
      </w:pPr>
      <w:r w:rsidRPr="005C52BD">
        <w:rPr>
          <w:rStyle w:val="FootnoteReference"/>
          <w:rFonts w:cstheme="majorBidi"/>
          <w:sz w:val="16"/>
          <w:szCs w:val="16"/>
          <w:lang w:val="es-ES_tradnl"/>
        </w:rPr>
        <w:footnoteRef/>
      </w:r>
      <w:r w:rsidRPr="00BF5C70">
        <w:t xml:space="preserve"> Relatoría Especial para la Libertad de Expresión (RELE), Comunicado de prensa No. 190/24, </w:t>
      </w:r>
      <w:hyperlink r:id="rId125" w:history="1">
        <w:r w:rsidRPr="00BF5C70">
          <w:rPr>
            <w:rStyle w:val="Hyperlink"/>
            <w:rFonts w:cstheme="majorBidi"/>
            <w:color w:val="auto"/>
            <w:szCs w:val="16"/>
            <w:lang w:val="es-ES_tradnl"/>
          </w:rPr>
          <w:t>La RELE alerta a la comunidad internacional sobre detención arbitraria de periodistas y criminalización de la disidencia en Venezuela</w:t>
        </w:r>
      </w:hyperlink>
      <w:r w:rsidRPr="00BF5C70">
        <w:t>, 23 de agosto de 2024.</w:t>
      </w:r>
    </w:p>
  </w:footnote>
  <w:footnote w:id="171">
    <w:p w14:paraId="203B5D6C" w14:textId="77777777" w:rsidR="00A07D76" w:rsidRPr="00BF5C70" w:rsidRDefault="00A07D76" w:rsidP="00BA67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Relatoría Especial para la Libertad de Expresión (RELE), Comunicado de prensa No. 190/24, </w:t>
      </w:r>
      <w:hyperlink r:id="rId126" w:history="1">
        <w:r w:rsidRPr="00BF5C70">
          <w:rPr>
            <w:rStyle w:val="Hyperlink"/>
            <w:rFonts w:cstheme="majorBidi"/>
            <w:color w:val="auto"/>
            <w:szCs w:val="16"/>
            <w:lang w:val="es-ES_tradnl"/>
          </w:rPr>
          <w:t>La RELE alerta a la comunidad internacional sobre detención arbitraria de periodistas y criminalización de la disidencia en Venezuela</w:t>
        </w:r>
      </w:hyperlink>
      <w:r w:rsidRPr="00BF5C70">
        <w:rPr>
          <w:rFonts w:cstheme="majorBidi"/>
          <w:szCs w:val="16"/>
          <w:lang w:val="es-ES_tradnl"/>
        </w:rPr>
        <w:t>, 23 de agosto de 2024.</w:t>
      </w:r>
    </w:p>
  </w:footnote>
  <w:footnote w:id="172">
    <w:p w14:paraId="207BBD9F" w14:textId="77777777" w:rsidR="00A07D76" w:rsidRPr="00BF5C70" w:rsidRDefault="00A07D76" w:rsidP="00BA67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Relatoría Especial para la Libertad de Expresión (RELE), Comunicado de prensa No. 190/24, </w:t>
      </w:r>
      <w:hyperlink r:id="rId127" w:history="1">
        <w:r w:rsidRPr="00BF5C70">
          <w:rPr>
            <w:rStyle w:val="Hyperlink"/>
            <w:rFonts w:cstheme="majorBidi"/>
            <w:color w:val="auto"/>
            <w:szCs w:val="16"/>
            <w:lang w:val="es-ES_tradnl"/>
          </w:rPr>
          <w:t>La RELE alerta a la comunidad internacional sobre detención arbitraria de periodistas y criminalización de la disidencia en Venezuela</w:t>
        </w:r>
      </w:hyperlink>
      <w:r w:rsidRPr="00BF5C70">
        <w:rPr>
          <w:rFonts w:cstheme="majorBidi"/>
          <w:szCs w:val="16"/>
          <w:lang w:val="es-ES_tradnl"/>
        </w:rPr>
        <w:t>, 23 de agosto de 2024.</w:t>
      </w:r>
    </w:p>
  </w:footnote>
  <w:footnote w:id="173">
    <w:p w14:paraId="462637E1" w14:textId="77777777" w:rsidR="00A07D76" w:rsidRPr="00BF5C70" w:rsidRDefault="00A07D76" w:rsidP="00BA67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RSF, </w:t>
      </w:r>
      <w:hyperlink r:id="rId128" w:history="1">
        <w:r w:rsidRPr="00BF5C70">
          <w:rPr>
            <w:rStyle w:val="Hyperlink"/>
            <w:rFonts w:cstheme="majorBidi"/>
            <w:color w:val="auto"/>
            <w:szCs w:val="16"/>
            <w:lang w:val="es-ES_tradnl"/>
          </w:rPr>
          <w:t>Venezuela: RSF registra 70 ataques a la libertad de prensa en 15 días</w:t>
        </w:r>
      </w:hyperlink>
      <w:r w:rsidRPr="00BF5C70">
        <w:rPr>
          <w:rFonts w:cstheme="majorBidi"/>
          <w:szCs w:val="16"/>
          <w:lang w:val="es-ES_tradnl"/>
        </w:rPr>
        <w:t xml:space="preserve">, 13 de agosto de 2024. </w:t>
      </w:r>
    </w:p>
  </w:footnote>
  <w:footnote w:id="174">
    <w:p w14:paraId="433A98A4" w14:textId="77777777" w:rsidR="00A07D76" w:rsidRPr="00BF5C70" w:rsidRDefault="00A07D76" w:rsidP="00BA67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RSF, </w:t>
      </w:r>
      <w:hyperlink r:id="rId129" w:history="1">
        <w:r w:rsidRPr="00BF5C70">
          <w:rPr>
            <w:rStyle w:val="Hyperlink"/>
            <w:rFonts w:cstheme="majorBidi"/>
            <w:color w:val="auto"/>
            <w:szCs w:val="16"/>
            <w:lang w:val="es-ES_tradnl"/>
          </w:rPr>
          <w:t>Venezuela: RSF registra 70 ataques a la libertad de prensa en 15 días</w:t>
        </w:r>
      </w:hyperlink>
      <w:r w:rsidRPr="00BF5C70">
        <w:rPr>
          <w:rFonts w:cstheme="majorBidi"/>
          <w:szCs w:val="16"/>
          <w:lang w:val="es-ES_tradnl"/>
        </w:rPr>
        <w:t xml:space="preserve">, 13 de agosto de 2024. </w:t>
      </w:r>
    </w:p>
  </w:footnote>
  <w:footnote w:id="175">
    <w:p w14:paraId="39FEA69E" w14:textId="77777777" w:rsidR="00A07D76" w:rsidRPr="00BF5C70" w:rsidRDefault="00A07D76" w:rsidP="00BA67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RSF, </w:t>
      </w:r>
      <w:hyperlink r:id="rId130" w:history="1">
        <w:r w:rsidRPr="00BF5C70">
          <w:rPr>
            <w:rStyle w:val="Hyperlink"/>
            <w:rFonts w:cstheme="majorBidi"/>
            <w:color w:val="auto"/>
            <w:szCs w:val="16"/>
            <w:lang w:val="es-ES_tradnl"/>
          </w:rPr>
          <w:t>Venezuela: RSF registra 70 ataques a la libertad de prensa en 15 días</w:t>
        </w:r>
      </w:hyperlink>
      <w:r w:rsidRPr="00BF5C70">
        <w:rPr>
          <w:rFonts w:cstheme="majorBidi"/>
          <w:szCs w:val="16"/>
          <w:lang w:val="es-ES_tradnl"/>
        </w:rPr>
        <w:t xml:space="preserve">, 13 de agosto de 2024. </w:t>
      </w:r>
    </w:p>
  </w:footnote>
  <w:footnote w:id="176">
    <w:p w14:paraId="794AC978" w14:textId="77777777" w:rsidR="00A07D76" w:rsidRPr="00BF5C70" w:rsidRDefault="00A07D76" w:rsidP="00BA67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RSF, </w:t>
      </w:r>
      <w:hyperlink r:id="rId131" w:history="1">
        <w:r w:rsidRPr="00BF5C70">
          <w:rPr>
            <w:rStyle w:val="Hyperlink"/>
            <w:rFonts w:cstheme="majorBidi"/>
            <w:color w:val="auto"/>
            <w:szCs w:val="16"/>
            <w:lang w:val="es-ES_tradnl"/>
          </w:rPr>
          <w:t>Venezuela: RSF registra 70 ataques a la libertad de prensa en 15 días</w:t>
        </w:r>
      </w:hyperlink>
      <w:r w:rsidRPr="00BF5C70">
        <w:rPr>
          <w:rFonts w:cstheme="majorBidi"/>
          <w:szCs w:val="16"/>
          <w:lang w:val="es-ES_tradnl"/>
        </w:rPr>
        <w:t xml:space="preserve">, 13 de agosto de 2024. </w:t>
      </w:r>
    </w:p>
  </w:footnote>
  <w:footnote w:id="177">
    <w:p w14:paraId="45200B23" w14:textId="77777777" w:rsidR="00A07D76" w:rsidRPr="00BF5C70" w:rsidRDefault="00A07D76" w:rsidP="00BA67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32" w:history="1">
        <w:r w:rsidRPr="00BF5C70">
          <w:rPr>
            <w:rStyle w:val="Hyperlink"/>
            <w:rFonts w:cstheme="majorBidi"/>
            <w:color w:val="auto"/>
            <w:szCs w:val="16"/>
            <w:lang w:val="es-ES_tradnl"/>
          </w:rPr>
          <w:t>Agosto: censura y represión postelectoral</w:t>
        </w:r>
      </w:hyperlink>
      <w:r w:rsidRPr="00BF5C70">
        <w:rPr>
          <w:rFonts w:cstheme="majorBidi"/>
          <w:szCs w:val="16"/>
          <w:lang w:val="es-ES_tradnl"/>
        </w:rPr>
        <w:t>, 5 de septiembre de 2024.</w:t>
      </w:r>
    </w:p>
  </w:footnote>
  <w:footnote w:id="178">
    <w:p w14:paraId="79581202" w14:textId="55741457" w:rsidR="00A07D76" w:rsidRPr="00BF5C70" w:rsidRDefault="00A07D76" w:rsidP="00BA67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Asociación de Entidades Periodísticas Argentinas (ADEPA), [@Adepargentina], (25 de julio de 2024), Repudiamos enérgicamente la detención y posible deportación del periodista Jorge Pizarro, X, </w:t>
      </w:r>
      <w:hyperlink r:id="rId133" w:history="1">
        <w:r w:rsidRPr="00BF5C70">
          <w:rPr>
            <w:rStyle w:val="Hyperlink"/>
            <w:rFonts w:cstheme="majorBidi"/>
            <w:color w:val="auto"/>
            <w:szCs w:val="16"/>
            <w:lang w:val="es-ES_tradnl"/>
          </w:rPr>
          <w:t>https://x.com/Adepargentina/status/1816479261236101274?t=ZDd8iiq8xvMsTaK9-c0_Bw&amp;s=08</w:t>
        </w:r>
      </w:hyperlink>
      <w:r w:rsidRPr="00BF5C70">
        <w:rPr>
          <w:rFonts w:cstheme="majorBidi"/>
          <w:szCs w:val="16"/>
          <w:lang w:val="es-ES_tradnl"/>
        </w:rPr>
        <w:t>;</w:t>
      </w:r>
      <w:r w:rsidR="005558DF">
        <w:rPr>
          <w:rFonts w:cstheme="majorBidi"/>
          <w:szCs w:val="16"/>
          <w:lang w:val="es-ES_tradnl"/>
        </w:rPr>
        <w:t xml:space="preserve"> </w:t>
      </w:r>
      <w:r w:rsidRPr="00BF5C70">
        <w:rPr>
          <w:rFonts w:cstheme="majorBidi"/>
          <w:szCs w:val="16"/>
          <w:lang w:val="es-ES_tradnl"/>
        </w:rPr>
        <w:t xml:space="preserve">Espacio Público, [@espaciopublico], (25 de julio de 2024), El gobierno venezolano le impidió la entrada al país al periodista argentino, Jorge Pizarro, X, </w:t>
      </w:r>
      <w:hyperlink r:id="rId134" w:history="1">
        <w:r w:rsidRPr="00BF5C70">
          <w:rPr>
            <w:rStyle w:val="Hyperlink"/>
            <w:rFonts w:cstheme="majorBidi"/>
            <w:color w:val="auto"/>
            <w:szCs w:val="16"/>
            <w:lang w:val="es-ES_tradnl"/>
          </w:rPr>
          <w:t>https://x.com/espaciopublico/status/1816463273677423012</w:t>
        </w:r>
      </w:hyperlink>
      <w:r w:rsidRPr="00BF5C70">
        <w:rPr>
          <w:rFonts w:cstheme="majorBidi"/>
          <w:szCs w:val="16"/>
          <w:lang w:val="es-ES_tradnl"/>
        </w:rPr>
        <w:t xml:space="preserve">. </w:t>
      </w:r>
    </w:p>
  </w:footnote>
  <w:footnote w:id="179">
    <w:p w14:paraId="42B7BDD4" w14:textId="77777777" w:rsidR="00A07D76" w:rsidRPr="00BF5C70" w:rsidRDefault="00A07D76" w:rsidP="00BA67EB">
      <w:pPr>
        <w:pStyle w:val="IAPiedepgina"/>
        <w:rPr>
          <w:rFonts w:cstheme="majorBidi"/>
          <w:szCs w:val="16"/>
        </w:rPr>
      </w:pPr>
      <w:r w:rsidRPr="005C52BD">
        <w:rPr>
          <w:rStyle w:val="FootnoteReference"/>
          <w:rFonts w:cstheme="majorBidi"/>
          <w:sz w:val="16"/>
          <w:szCs w:val="16"/>
        </w:rPr>
        <w:footnoteRef/>
      </w:r>
      <w:r w:rsidRPr="00BF5C70">
        <w:rPr>
          <w:rFonts w:cstheme="majorBidi"/>
          <w:szCs w:val="16"/>
        </w:rPr>
        <w:t xml:space="preserve"> Espacio Público, [@espaciopublico], (23 de julio de 2024), La periodista italiana Barbara Schiavulli (@schiavulli) denunció que a un grupo de reporteros internacionales no podrán venir a Venezuela para cubrir las elecciones presidenciales, X, </w:t>
      </w:r>
      <w:hyperlink r:id="rId135" w:history="1">
        <w:r w:rsidRPr="00BF5C70">
          <w:rPr>
            <w:rStyle w:val="Hyperlink"/>
            <w:rFonts w:cstheme="majorBidi"/>
            <w:color w:val="auto"/>
            <w:szCs w:val="16"/>
          </w:rPr>
          <w:t>https://x.com/espaciopublico/status/1815760022183260360</w:t>
        </w:r>
      </w:hyperlink>
      <w:r w:rsidRPr="00BF5C70">
        <w:rPr>
          <w:rFonts w:cstheme="majorBidi"/>
          <w:szCs w:val="16"/>
        </w:rPr>
        <w:t xml:space="preserve">. </w:t>
      </w:r>
    </w:p>
  </w:footnote>
  <w:footnote w:id="180">
    <w:p w14:paraId="1DFA4576" w14:textId="77777777" w:rsidR="00A07D76" w:rsidRPr="00BF5C70" w:rsidRDefault="00A07D76" w:rsidP="00BA67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36" w:history="1">
        <w:r w:rsidRPr="00BF5C70">
          <w:rPr>
            <w:rStyle w:val="Hyperlink"/>
            <w:rFonts w:cstheme="majorBidi"/>
            <w:color w:val="auto"/>
            <w:szCs w:val="16"/>
            <w:lang w:val="es-ES_tradnl"/>
          </w:rPr>
          <w:t>Protestas #29J: detenciones y ataques a la prensa</w:t>
        </w:r>
      </w:hyperlink>
      <w:r w:rsidRPr="00BF5C70">
        <w:rPr>
          <w:rFonts w:cstheme="majorBidi"/>
          <w:szCs w:val="16"/>
          <w:lang w:val="es-ES_tradnl"/>
        </w:rPr>
        <w:t>, 29 de julio de 2024.</w:t>
      </w:r>
    </w:p>
  </w:footnote>
  <w:footnote w:id="181">
    <w:p w14:paraId="2547725F" w14:textId="77777777" w:rsidR="00A07D76" w:rsidRPr="00BF5C70" w:rsidRDefault="00A07D76" w:rsidP="00BA67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37" w:history="1">
        <w:r w:rsidRPr="00BF5C70">
          <w:rPr>
            <w:rStyle w:val="Hyperlink"/>
            <w:rFonts w:cstheme="majorBidi"/>
            <w:color w:val="auto"/>
            <w:szCs w:val="16"/>
            <w:lang w:val="es-ES_tradnl"/>
          </w:rPr>
          <w:t>Agosto: censura y represión postelectoral</w:t>
        </w:r>
      </w:hyperlink>
      <w:r w:rsidRPr="00BF5C70">
        <w:rPr>
          <w:rFonts w:cstheme="majorBidi"/>
          <w:szCs w:val="16"/>
          <w:lang w:val="es-ES_tradnl"/>
        </w:rPr>
        <w:t>, 5 de septiembre de 2024.</w:t>
      </w:r>
    </w:p>
  </w:footnote>
  <w:footnote w:id="182">
    <w:p w14:paraId="40FB6A52" w14:textId="77777777" w:rsidR="00A07D76" w:rsidRPr="00BF5C70" w:rsidRDefault="00A07D76" w:rsidP="00BA67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CIDH, </w:t>
      </w:r>
      <w:hyperlink r:id="rId138" w:history="1">
        <w:r w:rsidRPr="00BF5C70">
          <w:rPr>
            <w:rStyle w:val="Hyperlink"/>
            <w:rFonts w:cstheme="majorBidi"/>
            <w:color w:val="auto"/>
            <w:szCs w:val="16"/>
            <w:lang w:val="es-ES_tradnl"/>
          </w:rPr>
          <w:t>Declaración de Principios sobre Libertad de Expresión</w:t>
        </w:r>
      </w:hyperlink>
      <w:r w:rsidRPr="00BF5C70">
        <w:rPr>
          <w:rFonts w:cstheme="majorBidi"/>
          <w:szCs w:val="16"/>
          <w:lang w:val="es-ES_tradnl"/>
        </w:rPr>
        <w:t>, 2000.</w:t>
      </w:r>
    </w:p>
  </w:footnote>
  <w:footnote w:id="183">
    <w:p w14:paraId="082AB465" w14:textId="77777777" w:rsidR="00A07D76" w:rsidRPr="00BF5C70" w:rsidRDefault="00A07D76" w:rsidP="00F970C7">
      <w:pPr>
        <w:pStyle w:val="IAPiedepgina"/>
        <w:rPr>
          <w:rFonts w:cstheme="majorBidi"/>
          <w:szCs w:val="16"/>
        </w:rPr>
      </w:pPr>
      <w:r w:rsidRPr="005C52BD">
        <w:rPr>
          <w:rStyle w:val="FootnoteReference"/>
          <w:rFonts w:cstheme="majorBidi"/>
          <w:sz w:val="16"/>
          <w:szCs w:val="16"/>
        </w:rPr>
        <w:footnoteRef/>
      </w:r>
      <w:r w:rsidRPr="00BF5C70">
        <w:rPr>
          <w:rFonts w:cstheme="majorBidi"/>
          <w:szCs w:val="16"/>
        </w:rPr>
        <w:t xml:space="preserve"> CIDH, </w:t>
      </w:r>
      <w:hyperlink r:id="rId139" w:history="1">
        <w:r w:rsidRPr="00BF5C70">
          <w:rPr>
            <w:rStyle w:val="Hyperlink"/>
            <w:rFonts w:cstheme="majorBidi"/>
            <w:color w:val="auto"/>
            <w:szCs w:val="16"/>
          </w:rPr>
          <w:t>Antecedentes e interpretación de la Declaración de Principios</w:t>
        </w:r>
      </w:hyperlink>
      <w:r w:rsidRPr="00BF5C70">
        <w:rPr>
          <w:rFonts w:cstheme="majorBidi"/>
          <w:szCs w:val="16"/>
        </w:rPr>
        <w:t xml:space="preserve">; CIDH, Relatoría Especial para la Libertad de Expresión, </w:t>
      </w:r>
      <w:hyperlink r:id="rId140" w:history="1">
        <w:r w:rsidRPr="00BF5C70">
          <w:rPr>
            <w:rStyle w:val="Hyperlink"/>
            <w:rFonts w:cstheme="majorBidi"/>
            <w:color w:val="auto"/>
            <w:szCs w:val="16"/>
          </w:rPr>
          <w:t>Violencia contra periodistas y trabajadores de medios: Estándares interamericanos y prácticas nacionales sobre prevención, protección y procuración de la justicia</w:t>
        </w:r>
      </w:hyperlink>
      <w:r w:rsidRPr="00BF5C70">
        <w:rPr>
          <w:rFonts w:cstheme="majorBidi"/>
          <w:szCs w:val="16"/>
        </w:rPr>
        <w:t xml:space="preserve">, OEA/Ser.L/V/II. CIDH/RELE/INF. 12/13., 31 de diciembre de 2013. </w:t>
      </w:r>
    </w:p>
  </w:footnote>
  <w:footnote w:id="184">
    <w:p w14:paraId="695729AE" w14:textId="77777777" w:rsidR="00A07D76" w:rsidRPr="00BF5C70" w:rsidRDefault="00A07D76" w:rsidP="00F970C7">
      <w:pPr>
        <w:pStyle w:val="IAPiedepgina"/>
        <w:rPr>
          <w:rFonts w:cstheme="majorBidi"/>
          <w:szCs w:val="16"/>
        </w:rPr>
      </w:pPr>
      <w:r w:rsidRPr="005C52BD">
        <w:rPr>
          <w:rStyle w:val="FootnoteReference"/>
          <w:rFonts w:cstheme="majorBidi"/>
          <w:sz w:val="16"/>
          <w:szCs w:val="16"/>
        </w:rPr>
        <w:footnoteRef/>
      </w:r>
      <w:r w:rsidRPr="00BF5C70">
        <w:rPr>
          <w:rFonts w:cstheme="majorBidi"/>
          <w:szCs w:val="16"/>
        </w:rPr>
        <w:t xml:space="preserve"> CIDH, </w:t>
      </w:r>
      <w:hyperlink r:id="rId141" w:history="1">
        <w:r w:rsidRPr="00BF5C70">
          <w:rPr>
            <w:rStyle w:val="Hyperlink"/>
            <w:rFonts w:cstheme="majorBidi"/>
            <w:color w:val="auto"/>
            <w:szCs w:val="16"/>
          </w:rPr>
          <w:t>Antecedentes e interpretación de la Declaración de Principios</w:t>
        </w:r>
      </w:hyperlink>
      <w:r w:rsidRPr="00BF5C70">
        <w:rPr>
          <w:rFonts w:cstheme="majorBidi"/>
          <w:szCs w:val="16"/>
        </w:rPr>
        <w:t xml:space="preserve">; CIDH, Informe Anual 2023, </w:t>
      </w:r>
      <w:hyperlink r:id="rId142" w:history="1">
        <w:r w:rsidRPr="00BF5C70">
          <w:rPr>
            <w:rStyle w:val="Hyperlink"/>
            <w:rFonts w:cstheme="majorBidi"/>
            <w:color w:val="auto"/>
            <w:szCs w:val="16"/>
          </w:rPr>
          <w:t>Informe de la Relatoría Especial para la Libertad de Expresión</w:t>
        </w:r>
      </w:hyperlink>
      <w:r w:rsidRPr="00BF5C70">
        <w:rPr>
          <w:rFonts w:cstheme="majorBidi"/>
          <w:szCs w:val="16"/>
        </w:rPr>
        <w:t>, OEA/Ser.L/V/II Doc. 386, 6 de diciembre de 2023, párr. 1613.</w:t>
      </w:r>
    </w:p>
  </w:footnote>
  <w:footnote w:id="185">
    <w:p w14:paraId="4FE6F1BE" w14:textId="77777777" w:rsidR="00A07D76" w:rsidRPr="00BF5C70" w:rsidRDefault="00A07D76" w:rsidP="00F970C7">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Relatoría Especial para la Libertad de Expresión (RELE), Comunicado de prensa No. 190/24, </w:t>
      </w:r>
      <w:hyperlink r:id="rId143" w:history="1">
        <w:r w:rsidRPr="00BF5C70">
          <w:rPr>
            <w:rStyle w:val="Hyperlink"/>
            <w:rFonts w:cstheme="majorBidi"/>
            <w:color w:val="auto"/>
            <w:szCs w:val="16"/>
            <w:lang w:val="es-ES_tradnl"/>
          </w:rPr>
          <w:t>La RELE alerta a la comunidad internacional sobre detención arbitraria de periodistas y criminalización de la disidencia en Venezuela</w:t>
        </w:r>
      </w:hyperlink>
      <w:r w:rsidRPr="00BF5C70">
        <w:rPr>
          <w:rFonts w:cstheme="majorBidi"/>
          <w:szCs w:val="16"/>
          <w:lang w:val="es-ES_tradnl"/>
        </w:rPr>
        <w:t>, 23 de agosto de 2024.</w:t>
      </w:r>
    </w:p>
  </w:footnote>
  <w:footnote w:id="186">
    <w:p w14:paraId="69D4F7B0" w14:textId="77777777" w:rsidR="00A07D76" w:rsidRPr="00BF5C70" w:rsidRDefault="00A07D76" w:rsidP="00F970C7">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44" w:history="1">
        <w:r w:rsidRPr="00BF5C70">
          <w:rPr>
            <w:rStyle w:val="Hyperlink"/>
            <w:rFonts w:cstheme="majorBidi"/>
            <w:color w:val="auto"/>
            <w:szCs w:val="16"/>
            <w:lang w:val="es-ES_tradnl"/>
          </w:rPr>
          <w:t>Situación general del derecho a la libertad de expresión e información, enero – abril 2024</w:t>
        </w:r>
      </w:hyperlink>
      <w:r w:rsidRPr="00BF5C70">
        <w:rPr>
          <w:rFonts w:cstheme="majorBidi"/>
          <w:szCs w:val="16"/>
          <w:lang w:val="es-ES_tradnl"/>
        </w:rPr>
        <w:t>, 3 de mayo de 2024.</w:t>
      </w:r>
    </w:p>
  </w:footnote>
  <w:footnote w:id="187">
    <w:p w14:paraId="2A2F09D5" w14:textId="77777777" w:rsidR="00A07D76" w:rsidRPr="00BF5C70" w:rsidRDefault="00A07D76" w:rsidP="00F970C7">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[@espaciopublico], (20 de julio de 2024), Nicolás Maduro volvió a hostigar de manera verbal a las agencias internacionales de noticias CNN en español, EFE, AFP y AP, a las que calificó como “basura” y las acusó de “querer manchar el proceso electoral” en Venezuela, X, </w:t>
      </w:r>
      <w:hyperlink r:id="rId145" w:history="1">
        <w:r w:rsidRPr="00BF5C70">
          <w:rPr>
            <w:rStyle w:val="Hyperlink"/>
            <w:rFonts w:cstheme="majorBidi"/>
            <w:color w:val="auto"/>
            <w:szCs w:val="16"/>
            <w:lang w:val="es-ES_tradnl"/>
          </w:rPr>
          <w:t>https://x.com/espaciopublico/status/1814637101738029524</w:t>
        </w:r>
      </w:hyperlink>
      <w:r w:rsidRPr="00BF5C70">
        <w:rPr>
          <w:rFonts w:cstheme="majorBidi"/>
          <w:szCs w:val="16"/>
          <w:lang w:val="es-ES_tradnl"/>
        </w:rPr>
        <w:t xml:space="preserve">. </w:t>
      </w:r>
    </w:p>
  </w:footnote>
  <w:footnote w:id="188">
    <w:p w14:paraId="6999039F" w14:textId="77777777" w:rsidR="00A07D76" w:rsidRPr="00BF5C70" w:rsidRDefault="00A07D76" w:rsidP="00F970C7">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SNTP, [@sntpvenezuela], (22 de julio de 2024), Nicolás Maduro vuelve a arremeter contra las agencias internacionales </w:t>
      </w:r>
    </w:p>
    <w:p w14:paraId="2E2CE366" w14:textId="1447EDF3" w:rsidR="00A07D76" w:rsidRPr="00BF5C70" w:rsidRDefault="00A07D76" w:rsidP="00F970C7">
      <w:pPr>
        <w:pStyle w:val="IAPiedepgina"/>
        <w:rPr>
          <w:rFonts w:cstheme="majorBidi"/>
          <w:szCs w:val="16"/>
        </w:rPr>
      </w:pPr>
      <w:r w:rsidRPr="00BF5C70">
        <w:rPr>
          <w:rFonts w:cstheme="majorBidi"/>
          <w:szCs w:val="16"/>
        </w:rPr>
        <w:t xml:space="preserve">@AFPespanol, @EFEnoticias y @AP_Noticias, así como contra el canal@CNNEE, al tildarlos como "sicarios de la mentira". </w:t>
      </w:r>
      <w:r w:rsidR="7CEBB128" w:rsidRPr="00BF5C70">
        <w:rPr>
          <w:rFonts w:cstheme="majorBidi"/>
          <w:szCs w:val="16"/>
        </w:rPr>
        <w:t xml:space="preserve">Se trata de una conducta reiterada durante la campaña del mandatario, X, </w:t>
      </w:r>
      <w:hyperlink r:id="rId146">
        <w:r w:rsidR="7CEBB128" w:rsidRPr="00BF5C70">
          <w:rPr>
            <w:rStyle w:val="Hyperlink"/>
            <w:rFonts w:cstheme="majorBidi"/>
            <w:color w:val="auto"/>
            <w:szCs w:val="16"/>
          </w:rPr>
          <w:t>https://x.com/sntpvenezuela/status/1815492367459213707</w:t>
        </w:r>
      </w:hyperlink>
      <w:r w:rsidR="7CEBB128" w:rsidRPr="00BF5C70">
        <w:rPr>
          <w:rFonts w:cstheme="majorBidi"/>
          <w:szCs w:val="16"/>
        </w:rPr>
        <w:t xml:space="preserve">. </w:t>
      </w:r>
    </w:p>
  </w:footnote>
  <w:footnote w:id="189">
    <w:p w14:paraId="0B1C8478" w14:textId="77777777" w:rsidR="00A07D76" w:rsidRPr="00BF5C70" w:rsidRDefault="00A07D76" w:rsidP="00F970C7">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Relator Especial de las Naciones Unidas (ONU) sobre la Protección y Promoción de la Libertad de Opinión y Expresión; Representante de la Organización para la Seguridad y la Cooperación en Europa (OSCE) para la Libertad de los Medios de Comunicación, el Relator Especial para la Libertad de Expresión de la Organización de Estados Americanos (OEA); Relatora Especial de la Comisión Africana de Derechos Humanos y de los Pueblos (CADHP) para la Libertad de Expresión y Acceso a la Información, </w:t>
      </w:r>
      <w:hyperlink r:id="rId147" w:history="1">
        <w:r w:rsidRPr="00BF5C70">
          <w:rPr>
            <w:rStyle w:val="Hyperlink"/>
            <w:rFonts w:cstheme="majorBidi"/>
            <w:color w:val="auto"/>
            <w:szCs w:val="16"/>
            <w:lang w:val="es-ES_tradnl"/>
          </w:rPr>
          <w:t>Declaración Conjunta 2021 Sobre Líderes Políticos, Personas Que Ejercen La Función Pública, Y Libertad De Expresión</w:t>
        </w:r>
      </w:hyperlink>
      <w:r w:rsidRPr="00BF5C70">
        <w:rPr>
          <w:rFonts w:cstheme="majorBidi"/>
          <w:szCs w:val="16"/>
          <w:lang w:val="es-ES_tradnl"/>
        </w:rPr>
        <w:t>, 20 de octubre de 2021.</w:t>
      </w:r>
    </w:p>
  </w:footnote>
  <w:footnote w:id="190">
    <w:p w14:paraId="60129CD9" w14:textId="327EB15F" w:rsidR="00A07D76" w:rsidRPr="00BF5C70" w:rsidRDefault="00A07D76" w:rsidP="00F970C7">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Corte IDH. Caso Ríos y otros Vs. Venezuela. Excepciones Preliminares, Fondo, Reparaciones y Costas. Sentencia de 28 de enero de 2009. Serie C No. 194</w:t>
      </w:r>
      <w:r w:rsidR="00F07438" w:rsidRPr="00BF5C70">
        <w:rPr>
          <w:rFonts w:cstheme="majorBidi"/>
          <w:szCs w:val="16"/>
          <w:lang w:val="es-ES_tradnl"/>
        </w:rPr>
        <w:t>,</w:t>
      </w:r>
      <w:r w:rsidRPr="00BF5C70">
        <w:rPr>
          <w:rFonts w:cstheme="majorBidi"/>
          <w:szCs w:val="16"/>
          <w:lang w:val="es-ES_tradnl"/>
        </w:rPr>
        <w:t xml:space="preserve"> </w:t>
      </w:r>
      <w:r w:rsidR="00F07438" w:rsidRPr="00BF5C70">
        <w:rPr>
          <w:rFonts w:cstheme="majorBidi"/>
          <w:szCs w:val="16"/>
          <w:lang w:val="es-ES_tradnl"/>
        </w:rPr>
        <w:t>p</w:t>
      </w:r>
      <w:r w:rsidRPr="00BF5C70">
        <w:rPr>
          <w:rFonts w:cstheme="majorBidi"/>
          <w:szCs w:val="16"/>
          <w:lang w:val="es-ES_tradnl"/>
        </w:rPr>
        <w:t>árr. 139.</w:t>
      </w:r>
    </w:p>
  </w:footnote>
  <w:footnote w:id="191">
    <w:p w14:paraId="451825F2" w14:textId="77777777" w:rsidR="00A07D76" w:rsidRPr="00BF5C70" w:rsidRDefault="00A07D76" w:rsidP="00F970C7">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Voz de América, </w:t>
      </w:r>
      <w:hyperlink r:id="rId148" w:history="1">
        <w:r w:rsidRPr="00BF5C70">
          <w:rPr>
            <w:rStyle w:val="Hyperlink"/>
            <w:rFonts w:cstheme="majorBidi"/>
            <w:color w:val="auto"/>
            <w:szCs w:val="16"/>
            <w:lang w:val="es-ES_tradnl"/>
          </w:rPr>
          <w:t>Venezuela: Más de 400 medios de comunicación cerrados en dos décadas</w:t>
        </w:r>
      </w:hyperlink>
      <w:r w:rsidRPr="00BF5C70">
        <w:rPr>
          <w:rFonts w:cstheme="majorBidi"/>
          <w:szCs w:val="16"/>
          <w:lang w:val="es-ES_tradnl"/>
        </w:rPr>
        <w:t xml:space="preserve">, 8 de enero de 2024. </w:t>
      </w:r>
    </w:p>
  </w:footnote>
  <w:footnote w:id="192">
    <w:p w14:paraId="4A748B15" w14:textId="77777777" w:rsidR="00A07D76" w:rsidRPr="00BF5C70" w:rsidRDefault="00A07D76" w:rsidP="00F970C7">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Voz de América, </w:t>
      </w:r>
      <w:hyperlink r:id="rId149" w:history="1">
        <w:r w:rsidRPr="00BF5C70">
          <w:rPr>
            <w:rStyle w:val="Hyperlink"/>
            <w:rFonts w:cstheme="majorBidi"/>
            <w:color w:val="auto"/>
            <w:szCs w:val="16"/>
            <w:lang w:val="es-ES_tradnl"/>
          </w:rPr>
          <w:t>Venezuela: Más de 400 medios de comunicación cerrados en dos décadas</w:t>
        </w:r>
      </w:hyperlink>
      <w:r w:rsidRPr="00BF5C70">
        <w:rPr>
          <w:rFonts w:cstheme="majorBidi"/>
          <w:szCs w:val="16"/>
          <w:lang w:val="es-ES_tradnl"/>
        </w:rPr>
        <w:t>, 8 de enero de 2024.</w:t>
      </w:r>
    </w:p>
  </w:footnote>
  <w:footnote w:id="193">
    <w:p w14:paraId="74087A1F" w14:textId="77777777" w:rsidR="00A07D76" w:rsidRPr="00BF5C70" w:rsidRDefault="00A07D76" w:rsidP="008510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Voz de América, </w:t>
      </w:r>
      <w:hyperlink r:id="rId150" w:history="1">
        <w:r w:rsidRPr="00BF5C70">
          <w:rPr>
            <w:rStyle w:val="Hyperlink"/>
            <w:rFonts w:cstheme="majorBidi"/>
            <w:color w:val="auto"/>
            <w:szCs w:val="16"/>
            <w:lang w:val="es-ES_tradnl"/>
          </w:rPr>
          <w:t>Venezuela: Más de 400 medios de comunicación cerrados en dos décadas</w:t>
        </w:r>
      </w:hyperlink>
      <w:r w:rsidRPr="00BF5C70">
        <w:rPr>
          <w:rFonts w:cstheme="majorBidi"/>
          <w:szCs w:val="16"/>
          <w:lang w:val="es-ES_tradnl"/>
        </w:rPr>
        <w:t>, 8 de enero de 2024.</w:t>
      </w:r>
    </w:p>
  </w:footnote>
  <w:footnote w:id="194">
    <w:p w14:paraId="0441DAC5" w14:textId="77777777" w:rsidR="00A07D76" w:rsidRPr="00BF5C70" w:rsidRDefault="00A07D76" w:rsidP="008510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Voz de América, </w:t>
      </w:r>
      <w:hyperlink r:id="rId151" w:history="1">
        <w:r w:rsidRPr="00BF5C70">
          <w:rPr>
            <w:rStyle w:val="Hyperlink"/>
            <w:rFonts w:cstheme="majorBidi"/>
            <w:color w:val="auto"/>
            <w:szCs w:val="16"/>
            <w:lang w:val="es-ES_tradnl"/>
          </w:rPr>
          <w:t>Venezuela: Más de 400 medios de comunicación cerrados en dos décadas</w:t>
        </w:r>
      </w:hyperlink>
      <w:r w:rsidRPr="00BF5C70">
        <w:rPr>
          <w:rFonts w:cstheme="majorBidi"/>
          <w:szCs w:val="16"/>
          <w:lang w:val="es-ES_tradnl"/>
        </w:rPr>
        <w:t>, 8 de enero de 2024.</w:t>
      </w:r>
    </w:p>
  </w:footnote>
  <w:footnote w:id="195">
    <w:p w14:paraId="6D72736F" w14:textId="77777777" w:rsidR="00A07D76" w:rsidRPr="00BF5C70" w:rsidRDefault="00A07D76" w:rsidP="008510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52" w:history="1">
        <w:r w:rsidRPr="00BF5C70">
          <w:rPr>
            <w:rStyle w:val="Hyperlink"/>
            <w:rFonts w:cstheme="majorBidi"/>
            <w:color w:val="auto"/>
            <w:szCs w:val="16"/>
            <w:lang w:val="es-ES_tradnl"/>
          </w:rPr>
          <w:t>Situación general del derecho a la libertad de expresión e información, enero – abril 2024</w:t>
        </w:r>
      </w:hyperlink>
      <w:r w:rsidRPr="00BF5C70">
        <w:rPr>
          <w:rFonts w:cstheme="majorBidi"/>
          <w:szCs w:val="16"/>
          <w:lang w:val="es-ES_tradnl"/>
        </w:rPr>
        <w:t>, 3 de mayo de 2024.</w:t>
      </w:r>
    </w:p>
  </w:footnote>
  <w:footnote w:id="196">
    <w:p w14:paraId="5AC3482F" w14:textId="77777777" w:rsidR="00A07D76" w:rsidRPr="00BF5C70" w:rsidRDefault="00A07D76" w:rsidP="008510EB">
      <w:pPr>
        <w:pStyle w:val="IAPiedepgina"/>
        <w:rPr>
          <w:rFonts w:cstheme="majorBidi"/>
          <w:szCs w:val="16"/>
        </w:rPr>
      </w:pPr>
      <w:r w:rsidRPr="005C52BD">
        <w:rPr>
          <w:rStyle w:val="FootnoteReference"/>
          <w:rFonts w:cstheme="majorBidi"/>
          <w:sz w:val="16"/>
          <w:szCs w:val="16"/>
        </w:rPr>
        <w:footnoteRef/>
      </w:r>
      <w:r w:rsidRPr="00BF5C70">
        <w:rPr>
          <w:rFonts w:cstheme="majorBidi"/>
          <w:szCs w:val="16"/>
        </w:rPr>
        <w:t xml:space="preserve"> SNTP, [@sntpvenezuela], (23 de enero de 2024), Las instalaciones de Radio Hispana 89.5 FM en #SanFelipe, estado #Yaracuy, amanecieron vandalizadas por la acción de grupos desconocidos que rayaron sus paredes con la frase "Furia Bolivariana 2024", X, </w:t>
      </w:r>
      <w:hyperlink r:id="rId153" w:history="1">
        <w:r w:rsidRPr="00BF5C70">
          <w:rPr>
            <w:rStyle w:val="Hyperlink"/>
            <w:rFonts w:cstheme="majorBidi"/>
            <w:color w:val="auto"/>
            <w:szCs w:val="16"/>
          </w:rPr>
          <w:t>https://x.com/sntpvenezuela/status/1749928253387579502</w:t>
        </w:r>
      </w:hyperlink>
      <w:r w:rsidRPr="00BF5C70">
        <w:rPr>
          <w:rFonts w:cstheme="majorBidi"/>
          <w:szCs w:val="16"/>
        </w:rPr>
        <w:t xml:space="preserve">; Abc, </w:t>
      </w:r>
      <w:hyperlink r:id="rId154" w:history="1">
        <w:r w:rsidRPr="00BF5C70">
          <w:rPr>
            <w:rStyle w:val="Hyperlink"/>
            <w:rFonts w:cstheme="majorBidi"/>
            <w:color w:val="auto"/>
            <w:szCs w:val="16"/>
          </w:rPr>
          <w:t>Sindicato de prensa de Venezuela denuncia la vandalización de sedes de medios y gremiales</w:t>
        </w:r>
      </w:hyperlink>
      <w:r w:rsidRPr="00BF5C70">
        <w:rPr>
          <w:rFonts w:cstheme="majorBidi"/>
          <w:szCs w:val="16"/>
        </w:rPr>
        <w:t>, 23 de enero de 2023; El Diario</w:t>
      </w:r>
      <w:hyperlink r:id="rId155" w:history="1">
        <w:r w:rsidRPr="00BF5C70">
          <w:rPr>
            <w:rStyle w:val="Hyperlink"/>
            <w:rFonts w:cstheme="majorBidi"/>
            <w:color w:val="auto"/>
            <w:szCs w:val="16"/>
          </w:rPr>
          <w:t>, Sindicato de prensa de Venezuela denuncia la vandalización de sedes de medios y gremiales</w:t>
        </w:r>
      </w:hyperlink>
      <w:r w:rsidRPr="00BF5C70">
        <w:rPr>
          <w:rFonts w:cstheme="majorBidi"/>
          <w:szCs w:val="16"/>
        </w:rPr>
        <w:t>, 24 de enero de 2024.</w:t>
      </w:r>
    </w:p>
  </w:footnote>
  <w:footnote w:id="197">
    <w:p w14:paraId="10B50B6B" w14:textId="77777777" w:rsidR="00A07D76" w:rsidRPr="00BF5C70" w:rsidRDefault="00A07D76" w:rsidP="008510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56" w:history="1">
        <w:r w:rsidRPr="00BF5C70">
          <w:rPr>
            <w:rStyle w:val="Hyperlink"/>
            <w:rFonts w:cstheme="majorBidi"/>
            <w:color w:val="auto"/>
            <w:szCs w:val="16"/>
            <w:lang w:val="es-ES_tradnl"/>
          </w:rPr>
          <w:t>Febrero: aumenta la intimidación y la censura</w:t>
        </w:r>
      </w:hyperlink>
      <w:r w:rsidRPr="00BF5C70">
        <w:rPr>
          <w:rFonts w:cstheme="majorBidi"/>
          <w:szCs w:val="16"/>
          <w:lang w:val="es-ES_tradnl"/>
        </w:rPr>
        <w:t xml:space="preserve">, 4 de marzo de 2024. </w:t>
      </w:r>
    </w:p>
  </w:footnote>
  <w:footnote w:id="198">
    <w:p w14:paraId="0C83C145" w14:textId="77777777" w:rsidR="00A07D76" w:rsidRPr="00BF5C70" w:rsidRDefault="00A07D76" w:rsidP="008510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57" w:history="1">
        <w:r w:rsidRPr="00BF5C70">
          <w:rPr>
            <w:rStyle w:val="Hyperlink"/>
            <w:rFonts w:cstheme="majorBidi"/>
            <w:color w:val="auto"/>
            <w:szCs w:val="16"/>
            <w:lang w:val="es-ES_tradnl"/>
          </w:rPr>
          <w:t>Situación general del derecho a la libertad de expresión e información, enero – abril 2024</w:t>
        </w:r>
      </w:hyperlink>
      <w:r w:rsidRPr="00BF5C70">
        <w:rPr>
          <w:rFonts w:cstheme="majorBidi"/>
          <w:szCs w:val="16"/>
          <w:lang w:val="es-ES_tradnl"/>
        </w:rPr>
        <w:t xml:space="preserve">, 3 de mayo de 2024; CNP Caracas, [@CNPCaracas], 24 de febrero de 2024, Este #23Feb en #CiudadOjeda fueron cerradas por orden de #Conatel emisoras de radio Mágica 93.3 FM, Senda 96.1 FM y Clásicos 93.9 FM. Menos medios, menos noticias y más censura, X, </w:t>
      </w:r>
      <w:hyperlink r:id="rId158" w:history="1">
        <w:r w:rsidRPr="00BF5C70">
          <w:rPr>
            <w:rStyle w:val="Hyperlink"/>
            <w:rFonts w:cstheme="majorBidi"/>
            <w:color w:val="auto"/>
            <w:szCs w:val="16"/>
            <w:lang w:val="es-ES_tradnl"/>
          </w:rPr>
          <w:t>https://x.com/CNPCaracas/status/1761394900573049187?t=VYHe58KG22EpdyzYs-lg1A&amp;s=19</w:t>
        </w:r>
      </w:hyperlink>
      <w:r w:rsidRPr="00BF5C70">
        <w:rPr>
          <w:rFonts w:cstheme="majorBidi"/>
          <w:szCs w:val="16"/>
          <w:lang w:val="es-ES_tradnl"/>
        </w:rPr>
        <w:t xml:space="preserve">. </w:t>
      </w:r>
    </w:p>
  </w:footnote>
  <w:footnote w:id="199">
    <w:p w14:paraId="359A2CCA" w14:textId="77777777" w:rsidR="00A07D76" w:rsidRPr="00BF5C70" w:rsidRDefault="00A07D76" w:rsidP="008510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59" w:history="1">
        <w:r w:rsidRPr="00BF5C70">
          <w:rPr>
            <w:rStyle w:val="Hyperlink"/>
            <w:rFonts w:cstheme="majorBidi"/>
            <w:color w:val="auto"/>
            <w:szCs w:val="16"/>
            <w:lang w:val="es-ES_tradnl"/>
          </w:rPr>
          <w:t>Situación general del derecho a la libertad de expresión e información, enero – abril 2024</w:t>
        </w:r>
      </w:hyperlink>
      <w:r w:rsidRPr="00BF5C70">
        <w:rPr>
          <w:rFonts w:cstheme="majorBidi"/>
          <w:szCs w:val="16"/>
          <w:lang w:val="es-ES_tradnl"/>
        </w:rPr>
        <w:t>, 3 de mayo de 2024.</w:t>
      </w:r>
    </w:p>
  </w:footnote>
  <w:footnote w:id="200">
    <w:p w14:paraId="76B5081D" w14:textId="77777777" w:rsidR="00A07D76" w:rsidRPr="00BF5C70" w:rsidRDefault="00A07D76" w:rsidP="008510EB">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60" w:history="1">
        <w:r w:rsidRPr="00BF5C70">
          <w:rPr>
            <w:rStyle w:val="Hyperlink"/>
            <w:rFonts w:cstheme="majorBidi"/>
            <w:color w:val="auto"/>
            <w:szCs w:val="16"/>
            <w:lang w:val="es-ES_tradnl"/>
          </w:rPr>
          <w:t>Gobernador del estado Trujillo ordenó cierre de Ecos del Páramo 100.3 FM</w:t>
        </w:r>
      </w:hyperlink>
      <w:r w:rsidRPr="00BF5C70">
        <w:rPr>
          <w:rFonts w:cstheme="majorBidi"/>
          <w:szCs w:val="16"/>
          <w:lang w:val="es-ES_tradnl"/>
        </w:rPr>
        <w:t xml:space="preserve">, 28 de febrero de 2024; Espacio Público, </w:t>
      </w:r>
      <w:hyperlink r:id="rId161" w:history="1">
        <w:r w:rsidRPr="00BF5C70">
          <w:rPr>
            <w:rStyle w:val="Hyperlink"/>
            <w:rFonts w:cstheme="majorBidi"/>
            <w:color w:val="auto"/>
            <w:szCs w:val="16"/>
            <w:lang w:val="es-ES_tradnl"/>
          </w:rPr>
          <w:t>Febrero: aumenta la intimidación y la censura</w:t>
        </w:r>
      </w:hyperlink>
      <w:r w:rsidRPr="00BF5C70">
        <w:rPr>
          <w:rFonts w:cstheme="majorBidi"/>
          <w:szCs w:val="16"/>
          <w:lang w:val="es-ES_tradnl"/>
        </w:rPr>
        <w:t>, 4 de marzo de 2024.</w:t>
      </w:r>
    </w:p>
  </w:footnote>
  <w:footnote w:id="201">
    <w:p w14:paraId="1A052C5C" w14:textId="6006BAB4" w:rsidR="00A07D76" w:rsidRPr="00BF5C70" w:rsidRDefault="00A07D76" w:rsidP="002A1466">
      <w:pPr>
        <w:pStyle w:val="IAPiedepgina"/>
      </w:pPr>
      <w:r w:rsidRPr="005C52BD">
        <w:rPr>
          <w:rStyle w:val="FootnoteReference"/>
          <w:rFonts w:cstheme="majorBidi"/>
          <w:sz w:val="16"/>
          <w:szCs w:val="16"/>
        </w:rPr>
        <w:footnoteRef/>
      </w:r>
      <w:r w:rsidRPr="00BF5C70">
        <w:t xml:space="preserve"> SNTP, [@sntpvenezuela], (4 de marzo de 2024), Este #4Feb salió de la parrilla de@Simpletvve la señal de la televisora@DW_espanol, X, </w:t>
      </w:r>
      <w:hyperlink r:id="rId162">
        <w:r w:rsidR="7CEBB128" w:rsidRPr="00BF5C70">
          <w:rPr>
            <w:rStyle w:val="Hyperlink"/>
            <w:rFonts w:cstheme="majorBidi"/>
            <w:color w:val="auto"/>
            <w:szCs w:val="16"/>
          </w:rPr>
          <w:t>https://x.com/sntpvenezuela/status/1764839651385184585</w:t>
        </w:r>
      </w:hyperlink>
      <w:r w:rsidRPr="00BF5C70">
        <w:t xml:space="preserve">; CNP Caracas, [@CNPCaracas], (4 de marzo de 2024), #Hoy sacaron de @Simpletvve al canal @DW_espanol. luego que Ministro de Comunicación los señalará como propagadores de odio, X, </w:t>
      </w:r>
      <w:hyperlink r:id="rId163">
        <w:r w:rsidR="7CEBB128" w:rsidRPr="00BF5C70">
          <w:rPr>
            <w:rStyle w:val="Hyperlink"/>
            <w:rFonts w:cstheme="majorBidi"/>
            <w:color w:val="auto"/>
            <w:szCs w:val="16"/>
          </w:rPr>
          <w:t>https://x.com/CNPCaracas/status/1764845539168792956</w:t>
        </w:r>
      </w:hyperlink>
      <w:r w:rsidRPr="00BF5C70">
        <w:t xml:space="preserve">. </w:t>
      </w:r>
    </w:p>
  </w:footnote>
  <w:footnote w:id="202">
    <w:p w14:paraId="53838795" w14:textId="77777777" w:rsidR="00A07D76" w:rsidRPr="00BF5C70" w:rsidRDefault="00A07D76" w:rsidP="002A1466">
      <w:pPr>
        <w:pStyle w:val="IAPiedepgina"/>
      </w:pPr>
      <w:r w:rsidRPr="005C52BD">
        <w:rPr>
          <w:rStyle w:val="FootnoteReference"/>
          <w:rFonts w:cstheme="majorBidi"/>
          <w:sz w:val="16"/>
          <w:szCs w:val="16"/>
        </w:rPr>
        <w:footnoteRef/>
      </w:r>
      <w:r w:rsidRPr="00BF5C70">
        <w:t xml:space="preserve"> Albertonews, </w:t>
      </w:r>
      <w:hyperlink r:id="rId164" w:history="1">
        <w:r w:rsidRPr="00BF5C70">
          <w:rPr>
            <w:rStyle w:val="Hyperlink"/>
            <w:rFonts w:cstheme="majorBidi"/>
            <w:color w:val="auto"/>
            <w:szCs w:val="16"/>
          </w:rPr>
          <w:t>SNTP tras salida de la señal de la DW en Venezuela: «Esta sería la segunda vez es sacada de las cableras por instrucciones del Gobierno»,</w:t>
        </w:r>
      </w:hyperlink>
      <w:r w:rsidRPr="00BF5C70">
        <w:t xml:space="preserve"> 4 de marzo de 2024.</w:t>
      </w:r>
    </w:p>
  </w:footnote>
  <w:footnote w:id="203">
    <w:p w14:paraId="77F547E0" w14:textId="77777777" w:rsidR="00A07D76" w:rsidRPr="00BF5C70" w:rsidRDefault="00A07D76" w:rsidP="002A1466">
      <w:pPr>
        <w:pStyle w:val="IAPiedepgina"/>
      </w:pPr>
      <w:r w:rsidRPr="005C52BD">
        <w:rPr>
          <w:rStyle w:val="FootnoteReference"/>
          <w:rFonts w:cstheme="majorBidi"/>
          <w:sz w:val="16"/>
          <w:szCs w:val="16"/>
        </w:rPr>
        <w:footnoteRef/>
      </w:r>
      <w:r w:rsidRPr="00BF5C70">
        <w:t xml:space="preserve"> Talcual, </w:t>
      </w:r>
      <w:hyperlink r:id="rId165" w:history="1">
        <w:r w:rsidRPr="00BF5C70">
          <w:rPr>
            <w:rStyle w:val="Hyperlink"/>
            <w:rFonts w:cstheme="majorBidi"/>
            <w:color w:val="auto"/>
            <w:szCs w:val="16"/>
          </w:rPr>
          <w:t>Sacan a DW de la parrilla de SimpleTV y de otros servicios tras críticas de Freddy Ñañez</w:t>
        </w:r>
      </w:hyperlink>
      <w:r w:rsidRPr="00BF5C70">
        <w:t xml:space="preserve">, 4 de marzo de 2024; Albertonews, </w:t>
      </w:r>
      <w:hyperlink r:id="rId166" w:history="1">
        <w:r w:rsidRPr="00BF5C70">
          <w:rPr>
            <w:rStyle w:val="Hyperlink"/>
            <w:rFonts w:cstheme="majorBidi"/>
            <w:color w:val="auto"/>
            <w:szCs w:val="16"/>
          </w:rPr>
          <w:t>Venezuela saca de la parrilla de las cableras el canal alemán DW tras reportaje sobre el Cartel de Los Soles (Detalles),</w:t>
        </w:r>
      </w:hyperlink>
      <w:r w:rsidRPr="00BF5C70">
        <w:t xml:space="preserve"> 4 de marzo de 2024; Infobae, </w:t>
      </w:r>
      <w:hyperlink r:id="rId167" w:history="1">
        <w:r w:rsidRPr="00BF5C70">
          <w:rPr>
            <w:rStyle w:val="Hyperlink"/>
            <w:rFonts w:cstheme="majorBidi"/>
            <w:color w:val="auto"/>
            <w:szCs w:val="16"/>
          </w:rPr>
          <w:t>Censura en Venezuela: la dictadura de Maduro sacó al canal alemán DW de la programación de TV por suscripción</w:t>
        </w:r>
      </w:hyperlink>
      <w:r w:rsidRPr="00BF5C70">
        <w:t xml:space="preserve">, 4 de marzo de 2024; Prensa Latina, </w:t>
      </w:r>
      <w:hyperlink r:id="rId168" w:history="1">
        <w:r w:rsidRPr="00BF5C70">
          <w:rPr>
            <w:rStyle w:val="Hyperlink"/>
            <w:rFonts w:cstheme="majorBidi"/>
            <w:color w:val="auto"/>
            <w:szCs w:val="16"/>
          </w:rPr>
          <w:t>Ministro denuncia campaña de odio de medio alemán contra Venezuela (+Post)</w:t>
        </w:r>
      </w:hyperlink>
      <w:r w:rsidRPr="00BF5C70">
        <w:t xml:space="preserve">, 4 de marzo de 2024. </w:t>
      </w:r>
    </w:p>
  </w:footnote>
  <w:footnote w:id="204">
    <w:p w14:paraId="17D35A08" w14:textId="77777777" w:rsidR="00A07D76" w:rsidRPr="00BF5C70" w:rsidRDefault="00A07D76" w:rsidP="002A1466">
      <w:pPr>
        <w:pStyle w:val="IAPiedepgina"/>
      </w:pPr>
      <w:r w:rsidRPr="005C52BD">
        <w:rPr>
          <w:rStyle w:val="FootnoteReference"/>
          <w:rFonts w:cstheme="majorBidi"/>
          <w:sz w:val="16"/>
          <w:szCs w:val="16"/>
        </w:rPr>
        <w:footnoteRef/>
      </w:r>
      <w:r w:rsidRPr="00BF5C70">
        <w:t xml:space="preserve"> Albertonews, </w:t>
      </w:r>
      <w:hyperlink r:id="rId169" w:history="1">
        <w:r w:rsidRPr="00BF5C70">
          <w:rPr>
            <w:rStyle w:val="Hyperlink"/>
            <w:rFonts w:cstheme="majorBidi"/>
            <w:color w:val="auto"/>
            <w:szCs w:val="16"/>
          </w:rPr>
          <w:t>SNTP tras salida de la señal de la DW en Venezuela: «Esta sería la segunda vez es sacada de las cableras por instrucciones del Gobierno»</w:t>
        </w:r>
      </w:hyperlink>
      <w:r w:rsidRPr="00BF5C70">
        <w:t xml:space="preserve">, 4 de marzo de 2024. </w:t>
      </w:r>
    </w:p>
  </w:footnote>
  <w:footnote w:id="205">
    <w:p w14:paraId="2231AFE9" w14:textId="77777777" w:rsidR="00A07D76" w:rsidRPr="00BF5C70" w:rsidRDefault="00A07D76" w:rsidP="002A1466">
      <w:pPr>
        <w:pStyle w:val="IAPiedepgina"/>
      </w:pPr>
      <w:r w:rsidRPr="005C52BD">
        <w:rPr>
          <w:rStyle w:val="FootnoteReference"/>
          <w:rFonts w:cstheme="majorBidi"/>
          <w:sz w:val="16"/>
          <w:szCs w:val="16"/>
        </w:rPr>
        <w:footnoteRef/>
      </w:r>
      <w:r w:rsidRPr="00BF5C70">
        <w:t xml:space="preserve"> Albertonews, </w:t>
      </w:r>
      <w:hyperlink r:id="rId170" w:history="1">
        <w:r w:rsidRPr="00BF5C70">
          <w:rPr>
            <w:rStyle w:val="Hyperlink"/>
            <w:rFonts w:cstheme="majorBidi"/>
            <w:color w:val="auto"/>
            <w:szCs w:val="16"/>
          </w:rPr>
          <w:t>SNTP tras salida de la señal de la DW en Venezuela: «Esta sería la segunda vez es sacada de las cableras por instrucciones del Gobierno»</w:t>
        </w:r>
      </w:hyperlink>
      <w:r w:rsidRPr="00BF5C70">
        <w:t>, 4 de marzo de 2024.</w:t>
      </w:r>
    </w:p>
  </w:footnote>
  <w:footnote w:id="206">
    <w:p w14:paraId="673650AA" w14:textId="77777777" w:rsidR="00A07D76" w:rsidRPr="00BF5C70" w:rsidRDefault="00A07D76" w:rsidP="002A1466">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Espacio Público, </w:t>
      </w:r>
      <w:hyperlink r:id="rId171" w:history="1">
        <w:r w:rsidRPr="00BF5C70">
          <w:rPr>
            <w:rStyle w:val="Hyperlink"/>
            <w:rFonts w:cstheme="majorBidi"/>
            <w:color w:val="auto"/>
            <w:szCs w:val="16"/>
            <w:lang w:val="es-ES_tradnl"/>
          </w:rPr>
          <w:t>Operadoras de internet bloquean portal informativo El Político</w:t>
        </w:r>
      </w:hyperlink>
      <w:r w:rsidRPr="00BF5C70">
        <w:rPr>
          <w:lang w:val="es-ES_tradnl"/>
        </w:rPr>
        <w:t>, 6 de marzo de 2024.</w:t>
      </w:r>
    </w:p>
  </w:footnote>
  <w:footnote w:id="207">
    <w:p w14:paraId="29C16D7D" w14:textId="77777777" w:rsidR="00A07D76" w:rsidRPr="00BF5C70" w:rsidRDefault="00A07D76" w:rsidP="002A1466">
      <w:pPr>
        <w:pStyle w:val="IAPiedepgina"/>
        <w:rPr>
          <w:b/>
          <w:lang w:val="es-ES_tradnl"/>
        </w:rPr>
      </w:pPr>
      <w:r w:rsidRPr="005C52BD">
        <w:rPr>
          <w:rStyle w:val="FootnoteReference"/>
          <w:rFonts w:cstheme="majorBidi"/>
          <w:sz w:val="16"/>
          <w:szCs w:val="16"/>
          <w:lang w:val="es-ES_tradnl"/>
        </w:rPr>
        <w:footnoteRef/>
      </w:r>
      <w:r w:rsidRPr="00BF5C70">
        <w:rPr>
          <w:lang w:val="es-ES_tradnl"/>
        </w:rPr>
        <w:t xml:space="preserve"> Infobae, </w:t>
      </w:r>
      <w:hyperlink r:id="rId172" w:history="1">
        <w:r w:rsidRPr="00BF5C70">
          <w:rPr>
            <w:rStyle w:val="Hyperlink"/>
            <w:rFonts w:cstheme="majorBidi"/>
            <w:color w:val="auto"/>
            <w:szCs w:val="16"/>
            <w:lang w:val="es-ES_tradnl"/>
          </w:rPr>
          <w:t>Nueva arremetida contra la prensa en Venezuela: detuvieron a un periodista y otro forcejeó con quienes pretendieron llevárselo</w:t>
        </w:r>
      </w:hyperlink>
      <w:r w:rsidRPr="00BF5C70">
        <w:rPr>
          <w:lang w:val="es-ES_tradnl"/>
        </w:rPr>
        <w:t>, 16 de abril de 2024.</w:t>
      </w:r>
    </w:p>
  </w:footnote>
  <w:footnote w:id="208">
    <w:p w14:paraId="7C92252E" w14:textId="77777777" w:rsidR="00A07D76" w:rsidRPr="00BF5C70" w:rsidRDefault="00A07D76" w:rsidP="002A1466">
      <w:pPr>
        <w:pStyle w:val="IAPiedepgina"/>
        <w:rPr>
          <w:b/>
          <w:lang w:val="es-ES_tradnl"/>
        </w:rPr>
      </w:pPr>
      <w:r w:rsidRPr="005C52BD">
        <w:rPr>
          <w:rStyle w:val="FootnoteReference"/>
          <w:rFonts w:cstheme="majorBidi"/>
          <w:sz w:val="16"/>
          <w:szCs w:val="16"/>
          <w:lang w:val="es-ES_tradnl"/>
        </w:rPr>
        <w:footnoteRef/>
      </w:r>
      <w:r w:rsidRPr="00BF5C70">
        <w:rPr>
          <w:lang w:val="es-ES_tradnl"/>
        </w:rPr>
        <w:t xml:space="preserve"> Infobae, </w:t>
      </w:r>
      <w:hyperlink r:id="rId173" w:history="1">
        <w:r w:rsidRPr="00BF5C70">
          <w:rPr>
            <w:rStyle w:val="Hyperlink"/>
            <w:rFonts w:cstheme="majorBidi"/>
            <w:color w:val="auto"/>
            <w:szCs w:val="16"/>
            <w:lang w:val="es-ES_tradnl"/>
          </w:rPr>
          <w:t>Nueva arremetida contra la prensa en Venezuela: detuvieron a un periodista y otro forcejeó con quienes pretendieron llevárselo</w:t>
        </w:r>
      </w:hyperlink>
      <w:r w:rsidRPr="00BF5C70">
        <w:rPr>
          <w:lang w:val="es-ES_tradnl"/>
        </w:rPr>
        <w:t>, 16 de abril de 2024.</w:t>
      </w:r>
    </w:p>
  </w:footnote>
  <w:footnote w:id="209">
    <w:p w14:paraId="0DA94E93" w14:textId="77777777" w:rsidR="00A07D76" w:rsidRPr="00BF5C70" w:rsidRDefault="00A07D76" w:rsidP="002A1466">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Espacio Público, </w:t>
      </w:r>
      <w:hyperlink r:id="rId174" w:history="1">
        <w:r w:rsidRPr="00BF5C70">
          <w:rPr>
            <w:rStyle w:val="Hyperlink"/>
            <w:rFonts w:cstheme="majorBidi"/>
            <w:color w:val="auto"/>
            <w:szCs w:val="16"/>
            <w:lang w:val="es-ES_tradnl"/>
          </w:rPr>
          <w:t>Agosto: censura y represión postelectoral</w:t>
        </w:r>
      </w:hyperlink>
      <w:r w:rsidRPr="00BF5C70">
        <w:rPr>
          <w:lang w:val="es-ES_tradnl"/>
        </w:rPr>
        <w:t>, 5 de septiembre de 2024.</w:t>
      </w:r>
    </w:p>
  </w:footnote>
  <w:footnote w:id="210">
    <w:p w14:paraId="3338106E" w14:textId="77777777" w:rsidR="00A07D76" w:rsidRPr="00BF5C70" w:rsidRDefault="00A07D76" w:rsidP="002A1466">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Espacio Público, </w:t>
      </w:r>
      <w:hyperlink r:id="rId175" w:history="1">
        <w:r w:rsidRPr="00BF5C70">
          <w:rPr>
            <w:rStyle w:val="Hyperlink"/>
            <w:rFonts w:cstheme="majorBidi"/>
            <w:color w:val="auto"/>
            <w:szCs w:val="16"/>
            <w:lang w:val="es-ES_tradnl"/>
          </w:rPr>
          <w:t>Agosto: censura y represión postelectoral</w:t>
        </w:r>
      </w:hyperlink>
      <w:r w:rsidRPr="00BF5C70">
        <w:rPr>
          <w:lang w:val="es-ES_tradnl"/>
        </w:rPr>
        <w:t>, 5 de septiembre de 2024.</w:t>
      </w:r>
    </w:p>
  </w:footnote>
  <w:footnote w:id="211">
    <w:p w14:paraId="08DB1A31" w14:textId="77777777" w:rsidR="00A07D76" w:rsidRPr="00BF5C70" w:rsidRDefault="00A07D76" w:rsidP="002A1466">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Espacio Público, </w:t>
      </w:r>
      <w:hyperlink r:id="rId176" w:history="1">
        <w:r w:rsidRPr="00BF5C70">
          <w:rPr>
            <w:rStyle w:val="Hyperlink"/>
            <w:rFonts w:cstheme="majorBidi"/>
            <w:color w:val="auto"/>
            <w:szCs w:val="16"/>
            <w:lang w:val="es-ES_tradnl"/>
          </w:rPr>
          <w:t>Agosto: censura y represión postelectoral</w:t>
        </w:r>
      </w:hyperlink>
      <w:r w:rsidRPr="00BF5C70">
        <w:rPr>
          <w:lang w:val="es-ES_tradnl"/>
        </w:rPr>
        <w:t>, 5 de septiembre de 2024.</w:t>
      </w:r>
    </w:p>
  </w:footnote>
  <w:footnote w:id="212">
    <w:p w14:paraId="58886F30" w14:textId="77777777" w:rsidR="00A07D76" w:rsidRPr="00BF5C70" w:rsidRDefault="00A07D76" w:rsidP="002A1466">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Espacio Público, </w:t>
      </w:r>
      <w:hyperlink r:id="rId177" w:history="1">
        <w:r w:rsidRPr="00BF5C70">
          <w:rPr>
            <w:rStyle w:val="Hyperlink"/>
            <w:rFonts w:cstheme="majorBidi"/>
            <w:color w:val="auto"/>
            <w:szCs w:val="16"/>
            <w:lang w:val="es-ES_tradnl"/>
          </w:rPr>
          <w:t>Agosto: censura y represión postelectoral</w:t>
        </w:r>
      </w:hyperlink>
      <w:r w:rsidRPr="00BF5C70">
        <w:rPr>
          <w:lang w:val="es-ES_tradnl"/>
        </w:rPr>
        <w:t>, 5 de septiembre de 2024.</w:t>
      </w:r>
    </w:p>
  </w:footnote>
  <w:footnote w:id="213">
    <w:p w14:paraId="051E76C8" w14:textId="402A1652" w:rsidR="00A07D76" w:rsidRPr="00BF5C70" w:rsidRDefault="00A07D76" w:rsidP="00620C25">
      <w:pPr>
        <w:pStyle w:val="IAPiedepgina"/>
        <w:rPr>
          <w:rFonts w:cstheme="majorBidi"/>
          <w:szCs w:val="16"/>
        </w:rPr>
      </w:pPr>
      <w:r w:rsidRPr="005C52BD">
        <w:rPr>
          <w:rStyle w:val="FootnoteReference"/>
          <w:rFonts w:cstheme="majorBidi"/>
          <w:sz w:val="16"/>
          <w:szCs w:val="16"/>
        </w:rPr>
        <w:footnoteRef/>
      </w:r>
      <w:r w:rsidR="7CEBB128" w:rsidRPr="00BF5C70">
        <w:rPr>
          <w:rFonts w:cstheme="majorBidi"/>
          <w:szCs w:val="16"/>
        </w:rPr>
        <w:t xml:space="preserve"> CIDH, Relatoría Especial para la Libertad de Expresión, </w:t>
      </w:r>
      <w:hyperlink r:id="rId178">
        <w:r w:rsidR="7CEBB128" w:rsidRPr="00BF5C70">
          <w:rPr>
            <w:rStyle w:val="Hyperlink"/>
            <w:rFonts w:cstheme="majorBidi"/>
            <w:color w:val="auto"/>
            <w:szCs w:val="16"/>
          </w:rPr>
          <w:t>Estándares de libertad de expresión para una radiodifusión libre e incluyente</w:t>
        </w:r>
      </w:hyperlink>
      <w:r w:rsidR="7CEBB128" w:rsidRPr="00BF5C70">
        <w:rPr>
          <w:rFonts w:cstheme="majorBidi"/>
          <w:szCs w:val="16"/>
        </w:rPr>
        <w:t xml:space="preserve">, OEA/Ser.L/V/II CIDH/RELE/INF. 3/09, 30 de diciembre de 2009, </w:t>
      </w:r>
      <w:r w:rsidR="00D40928" w:rsidRPr="00BF5C70">
        <w:rPr>
          <w:rFonts w:cstheme="majorBidi"/>
          <w:szCs w:val="16"/>
        </w:rPr>
        <w:t>p</w:t>
      </w:r>
      <w:r w:rsidR="7CEBB128" w:rsidRPr="00BF5C70">
        <w:rPr>
          <w:rFonts w:cstheme="majorBidi"/>
          <w:szCs w:val="16"/>
        </w:rPr>
        <w:t>árr. 58.</w:t>
      </w:r>
    </w:p>
  </w:footnote>
  <w:footnote w:id="214">
    <w:p w14:paraId="7CBF912C" w14:textId="77777777" w:rsidR="00A07D76" w:rsidRPr="00BF5C70" w:rsidRDefault="00A07D76" w:rsidP="00620C25">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79" w:history="1">
        <w:r w:rsidRPr="00BF5C70">
          <w:rPr>
            <w:rStyle w:val="Hyperlink"/>
            <w:rFonts w:cstheme="majorBidi"/>
            <w:color w:val="auto"/>
            <w:szCs w:val="16"/>
            <w:lang w:val="es-ES_tradnl"/>
          </w:rPr>
          <w:t>Situación general del derecho a la libertad de expresión e información, enero – abril 2024</w:t>
        </w:r>
      </w:hyperlink>
      <w:r w:rsidRPr="00BF5C70">
        <w:rPr>
          <w:rFonts w:cstheme="majorBidi"/>
          <w:szCs w:val="16"/>
          <w:lang w:val="es-ES_tradnl"/>
        </w:rPr>
        <w:t>, 3 de mayo de 2024.</w:t>
      </w:r>
    </w:p>
  </w:footnote>
  <w:footnote w:id="215">
    <w:p w14:paraId="5C313FDE" w14:textId="77777777" w:rsidR="00A07D76" w:rsidRPr="00BF5C70" w:rsidRDefault="00A07D76" w:rsidP="00620C25">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80" w:history="1">
        <w:r w:rsidRPr="00BF5C70">
          <w:rPr>
            <w:rStyle w:val="Hyperlink"/>
            <w:rFonts w:cstheme="majorBidi"/>
            <w:color w:val="auto"/>
            <w:szCs w:val="16"/>
            <w:lang w:val="es-ES_tradnl"/>
          </w:rPr>
          <w:t>Agosto: censura y represión postelectoral</w:t>
        </w:r>
      </w:hyperlink>
      <w:r w:rsidRPr="00BF5C70">
        <w:rPr>
          <w:rFonts w:cstheme="majorBidi"/>
          <w:szCs w:val="16"/>
          <w:lang w:val="es-ES_tradnl"/>
        </w:rPr>
        <w:t>, 5 de septiembre de 2024.</w:t>
      </w:r>
    </w:p>
  </w:footnote>
  <w:footnote w:id="216">
    <w:p w14:paraId="686BFD4A" w14:textId="77777777" w:rsidR="00A07D76" w:rsidRPr="00BF5C70" w:rsidRDefault="00A07D76" w:rsidP="00620C25">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81" w:history="1">
        <w:r w:rsidRPr="00BF5C70">
          <w:rPr>
            <w:rStyle w:val="Hyperlink"/>
            <w:rFonts w:cstheme="majorBidi"/>
            <w:color w:val="auto"/>
            <w:szCs w:val="16"/>
            <w:lang w:val="es-ES_tradnl"/>
          </w:rPr>
          <w:t>Febrero: aumenta la intimidación y la censura</w:t>
        </w:r>
      </w:hyperlink>
      <w:r w:rsidRPr="00BF5C70">
        <w:rPr>
          <w:rFonts w:cstheme="majorBidi"/>
          <w:szCs w:val="16"/>
          <w:lang w:val="es-ES_tradnl"/>
        </w:rPr>
        <w:t xml:space="preserve">, 4 de marzo de 2024. </w:t>
      </w:r>
    </w:p>
  </w:footnote>
  <w:footnote w:id="217">
    <w:p w14:paraId="11E0F154" w14:textId="77777777" w:rsidR="00A07D76" w:rsidRPr="00BF5C70" w:rsidRDefault="00A07D76" w:rsidP="00620C25">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Aula Abierta, </w:t>
      </w:r>
      <w:hyperlink r:id="rId182" w:history="1">
        <w:r w:rsidRPr="00BF5C70">
          <w:rPr>
            <w:rStyle w:val="Hyperlink"/>
            <w:rFonts w:cstheme="majorBidi"/>
            <w:color w:val="auto"/>
            <w:szCs w:val="16"/>
            <w:lang w:val="es-ES_tradnl"/>
          </w:rPr>
          <w:t>Detención de la profesora y defensora de derechos humanos Rocío San Miguel vulnera también la libertad académica y la democracia</w:t>
        </w:r>
      </w:hyperlink>
      <w:r w:rsidRPr="00BF5C70">
        <w:rPr>
          <w:rFonts w:cstheme="majorBidi"/>
          <w:szCs w:val="16"/>
          <w:lang w:val="es-ES_tradnl"/>
        </w:rPr>
        <w:t>, 13 de febrero de 2024.</w:t>
      </w:r>
    </w:p>
  </w:footnote>
  <w:footnote w:id="218">
    <w:p w14:paraId="7D96D723" w14:textId="77777777" w:rsidR="00A07D76" w:rsidRPr="00BF5C70" w:rsidRDefault="00A07D76" w:rsidP="00620C25">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CNN en español, Detienen a la presidenta de la ONG venezolana Control Ciudadano, Rocío San Miguel, 11 de febrero de 2024; Aula Abierta, </w:t>
      </w:r>
      <w:hyperlink r:id="rId183" w:history="1">
        <w:r w:rsidRPr="00BF5C70">
          <w:rPr>
            <w:rStyle w:val="Hyperlink"/>
            <w:rFonts w:cstheme="majorBidi"/>
            <w:color w:val="auto"/>
            <w:szCs w:val="16"/>
            <w:lang w:val="es-ES_tradnl"/>
          </w:rPr>
          <w:t>Detención de la profesora y defensora de derechos humanos Rocío San Miguel vulnera también la libertad académica y la democracia</w:t>
        </w:r>
      </w:hyperlink>
      <w:r w:rsidRPr="00BF5C70">
        <w:rPr>
          <w:rFonts w:cstheme="majorBidi"/>
          <w:szCs w:val="16"/>
          <w:lang w:val="es-ES_tradnl"/>
        </w:rPr>
        <w:t>, 13 de febrero de 2024.</w:t>
      </w:r>
    </w:p>
  </w:footnote>
  <w:footnote w:id="219">
    <w:p w14:paraId="1EC85FB0" w14:textId="77777777" w:rsidR="00A07D76" w:rsidRPr="00BF5C70" w:rsidRDefault="00A07D76" w:rsidP="00620C25">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84" w:history="1">
        <w:r w:rsidRPr="00BF5C70">
          <w:rPr>
            <w:rStyle w:val="Hyperlink"/>
            <w:rFonts w:cstheme="majorBidi"/>
            <w:color w:val="auto"/>
            <w:szCs w:val="16"/>
            <w:lang w:val="es-ES_tradnl"/>
          </w:rPr>
          <w:t>Agosto: censura y represión postelectoral</w:t>
        </w:r>
      </w:hyperlink>
      <w:r w:rsidRPr="00BF5C70">
        <w:rPr>
          <w:rFonts w:cstheme="majorBidi"/>
          <w:szCs w:val="16"/>
          <w:lang w:val="es-ES_tradnl"/>
        </w:rPr>
        <w:t>, 5 de septiembre de 2024.</w:t>
      </w:r>
    </w:p>
  </w:footnote>
  <w:footnote w:id="220">
    <w:p w14:paraId="080BB417" w14:textId="77777777" w:rsidR="00A07D76" w:rsidRPr="00BF5C70" w:rsidRDefault="00A07D76" w:rsidP="00620C25">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85" w:history="1">
        <w:r w:rsidRPr="00BF5C70">
          <w:rPr>
            <w:rStyle w:val="Hyperlink"/>
            <w:rFonts w:cstheme="majorBidi"/>
            <w:color w:val="auto"/>
            <w:szCs w:val="16"/>
            <w:lang w:val="es-ES_tradnl"/>
          </w:rPr>
          <w:t>Agosto: censura y represión postelectoral</w:t>
        </w:r>
      </w:hyperlink>
      <w:r w:rsidRPr="00BF5C70">
        <w:rPr>
          <w:rFonts w:cstheme="majorBidi"/>
          <w:szCs w:val="16"/>
          <w:lang w:val="es-ES_tradnl"/>
        </w:rPr>
        <w:t>, 5 de septiembre de 2024.</w:t>
      </w:r>
    </w:p>
  </w:footnote>
  <w:footnote w:id="221">
    <w:p w14:paraId="44087EF7" w14:textId="77777777" w:rsidR="00A07D76" w:rsidRPr="00BF5C70" w:rsidRDefault="00A07D76" w:rsidP="0012403A">
      <w:pPr>
        <w:pStyle w:val="IAPiedepgina"/>
      </w:pPr>
      <w:r w:rsidRPr="005C52BD">
        <w:rPr>
          <w:rStyle w:val="FootnoteReference"/>
          <w:rFonts w:cstheme="majorBidi"/>
          <w:sz w:val="16"/>
          <w:szCs w:val="16"/>
          <w:lang w:val="es-ES_tradnl"/>
        </w:rPr>
        <w:footnoteRef/>
      </w:r>
      <w:r w:rsidRPr="00BF5C70">
        <w:t xml:space="preserve"> Espacio Público, </w:t>
      </w:r>
      <w:hyperlink r:id="rId186" w:history="1">
        <w:r w:rsidRPr="00BF5C70">
          <w:rPr>
            <w:rStyle w:val="Hyperlink"/>
            <w:rFonts w:cstheme="majorBidi"/>
            <w:color w:val="auto"/>
            <w:szCs w:val="16"/>
            <w:lang w:val="es-ES_tradnl"/>
          </w:rPr>
          <w:t>Agosto: censura y represión postelectoral</w:t>
        </w:r>
      </w:hyperlink>
      <w:r w:rsidRPr="00BF5C70">
        <w:t>, 5 de septiembre de 2024.</w:t>
      </w:r>
    </w:p>
  </w:footnote>
  <w:footnote w:id="222">
    <w:p w14:paraId="14FBB4CE" w14:textId="77777777" w:rsidR="00A07D76" w:rsidRPr="00BF5C70" w:rsidRDefault="00A07D76" w:rsidP="0012403A">
      <w:pPr>
        <w:pStyle w:val="IAPiedepgina"/>
      </w:pPr>
      <w:r w:rsidRPr="005C52BD">
        <w:rPr>
          <w:rStyle w:val="FootnoteReference"/>
          <w:rFonts w:cstheme="majorBidi"/>
          <w:sz w:val="16"/>
          <w:szCs w:val="16"/>
          <w:lang w:val="es-ES_tradnl"/>
        </w:rPr>
        <w:footnoteRef/>
      </w:r>
      <w:r w:rsidRPr="00BF5C70">
        <w:t xml:space="preserve"> Espacio Público, </w:t>
      </w:r>
      <w:hyperlink r:id="rId187" w:history="1">
        <w:r w:rsidRPr="00BF5C70">
          <w:rPr>
            <w:rStyle w:val="Hyperlink"/>
            <w:rFonts w:cstheme="majorBidi"/>
            <w:color w:val="auto"/>
            <w:szCs w:val="16"/>
            <w:lang w:val="es-ES_tradnl"/>
          </w:rPr>
          <w:t>Agosto: censura y represión postelectoral</w:t>
        </w:r>
      </w:hyperlink>
      <w:r w:rsidRPr="00BF5C70">
        <w:t>, 5 de septiembre de 2024.</w:t>
      </w:r>
    </w:p>
  </w:footnote>
  <w:footnote w:id="223">
    <w:p w14:paraId="17540BF8" w14:textId="77777777" w:rsidR="00A07D76" w:rsidRPr="00BF5C70" w:rsidRDefault="00A07D76" w:rsidP="0012403A">
      <w:pPr>
        <w:pStyle w:val="IAPiedepgina"/>
      </w:pPr>
      <w:r w:rsidRPr="005C52BD">
        <w:rPr>
          <w:rStyle w:val="FootnoteReference"/>
          <w:rFonts w:cstheme="majorBidi"/>
          <w:sz w:val="16"/>
          <w:szCs w:val="16"/>
          <w:lang w:val="es-ES_tradnl"/>
        </w:rPr>
        <w:footnoteRef/>
      </w:r>
      <w:r w:rsidRPr="00BF5C70">
        <w:t xml:space="preserve"> Espacio Público, </w:t>
      </w:r>
      <w:hyperlink r:id="rId188" w:history="1">
        <w:r w:rsidRPr="00BF5C70">
          <w:rPr>
            <w:rStyle w:val="Hyperlink"/>
            <w:rFonts w:cstheme="majorBidi"/>
            <w:color w:val="auto"/>
            <w:szCs w:val="16"/>
            <w:lang w:val="es-ES_tradnl"/>
          </w:rPr>
          <w:t>Agosto: censura y represión postelectoral</w:t>
        </w:r>
      </w:hyperlink>
      <w:r w:rsidRPr="00BF5C70">
        <w:t>, 5 de septiembre de 2024.</w:t>
      </w:r>
    </w:p>
  </w:footnote>
  <w:footnote w:id="224">
    <w:p w14:paraId="0E5BE75D" w14:textId="77777777" w:rsidR="00A07D76" w:rsidRPr="00BF5C70" w:rsidRDefault="00A07D76" w:rsidP="0012403A">
      <w:pPr>
        <w:pStyle w:val="IAPiedepgina"/>
      </w:pPr>
      <w:r w:rsidRPr="005C52BD">
        <w:rPr>
          <w:rStyle w:val="FootnoteReference"/>
          <w:rFonts w:cstheme="majorBidi"/>
          <w:sz w:val="16"/>
          <w:szCs w:val="16"/>
          <w:lang w:val="es-ES_tradnl"/>
        </w:rPr>
        <w:footnoteRef/>
      </w:r>
      <w:r w:rsidRPr="00BF5C70">
        <w:t xml:space="preserve"> Provea, </w:t>
      </w:r>
      <w:hyperlink r:id="rId189" w:history="1">
        <w:r w:rsidRPr="00BF5C70">
          <w:rPr>
            <w:rStyle w:val="Hyperlink"/>
            <w:rFonts w:cstheme="majorBidi"/>
            <w:color w:val="auto"/>
            <w:szCs w:val="16"/>
            <w:lang w:val="es-ES_tradnl"/>
          </w:rPr>
          <w:t>Venezuela frente al espejo del fascismo: perspectivas de derechos humanos sobre el proyecto “Ley contra el fascismo, neofascismo y expresiones similares” | Laboratorio de Paz</w:t>
        </w:r>
      </w:hyperlink>
      <w:r w:rsidRPr="00BF5C70">
        <w:t>, 4 de abril de 2024.</w:t>
      </w:r>
    </w:p>
  </w:footnote>
  <w:footnote w:id="225">
    <w:p w14:paraId="76C78C16" w14:textId="77777777" w:rsidR="00A07D76" w:rsidRPr="00BF5C70" w:rsidRDefault="00A07D76" w:rsidP="0012403A">
      <w:pPr>
        <w:pStyle w:val="IAPiedepgina"/>
      </w:pPr>
      <w:r w:rsidRPr="005C52BD">
        <w:rPr>
          <w:rStyle w:val="FootnoteReference"/>
          <w:rFonts w:cstheme="majorBidi"/>
          <w:sz w:val="16"/>
          <w:szCs w:val="16"/>
          <w:lang w:val="es-ES_tradnl"/>
        </w:rPr>
        <w:footnoteRef/>
      </w:r>
      <w:r w:rsidRPr="00BF5C70">
        <w:t xml:space="preserve"> Provea, </w:t>
      </w:r>
      <w:hyperlink r:id="rId190" w:history="1">
        <w:r w:rsidRPr="00BF5C70">
          <w:rPr>
            <w:rStyle w:val="Hyperlink"/>
            <w:rFonts w:cstheme="majorBidi"/>
            <w:color w:val="auto"/>
            <w:szCs w:val="16"/>
            <w:lang w:val="es-ES_tradnl"/>
          </w:rPr>
          <w:t>Venezuela frente al espejo del fascismo: perspectivas de derechos humanos sobre el proyecto “Ley contra el fascismo, neofascismo y expresiones similares” | Laboratorio de Paz</w:t>
        </w:r>
      </w:hyperlink>
      <w:r w:rsidRPr="00BF5C70">
        <w:t>, 4 de abril de 2024.</w:t>
      </w:r>
    </w:p>
  </w:footnote>
  <w:footnote w:id="226">
    <w:p w14:paraId="605615C3" w14:textId="77777777" w:rsidR="00A07D76" w:rsidRPr="00BF5C70" w:rsidRDefault="00A07D76" w:rsidP="0012403A">
      <w:pPr>
        <w:pStyle w:val="IAPiedepgina"/>
      </w:pPr>
      <w:r w:rsidRPr="005C52BD">
        <w:rPr>
          <w:rStyle w:val="FootnoteReference"/>
          <w:rFonts w:cstheme="majorBidi"/>
          <w:sz w:val="16"/>
          <w:szCs w:val="16"/>
          <w:lang w:val="es-ES_tradnl"/>
        </w:rPr>
        <w:footnoteRef/>
      </w:r>
      <w:r w:rsidRPr="00BF5C70">
        <w:t xml:space="preserve"> Espacio Público, </w:t>
      </w:r>
      <w:hyperlink r:id="rId191" w:anchor="_ftn2" w:history="1">
        <w:r w:rsidRPr="00BF5C70">
          <w:rPr>
            <w:rStyle w:val="Hyperlink"/>
            <w:rFonts w:cstheme="majorBidi"/>
            <w:color w:val="auto"/>
            <w:szCs w:val="16"/>
            <w:lang w:val="es-ES_tradnl"/>
          </w:rPr>
          <w:t>Ley contra el odio y el fascismo, dos caras de una misma moneda</w:t>
        </w:r>
      </w:hyperlink>
      <w:r w:rsidRPr="00BF5C70">
        <w:t>, 15 de abril de 2024.</w:t>
      </w:r>
    </w:p>
  </w:footnote>
  <w:footnote w:id="227">
    <w:p w14:paraId="618DB7B9" w14:textId="77777777" w:rsidR="00A07D76" w:rsidRPr="00BF5C70" w:rsidRDefault="00A07D76" w:rsidP="0012403A">
      <w:pPr>
        <w:pStyle w:val="IAPiedepgina"/>
      </w:pPr>
      <w:r w:rsidRPr="005C52BD">
        <w:rPr>
          <w:rStyle w:val="FootnoteReference"/>
          <w:rFonts w:cstheme="majorBidi"/>
          <w:sz w:val="16"/>
          <w:szCs w:val="16"/>
        </w:rPr>
        <w:footnoteRef/>
      </w:r>
      <w:r w:rsidRPr="00BF5C70">
        <w:t xml:space="preserve"> Cepaz, </w:t>
      </w:r>
      <w:hyperlink r:id="rId192" w:history="1">
        <w:r w:rsidRPr="00BF5C70">
          <w:rPr>
            <w:rStyle w:val="Hyperlink"/>
            <w:rFonts w:cstheme="majorBidi"/>
            <w:color w:val="auto"/>
            <w:szCs w:val="16"/>
          </w:rPr>
          <w:t>Relatoras Especiales ONU solicitan a Venezuela revisar y reconsiderar el proyecto de Ley contra el fascismo</w:t>
        </w:r>
      </w:hyperlink>
      <w:r w:rsidRPr="00BF5C70">
        <w:t>, 8 de octubre de 2024.</w:t>
      </w:r>
    </w:p>
  </w:footnote>
  <w:footnote w:id="228">
    <w:p w14:paraId="14CE24E7" w14:textId="77777777" w:rsidR="00A07D76" w:rsidRPr="00BF5C70" w:rsidRDefault="00A07D76" w:rsidP="0012403A">
      <w:pPr>
        <w:pStyle w:val="IAPiedepgina"/>
      </w:pPr>
      <w:r w:rsidRPr="005C52BD">
        <w:rPr>
          <w:rStyle w:val="FootnoteReference"/>
          <w:rFonts w:cstheme="majorBidi"/>
          <w:sz w:val="16"/>
          <w:szCs w:val="16"/>
          <w:lang w:val="es-ES_tradnl"/>
        </w:rPr>
        <w:footnoteRef/>
      </w:r>
      <w:r w:rsidRPr="00BF5C70">
        <w:t xml:space="preserve"> Provea, </w:t>
      </w:r>
      <w:hyperlink r:id="rId193" w:history="1">
        <w:r w:rsidRPr="00BF5C70">
          <w:rPr>
            <w:rStyle w:val="Hyperlink"/>
            <w:rFonts w:cstheme="majorBidi"/>
            <w:color w:val="auto"/>
            <w:szCs w:val="16"/>
            <w:lang w:val="es-ES_tradnl"/>
          </w:rPr>
          <w:t>Venezuela frente al espejo del fascismo: perspectivas de derechos humanos sobre el proyecto “Ley contra el fascismo, neofascismo y expresiones similares” | Laboratorio de Paz</w:t>
        </w:r>
      </w:hyperlink>
      <w:r w:rsidRPr="00BF5C70">
        <w:t>, 4 de abril de 2024.</w:t>
      </w:r>
    </w:p>
  </w:footnote>
  <w:footnote w:id="229">
    <w:p w14:paraId="436A6C96" w14:textId="77777777" w:rsidR="00A07D76" w:rsidRPr="00BF5C70" w:rsidRDefault="00A07D76" w:rsidP="0012403A">
      <w:pPr>
        <w:pStyle w:val="IAPiedepgina"/>
      </w:pPr>
      <w:r w:rsidRPr="005C52BD">
        <w:rPr>
          <w:rStyle w:val="FootnoteReference"/>
          <w:rFonts w:cstheme="majorBidi"/>
          <w:sz w:val="16"/>
          <w:szCs w:val="16"/>
        </w:rPr>
        <w:footnoteRef/>
      </w:r>
      <w:r w:rsidRPr="00BF5C70">
        <w:t xml:space="preserve">Espacio Público, </w:t>
      </w:r>
      <w:hyperlink r:id="rId194" w:anchor="_ftn2" w:history="1">
        <w:r w:rsidRPr="00BF5C70">
          <w:rPr>
            <w:rStyle w:val="Hyperlink"/>
            <w:rFonts w:cstheme="majorBidi"/>
            <w:color w:val="auto"/>
            <w:szCs w:val="16"/>
          </w:rPr>
          <w:t>Ley contra el odio y el fascismo, dos caras de una misma moneda</w:t>
        </w:r>
      </w:hyperlink>
      <w:r w:rsidRPr="00BF5C70">
        <w:t xml:space="preserve">, 15 de abril de 2024; Cepaz, </w:t>
      </w:r>
      <w:hyperlink r:id="rId195" w:history="1">
        <w:r w:rsidRPr="00BF5C70">
          <w:rPr>
            <w:rStyle w:val="Hyperlink"/>
            <w:rFonts w:cstheme="majorBidi"/>
            <w:color w:val="auto"/>
            <w:szCs w:val="16"/>
          </w:rPr>
          <w:t>Relatoras Especiales ONU solicitan a Venezuela revisar y reconsiderar el proyecto de Ley contra el fascismo</w:t>
        </w:r>
      </w:hyperlink>
      <w:r w:rsidRPr="00BF5C70">
        <w:t>, 8 de octubre de 2024.</w:t>
      </w:r>
    </w:p>
  </w:footnote>
  <w:footnote w:id="230">
    <w:p w14:paraId="64D498F2" w14:textId="77777777" w:rsidR="00A07D76" w:rsidRPr="00BF5C70" w:rsidRDefault="00A07D76" w:rsidP="00856E2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96" w:anchor="_ftn2" w:history="1">
        <w:r w:rsidRPr="00BF5C70">
          <w:rPr>
            <w:rStyle w:val="Hyperlink"/>
            <w:rFonts w:cstheme="majorBidi"/>
            <w:color w:val="auto"/>
            <w:szCs w:val="16"/>
            <w:lang w:val="es-ES_tradnl"/>
          </w:rPr>
          <w:t>Ley contra el odio y el fascismo, dos caras de una misma moneda</w:t>
        </w:r>
      </w:hyperlink>
      <w:r w:rsidRPr="00BF5C70">
        <w:rPr>
          <w:rFonts w:cstheme="majorBidi"/>
          <w:szCs w:val="16"/>
          <w:lang w:val="es-ES_tradnl"/>
        </w:rPr>
        <w:t>, 15 de abril de 2024;</w:t>
      </w:r>
    </w:p>
  </w:footnote>
  <w:footnote w:id="231">
    <w:p w14:paraId="4AFC6FAE" w14:textId="77777777" w:rsidR="00A07D76" w:rsidRPr="00BF5C70" w:rsidRDefault="00A07D76" w:rsidP="00856E2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197" w:history="1">
        <w:r w:rsidRPr="00BF5C70">
          <w:rPr>
            <w:rStyle w:val="Hyperlink"/>
            <w:rFonts w:cstheme="majorBidi"/>
            <w:color w:val="auto"/>
            <w:szCs w:val="16"/>
            <w:lang w:val="es-ES_tradnl"/>
          </w:rPr>
          <w:t>Agosto: censura y represión postelectoral</w:t>
        </w:r>
      </w:hyperlink>
      <w:r w:rsidRPr="00BF5C70">
        <w:rPr>
          <w:rFonts w:cstheme="majorBidi"/>
          <w:szCs w:val="16"/>
          <w:lang w:val="es-ES_tradnl"/>
        </w:rPr>
        <w:t>, 5 de septiembre de 2024.</w:t>
      </w:r>
    </w:p>
  </w:footnote>
  <w:footnote w:id="232">
    <w:p w14:paraId="04AC6958" w14:textId="77777777" w:rsidR="00A07D76" w:rsidRPr="00BF5C70" w:rsidRDefault="00A07D76" w:rsidP="00856E2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Infobae, </w:t>
      </w:r>
      <w:hyperlink r:id="rId198" w:history="1">
        <w:r w:rsidRPr="00BF5C70">
          <w:rPr>
            <w:rStyle w:val="Hyperlink"/>
            <w:rFonts w:cstheme="majorBidi"/>
            <w:color w:val="auto"/>
            <w:szCs w:val="16"/>
            <w:lang w:val="es-ES_tradnl"/>
          </w:rPr>
          <w:t>Periodistas presos o con orden de captura y medios bajo amenaza: crece la represión contra la prensa en Venezuela</w:t>
        </w:r>
      </w:hyperlink>
      <w:r w:rsidRPr="00BF5C70">
        <w:rPr>
          <w:rFonts w:cstheme="majorBidi"/>
          <w:szCs w:val="16"/>
          <w:lang w:val="es-ES_tradnl"/>
        </w:rPr>
        <w:t xml:space="preserve">, 7 de abril de 2024. </w:t>
      </w:r>
    </w:p>
  </w:footnote>
  <w:footnote w:id="233">
    <w:p w14:paraId="65520658" w14:textId="77777777" w:rsidR="00A07D76" w:rsidRPr="00BF5C70" w:rsidRDefault="00A07D76" w:rsidP="00856E2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Infobae, </w:t>
      </w:r>
      <w:hyperlink r:id="rId199" w:history="1">
        <w:r w:rsidRPr="00BF5C70">
          <w:rPr>
            <w:rStyle w:val="Hyperlink"/>
            <w:rFonts w:cstheme="majorBidi"/>
            <w:color w:val="auto"/>
            <w:szCs w:val="16"/>
            <w:lang w:val="es-ES_tradnl"/>
          </w:rPr>
          <w:t>Periodistas presos o con orden de captura y medios bajo amenaza: crece la represión contra la prensa en Venezuela</w:t>
        </w:r>
      </w:hyperlink>
      <w:r w:rsidRPr="00BF5C70">
        <w:rPr>
          <w:rFonts w:cstheme="majorBidi"/>
          <w:szCs w:val="16"/>
          <w:lang w:val="es-ES_tradnl"/>
        </w:rPr>
        <w:t>, 7 de abril de 2024.</w:t>
      </w:r>
    </w:p>
  </w:footnote>
  <w:footnote w:id="234">
    <w:p w14:paraId="16CA52B6" w14:textId="77777777" w:rsidR="00A07D76" w:rsidRPr="00BF5C70" w:rsidRDefault="00A07D76" w:rsidP="00856E2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Ntn24, </w:t>
      </w:r>
      <w:hyperlink r:id="rId200" w:history="1">
        <w:r w:rsidRPr="00BF5C70">
          <w:rPr>
            <w:rStyle w:val="Hyperlink"/>
            <w:rFonts w:cstheme="majorBidi"/>
            <w:color w:val="auto"/>
            <w:szCs w:val="16"/>
            <w:lang w:val="es-ES_tradnl"/>
          </w:rPr>
          <w:t>"Estamos a puertas de un 'blackout informativo' en Venezuela para el 28 de julio": secretario del Sindicato Nacional de Trabajadores de la Prensa</w:t>
        </w:r>
      </w:hyperlink>
      <w:r w:rsidRPr="00BF5C70">
        <w:rPr>
          <w:rFonts w:cstheme="majorBidi"/>
          <w:szCs w:val="16"/>
          <w:lang w:val="es-ES_tradnl"/>
        </w:rPr>
        <w:t>, 23 de julio de 2024.</w:t>
      </w:r>
    </w:p>
  </w:footnote>
  <w:footnote w:id="235">
    <w:p w14:paraId="6AD3C371" w14:textId="77777777" w:rsidR="00A07D76" w:rsidRPr="00BF5C70" w:rsidRDefault="00A07D76" w:rsidP="00856E2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IPYS, </w:t>
      </w:r>
      <w:hyperlink r:id="rId201" w:history="1">
        <w:r w:rsidRPr="00BF5C70">
          <w:rPr>
            <w:rStyle w:val="Hyperlink"/>
            <w:rFonts w:cstheme="majorBidi"/>
            <w:color w:val="auto"/>
            <w:szCs w:val="16"/>
            <w:lang w:val="es-ES_tradnl"/>
          </w:rPr>
          <w:t>Persisten bloqueos a sitios web durante campaña electoral</w:t>
        </w:r>
      </w:hyperlink>
      <w:r w:rsidRPr="00BF5C70">
        <w:rPr>
          <w:rFonts w:cstheme="majorBidi"/>
          <w:szCs w:val="16"/>
          <w:lang w:val="es-ES_tradnl"/>
        </w:rPr>
        <w:t>, 24 de julio de 2024.</w:t>
      </w:r>
    </w:p>
  </w:footnote>
  <w:footnote w:id="236">
    <w:p w14:paraId="58FDB026" w14:textId="77777777" w:rsidR="00A07D76" w:rsidRPr="00BF5C70" w:rsidRDefault="00A07D76" w:rsidP="00856E2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IPYS, </w:t>
      </w:r>
      <w:hyperlink r:id="rId202" w:history="1">
        <w:r w:rsidRPr="00BF5C70">
          <w:rPr>
            <w:rStyle w:val="Hyperlink"/>
            <w:rFonts w:cstheme="majorBidi"/>
            <w:color w:val="auto"/>
            <w:szCs w:val="16"/>
            <w:lang w:val="es-ES_tradnl"/>
          </w:rPr>
          <w:t>Persisten bloqueos a sitios web durante campaña electoral</w:t>
        </w:r>
      </w:hyperlink>
      <w:r w:rsidRPr="00BF5C70">
        <w:rPr>
          <w:rFonts w:cstheme="majorBidi"/>
          <w:szCs w:val="16"/>
          <w:lang w:val="es-ES_tradnl"/>
        </w:rPr>
        <w:t>, 24 de julio de 2024.</w:t>
      </w:r>
    </w:p>
  </w:footnote>
  <w:footnote w:id="237">
    <w:p w14:paraId="175B8370" w14:textId="77777777" w:rsidR="00A07D76" w:rsidRPr="00BF5C70" w:rsidRDefault="00A07D76" w:rsidP="00856E2C">
      <w:pPr>
        <w:pStyle w:val="IAPiedepgina"/>
        <w:rPr>
          <w:rFonts w:cstheme="majorBidi"/>
          <w:szCs w:val="16"/>
        </w:rPr>
      </w:pPr>
      <w:r w:rsidRPr="005C52BD">
        <w:rPr>
          <w:rStyle w:val="FootnoteReference"/>
          <w:rFonts w:cstheme="majorBidi"/>
          <w:sz w:val="16"/>
          <w:szCs w:val="16"/>
        </w:rPr>
        <w:footnoteRef/>
      </w:r>
      <w:r w:rsidRPr="00BF5C70">
        <w:rPr>
          <w:rFonts w:cstheme="majorBidi"/>
          <w:szCs w:val="16"/>
        </w:rPr>
        <w:t xml:space="preserve"> Observatorio Digital ProBox, </w:t>
      </w:r>
      <w:hyperlink r:id="rId203" w:history="1">
        <w:r w:rsidRPr="00BF5C70">
          <w:rPr>
            <w:rStyle w:val="Hyperlink"/>
            <w:rFonts w:cstheme="majorBidi"/>
            <w:color w:val="auto"/>
            <w:szCs w:val="16"/>
          </w:rPr>
          <w:t>TerrorEnRedes: la estrategia digital de Maduro para reprimir las voces críticas</w:t>
        </w:r>
      </w:hyperlink>
      <w:r w:rsidRPr="00BF5C70">
        <w:rPr>
          <w:rFonts w:cstheme="majorBidi"/>
          <w:szCs w:val="16"/>
        </w:rPr>
        <w:t xml:space="preserve">, 25 de agosto de 2024; Access Now, </w:t>
      </w:r>
      <w:hyperlink r:id="rId204" w:history="1">
        <w:r w:rsidRPr="00BF5C70">
          <w:rPr>
            <w:rStyle w:val="Hyperlink"/>
            <w:rFonts w:cstheme="majorBidi"/>
            <w:color w:val="auto"/>
            <w:szCs w:val="16"/>
          </w:rPr>
          <w:t>Carta abierta sobre la violencia política posibilitada por la tecnología en Venezuela</w:t>
        </w:r>
      </w:hyperlink>
      <w:r w:rsidRPr="00BF5C70">
        <w:rPr>
          <w:rFonts w:cstheme="majorBidi"/>
          <w:szCs w:val="16"/>
        </w:rPr>
        <w:t>, 5 de agosto de 2024.</w:t>
      </w:r>
    </w:p>
  </w:footnote>
  <w:footnote w:id="238">
    <w:p w14:paraId="2CCE2D2A" w14:textId="77777777" w:rsidR="00A07D76" w:rsidRPr="00BF5C70" w:rsidRDefault="00A07D76" w:rsidP="00856E2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CIDH, Comunicado de prensa No. 184/24, </w:t>
      </w:r>
      <w:hyperlink r:id="rId205" w:history="1">
        <w:r w:rsidRPr="00BF5C70">
          <w:rPr>
            <w:rStyle w:val="Hyperlink"/>
            <w:rFonts w:cstheme="majorBidi"/>
            <w:color w:val="auto"/>
            <w:szCs w:val="16"/>
            <w:lang w:val="es-ES_tradnl"/>
          </w:rPr>
          <w:t>CIDH y RELE condenan prácticas de terrorismo de estado en Venezuela</w:t>
        </w:r>
      </w:hyperlink>
      <w:r w:rsidRPr="00BF5C70">
        <w:rPr>
          <w:rFonts w:cstheme="majorBidi"/>
          <w:szCs w:val="16"/>
          <w:lang w:val="es-ES_tradnl"/>
        </w:rPr>
        <w:t xml:space="preserve">, 15 de agosto de 2024. </w:t>
      </w:r>
    </w:p>
  </w:footnote>
  <w:footnote w:id="239">
    <w:p w14:paraId="7CA7770D" w14:textId="77777777" w:rsidR="00A07D76" w:rsidRPr="00BF5C70" w:rsidRDefault="00A07D76" w:rsidP="00856E2C">
      <w:pPr>
        <w:pStyle w:val="IAPiedepgina"/>
        <w:rPr>
          <w:rFonts w:cstheme="majorBidi"/>
          <w:b/>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CIDH, Comunicado de prensa No. 184/24, </w:t>
      </w:r>
      <w:hyperlink r:id="rId206" w:history="1">
        <w:r w:rsidRPr="00BF5C70">
          <w:rPr>
            <w:rStyle w:val="Hyperlink"/>
            <w:rFonts w:cstheme="majorBidi"/>
            <w:color w:val="auto"/>
            <w:szCs w:val="16"/>
            <w:lang w:val="es-ES_tradnl"/>
          </w:rPr>
          <w:t>CIDH y RELE condenan prácticas de terrorismo de estado en Venezuela</w:t>
        </w:r>
      </w:hyperlink>
      <w:r w:rsidRPr="00BF5C70">
        <w:rPr>
          <w:rFonts w:cstheme="majorBidi"/>
          <w:szCs w:val="16"/>
          <w:lang w:val="es-ES_tradnl"/>
        </w:rPr>
        <w:t>, 15 de agosto de 2024.</w:t>
      </w:r>
      <w:r w:rsidRPr="00BF5C70">
        <w:rPr>
          <w:rFonts w:cstheme="majorBidi"/>
          <w:b/>
          <w:szCs w:val="16"/>
          <w:lang w:val="es-ES_tradnl"/>
        </w:rPr>
        <w:t xml:space="preserve"> </w:t>
      </w:r>
    </w:p>
  </w:footnote>
  <w:footnote w:id="240">
    <w:p w14:paraId="3F8F22E9" w14:textId="77777777" w:rsidR="00A07D76" w:rsidRPr="00BF5C70" w:rsidRDefault="00A07D76" w:rsidP="00856E2C">
      <w:pPr>
        <w:pStyle w:val="IAPiedepgina"/>
        <w:rPr>
          <w:rFonts w:cstheme="majorBidi"/>
          <w:b/>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El Diario, </w:t>
      </w:r>
      <w:hyperlink r:id="rId207" w:history="1">
        <w:r w:rsidRPr="00BF5C70">
          <w:rPr>
            <w:rStyle w:val="Hyperlink"/>
            <w:rFonts w:cstheme="majorBidi"/>
            <w:color w:val="auto"/>
            <w:szCs w:val="16"/>
            <w:lang w:val="es-ES_tradnl"/>
          </w:rPr>
          <w:t>Inhabilitaron la aplicación VenApp de iOS y Android: los detalles, 31 de julio de 2024</w:t>
        </w:r>
      </w:hyperlink>
      <w:r w:rsidRPr="00BF5C70">
        <w:rPr>
          <w:rFonts w:cstheme="majorBidi"/>
          <w:szCs w:val="16"/>
          <w:lang w:val="es-ES_tradnl"/>
        </w:rPr>
        <w:t xml:space="preserve">; Tal Cual, </w:t>
      </w:r>
      <w:hyperlink r:id="rId208" w:history="1">
        <w:r w:rsidRPr="00BF5C70">
          <w:rPr>
            <w:rStyle w:val="Hyperlink"/>
            <w:rFonts w:cstheme="majorBidi"/>
            <w:color w:val="auto"/>
            <w:szCs w:val="16"/>
            <w:lang w:val="es-ES_tradnl"/>
          </w:rPr>
          <w:t>EsPaja | ¿VenApp fue eliminada de Google Play Store y Apple App Store en Venezuela?</w:t>
        </w:r>
      </w:hyperlink>
      <w:r w:rsidRPr="00BF5C70">
        <w:rPr>
          <w:rFonts w:cstheme="majorBidi"/>
          <w:szCs w:val="16"/>
          <w:lang w:val="es-ES_tradnl"/>
        </w:rPr>
        <w:t>, 1 de agosto de 2024.</w:t>
      </w:r>
      <w:r w:rsidRPr="00BF5C70">
        <w:rPr>
          <w:rFonts w:cstheme="majorBidi"/>
          <w:b/>
          <w:szCs w:val="16"/>
          <w:lang w:val="es-ES_tradnl"/>
        </w:rPr>
        <w:t xml:space="preserve"> </w:t>
      </w:r>
    </w:p>
  </w:footnote>
  <w:footnote w:id="241">
    <w:p w14:paraId="713B21C7" w14:textId="77777777" w:rsidR="00A07D76" w:rsidRPr="00BF5C70" w:rsidRDefault="00A07D76" w:rsidP="00147BA6">
      <w:pPr>
        <w:pStyle w:val="IAPiedepgina"/>
        <w:rPr>
          <w:rFonts w:cstheme="majorBidi"/>
          <w:b/>
          <w:szCs w:val="16"/>
        </w:rPr>
      </w:pPr>
      <w:r w:rsidRPr="005C52BD">
        <w:rPr>
          <w:rStyle w:val="FootnoteReference"/>
          <w:rFonts w:cstheme="majorBidi"/>
          <w:sz w:val="16"/>
          <w:szCs w:val="16"/>
        </w:rPr>
        <w:footnoteRef/>
      </w:r>
      <w:r w:rsidRPr="00BF5C70">
        <w:rPr>
          <w:rFonts w:cstheme="majorBidi"/>
          <w:szCs w:val="16"/>
        </w:rPr>
        <w:t xml:space="preserve"> Access Now, </w:t>
      </w:r>
      <w:hyperlink r:id="rId209" w:history="1">
        <w:r w:rsidRPr="00BF5C70">
          <w:rPr>
            <w:rStyle w:val="Hyperlink"/>
            <w:rFonts w:cstheme="majorBidi"/>
            <w:color w:val="auto"/>
            <w:szCs w:val="16"/>
          </w:rPr>
          <w:t>Carta abierta sobre la violencia política posibilitada por la tecnología en Venezuela</w:t>
        </w:r>
      </w:hyperlink>
      <w:r w:rsidRPr="00BF5C70">
        <w:rPr>
          <w:rFonts w:cstheme="majorBidi"/>
          <w:szCs w:val="16"/>
        </w:rPr>
        <w:t xml:space="preserve">, 5 de agosto de 2024; CIDH, Comunicado de prensa No. 184/24, </w:t>
      </w:r>
      <w:hyperlink r:id="rId210" w:history="1">
        <w:r w:rsidRPr="00BF5C70">
          <w:rPr>
            <w:rStyle w:val="Hyperlink"/>
            <w:rFonts w:cstheme="majorBidi"/>
            <w:color w:val="auto"/>
            <w:szCs w:val="16"/>
          </w:rPr>
          <w:t>CIDH y RELE condenan prácticas de terrorismo de estado en Venezuela</w:t>
        </w:r>
      </w:hyperlink>
      <w:r w:rsidRPr="00BF5C70">
        <w:rPr>
          <w:rFonts w:cstheme="majorBidi"/>
          <w:szCs w:val="16"/>
        </w:rPr>
        <w:t>, 15 de agosto de 2024.</w:t>
      </w:r>
      <w:r w:rsidRPr="00BF5C70">
        <w:rPr>
          <w:rFonts w:cstheme="majorBidi"/>
          <w:b/>
          <w:szCs w:val="16"/>
        </w:rPr>
        <w:t xml:space="preserve"> </w:t>
      </w:r>
    </w:p>
  </w:footnote>
  <w:footnote w:id="242">
    <w:p w14:paraId="048BC708" w14:textId="3AC744C3" w:rsidR="00A07D76" w:rsidRPr="00BF5C70" w:rsidRDefault="00A07D76" w:rsidP="00147BA6">
      <w:pPr>
        <w:pStyle w:val="IAPiedepgina"/>
        <w:rPr>
          <w:rFonts w:cstheme="majorBidi"/>
          <w:szCs w:val="16"/>
        </w:rPr>
      </w:pPr>
      <w:r w:rsidRPr="005C52BD">
        <w:rPr>
          <w:rStyle w:val="FootnoteReference"/>
          <w:rFonts w:cstheme="majorBidi"/>
          <w:sz w:val="16"/>
          <w:szCs w:val="16"/>
        </w:rPr>
        <w:footnoteRef/>
      </w:r>
      <w:r w:rsidRPr="00BF5C70">
        <w:rPr>
          <w:rFonts w:cstheme="majorBidi"/>
          <w:szCs w:val="16"/>
        </w:rPr>
        <w:t xml:space="preserve"> Access Now, </w:t>
      </w:r>
      <w:hyperlink r:id="rId211" w:history="1">
        <w:r w:rsidRPr="00BF5C70">
          <w:rPr>
            <w:rStyle w:val="Hyperlink"/>
            <w:rFonts w:cstheme="majorBidi"/>
            <w:color w:val="auto"/>
            <w:szCs w:val="16"/>
          </w:rPr>
          <w:t>Carta abierta sobre la violencia política posibilitada por la tecnología en Venezuela</w:t>
        </w:r>
      </w:hyperlink>
      <w:r w:rsidR="00C93287">
        <w:rPr>
          <w:rFonts w:cstheme="majorBidi"/>
          <w:szCs w:val="16"/>
        </w:rPr>
        <w:t>,</w:t>
      </w:r>
      <w:r w:rsidRPr="00BF5C70">
        <w:rPr>
          <w:rFonts w:cstheme="majorBidi"/>
          <w:szCs w:val="16"/>
        </w:rPr>
        <w:t xml:space="preserve"> 5 de agosto de 2024. </w:t>
      </w:r>
    </w:p>
  </w:footnote>
  <w:footnote w:id="243">
    <w:p w14:paraId="015F3B94" w14:textId="77777777" w:rsidR="00A07D76" w:rsidRPr="00BF5C70" w:rsidRDefault="00A07D76" w:rsidP="00147BA6">
      <w:pPr>
        <w:pStyle w:val="IAPiedepgina"/>
        <w:rPr>
          <w:rFonts w:cstheme="majorBidi"/>
          <w:szCs w:val="16"/>
        </w:rPr>
      </w:pPr>
      <w:r w:rsidRPr="005C52BD">
        <w:rPr>
          <w:rStyle w:val="FootnoteReference"/>
          <w:rFonts w:cstheme="majorBidi"/>
          <w:sz w:val="16"/>
          <w:szCs w:val="16"/>
        </w:rPr>
        <w:footnoteRef/>
      </w:r>
      <w:r w:rsidRPr="00BF5C70">
        <w:rPr>
          <w:rFonts w:cstheme="majorBidi"/>
          <w:szCs w:val="16"/>
        </w:rPr>
        <w:t xml:space="preserve"> Access Now, </w:t>
      </w:r>
      <w:hyperlink r:id="rId212" w:history="1">
        <w:r w:rsidRPr="00BF5C70">
          <w:rPr>
            <w:rStyle w:val="Hyperlink"/>
            <w:rFonts w:cstheme="majorBidi"/>
            <w:color w:val="auto"/>
            <w:szCs w:val="16"/>
          </w:rPr>
          <w:t>Carta abierta sobre la violencia política posibilitada por la tecnología en Venezuela</w:t>
        </w:r>
      </w:hyperlink>
      <w:r w:rsidRPr="00BF5C70">
        <w:rPr>
          <w:rFonts w:cstheme="majorBidi"/>
          <w:szCs w:val="16"/>
        </w:rPr>
        <w:t xml:space="preserve">, 5 de agosto de 2024. </w:t>
      </w:r>
    </w:p>
  </w:footnote>
  <w:footnote w:id="244">
    <w:p w14:paraId="3D7D3CB0" w14:textId="77777777" w:rsidR="00A07D76" w:rsidRPr="00BF5C70" w:rsidRDefault="00A07D76" w:rsidP="00147BA6">
      <w:pPr>
        <w:pStyle w:val="IAPiedepgina"/>
        <w:rPr>
          <w:rFonts w:cstheme="majorBidi"/>
          <w:szCs w:val="16"/>
        </w:rPr>
      </w:pPr>
      <w:r w:rsidRPr="005C52BD">
        <w:rPr>
          <w:rStyle w:val="FootnoteReference"/>
          <w:rFonts w:cstheme="majorBidi"/>
          <w:sz w:val="16"/>
          <w:szCs w:val="16"/>
        </w:rPr>
        <w:footnoteRef/>
      </w:r>
      <w:r w:rsidRPr="00BF5C70">
        <w:rPr>
          <w:rFonts w:cstheme="majorBidi"/>
          <w:szCs w:val="16"/>
        </w:rPr>
        <w:t xml:space="preserve"> Access Now, </w:t>
      </w:r>
      <w:hyperlink r:id="rId213" w:history="1">
        <w:r w:rsidRPr="00BF5C70">
          <w:rPr>
            <w:rStyle w:val="Hyperlink"/>
            <w:rFonts w:cstheme="majorBidi"/>
            <w:color w:val="auto"/>
            <w:szCs w:val="16"/>
          </w:rPr>
          <w:t>Carta abierta sobre la violencia política posibilitada por la tecnología en Venezuela</w:t>
        </w:r>
      </w:hyperlink>
      <w:r w:rsidRPr="00BF5C70">
        <w:rPr>
          <w:rFonts w:cstheme="majorBidi"/>
          <w:szCs w:val="16"/>
        </w:rPr>
        <w:t xml:space="preserve">, 5 de agosto de 2024. </w:t>
      </w:r>
    </w:p>
  </w:footnote>
  <w:footnote w:id="245">
    <w:p w14:paraId="088DEDF4" w14:textId="77777777" w:rsidR="00A07D76" w:rsidRPr="00BF5C70" w:rsidRDefault="00A07D76" w:rsidP="00147BA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214" w:history="1">
        <w:r w:rsidRPr="00BF5C70">
          <w:rPr>
            <w:rStyle w:val="Hyperlink"/>
            <w:rFonts w:cstheme="majorBidi"/>
            <w:color w:val="auto"/>
            <w:szCs w:val="16"/>
            <w:lang w:val="es-ES_tradnl"/>
          </w:rPr>
          <w:t>Agosto: censura y represión postelectoral</w:t>
        </w:r>
      </w:hyperlink>
      <w:r w:rsidRPr="00BF5C70">
        <w:rPr>
          <w:rFonts w:cstheme="majorBidi"/>
          <w:szCs w:val="16"/>
          <w:lang w:val="es-ES_tradnl"/>
        </w:rPr>
        <w:t>, 5 de septiembre de 2024.</w:t>
      </w:r>
    </w:p>
  </w:footnote>
  <w:footnote w:id="246">
    <w:p w14:paraId="47EE698E" w14:textId="77777777" w:rsidR="00A07D76" w:rsidRPr="00BF5C70" w:rsidRDefault="00A07D76" w:rsidP="00147BA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Espacio Público, </w:t>
      </w:r>
      <w:hyperlink r:id="rId215" w:history="1">
        <w:r w:rsidRPr="00BF5C70">
          <w:rPr>
            <w:rStyle w:val="Hyperlink"/>
            <w:rFonts w:cstheme="majorBidi"/>
            <w:color w:val="auto"/>
            <w:szCs w:val="16"/>
            <w:lang w:val="es-ES_tradnl"/>
          </w:rPr>
          <w:t>Agosto: censura y represión postelectoral</w:t>
        </w:r>
      </w:hyperlink>
      <w:r w:rsidRPr="00BF5C70">
        <w:rPr>
          <w:rFonts w:cstheme="majorBidi"/>
          <w:szCs w:val="16"/>
          <w:lang w:val="es-ES_tradnl"/>
        </w:rPr>
        <w:t>, 5 de septiembre de 2024.</w:t>
      </w:r>
    </w:p>
  </w:footnote>
  <w:footnote w:id="247">
    <w:p w14:paraId="2054441B" w14:textId="77777777" w:rsidR="00A07D76" w:rsidRPr="00675A13" w:rsidRDefault="00A07D76" w:rsidP="00147BA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Pr="00675A13">
        <w:rPr>
          <w:rFonts w:cstheme="majorBidi"/>
          <w:szCs w:val="16"/>
          <w:lang w:val="es-ES_tradnl"/>
        </w:rPr>
        <w:t xml:space="preserve">Espacio Público, </w:t>
      </w:r>
      <w:hyperlink r:id="rId216" w:history="1">
        <w:r w:rsidRPr="00675A13">
          <w:rPr>
            <w:rStyle w:val="Hyperlink"/>
            <w:rFonts w:cstheme="majorBidi"/>
            <w:color w:val="auto"/>
            <w:szCs w:val="16"/>
            <w:lang w:val="es-ES_tradnl"/>
          </w:rPr>
          <w:t>Agosto: censura y represión postelectoral</w:t>
        </w:r>
      </w:hyperlink>
      <w:r w:rsidRPr="00675A13">
        <w:rPr>
          <w:rFonts w:cstheme="majorBidi"/>
          <w:szCs w:val="16"/>
          <w:lang w:val="es-ES_tradnl"/>
        </w:rPr>
        <w:t>, 5 de septiembre de 2024.</w:t>
      </w:r>
    </w:p>
  </w:footnote>
  <w:footnote w:id="248">
    <w:p w14:paraId="5BC57947" w14:textId="77777777" w:rsidR="00A07D76" w:rsidRPr="00675A13" w:rsidRDefault="00A07D76" w:rsidP="00147BA6">
      <w:pPr>
        <w:pStyle w:val="IAPiedepgina"/>
        <w:rPr>
          <w:rFonts w:cstheme="majorBidi"/>
          <w:szCs w:val="16"/>
          <w:lang w:val="es-ES_tradnl"/>
        </w:rPr>
      </w:pPr>
      <w:r w:rsidRPr="005C52BD">
        <w:rPr>
          <w:rStyle w:val="FootnoteReference"/>
          <w:rFonts w:cstheme="majorBidi"/>
          <w:sz w:val="16"/>
          <w:szCs w:val="16"/>
          <w:lang w:val="es-ES_tradnl"/>
        </w:rPr>
        <w:footnoteRef/>
      </w:r>
      <w:r w:rsidRPr="00675A13">
        <w:rPr>
          <w:rFonts w:cstheme="majorBidi"/>
          <w:szCs w:val="16"/>
          <w:lang w:val="es-ES_tradnl"/>
        </w:rPr>
        <w:t xml:space="preserve"> Espacio Público, </w:t>
      </w:r>
      <w:hyperlink r:id="rId217" w:history="1">
        <w:r w:rsidRPr="00675A13">
          <w:rPr>
            <w:rStyle w:val="Hyperlink"/>
            <w:rFonts w:cstheme="majorBidi"/>
            <w:color w:val="auto"/>
            <w:szCs w:val="16"/>
            <w:lang w:val="es-ES_tradnl"/>
          </w:rPr>
          <w:t>Agosto: censura y represión postelectoral</w:t>
        </w:r>
      </w:hyperlink>
      <w:r w:rsidRPr="00675A13">
        <w:rPr>
          <w:rFonts w:cstheme="majorBidi"/>
          <w:szCs w:val="16"/>
          <w:lang w:val="es-ES_tradnl"/>
        </w:rPr>
        <w:t>, 5 de septiembre de 2024.</w:t>
      </w:r>
    </w:p>
  </w:footnote>
  <w:footnote w:id="249">
    <w:p w14:paraId="41CA7ED8" w14:textId="777B046B" w:rsidR="00A07D76" w:rsidRPr="00BF5C70" w:rsidRDefault="00A07D76" w:rsidP="00147BA6">
      <w:pPr>
        <w:pStyle w:val="IAPiedepgina"/>
        <w:rPr>
          <w:rFonts w:cstheme="majorBidi"/>
          <w:szCs w:val="16"/>
          <w:lang w:val="es-ES_tradnl"/>
        </w:rPr>
      </w:pPr>
      <w:r w:rsidRPr="005C52BD">
        <w:rPr>
          <w:rStyle w:val="FootnoteReference"/>
          <w:rFonts w:cstheme="majorBidi"/>
          <w:sz w:val="16"/>
          <w:szCs w:val="16"/>
          <w:lang w:val="es-ES_tradnl"/>
        </w:rPr>
        <w:footnoteRef/>
      </w:r>
      <w:r w:rsidRPr="00675A13">
        <w:rPr>
          <w:rFonts w:cstheme="majorBidi"/>
          <w:szCs w:val="16"/>
          <w:lang w:val="es-ES_tradnl"/>
        </w:rPr>
        <w:t xml:space="preserve"> Información enviada </w:t>
      </w:r>
      <w:r w:rsidR="00FC3CDC" w:rsidRPr="00675A13">
        <w:rPr>
          <w:rFonts w:cstheme="majorBidi"/>
          <w:szCs w:val="16"/>
          <w:lang w:val="es-ES_tradnl"/>
        </w:rPr>
        <w:t xml:space="preserve">por </w:t>
      </w:r>
      <w:r w:rsidRPr="00675A13">
        <w:rPr>
          <w:rFonts w:cstheme="majorBidi"/>
          <w:szCs w:val="16"/>
          <w:lang w:val="es-ES_tradnl"/>
        </w:rPr>
        <w:t>Aula Abierta, Archivo de la</w:t>
      </w:r>
      <w:r w:rsidRPr="00BF5C70">
        <w:rPr>
          <w:rFonts w:cstheme="majorBidi"/>
          <w:szCs w:val="16"/>
          <w:lang w:val="es-ES_tradnl"/>
        </w:rPr>
        <w:t xml:space="preserve"> Relatoría Especial, 31 de mayo de 2024.</w:t>
      </w:r>
    </w:p>
  </w:footnote>
  <w:footnote w:id="250">
    <w:p w14:paraId="5495C660" w14:textId="506980D7" w:rsidR="571B825A" w:rsidRPr="00BF5C70" w:rsidRDefault="571B825A" w:rsidP="00147BA6">
      <w:pPr>
        <w:pStyle w:val="IAPiedepgina"/>
        <w:rPr>
          <w:rFonts w:eastAsia="Cambria" w:cs="Cambria"/>
          <w:szCs w:val="16"/>
          <w:lang w:val="es-US"/>
        </w:rPr>
      </w:pPr>
      <w:r w:rsidRPr="005C52BD">
        <w:rPr>
          <w:szCs w:val="16"/>
          <w:vertAlign w:val="superscript"/>
        </w:rPr>
        <w:footnoteRef/>
      </w:r>
      <w:r w:rsidRPr="00BF5C70">
        <w:rPr>
          <w:szCs w:val="16"/>
          <w:lang w:val="es-US"/>
        </w:rPr>
        <w:t xml:space="preserve"> </w:t>
      </w:r>
      <w:r w:rsidRPr="00BF5C70">
        <w:rPr>
          <w:rFonts w:eastAsia="Cambria" w:cs="Cambria"/>
          <w:szCs w:val="16"/>
          <w:lang w:val="es-US"/>
        </w:rPr>
        <w:t xml:space="preserve">El Espectador, </w:t>
      </w:r>
      <w:hyperlink r:id="rId218" w:history="1">
        <w:r w:rsidRPr="00BF5C70">
          <w:rPr>
            <w:rStyle w:val="Hyperlink"/>
            <w:rFonts w:eastAsia="Cambria" w:cs="Cambria"/>
            <w:color w:val="auto"/>
            <w:szCs w:val="16"/>
            <w:lang w:val="es-US"/>
          </w:rPr>
          <w:t>John Álvarez, el estudiante que duró cuatro meses preso, fue liberado en Venezuela, 23 de diciembre, 2024; Aula Abierta, Detención de la profesora y defensora de derechos humanos Roció San Miguel vulnera también la libertad académica y la democracia,</w:t>
        </w:r>
      </w:hyperlink>
      <w:r w:rsidRPr="00BF5C70">
        <w:rPr>
          <w:rFonts w:eastAsia="Cambria" w:cs="Cambria"/>
          <w:szCs w:val="16"/>
          <w:lang w:val="es-US"/>
        </w:rPr>
        <w:t xml:space="preserve"> 13 de febrero, 2024.</w:t>
      </w:r>
    </w:p>
  </w:footnote>
  <w:footnote w:id="251">
    <w:p w14:paraId="4D2915CB" w14:textId="4CA6F57E" w:rsidR="5F060105" w:rsidRPr="009276D5" w:rsidRDefault="5F060105" w:rsidP="009276D5">
      <w:pPr>
        <w:pStyle w:val="IAPiedepgina"/>
        <w:rPr>
          <w:rFonts w:eastAsia="Cambria"/>
        </w:rPr>
      </w:pPr>
      <w:r w:rsidRPr="005C52BD">
        <w:rPr>
          <w:rFonts w:eastAsia="Cambria"/>
          <w:vertAlign w:val="superscript"/>
        </w:rPr>
        <w:footnoteRef/>
      </w:r>
      <w:r w:rsidRPr="008B4605">
        <w:rPr>
          <w:rFonts w:eastAsia="Cambria"/>
        </w:rPr>
        <w:t xml:space="preserve"> </w:t>
      </w:r>
      <w:r w:rsidRPr="5F060105">
        <w:rPr>
          <w:rFonts w:eastAsia="Cambria"/>
        </w:rPr>
        <w:t>Información enviada por Aula Abierta, Archivo de la Relatoría Especial, 18 de diciembre de 2024.</w:t>
      </w:r>
    </w:p>
  </w:footnote>
  <w:footnote w:id="252">
    <w:p w14:paraId="4829CFD5" w14:textId="03713214" w:rsidR="081E9D2E" w:rsidRPr="009276D5" w:rsidRDefault="081E9D2E" w:rsidP="009276D5">
      <w:pPr>
        <w:pStyle w:val="IAPiedepgina"/>
        <w:rPr>
          <w:rFonts w:eastAsia="Cambria"/>
        </w:rPr>
      </w:pPr>
      <w:r w:rsidRPr="005C52BD">
        <w:rPr>
          <w:rFonts w:eastAsia="Cambria"/>
          <w:vertAlign w:val="superscript"/>
        </w:rPr>
        <w:footnoteRef/>
      </w:r>
      <w:r w:rsidRPr="009276D5">
        <w:rPr>
          <w:rFonts w:eastAsia="Cambria"/>
          <w:vertAlign w:val="superscript"/>
        </w:rPr>
        <w:t xml:space="preserve"> </w:t>
      </w:r>
      <w:r w:rsidRPr="081E9D2E">
        <w:rPr>
          <w:rFonts w:eastAsia="Cambria"/>
        </w:rPr>
        <w:t>Información enviada por Aula Abierta, Archivo de la Relatoría Especial, 18 de diciembre de 2024.</w:t>
      </w:r>
    </w:p>
  </w:footnote>
  <w:footnote w:id="253">
    <w:p w14:paraId="62FDEBB8" w14:textId="13A651F7" w:rsidR="081E9D2E" w:rsidRPr="008B4605" w:rsidRDefault="081E9D2E" w:rsidP="009276D5">
      <w:pPr>
        <w:pStyle w:val="IAPiedepgina"/>
        <w:rPr>
          <w:rFonts w:eastAsia="Cambria"/>
        </w:rPr>
      </w:pPr>
      <w:r w:rsidRPr="005C52BD">
        <w:rPr>
          <w:rFonts w:eastAsia="Cambria"/>
          <w:vertAlign w:val="superscript"/>
        </w:rPr>
        <w:footnoteRef/>
      </w:r>
      <w:r w:rsidRPr="008B4605">
        <w:rPr>
          <w:rFonts w:eastAsia="Cambria"/>
        </w:rPr>
        <w:t xml:space="preserve"> </w:t>
      </w:r>
      <w:r w:rsidRPr="081E9D2E">
        <w:rPr>
          <w:rFonts w:eastAsia="Cambria"/>
        </w:rPr>
        <w:t>Información enviada por Aula Abierta, Archivo de la Relatoría Especial, 31 de mayo de 2024.</w:t>
      </w:r>
    </w:p>
  </w:footnote>
  <w:footnote w:id="254">
    <w:p w14:paraId="2A93489C" w14:textId="19D55B57" w:rsidR="081E9D2E" w:rsidRPr="009276D5" w:rsidRDefault="081E9D2E" w:rsidP="009276D5">
      <w:pPr>
        <w:pStyle w:val="IAPiedepgina"/>
        <w:rPr>
          <w:rFonts w:eastAsia="Cambria"/>
          <w:sz w:val="20"/>
          <w:szCs w:val="20"/>
        </w:rPr>
      </w:pPr>
      <w:r w:rsidRPr="005C52BD">
        <w:rPr>
          <w:rFonts w:eastAsia="Cambria"/>
          <w:vertAlign w:val="superscript"/>
        </w:rPr>
        <w:footnoteRef/>
      </w:r>
      <w:r w:rsidR="473DDCBD" w:rsidRPr="008B4605">
        <w:t xml:space="preserve"> </w:t>
      </w:r>
      <w:r w:rsidR="473DDCBD" w:rsidRPr="473DDCBD">
        <w:rPr>
          <w:rFonts w:eastAsia="Cambria"/>
          <w:lang w:val="es"/>
        </w:rPr>
        <w:t xml:space="preserve">Aula Abierta, Resumen ejecutivo: violaciones a la libertad académica y la autonomía universitaria en Latinoamérica, </w:t>
      </w:r>
      <w:r w:rsidR="009276D5" w:rsidRPr="473DDCBD">
        <w:rPr>
          <w:rFonts w:eastAsia="Cambria"/>
          <w:lang w:val="es"/>
        </w:rPr>
        <w:t>octubre</w:t>
      </w:r>
      <w:r w:rsidR="473DDCBD" w:rsidRPr="473DDCBD">
        <w:rPr>
          <w:rFonts w:eastAsia="Cambria"/>
          <w:lang w:val="es"/>
        </w:rPr>
        <w:t xml:space="preserve"> de 2024. Información recibida por REDESCA-CIDH.</w:t>
      </w:r>
    </w:p>
  </w:footnote>
  <w:footnote w:id="255">
    <w:p w14:paraId="79D29E19" w14:textId="6DF18749" w:rsidR="7350EE8E" w:rsidRPr="009276D5" w:rsidRDefault="7350EE8E" w:rsidP="009276D5">
      <w:pPr>
        <w:pStyle w:val="IAPiedepgina"/>
        <w:rPr>
          <w:rFonts w:eastAsia="Cambria"/>
          <w:color w:val="auto"/>
        </w:rPr>
      </w:pPr>
      <w:r w:rsidRPr="005C52BD">
        <w:rPr>
          <w:rFonts w:eastAsia="Cambria"/>
          <w:color w:val="auto"/>
          <w:vertAlign w:val="superscript"/>
        </w:rPr>
        <w:footnoteRef/>
      </w:r>
      <w:r w:rsidRPr="009276D5">
        <w:rPr>
          <w:rFonts w:eastAsia="Cambria"/>
          <w:color w:val="auto"/>
          <w:vertAlign w:val="superscript"/>
        </w:rPr>
        <w:t xml:space="preserve"> </w:t>
      </w:r>
      <w:r w:rsidRPr="008B4605">
        <w:rPr>
          <w:rFonts w:eastAsia="Cambria"/>
          <w:color w:val="auto"/>
        </w:rPr>
        <w:t xml:space="preserve">Aula Abierta, </w:t>
      </w:r>
      <w:hyperlink r:id="rId219">
        <w:r w:rsidRPr="007E5AF3">
          <w:rPr>
            <w:rStyle w:val="Hyperlink"/>
            <w:rFonts w:eastAsia="Cambria" w:cs="Cambria"/>
            <w:color w:val="auto"/>
            <w:szCs w:val="16"/>
            <w:lang w:val="es-US"/>
          </w:rPr>
          <w:t>Represalias contra universitarios en elecciones presidenciales en Venezuela entre el 28 y 30 de julio 2024</w:t>
        </w:r>
      </w:hyperlink>
      <w:r w:rsidRPr="008B4605">
        <w:rPr>
          <w:rFonts w:eastAsia="Cambria"/>
          <w:color w:val="auto"/>
        </w:rPr>
        <w:t>, 30 de julio de 2024.</w:t>
      </w:r>
    </w:p>
  </w:footnote>
  <w:footnote w:id="256">
    <w:p w14:paraId="44DACBEC" w14:textId="20222F6D" w:rsidR="7350EE8E" w:rsidRPr="008B4605" w:rsidRDefault="7350EE8E" w:rsidP="009276D5">
      <w:pPr>
        <w:pStyle w:val="IAPiedepgina"/>
        <w:rPr>
          <w:rFonts w:eastAsia="Cambria"/>
          <w:color w:val="auto"/>
        </w:rPr>
      </w:pPr>
      <w:r w:rsidRPr="005C52BD">
        <w:rPr>
          <w:rFonts w:eastAsia="Cambria"/>
          <w:color w:val="auto"/>
          <w:vertAlign w:val="superscript"/>
        </w:rPr>
        <w:footnoteRef/>
      </w:r>
      <w:r w:rsidRPr="009276D5">
        <w:rPr>
          <w:rFonts w:eastAsia="Cambria"/>
          <w:color w:val="auto"/>
          <w:vertAlign w:val="superscript"/>
        </w:rPr>
        <w:t xml:space="preserve"> </w:t>
      </w:r>
      <w:r w:rsidRPr="008B4605">
        <w:rPr>
          <w:rFonts w:eastAsia="Cambria"/>
          <w:color w:val="auto"/>
        </w:rPr>
        <w:t>Aula Abierta, ONU: Universitarios venezolanos detenidos tras la elección del 28 de julio sufren graves violaciones de derechos humanos, 30 de octubre de 2024.</w:t>
      </w:r>
    </w:p>
  </w:footnote>
  <w:footnote w:id="257">
    <w:p w14:paraId="2630536E" w14:textId="70C2BD80" w:rsidR="00F424B0" w:rsidRPr="00BF5C70" w:rsidRDefault="00F424B0"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El País, </w:t>
      </w:r>
      <w:hyperlink r:id="rId220" w:history="1">
        <w:r w:rsidRPr="00BF5C70">
          <w:rPr>
            <w:rStyle w:val="Hyperlink"/>
            <w:rFonts w:cstheme="majorBidi"/>
            <w:color w:val="auto"/>
            <w:szCs w:val="16"/>
            <w:u w:val="none"/>
            <w:lang w:val="es-ES_tradnl"/>
          </w:rPr>
          <w:t>Venezuela experimenta una recuperación económica en tiempos de incertidumbre electoral</w:t>
        </w:r>
      </w:hyperlink>
      <w:r w:rsidRPr="00BF5C70">
        <w:rPr>
          <w:rFonts w:cstheme="majorBidi"/>
          <w:szCs w:val="16"/>
          <w:lang w:val="es-ES_tradnl"/>
        </w:rPr>
        <w:t>, 19 de julio de 2024</w:t>
      </w:r>
      <w:r w:rsidR="00EE288A" w:rsidRPr="00BF5C70">
        <w:rPr>
          <w:rFonts w:cstheme="majorBidi"/>
          <w:szCs w:val="16"/>
          <w:lang w:val="es-ES_tradnl"/>
        </w:rPr>
        <w:t>.</w:t>
      </w:r>
    </w:p>
  </w:footnote>
  <w:footnote w:id="258">
    <w:p w14:paraId="2ACE040A" w14:textId="77777777" w:rsidR="000F4C77" w:rsidRPr="00BF5C70" w:rsidRDefault="000F4C77"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Naciones Unidas, comunicado de prensa, Venezuela: </w:t>
      </w:r>
      <w:hyperlink r:id="rId221" w:anchor=":~:text=CARACAS%20(14%20de%20febrero%20de,para%20acceder%20a%20una%20canasta" w:history="1">
        <w:r w:rsidRPr="00BF5C70">
          <w:rPr>
            <w:rStyle w:val="Hyperlink"/>
            <w:rFonts w:cstheme="majorBidi"/>
            <w:color w:val="auto"/>
            <w:szCs w:val="16"/>
            <w:u w:val="none"/>
            <w:lang w:val="es-ES_tradnl"/>
          </w:rPr>
          <w:t>Experto de la ONU hace un llamado en favor de los Derechos Humanos, no de la caridad, para acabar con el hambre y la malnutrición</w:t>
        </w:r>
      </w:hyperlink>
      <w:r w:rsidRPr="00BF5C70">
        <w:rPr>
          <w:rFonts w:cstheme="majorBidi"/>
          <w:szCs w:val="16"/>
          <w:lang w:val="es-ES_tradnl"/>
        </w:rPr>
        <w:t xml:space="preserve">, 14 de febrero de 2024. </w:t>
      </w:r>
    </w:p>
  </w:footnote>
  <w:footnote w:id="259">
    <w:p w14:paraId="3C7DB5F2" w14:textId="5CAF0666" w:rsidR="000F4C77" w:rsidRPr="00BF5C70" w:rsidRDefault="000F4C77"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Universidad Católica Andrés Bello</w:t>
      </w:r>
      <w:hyperlink r:id="rId222" w:history="1">
        <w:r w:rsidRPr="00BF5C70">
          <w:rPr>
            <w:rStyle w:val="Hyperlink"/>
            <w:rFonts w:cstheme="majorBidi"/>
            <w:color w:val="auto"/>
            <w:szCs w:val="16"/>
            <w:u w:val="none"/>
            <w:lang w:val="es-ES_tradnl"/>
          </w:rPr>
          <w:t>, Encuesta Nacional de Condiciones Vida 2023</w:t>
        </w:r>
      </w:hyperlink>
      <w:r w:rsidRPr="00BF5C70">
        <w:rPr>
          <w:rFonts w:cstheme="majorBidi"/>
          <w:szCs w:val="16"/>
          <w:lang w:val="es-ES_tradnl"/>
        </w:rPr>
        <w:t>, marzo 2024</w:t>
      </w:r>
      <w:r w:rsidR="00731A9B" w:rsidRPr="00BF5C70">
        <w:rPr>
          <w:rFonts w:cstheme="majorBidi"/>
          <w:szCs w:val="16"/>
          <w:lang w:val="es-ES_tradnl"/>
        </w:rPr>
        <w:t>.</w:t>
      </w:r>
    </w:p>
  </w:footnote>
  <w:footnote w:id="260">
    <w:p w14:paraId="3DB9D53D" w14:textId="44B80905" w:rsidR="000F4C77" w:rsidRPr="00BF5C70" w:rsidRDefault="000F4C77"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Provea, </w:t>
      </w:r>
      <w:hyperlink r:id="rId223" w:history="1">
        <w:r w:rsidRPr="00BF5C70">
          <w:rPr>
            <w:rStyle w:val="Hyperlink"/>
            <w:rFonts w:cstheme="majorBidi"/>
            <w:color w:val="auto"/>
            <w:szCs w:val="16"/>
            <w:u w:val="none"/>
            <w:lang w:val="es-ES_tradnl"/>
          </w:rPr>
          <w:t>informe 2023:</w:t>
        </w:r>
        <w:r w:rsidR="00391F3B" w:rsidRPr="00BF5C70">
          <w:rPr>
            <w:rStyle w:val="Hyperlink"/>
            <w:rFonts w:cstheme="majorBidi"/>
            <w:color w:val="auto"/>
            <w:szCs w:val="16"/>
            <w:u w:val="none"/>
            <w:lang w:val="es-ES_tradnl"/>
          </w:rPr>
          <w:t xml:space="preserve"> </w:t>
        </w:r>
        <w:r w:rsidRPr="00BF5C70">
          <w:rPr>
            <w:rStyle w:val="Hyperlink"/>
            <w:rFonts w:cstheme="majorBidi"/>
            <w:color w:val="auto"/>
            <w:szCs w:val="16"/>
            <w:u w:val="none"/>
            <w:lang w:val="es-ES_tradnl"/>
          </w:rPr>
          <w:t>contexto</w:t>
        </w:r>
      </w:hyperlink>
      <w:r w:rsidRPr="00BF5C70">
        <w:rPr>
          <w:rFonts w:cstheme="majorBidi"/>
          <w:szCs w:val="16"/>
          <w:lang w:val="es-ES_tradnl"/>
        </w:rPr>
        <w:t>, abril de 2024.</w:t>
      </w:r>
    </w:p>
  </w:footnote>
  <w:footnote w:id="261">
    <w:p w14:paraId="1D365436" w14:textId="633ECB9F" w:rsidR="000F4C77" w:rsidRPr="00BF5C70" w:rsidRDefault="000F4C77"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Provea, </w:t>
      </w:r>
      <w:hyperlink r:id="rId224" w:history="1">
        <w:r w:rsidRPr="00BF5C70">
          <w:rPr>
            <w:rStyle w:val="Hyperlink"/>
            <w:rFonts w:cstheme="majorBidi"/>
            <w:color w:val="auto"/>
            <w:szCs w:val="16"/>
            <w:u w:val="none"/>
            <w:lang w:val="es-ES_tradnl"/>
          </w:rPr>
          <w:t>informe 2023:</w:t>
        </w:r>
        <w:r w:rsidR="00391F3B" w:rsidRPr="00BF5C70">
          <w:rPr>
            <w:rStyle w:val="Hyperlink"/>
            <w:rFonts w:cstheme="majorBidi"/>
            <w:color w:val="auto"/>
            <w:szCs w:val="16"/>
            <w:u w:val="none"/>
            <w:lang w:val="es-ES_tradnl"/>
          </w:rPr>
          <w:t xml:space="preserve"> </w:t>
        </w:r>
        <w:r w:rsidRPr="00BF5C70">
          <w:rPr>
            <w:rStyle w:val="Hyperlink"/>
            <w:rFonts w:cstheme="majorBidi"/>
            <w:color w:val="auto"/>
            <w:szCs w:val="16"/>
            <w:u w:val="none"/>
            <w:lang w:val="es-ES_tradnl"/>
          </w:rPr>
          <w:t>contexto</w:t>
        </w:r>
      </w:hyperlink>
      <w:r w:rsidRPr="00BF5C70">
        <w:rPr>
          <w:rFonts w:cstheme="majorBidi"/>
          <w:szCs w:val="16"/>
          <w:lang w:val="es-ES_tradnl"/>
        </w:rPr>
        <w:t>, ya citada.</w:t>
      </w:r>
    </w:p>
  </w:footnote>
  <w:footnote w:id="262">
    <w:p w14:paraId="4849674B" w14:textId="77777777" w:rsidR="000F4C77" w:rsidRPr="00BF5C70" w:rsidRDefault="000F4C77"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Infobae, </w:t>
      </w:r>
      <w:hyperlink r:id="rId225" w:history="1">
        <w:r w:rsidRPr="00BF5C70">
          <w:rPr>
            <w:rStyle w:val="Hyperlink"/>
            <w:rFonts w:cstheme="majorBidi"/>
            <w:color w:val="auto"/>
            <w:szCs w:val="16"/>
            <w:u w:val="none"/>
            <w:lang w:val="es-ES_tradnl"/>
          </w:rPr>
          <w:t>La inflación en Venezuela sube un 0,6 % en septiembre y llega al 3,4 %, dice ente autónomo</w:t>
        </w:r>
      </w:hyperlink>
      <w:r w:rsidRPr="00BF5C70">
        <w:rPr>
          <w:rFonts w:cstheme="majorBidi"/>
          <w:szCs w:val="16"/>
          <w:lang w:val="es-ES_tradnl"/>
        </w:rPr>
        <w:t>, 7 de octubre de 2024.</w:t>
      </w:r>
    </w:p>
  </w:footnote>
  <w:footnote w:id="263">
    <w:p w14:paraId="430C939E" w14:textId="3E8DF8D2" w:rsidR="000F4C77" w:rsidRPr="00BF5C70" w:rsidRDefault="000F4C77"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PROVEA, </w:t>
      </w:r>
      <w:hyperlink r:id="rId226" w:history="1">
        <w:r w:rsidRPr="00BF5C70">
          <w:rPr>
            <w:rFonts w:cstheme="majorBidi"/>
            <w:szCs w:val="16"/>
            <w:lang w:val="es-ES_tradnl"/>
          </w:rPr>
          <w:t xml:space="preserve">Derecho a la salud, informe 2023, </w:t>
        </w:r>
        <w:r w:rsidR="000A659D" w:rsidRPr="00BF5C70">
          <w:rPr>
            <w:rFonts w:cstheme="majorBidi"/>
            <w:szCs w:val="16"/>
            <w:lang w:val="es-ES_tradnl"/>
          </w:rPr>
          <w:t>situación</w:t>
        </w:r>
        <w:r w:rsidRPr="00BF5C70">
          <w:rPr>
            <w:rStyle w:val="Hyperlink"/>
            <w:rFonts w:cstheme="majorBidi"/>
            <w:color w:val="auto"/>
            <w:szCs w:val="16"/>
            <w:u w:val="none"/>
            <w:lang w:val="es-ES_tradnl"/>
          </w:rPr>
          <w:t xml:space="preserve"> de los derechos humanos en Venezuela,</w:t>
        </w:r>
      </w:hyperlink>
      <w:r w:rsidRPr="00BF5C70">
        <w:rPr>
          <w:rFonts w:cstheme="majorBidi"/>
          <w:szCs w:val="16"/>
          <w:lang w:val="es-ES_tradnl"/>
        </w:rPr>
        <w:t xml:space="preserve"> 27 septiembre de 2023.</w:t>
      </w:r>
    </w:p>
  </w:footnote>
  <w:footnote w:id="264">
    <w:p w14:paraId="5487F967" w14:textId="1CDB528B" w:rsidR="000F4C77" w:rsidRPr="00BF5C70" w:rsidRDefault="000F4C77"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000A659D" w:rsidRPr="00BF5C70">
        <w:rPr>
          <w:rFonts w:cstheme="majorBidi"/>
          <w:szCs w:val="16"/>
          <w:lang w:val="es-ES_tradnl"/>
        </w:rPr>
        <w:t>Amnistía</w:t>
      </w:r>
      <w:r w:rsidRPr="00BF5C70">
        <w:rPr>
          <w:rFonts w:cstheme="majorBidi"/>
          <w:szCs w:val="16"/>
          <w:lang w:val="es-ES_tradnl"/>
        </w:rPr>
        <w:t xml:space="preserve"> Internacional, </w:t>
      </w:r>
      <w:hyperlink r:id="rId227" w:history="1">
        <w:r w:rsidR="00EB4208" w:rsidRPr="00BF5C70">
          <w:rPr>
            <w:rStyle w:val="Hyperlink"/>
            <w:rFonts w:cstheme="majorBidi"/>
            <w:color w:val="auto"/>
            <w:szCs w:val="16"/>
            <w:lang w:val="es-ES_tradnl"/>
          </w:rPr>
          <w:t>La situación de derechos humanos en el mundo: abril del 2024</w:t>
        </w:r>
      </w:hyperlink>
      <w:r w:rsidR="00745924" w:rsidRPr="00BF5C70">
        <w:rPr>
          <w:rFonts w:cstheme="majorBidi"/>
          <w:szCs w:val="16"/>
          <w:lang w:val="es-ES_tradnl"/>
        </w:rPr>
        <w:t>,</w:t>
      </w:r>
      <w:r w:rsidRPr="00BF5C70">
        <w:rPr>
          <w:rFonts w:cstheme="majorBidi"/>
          <w:szCs w:val="16"/>
          <w:lang w:val="es-ES_tradnl"/>
        </w:rPr>
        <w:t xml:space="preserve"> 23 de </w:t>
      </w:r>
      <w:r w:rsidR="00A17FFB" w:rsidRPr="00BF5C70">
        <w:rPr>
          <w:rFonts w:cstheme="majorBidi"/>
          <w:szCs w:val="16"/>
          <w:lang w:val="es-ES_tradnl"/>
        </w:rPr>
        <w:t>a</w:t>
      </w:r>
      <w:r w:rsidR="0031544D" w:rsidRPr="00BF5C70">
        <w:rPr>
          <w:rFonts w:cstheme="majorBidi"/>
          <w:szCs w:val="16"/>
          <w:lang w:val="es-ES_tradnl"/>
        </w:rPr>
        <w:t>bri</w:t>
      </w:r>
      <w:r w:rsidR="00EE7532" w:rsidRPr="00BF5C70">
        <w:rPr>
          <w:rFonts w:cstheme="majorBidi"/>
          <w:szCs w:val="16"/>
          <w:lang w:val="es-ES_tradnl"/>
        </w:rPr>
        <w:t>l d</w:t>
      </w:r>
      <w:r w:rsidR="00C766AE" w:rsidRPr="00BF5C70">
        <w:rPr>
          <w:rFonts w:cstheme="majorBidi"/>
          <w:szCs w:val="16"/>
          <w:lang w:val="es-ES_tradnl"/>
        </w:rPr>
        <w:t xml:space="preserve">e </w:t>
      </w:r>
      <w:r w:rsidRPr="00BF5C70">
        <w:rPr>
          <w:rFonts w:cstheme="majorBidi"/>
          <w:szCs w:val="16"/>
          <w:lang w:val="es-ES_tradnl"/>
        </w:rPr>
        <w:t xml:space="preserve">2024, </w:t>
      </w:r>
      <w:r w:rsidR="000A659D" w:rsidRPr="00BF5C70">
        <w:rPr>
          <w:rFonts w:cstheme="majorBidi"/>
          <w:szCs w:val="16"/>
          <w:lang w:val="es-ES_tradnl"/>
        </w:rPr>
        <w:t>pág.</w:t>
      </w:r>
      <w:r w:rsidRPr="00BF5C70">
        <w:rPr>
          <w:rFonts w:cstheme="majorBidi"/>
          <w:szCs w:val="16"/>
          <w:lang w:val="es-ES_tradnl"/>
        </w:rPr>
        <w:t xml:space="preserve"> 474.</w:t>
      </w:r>
    </w:p>
  </w:footnote>
  <w:footnote w:id="265">
    <w:p w14:paraId="7F77B88F" w14:textId="7C8AE0C4" w:rsidR="000F4C77" w:rsidRPr="00BF5C70" w:rsidRDefault="000F4C77"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PROVEA, </w:t>
      </w:r>
      <w:hyperlink r:id="rId228" w:history="1">
        <w:r w:rsidRPr="00BF5C70">
          <w:rPr>
            <w:rFonts w:cstheme="majorBidi"/>
            <w:szCs w:val="16"/>
            <w:lang w:val="es-ES_tradnl"/>
          </w:rPr>
          <w:t xml:space="preserve">Derecho a la salud, informe 2023, </w:t>
        </w:r>
        <w:r w:rsidR="000A659D" w:rsidRPr="00BF5C70">
          <w:rPr>
            <w:rFonts w:cstheme="majorBidi"/>
            <w:szCs w:val="16"/>
            <w:lang w:val="es-ES_tradnl"/>
          </w:rPr>
          <w:t>situación</w:t>
        </w:r>
        <w:r w:rsidRPr="00BF5C70">
          <w:rPr>
            <w:rStyle w:val="Hyperlink"/>
            <w:rFonts w:cstheme="majorBidi"/>
            <w:color w:val="auto"/>
            <w:szCs w:val="16"/>
            <w:u w:val="none"/>
            <w:lang w:val="es-ES_tradnl"/>
          </w:rPr>
          <w:t xml:space="preserve"> de los derechos humanos en Venezuela</w:t>
        </w:r>
      </w:hyperlink>
      <w:r w:rsidRPr="00BF5C70">
        <w:rPr>
          <w:rFonts w:cstheme="majorBidi"/>
          <w:szCs w:val="16"/>
          <w:lang w:val="es-ES_tradnl"/>
        </w:rPr>
        <w:t xml:space="preserve">, 27 </w:t>
      </w:r>
      <w:r w:rsidR="00CF5F0C" w:rsidRPr="00BF5C70">
        <w:rPr>
          <w:rFonts w:cstheme="majorBidi"/>
          <w:szCs w:val="16"/>
          <w:lang w:val="es-ES_tradnl"/>
        </w:rPr>
        <w:t>de</w:t>
      </w:r>
      <w:r w:rsidR="00B85542" w:rsidRPr="00BF5C70">
        <w:rPr>
          <w:rFonts w:cstheme="majorBidi"/>
          <w:szCs w:val="16"/>
          <w:lang w:val="es-ES_tradnl"/>
        </w:rPr>
        <w:t xml:space="preserve"> </w:t>
      </w:r>
      <w:r w:rsidRPr="00BF5C70">
        <w:rPr>
          <w:rFonts w:cstheme="majorBidi"/>
          <w:szCs w:val="16"/>
          <w:lang w:val="es-ES_tradnl"/>
        </w:rPr>
        <w:t>septiembre de 2023.</w:t>
      </w:r>
    </w:p>
  </w:footnote>
  <w:footnote w:id="266">
    <w:p w14:paraId="2EF0457B" w14:textId="113B2234" w:rsidR="000F4C77" w:rsidRPr="00BF5C70" w:rsidRDefault="000F4C77"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UNICEF, </w:t>
      </w:r>
      <w:hyperlink r:id="rId229" w:history="1">
        <w:r w:rsidRPr="00BF5C70">
          <w:rPr>
            <w:rFonts w:cstheme="majorBidi"/>
            <w:szCs w:val="16"/>
            <w:lang w:val="es-ES_tradnl"/>
          </w:rPr>
          <w:t xml:space="preserve">Reporte No. 1 de </w:t>
        </w:r>
        <w:r w:rsidR="000A659D" w:rsidRPr="00BF5C70">
          <w:rPr>
            <w:rFonts w:cstheme="majorBidi"/>
            <w:szCs w:val="16"/>
            <w:lang w:val="es-ES_tradnl"/>
          </w:rPr>
          <w:t>Situación</w:t>
        </w:r>
        <w:r w:rsidRPr="00BF5C70">
          <w:rPr>
            <w:rStyle w:val="Hyperlink"/>
            <w:rFonts w:cstheme="majorBidi"/>
            <w:color w:val="auto"/>
            <w:szCs w:val="16"/>
            <w:u w:val="none"/>
            <w:lang w:val="es-ES_tradnl"/>
          </w:rPr>
          <w:t xml:space="preserve"> Humanitaria: 01 de enero de 2024 a 30 de junio de 2024</w:t>
        </w:r>
      </w:hyperlink>
      <w:r w:rsidRPr="00BF5C70">
        <w:rPr>
          <w:rFonts w:cstheme="majorBidi"/>
          <w:szCs w:val="16"/>
          <w:lang w:val="es-ES_tradnl"/>
        </w:rPr>
        <w:t xml:space="preserve">, </w:t>
      </w:r>
      <w:r w:rsidR="000A659D" w:rsidRPr="00BF5C70">
        <w:rPr>
          <w:rFonts w:cstheme="majorBidi"/>
          <w:szCs w:val="16"/>
          <w:lang w:val="es-ES_tradnl"/>
        </w:rPr>
        <w:t>pág.</w:t>
      </w:r>
      <w:r w:rsidRPr="00BF5C70">
        <w:rPr>
          <w:rFonts w:cstheme="majorBidi"/>
          <w:szCs w:val="16"/>
          <w:lang w:val="es-ES_tradnl"/>
        </w:rPr>
        <w:t xml:space="preserve"> 2.</w:t>
      </w:r>
    </w:p>
  </w:footnote>
  <w:footnote w:id="267">
    <w:p w14:paraId="52A63927" w14:textId="2AE3A252" w:rsidR="000F4C77" w:rsidRPr="00BF5C70" w:rsidRDefault="000F4C77"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000A659D" w:rsidRPr="00BF5C70">
        <w:rPr>
          <w:rFonts w:cstheme="majorBidi"/>
          <w:szCs w:val="16"/>
          <w:lang w:val="es-ES_tradnl"/>
        </w:rPr>
        <w:t>Amnistía</w:t>
      </w:r>
      <w:r w:rsidRPr="00BF5C70">
        <w:rPr>
          <w:rFonts w:cstheme="majorBidi"/>
          <w:szCs w:val="16"/>
          <w:lang w:val="es-ES_tradnl"/>
        </w:rPr>
        <w:t xml:space="preserve"> Internacional, </w:t>
      </w:r>
      <w:hyperlink r:id="rId230" w:history="1">
        <w:r w:rsidRPr="00BF5C70">
          <w:rPr>
            <w:rFonts w:cstheme="majorBidi"/>
            <w:szCs w:val="16"/>
            <w:lang w:val="es-ES_tradnl"/>
          </w:rPr>
          <w:t xml:space="preserve">La </w:t>
        </w:r>
        <w:r w:rsidR="000A659D" w:rsidRPr="00BF5C70">
          <w:rPr>
            <w:rFonts w:cstheme="majorBidi"/>
            <w:szCs w:val="16"/>
            <w:lang w:val="es-ES_tradnl"/>
          </w:rPr>
          <w:t>situación</w:t>
        </w:r>
        <w:r w:rsidRPr="00BF5C70">
          <w:rPr>
            <w:rStyle w:val="Hyperlink"/>
            <w:rFonts w:cstheme="majorBidi"/>
            <w:color w:val="auto"/>
            <w:szCs w:val="16"/>
            <w:u w:val="none"/>
            <w:lang w:val="es-ES_tradnl"/>
          </w:rPr>
          <w:t xml:space="preserve"> de derechos humanos en el mundo: abril del 2024</w:t>
        </w:r>
      </w:hyperlink>
      <w:r w:rsidRPr="00BF5C70">
        <w:rPr>
          <w:rFonts w:cstheme="majorBidi"/>
          <w:szCs w:val="16"/>
          <w:lang w:val="es-ES_tradnl"/>
        </w:rPr>
        <w:t xml:space="preserve">, 23 </w:t>
      </w:r>
      <w:r w:rsidR="00E721D8" w:rsidRPr="00BF5C70">
        <w:rPr>
          <w:rFonts w:cstheme="majorBidi"/>
          <w:szCs w:val="16"/>
          <w:lang w:val="es-ES_tradnl"/>
        </w:rPr>
        <w:t>de</w:t>
      </w:r>
      <w:r w:rsidR="00AD3FC9" w:rsidRPr="00BF5C70">
        <w:rPr>
          <w:rFonts w:cstheme="majorBidi"/>
          <w:szCs w:val="16"/>
          <w:lang w:val="es-ES_tradnl"/>
        </w:rPr>
        <w:t xml:space="preserve"> </w:t>
      </w:r>
      <w:r w:rsidR="000F4BEF" w:rsidRPr="00BF5C70">
        <w:rPr>
          <w:rFonts w:cstheme="majorBidi"/>
          <w:szCs w:val="16"/>
          <w:lang w:val="es-ES_tradnl"/>
        </w:rPr>
        <w:t xml:space="preserve">abril </w:t>
      </w:r>
      <w:r w:rsidRPr="00BF5C70">
        <w:rPr>
          <w:rFonts w:cstheme="majorBidi"/>
          <w:szCs w:val="16"/>
          <w:lang w:val="es-ES_tradnl"/>
        </w:rPr>
        <w:t xml:space="preserve">de 2024, </w:t>
      </w:r>
      <w:r w:rsidR="000A659D" w:rsidRPr="00BF5C70">
        <w:rPr>
          <w:rFonts w:cstheme="majorBidi"/>
          <w:szCs w:val="16"/>
          <w:lang w:val="es-ES_tradnl"/>
        </w:rPr>
        <w:t>pág.</w:t>
      </w:r>
      <w:r w:rsidRPr="00BF5C70">
        <w:rPr>
          <w:rFonts w:cstheme="majorBidi"/>
          <w:szCs w:val="16"/>
          <w:lang w:val="es-ES_tradnl"/>
        </w:rPr>
        <w:t xml:space="preserve"> 474.</w:t>
      </w:r>
    </w:p>
  </w:footnote>
  <w:footnote w:id="268">
    <w:p w14:paraId="4DEB7338" w14:textId="4C4A24E2" w:rsidR="000F4C77" w:rsidRPr="00BF5C70" w:rsidRDefault="000F4C77"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hyperlink r:id="rId231" w:history="1">
        <w:r w:rsidRPr="00BF5C70">
          <w:rPr>
            <w:rFonts w:cstheme="majorBidi"/>
            <w:szCs w:val="16"/>
            <w:lang w:val="es-ES_tradnl"/>
          </w:rPr>
          <w:t xml:space="preserve">OACNUDH, </w:t>
        </w:r>
        <w:r w:rsidR="000A659D" w:rsidRPr="00BF5C70">
          <w:rPr>
            <w:rFonts w:cstheme="majorBidi"/>
            <w:szCs w:val="16"/>
            <w:lang w:val="es-ES_tradnl"/>
          </w:rPr>
          <w:t>Situación</w:t>
        </w:r>
        <w:r w:rsidRPr="00BF5C70">
          <w:rPr>
            <w:rFonts w:cstheme="majorBidi"/>
            <w:szCs w:val="16"/>
            <w:lang w:val="es-ES_tradnl"/>
          </w:rPr>
          <w:t xml:space="preserve"> de los derechos humanos en la </w:t>
        </w:r>
        <w:r w:rsidR="000A659D" w:rsidRPr="00BF5C70">
          <w:rPr>
            <w:rFonts w:cstheme="majorBidi"/>
            <w:szCs w:val="16"/>
            <w:lang w:val="es-ES_tradnl"/>
          </w:rPr>
          <w:t>República</w:t>
        </w:r>
        <w:r w:rsidRPr="00BF5C70">
          <w:rPr>
            <w:rStyle w:val="Hyperlink"/>
            <w:rFonts w:cstheme="majorBidi"/>
            <w:color w:val="auto"/>
            <w:szCs w:val="16"/>
            <w:u w:val="none"/>
            <w:lang w:val="es-ES_tradnl"/>
          </w:rPr>
          <w:t xml:space="preserve"> Bolivariana de Venezuela: Informe del Alto Comisionado de las Naciones Unidas para los Derechos Humanos, A/HRC/56/63</w:t>
        </w:r>
      </w:hyperlink>
      <w:r w:rsidRPr="00BF5C70">
        <w:rPr>
          <w:rFonts w:cstheme="majorBidi"/>
          <w:szCs w:val="16"/>
          <w:lang w:val="es-ES_tradnl"/>
        </w:rPr>
        <w:t xml:space="preserve">, 28 de junio de 2024, </w:t>
      </w:r>
      <w:r w:rsidR="000A659D" w:rsidRPr="00BF5C70">
        <w:rPr>
          <w:rFonts w:cstheme="majorBidi"/>
          <w:szCs w:val="16"/>
          <w:lang w:val="es-ES_tradnl"/>
        </w:rPr>
        <w:t>párr</w:t>
      </w:r>
      <w:r w:rsidRPr="00BF5C70">
        <w:rPr>
          <w:rFonts w:cstheme="majorBidi"/>
          <w:szCs w:val="16"/>
          <w:lang w:val="es-ES_tradnl"/>
        </w:rPr>
        <w:t>. 16.</w:t>
      </w:r>
    </w:p>
  </w:footnote>
  <w:footnote w:id="269">
    <w:p w14:paraId="5CB01451" w14:textId="77777777" w:rsidR="000F4C77" w:rsidRPr="00BF5C70" w:rsidRDefault="000F4C77" w:rsidP="000F74FC">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El Nacional, </w:t>
      </w:r>
      <w:hyperlink r:id="rId232" w:history="1">
        <w:r w:rsidRPr="00BF5C70">
          <w:rPr>
            <w:rStyle w:val="Hyperlink"/>
            <w:rFonts w:cstheme="majorBidi"/>
            <w:color w:val="auto"/>
            <w:szCs w:val="16"/>
            <w:u w:val="none"/>
            <w:lang w:val="es-ES_tradnl"/>
          </w:rPr>
          <w:t>¿Escasez de vacunas en Venezuela?: la vacunación está en 50,5%,</w:t>
        </w:r>
      </w:hyperlink>
      <w:r w:rsidRPr="00BF5C70">
        <w:rPr>
          <w:rFonts w:cstheme="majorBidi"/>
          <w:szCs w:val="16"/>
          <w:lang w:val="es-ES_tradnl"/>
        </w:rPr>
        <w:t xml:space="preserve"> 24 de junio de 2024. </w:t>
      </w:r>
    </w:p>
  </w:footnote>
  <w:footnote w:id="270">
    <w:p w14:paraId="6A08539F" w14:textId="77777777" w:rsidR="000F4C77" w:rsidRPr="00BF5C70" w:rsidRDefault="000F4C77" w:rsidP="000F74FC">
      <w:pPr>
        <w:pStyle w:val="IAPiedepgina"/>
        <w:rPr>
          <w:rFonts w:eastAsia="Cambria"/>
          <w:b/>
          <w:color w:val="auto"/>
          <w:szCs w:val="16"/>
          <w:lang w:val="es-ES_tradnl"/>
        </w:rPr>
      </w:pPr>
      <w:r w:rsidRPr="005C52BD">
        <w:rPr>
          <w:rStyle w:val="FootnoteReference"/>
          <w:rFonts w:eastAsia="Cambria"/>
          <w:color w:val="auto"/>
          <w:sz w:val="16"/>
          <w:szCs w:val="16"/>
          <w:lang w:val="es-ES_tradnl"/>
        </w:rPr>
        <w:footnoteRef/>
      </w:r>
      <w:r w:rsidRPr="00BF5C70">
        <w:rPr>
          <w:rFonts w:eastAsia="Cambria"/>
          <w:color w:val="auto"/>
          <w:szCs w:val="16"/>
          <w:lang w:val="es-ES_tradnl"/>
        </w:rPr>
        <w:t xml:space="preserve"> PROVEA, </w:t>
      </w:r>
      <w:hyperlink r:id="rId233" w:history="1">
        <w:r w:rsidRPr="00BF5C70">
          <w:rPr>
            <w:rStyle w:val="Hyperlink"/>
            <w:rFonts w:eastAsia="Cambria"/>
            <w:color w:val="auto"/>
            <w:szCs w:val="16"/>
            <w:u w:val="none"/>
            <w:lang w:val="es-ES_tradnl"/>
          </w:rPr>
          <w:t>Fallecen tres niños en los primeros 15 días del 2024 en el Hospital J. M. de los Ríos</w:t>
        </w:r>
      </w:hyperlink>
      <w:r w:rsidRPr="00BF5C70">
        <w:rPr>
          <w:rFonts w:eastAsia="Cambria"/>
          <w:color w:val="auto"/>
          <w:szCs w:val="16"/>
          <w:lang w:val="es-ES_tradnl"/>
        </w:rPr>
        <w:t>, 17 de enero de 2024.</w:t>
      </w:r>
    </w:p>
  </w:footnote>
  <w:footnote w:id="271">
    <w:p w14:paraId="5C7CDFB0" w14:textId="77777777" w:rsidR="000F4C77" w:rsidRPr="00BF5C70" w:rsidRDefault="000F4C77" w:rsidP="000D794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El Nacional, </w:t>
      </w:r>
      <w:hyperlink r:id="rId234" w:history="1">
        <w:r w:rsidRPr="00BF5C70">
          <w:rPr>
            <w:rStyle w:val="Hyperlink"/>
            <w:rFonts w:cstheme="majorBidi"/>
            <w:color w:val="auto"/>
            <w:szCs w:val="16"/>
            <w:u w:val="none"/>
            <w:lang w:val="es-ES_tradnl"/>
          </w:rPr>
          <w:t>Falta Boletín Epidemiológico Semanal dificulta evaluación de cobertura de vacunación,</w:t>
        </w:r>
      </w:hyperlink>
      <w:r w:rsidRPr="00BF5C70">
        <w:rPr>
          <w:rFonts w:cstheme="majorBidi"/>
          <w:szCs w:val="16"/>
          <w:lang w:val="es-ES_tradnl"/>
        </w:rPr>
        <w:t xml:space="preserve"> 24 de abril de 2024. </w:t>
      </w:r>
    </w:p>
  </w:footnote>
  <w:footnote w:id="272">
    <w:p w14:paraId="3D9E567A" w14:textId="6ED4DD5C" w:rsidR="000F4C77" w:rsidRPr="00BF5C70" w:rsidRDefault="000F4C77" w:rsidP="000D794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PROVEA, </w:t>
      </w:r>
      <w:hyperlink r:id="rId235" w:history="1">
        <w:r w:rsidRPr="00BF5C70">
          <w:rPr>
            <w:rFonts w:cstheme="majorBidi"/>
            <w:szCs w:val="16"/>
            <w:lang w:val="es-ES_tradnl"/>
          </w:rPr>
          <w:t xml:space="preserve">Derecho al Ambiente Sano: Informe 2023, </w:t>
        </w:r>
        <w:r w:rsidR="000A659D" w:rsidRPr="00BF5C70">
          <w:rPr>
            <w:rFonts w:cstheme="majorBidi"/>
            <w:szCs w:val="16"/>
            <w:lang w:val="es-ES_tradnl"/>
          </w:rPr>
          <w:t>Situación</w:t>
        </w:r>
        <w:r w:rsidRPr="00BF5C70">
          <w:rPr>
            <w:rStyle w:val="Hyperlink"/>
            <w:rFonts w:cstheme="majorBidi"/>
            <w:color w:val="auto"/>
            <w:szCs w:val="16"/>
            <w:u w:val="none"/>
            <w:lang w:val="es-ES_tradnl"/>
          </w:rPr>
          <w:t xml:space="preserve"> de los Derechos Humanos en Venezuela</w:t>
        </w:r>
      </w:hyperlink>
      <w:r w:rsidRPr="00BF5C70">
        <w:rPr>
          <w:rFonts w:cstheme="majorBidi"/>
          <w:szCs w:val="16"/>
          <w:lang w:val="es-ES_tradnl"/>
        </w:rPr>
        <w:t xml:space="preserve">, 30 de abril, 2024, </w:t>
      </w:r>
      <w:r w:rsidR="000A659D" w:rsidRPr="00BF5C70">
        <w:rPr>
          <w:rFonts w:cstheme="majorBidi"/>
          <w:szCs w:val="16"/>
          <w:lang w:val="es-ES_tradnl"/>
        </w:rPr>
        <w:t>pág</w:t>
      </w:r>
      <w:r w:rsidRPr="00BF5C70">
        <w:rPr>
          <w:rFonts w:cstheme="majorBidi"/>
          <w:szCs w:val="16"/>
          <w:lang w:val="es-ES_tradnl"/>
        </w:rPr>
        <w:t>. 11;</w:t>
      </w:r>
      <w:r w:rsidR="00B85D1C">
        <w:rPr>
          <w:rFonts w:cstheme="majorBidi"/>
          <w:szCs w:val="16"/>
          <w:lang w:val="es-ES_tradnl"/>
        </w:rPr>
        <w:t xml:space="preserve"> </w:t>
      </w:r>
      <w:hyperlink r:id="rId236" w:history="1">
        <w:r w:rsidRPr="00BF5C70">
          <w:rPr>
            <w:rFonts w:cstheme="majorBidi"/>
            <w:szCs w:val="16"/>
            <w:lang w:val="es-ES_tradnl"/>
          </w:rPr>
          <w:t xml:space="preserve">PROVEA, Derecho al Ambiente Sano, Informe 2023, </w:t>
        </w:r>
        <w:r w:rsidR="000A659D" w:rsidRPr="00BF5C70">
          <w:rPr>
            <w:rFonts w:cstheme="majorBidi"/>
            <w:szCs w:val="16"/>
            <w:lang w:val="es-ES_tradnl"/>
          </w:rPr>
          <w:t>Situación</w:t>
        </w:r>
        <w:r w:rsidRPr="00BF5C70">
          <w:rPr>
            <w:rStyle w:val="Hyperlink"/>
            <w:rFonts w:cstheme="majorBidi"/>
            <w:color w:val="auto"/>
            <w:szCs w:val="16"/>
            <w:u w:val="none"/>
            <w:lang w:val="es-ES_tradnl"/>
          </w:rPr>
          <w:t xml:space="preserve"> de los Derechos Humanos en Venezuela</w:t>
        </w:r>
      </w:hyperlink>
      <w:r w:rsidRPr="00BF5C70">
        <w:rPr>
          <w:rFonts w:cstheme="majorBidi"/>
          <w:szCs w:val="16"/>
          <w:lang w:val="es-ES_tradnl"/>
        </w:rPr>
        <w:t xml:space="preserve">, 30 de abril de 2024, pág. 4, ya citado. </w:t>
      </w:r>
    </w:p>
  </w:footnote>
  <w:footnote w:id="273">
    <w:p w14:paraId="7E68639A" w14:textId="054E3BE0" w:rsidR="000F4C77" w:rsidRPr="00BF5C70" w:rsidRDefault="000F4C77" w:rsidP="000D7946">
      <w:pPr>
        <w:pStyle w:val="IAPiedepgina"/>
        <w:rPr>
          <w:rFonts w:cstheme="majorBidi"/>
          <w:szCs w:val="16"/>
        </w:rPr>
      </w:pPr>
      <w:r w:rsidRPr="005C52BD">
        <w:rPr>
          <w:rStyle w:val="FootnoteReference"/>
          <w:rFonts w:cstheme="majorBidi"/>
          <w:sz w:val="16"/>
          <w:szCs w:val="16"/>
        </w:rPr>
        <w:footnoteRef/>
      </w:r>
      <w:r w:rsidRPr="00BF5C70">
        <w:rPr>
          <w:rFonts w:cstheme="majorBidi"/>
          <w:szCs w:val="16"/>
        </w:rPr>
        <w:t xml:space="preserve"> HumVenezuela, </w:t>
      </w:r>
      <w:hyperlink r:id="rId237" w:history="1">
        <w:r w:rsidRPr="00BF5C70">
          <w:rPr>
            <w:rStyle w:val="Hyperlink"/>
            <w:rFonts w:cstheme="majorBidi"/>
            <w:color w:val="auto"/>
            <w:szCs w:val="16"/>
            <w:u w:val="none"/>
          </w:rPr>
          <w:t>Informe de Seguimiento a la Emergencia Humanitaria Compleja en Venezuela</w:t>
        </w:r>
      </w:hyperlink>
      <w:r w:rsidRPr="00BF5C70">
        <w:rPr>
          <w:rFonts w:cstheme="majorBidi"/>
          <w:szCs w:val="16"/>
        </w:rPr>
        <w:t xml:space="preserve">, noviembre de 2023, </w:t>
      </w:r>
      <w:r w:rsidR="000A659D" w:rsidRPr="00BF5C70">
        <w:rPr>
          <w:rFonts w:cstheme="majorBidi"/>
          <w:szCs w:val="16"/>
        </w:rPr>
        <w:t>pág.</w:t>
      </w:r>
      <w:r w:rsidRPr="00BF5C70">
        <w:rPr>
          <w:rFonts w:cstheme="majorBidi"/>
          <w:szCs w:val="16"/>
        </w:rPr>
        <w:t xml:space="preserve"> 16. </w:t>
      </w:r>
    </w:p>
  </w:footnote>
  <w:footnote w:id="274">
    <w:p w14:paraId="05C2109F" w14:textId="48089227" w:rsidR="000F4C77" w:rsidRPr="00A06BFF" w:rsidRDefault="000F4C77" w:rsidP="000D7946">
      <w:pPr>
        <w:pStyle w:val="IAPiedepgina"/>
        <w:rPr>
          <w:rFonts w:cstheme="majorBidi"/>
          <w:szCs w:val="16"/>
          <w:lang w:val="en-US"/>
        </w:rPr>
      </w:pPr>
      <w:r w:rsidRPr="005C52BD">
        <w:rPr>
          <w:rStyle w:val="FootnoteReference"/>
          <w:rFonts w:cstheme="majorBidi"/>
          <w:sz w:val="16"/>
          <w:szCs w:val="16"/>
          <w:lang w:val="es-ES_tradnl"/>
        </w:rPr>
        <w:footnoteRef/>
      </w:r>
      <w:r w:rsidRPr="00A06BFF">
        <w:rPr>
          <w:rFonts w:cstheme="majorBidi"/>
          <w:szCs w:val="16"/>
          <w:lang w:val="en-US"/>
        </w:rPr>
        <w:t xml:space="preserve"> UNICEF, </w:t>
      </w:r>
      <w:hyperlink r:id="rId238" w:history="1">
        <w:r w:rsidRPr="00A06BFF">
          <w:rPr>
            <w:rStyle w:val="Hyperlink"/>
            <w:rFonts w:cstheme="majorBidi"/>
            <w:color w:val="auto"/>
            <w:szCs w:val="16"/>
            <w:u w:val="none"/>
            <w:lang w:val="en-US"/>
          </w:rPr>
          <w:t>Humanitarian Situation Report No.1, Reporting Period 1 January to 30 June 2024</w:t>
        </w:r>
      </w:hyperlink>
      <w:r w:rsidRPr="00A06BFF">
        <w:rPr>
          <w:rFonts w:cstheme="majorBidi"/>
          <w:szCs w:val="16"/>
          <w:lang w:val="en-US"/>
        </w:rPr>
        <w:t xml:space="preserve">, 15 de </w:t>
      </w:r>
      <w:r w:rsidR="00FC0C4A" w:rsidRPr="00A06BFF">
        <w:rPr>
          <w:rFonts w:cstheme="majorBidi"/>
          <w:szCs w:val="16"/>
          <w:lang w:val="en-US"/>
        </w:rPr>
        <w:t>a</w:t>
      </w:r>
      <w:r w:rsidRPr="00A06BFF">
        <w:rPr>
          <w:rFonts w:cstheme="majorBidi"/>
          <w:szCs w:val="16"/>
          <w:lang w:val="en-US"/>
        </w:rPr>
        <w:t xml:space="preserve">gosto de 2024, </w:t>
      </w:r>
      <w:r w:rsidR="000A659D" w:rsidRPr="00A06BFF">
        <w:rPr>
          <w:rFonts w:cstheme="majorBidi"/>
          <w:szCs w:val="16"/>
          <w:lang w:val="en-US"/>
        </w:rPr>
        <w:t>pág</w:t>
      </w:r>
      <w:r w:rsidRPr="00A06BFF">
        <w:rPr>
          <w:rFonts w:cstheme="majorBidi"/>
          <w:szCs w:val="16"/>
          <w:lang w:val="en-US"/>
        </w:rPr>
        <w:t xml:space="preserve">. 6. </w:t>
      </w:r>
    </w:p>
  </w:footnote>
  <w:footnote w:id="275">
    <w:p w14:paraId="0104590A" w14:textId="5C43803F" w:rsidR="000F4C77" w:rsidRPr="00BF5C70" w:rsidRDefault="000F4C77" w:rsidP="000D7946">
      <w:pPr>
        <w:pStyle w:val="IAPiedepgina"/>
        <w:rPr>
          <w:rFonts w:cstheme="majorBidi"/>
          <w:szCs w:val="16"/>
        </w:rPr>
      </w:pPr>
      <w:r w:rsidRPr="005C52BD">
        <w:rPr>
          <w:rStyle w:val="FootnoteReference"/>
          <w:rFonts w:cstheme="majorBidi"/>
          <w:sz w:val="16"/>
          <w:szCs w:val="16"/>
        </w:rPr>
        <w:footnoteRef/>
      </w:r>
      <w:r w:rsidRPr="00BF5C70">
        <w:rPr>
          <w:rFonts w:cstheme="majorBidi"/>
          <w:szCs w:val="16"/>
        </w:rPr>
        <w:t xml:space="preserve"> HumVenezuela, </w:t>
      </w:r>
      <w:hyperlink r:id="rId239" w:history="1">
        <w:r w:rsidRPr="00BF5C70">
          <w:rPr>
            <w:rStyle w:val="Hyperlink"/>
            <w:rFonts w:cstheme="majorBidi"/>
            <w:color w:val="auto"/>
            <w:szCs w:val="16"/>
            <w:u w:val="none"/>
          </w:rPr>
          <w:t>Informe de seguimiento a la emergencia humanitaria compleja en Venezuela</w:t>
        </w:r>
      </w:hyperlink>
      <w:r w:rsidRPr="00BF5C70">
        <w:rPr>
          <w:rFonts w:cstheme="majorBidi"/>
          <w:szCs w:val="16"/>
        </w:rPr>
        <w:t>, noviembre de 2023, pág. 30.</w:t>
      </w:r>
    </w:p>
  </w:footnote>
  <w:footnote w:id="276">
    <w:p w14:paraId="1ED88DBB" w14:textId="01072C69" w:rsidR="000F4C77" w:rsidRPr="00BF5C70" w:rsidRDefault="000F4C77" w:rsidP="000D794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000A659D" w:rsidRPr="00BF5C70">
        <w:rPr>
          <w:rFonts w:cstheme="majorBidi"/>
          <w:szCs w:val="16"/>
          <w:lang w:val="es-ES_tradnl"/>
        </w:rPr>
        <w:t>Amnistía</w:t>
      </w:r>
      <w:r w:rsidRPr="00BF5C70">
        <w:rPr>
          <w:rFonts w:cstheme="majorBidi"/>
          <w:szCs w:val="16"/>
          <w:lang w:val="es-ES_tradnl"/>
        </w:rPr>
        <w:t xml:space="preserve"> Internacional, </w:t>
      </w:r>
      <w:hyperlink r:id="rId240" w:history="1">
        <w:r w:rsidR="001C3CF9" w:rsidRPr="00BF5C70">
          <w:rPr>
            <w:rStyle w:val="Hyperlink"/>
            <w:rFonts w:cstheme="majorBidi"/>
            <w:color w:val="auto"/>
            <w:szCs w:val="16"/>
            <w:u w:val="none"/>
            <w:lang w:val="es-ES_tradnl"/>
          </w:rPr>
          <w:t>La situación de derechos humanos en el mundo: abril del 2024</w:t>
        </w:r>
      </w:hyperlink>
      <w:r w:rsidRPr="00BF5C70">
        <w:rPr>
          <w:rFonts w:cstheme="majorBidi"/>
          <w:szCs w:val="16"/>
          <w:lang w:val="es-ES_tradnl"/>
        </w:rPr>
        <w:t xml:space="preserve">, </w:t>
      </w:r>
      <w:r w:rsidR="00997624" w:rsidRPr="00BF5C70">
        <w:rPr>
          <w:rFonts w:cstheme="majorBidi"/>
          <w:szCs w:val="16"/>
          <w:lang w:val="es-ES_tradnl"/>
        </w:rPr>
        <w:t>pág</w:t>
      </w:r>
      <w:r w:rsidR="009F653E" w:rsidRPr="00BF5C70">
        <w:rPr>
          <w:rFonts w:cstheme="majorBidi"/>
          <w:szCs w:val="16"/>
          <w:lang w:val="es-ES_tradnl"/>
        </w:rPr>
        <w:t>s</w:t>
      </w:r>
      <w:r w:rsidR="00997624" w:rsidRPr="00BF5C70">
        <w:rPr>
          <w:rFonts w:cstheme="majorBidi"/>
          <w:szCs w:val="16"/>
          <w:lang w:val="es-ES_tradnl"/>
        </w:rPr>
        <w:t>.</w:t>
      </w:r>
      <w:r w:rsidR="00063F7C" w:rsidRPr="00BF5C70">
        <w:rPr>
          <w:rFonts w:cstheme="majorBidi"/>
          <w:szCs w:val="16"/>
          <w:lang w:val="es-ES_tradnl"/>
        </w:rPr>
        <w:t xml:space="preserve"> </w:t>
      </w:r>
      <w:r w:rsidRPr="00BF5C70">
        <w:rPr>
          <w:rFonts w:cstheme="majorBidi"/>
          <w:szCs w:val="16"/>
          <w:lang w:val="es-ES_tradnl"/>
        </w:rPr>
        <w:t>474 y 278.</w:t>
      </w:r>
    </w:p>
  </w:footnote>
  <w:footnote w:id="277">
    <w:p w14:paraId="74C20224" w14:textId="2426C12C" w:rsidR="000F4C77" w:rsidRPr="00BF5C70" w:rsidRDefault="000F4C77" w:rsidP="000D794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Naciones Unidas, comunicado de prensa, Venezuela: </w:t>
      </w:r>
      <w:hyperlink r:id="rId241" w:anchor=":~:text=CARACAS%20(14%20de%20febrero%20de,para%20acceder%20a%20una%20canasta" w:history="1">
        <w:r w:rsidRPr="00BF5C70">
          <w:rPr>
            <w:rStyle w:val="Hyperlink"/>
            <w:rFonts w:cstheme="majorBidi"/>
            <w:color w:val="auto"/>
            <w:szCs w:val="16"/>
            <w:u w:val="none"/>
            <w:lang w:val="es-ES_tradnl"/>
          </w:rPr>
          <w:t>Experto de la ONU hace un llamado en favor de los Derechos Humanos, no de la caridad, para acabar con el hambre y la malnutrición</w:t>
        </w:r>
      </w:hyperlink>
      <w:r w:rsidRPr="00BF5C70">
        <w:rPr>
          <w:rFonts w:cstheme="majorBidi"/>
          <w:szCs w:val="16"/>
          <w:lang w:val="es-ES_tradnl"/>
        </w:rPr>
        <w:t>, 14 de febrero de 2024.</w:t>
      </w:r>
    </w:p>
  </w:footnote>
  <w:footnote w:id="278">
    <w:p w14:paraId="31EEC73E" w14:textId="5CD8EEB7" w:rsidR="00736D95" w:rsidRPr="00BF5C70" w:rsidRDefault="00736D95" w:rsidP="000D7946">
      <w:pPr>
        <w:pStyle w:val="IAPiedepgina"/>
        <w:rPr>
          <w:szCs w:val="16"/>
          <w:lang w:val="es-US"/>
        </w:rPr>
      </w:pPr>
      <w:r w:rsidRPr="005C52BD">
        <w:rPr>
          <w:rStyle w:val="FootnoteReference"/>
          <w:sz w:val="16"/>
          <w:szCs w:val="16"/>
        </w:rPr>
        <w:footnoteRef/>
      </w:r>
      <w:r w:rsidRPr="00BF5C70">
        <w:rPr>
          <w:szCs w:val="16"/>
          <w:lang w:val="es-US"/>
        </w:rPr>
        <w:t xml:space="preserve"> </w:t>
      </w:r>
      <w:r w:rsidR="005E69E3" w:rsidRPr="00BF5C70">
        <w:rPr>
          <w:szCs w:val="16"/>
        </w:rPr>
        <w:t xml:space="preserve">Voz de América, </w:t>
      </w:r>
      <w:hyperlink r:id="rId242" w:history="1">
        <w:r w:rsidR="005E69E3" w:rsidRPr="00BF5C70">
          <w:rPr>
            <w:rStyle w:val="Hyperlink"/>
            <w:color w:val="auto"/>
            <w:szCs w:val="16"/>
            <w:lang w:val="es-US"/>
          </w:rPr>
          <w:t>Gusanos y telarañas: Las polémicas bolsas de alimentos que da el gobierno de Venezuela y que nadie quiere comer</w:t>
        </w:r>
      </w:hyperlink>
      <w:r w:rsidR="005E69E3" w:rsidRPr="00BF5C70">
        <w:rPr>
          <w:szCs w:val="16"/>
          <w:lang w:val="es-US"/>
        </w:rPr>
        <w:t>, junio 05 de 2024.</w:t>
      </w:r>
    </w:p>
  </w:footnote>
  <w:footnote w:id="279">
    <w:p w14:paraId="2FB7B863" w14:textId="4E3BEE98" w:rsidR="000F4C77" w:rsidRPr="00BF5C70" w:rsidRDefault="000F4C77" w:rsidP="000D7946">
      <w:pPr>
        <w:pStyle w:val="IAPiedepgina"/>
        <w:rPr>
          <w:rFonts w:cstheme="majorBidi"/>
          <w:szCs w:val="16"/>
          <w:lang w:val="es-ES_tradnl"/>
        </w:rPr>
      </w:pPr>
      <w:r w:rsidRPr="005C52BD">
        <w:rPr>
          <w:rStyle w:val="FootnoteReference"/>
          <w:rFonts w:cstheme="majorBidi"/>
          <w:sz w:val="16"/>
          <w:szCs w:val="16"/>
          <w:lang w:val="es-ES_tradnl"/>
        </w:rPr>
        <w:footnoteRef/>
      </w:r>
      <w:hyperlink r:id="rId243" w:history="1">
        <w:r w:rsidRPr="00BF5C70">
          <w:rPr>
            <w:rFonts w:cstheme="majorBidi"/>
            <w:szCs w:val="16"/>
            <w:lang w:val="es-ES_tradnl"/>
          </w:rPr>
          <w:t xml:space="preserve"> OACNUDH, </w:t>
        </w:r>
        <w:r w:rsidR="00063F7C" w:rsidRPr="00BF5C70">
          <w:rPr>
            <w:rFonts w:cstheme="majorBidi"/>
            <w:szCs w:val="16"/>
            <w:lang w:val="es-ES_tradnl"/>
          </w:rPr>
          <w:t>Situación</w:t>
        </w:r>
        <w:r w:rsidRPr="00BF5C70">
          <w:rPr>
            <w:rFonts w:cstheme="majorBidi"/>
            <w:szCs w:val="16"/>
            <w:lang w:val="es-ES_tradnl"/>
          </w:rPr>
          <w:t xml:space="preserve"> de los derechos humanos en la </w:t>
        </w:r>
        <w:r w:rsidR="00063F7C" w:rsidRPr="00BF5C70">
          <w:rPr>
            <w:rFonts w:cstheme="majorBidi"/>
            <w:szCs w:val="16"/>
            <w:lang w:val="es-ES_tradnl"/>
          </w:rPr>
          <w:t>República</w:t>
        </w:r>
        <w:r w:rsidRPr="00BF5C70">
          <w:rPr>
            <w:rStyle w:val="Hyperlink"/>
            <w:rFonts w:cstheme="majorBidi"/>
            <w:color w:val="auto"/>
            <w:szCs w:val="16"/>
            <w:u w:val="none"/>
            <w:lang w:val="es-ES_tradnl"/>
          </w:rPr>
          <w:t xml:space="preserve"> Bolivariana de Venezuela: Informe del Alto Comisionado de las Naciones Unidas para los Derechos Humanos, A/HRC/56/63</w:t>
        </w:r>
      </w:hyperlink>
      <w:r w:rsidRPr="00BF5C70">
        <w:rPr>
          <w:rFonts w:cstheme="majorBidi"/>
          <w:szCs w:val="16"/>
          <w:lang w:val="es-ES_tradnl"/>
        </w:rPr>
        <w:t xml:space="preserve">, 28 de junio de 2024, </w:t>
      </w:r>
      <w:r w:rsidR="00063F7C" w:rsidRPr="00BF5C70">
        <w:rPr>
          <w:rFonts w:cstheme="majorBidi"/>
          <w:szCs w:val="16"/>
          <w:lang w:val="es-ES_tradnl"/>
        </w:rPr>
        <w:t>párr.</w:t>
      </w:r>
      <w:r w:rsidRPr="00BF5C70">
        <w:rPr>
          <w:rFonts w:cstheme="majorBidi"/>
          <w:szCs w:val="16"/>
          <w:lang w:val="es-ES_tradnl"/>
        </w:rPr>
        <w:t xml:space="preserve"> 24.</w:t>
      </w:r>
    </w:p>
  </w:footnote>
  <w:footnote w:id="280">
    <w:p w14:paraId="791AEC77" w14:textId="77777777" w:rsidR="00DB673A" w:rsidRPr="00BF5C70" w:rsidRDefault="00DB673A" w:rsidP="000D7946">
      <w:pPr>
        <w:pStyle w:val="IAPiedepgina"/>
        <w:rPr>
          <w:szCs w:val="16"/>
          <w:lang w:val="es-US"/>
        </w:rPr>
      </w:pPr>
      <w:r w:rsidRPr="005C52BD">
        <w:rPr>
          <w:rStyle w:val="FootnoteReference"/>
          <w:sz w:val="16"/>
          <w:szCs w:val="16"/>
        </w:rPr>
        <w:footnoteRef/>
      </w:r>
      <w:r w:rsidRPr="00BF5C70">
        <w:rPr>
          <w:szCs w:val="16"/>
        </w:rPr>
        <w:t xml:space="preserve"> </w:t>
      </w:r>
      <w:r w:rsidRPr="00BF5C70">
        <w:rPr>
          <w:szCs w:val="16"/>
          <w:lang w:val="es-US"/>
        </w:rPr>
        <w:t xml:space="preserve">UNICEF, </w:t>
      </w:r>
      <w:hyperlink r:id="rId244" w:history="1">
        <w:r w:rsidRPr="00BF5C70">
          <w:rPr>
            <w:szCs w:val="16"/>
            <w:lang w:val="es-US"/>
          </w:rPr>
          <w:t>Reporte No. 1 de Situación</w:t>
        </w:r>
        <w:r w:rsidRPr="00BF5C70">
          <w:rPr>
            <w:rStyle w:val="Hyperlink"/>
            <w:color w:val="auto"/>
            <w:szCs w:val="16"/>
            <w:lang w:val="es-US"/>
          </w:rPr>
          <w:t xml:space="preserve"> Humanitaria: 01 de enero de 2024 a 30 de junio de 2024</w:t>
        </w:r>
      </w:hyperlink>
      <w:r w:rsidRPr="00BF5C70">
        <w:rPr>
          <w:szCs w:val="16"/>
          <w:lang w:val="es-US"/>
        </w:rPr>
        <w:t>, pág. 2.</w:t>
      </w:r>
    </w:p>
  </w:footnote>
  <w:footnote w:id="281">
    <w:p w14:paraId="18EE9110" w14:textId="77777777" w:rsidR="00DB673A" w:rsidRPr="00BF5C70" w:rsidRDefault="00DB673A" w:rsidP="000D7946">
      <w:pPr>
        <w:pStyle w:val="IAPiedepgina"/>
        <w:rPr>
          <w:szCs w:val="16"/>
          <w:lang w:val="es-US"/>
        </w:rPr>
      </w:pPr>
      <w:r w:rsidRPr="005C52BD">
        <w:rPr>
          <w:rStyle w:val="FootnoteReference"/>
          <w:sz w:val="16"/>
          <w:szCs w:val="16"/>
        </w:rPr>
        <w:footnoteRef/>
      </w:r>
      <w:r w:rsidRPr="00BF5C70">
        <w:rPr>
          <w:szCs w:val="16"/>
        </w:rPr>
        <w:t xml:space="preserve"> </w:t>
      </w:r>
      <w:r w:rsidRPr="00BF5C70">
        <w:rPr>
          <w:szCs w:val="16"/>
          <w:lang w:val="es-US"/>
        </w:rPr>
        <w:t xml:space="preserve">UNICEF, </w:t>
      </w:r>
      <w:hyperlink r:id="rId245" w:history="1">
        <w:r w:rsidRPr="00BF5C70">
          <w:rPr>
            <w:szCs w:val="16"/>
            <w:lang w:val="es-US"/>
          </w:rPr>
          <w:t>Reporte No. 1 de Situación</w:t>
        </w:r>
        <w:r w:rsidRPr="00BF5C70">
          <w:rPr>
            <w:rStyle w:val="Hyperlink"/>
            <w:color w:val="auto"/>
            <w:szCs w:val="16"/>
            <w:lang w:val="es-US"/>
          </w:rPr>
          <w:t xml:space="preserve"> Humanitaria: 01 de enero de 2024 a 30 de junio de 2024</w:t>
        </w:r>
      </w:hyperlink>
      <w:r w:rsidRPr="00BF5C70">
        <w:rPr>
          <w:szCs w:val="16"/>
          <w:lang w:val="es-US"/>
        </w:rPr>
        <w:t>, pag. 19.</w:t>
      </w:r>
    </w:p>
  </w:footnote>
  <w:footnote w:id="282">
    <w:p w14:paraId="133FC1CC" w14:textId="77777777" w:rsidR="00DB673A" w:rsidRPr="00BF5C70" w:rsidRDefault="00DB673A" w:rsidP="000D7946">
      <w:pPr>
        <w:pStyle w:val="IAPiedepgina"/>
        <w:rPr>
          <w:szCs w:val="16"/>
        </w:rPr>
      </w:pPr>
      <w:r w:rsidRPr="005C52BD">
        <w:rPr>
          <w:rStyle w:val="FootnoteReference"/>
          <w:sz w:val="16"/>
          <w:szCs w:val="16"/>
        </w:rPr>
        <w:footnoteRef/>
      </w:r>
      <w:r w:rsidRPr="00BF5C70">
        <w:rPr>
          <w:szCs w:val="16"/>
        </w:rPr>
        <w:t xml:space="preserve"> REDESCA, Reunión con organizaciones de sociedad civil PROVEA y Radio Fe Alegría, celebrada el 09 de mayo de 2024, en archivo de REDESCA.</w:t>
      </w:r>
    </w:p>
  </w:footnote>
  <w:footnote w:id="283">
    <w:p w14:paraId="0FFA5E51" w14:textId="71E14742" w:rsidR="00DB673A" w:rsidRPr="00BF5C70" w:rsidRDefault="00DB673A" w:rsidP="000D7946">
      <w:pPr>
        <w:pStyle w:val="IAPiedepgina"/>
        <w:rPr>
          <w:szCs w:val="16"/>
          <w:lang w:val="es-US"/>
        </w:rPr>
      </w:pPr>
      <w:r w:rsidRPr="005C52BD">
        <w:rPr>
          <w:rStyle w:val="FootnoteReference"/>
          <w:sz w:val="16"/>
          <w:szCs w:val="16"/>
        </w:rPr>
        <w:footnoteRef/>
      </w:r>
      <w:r w:rsidRPr="00BF5C70">
        <w:rPr>
          <w:szCs w:val="16"/>
        </w:rPr>
        <w:t xml:space="preserve"> PROVEA, </w:t>
      </w:r>
      <w:hyperlink r:id="rId246" w:anchor=":~:text=(21%20%E2%80%93%2042)-,Amazonas%3A%20ni%C3%B1os%20venezolanos%20cruzan%20el%20Orinoco%20para,una%20mejor%20educaci%C3%B3n%20en%20Colombia&amp;text=%E2%80%9CCorremos%20el%20riesgo%20de%20enviar,reciban%20una%20educaci%C3%B3n%20de%20calidad%E2%80%9D." w:history="1">
        <w:r w:rsidRPr="00BF5C70">
          <w:rPr>
            <w:rStyle w:val="Hyperlink"/>
            <w:color w:val="auto"/>
            <w:szCs w:val="16"/>
            <w:lang w:val="es-US"/>
          </w:rPr>
          <w:t>Amazonas: niños venezolanos cruzan el Orinoco para recibir una mejor educación en Colombia</w:t>
        </w:r>
      </w:hyperlink>
      <w:r w:rsidRPr="00BF5C70">
        <w:rPr>
          <w:szCs w:val="16"/>
          <w:lang w:val="es-US"/>
        </w:rPr>
        <w:t>, 16 de julio de 2024</w:t>
      </w:r>
      <w:r w:rsidR="001305BA">
        <w:rPr>
          <w:szCs w:val="16"/>
          <w:lang w:val="es-US"/>
        </w:rPr>
        <w:t>;</w:t>
      </w:r>
      <w:r w:rsidRPr="00BF5C70">
        <w:rPr>
          <w:szCs w:val="16"/>
          <w:lang w:val="es-US"/>
        </w:rPr>
        <w:t xml:space="preserve"> </w:t>
      </w:r>
    </w:p>
  </w:footnote>
  <w:footnote w:id="284">
    <w:p w14:paraId="13010D8A" w14:textId="77777777" w:rsidR="00DB673A" w:rsidRPr="00BF5C70" w:rsidRDefault="00DB673A" w:rsidP="00412E9A">
      <w:pPr>
        <w:pStyle w:val="IAPiedepgina"/>
        <w:ind w:firstLine="0"/>
        <w:rPr>
          <w:szCs w:val="16"/>
          <w:lang w:val="es-US"/>
        </w:rPr>
      </w:pPr>
      <w:r w:rsidRPr="00BF5C70">
        <w:rPr>
          <w:szCs w:val="16"/>
          <w:lang w:val="es-US"/>
        </w:rPr>
        <w:t xml:space="preserve">Hum Venezuela, </w:t>
      </w:r>
      <w:hyperlink r:id="rId247" w:history="1">
        <w:r w:rsidRPr="00BF5C70">
          <w:rPr>
            <w:rStyle w:val="Hyperlink"/>
            <w:color w:val="auto"/>
            <w:szCs w:val="16"/>
            <w:lang w:val="es-US"/>
          </w:rPr>
          <w:t>Informe de seguimiento de la emergencia humanitaria compleja en Venezuela</w:t>
        </w:r>
      </w:hyperlink>
      <w:r w:rsidRPr="00BF5C70">
        <w:rPr>
          <w:szCs w:val="16"/>
          <w:lang w:val="es-US"/>
        </w:rPr>
        <w:t>, noviembre de 2023, pág. 42.</w:t>
      </w:r>
    </w:p>
  </w:footnote>
  <w:footnote w:id="285">
    <w:p w14:paraId="2A711EE2" w14:textId="77777777" w:rsidR="00DB673A" w:rsidRPr="00BF5C70" w:rsidRDefault="00DB673A" w:rsidP="00265D36">
      <w:pPr>
        <w:pStyle w:val="IAPiedepgina"/>
        <w:rPr>
          <w:lang w:val="es-US"/>
        </w:rPr>
      </w:pPr>
      <w:r w:rsidRPr="005C52BD">
        <w:rPr>
          <w:rStyle w:val="FootnoteReference"/>
          <w:sz w:val="16"/>
          <w:szCs w:val="16"/>
        </w:rPr>
        <w:footnoteRef/>
      </w:r>
      <w:r w:rsidRPr="00BF5C70">
        <w:rPr>
          <w:szCs w:val="16"/>
        </w:rPr>
        <w:t xml:space="preserve"> </w:t>
      </w:r>
      <w:r w:rsidRPr="00BF5C70">
        <w:rPr>
          <w:szCs w:val="16"/>
          <w:lang w:val="es-US"/>
        </w:rPr>
        <w:t xml:space="preserve">UNICEF, </w:t>
      </w:r>
      <w:hyperlink r:id="rId248" w:history="1">
        <w:r w:rsidRPr="00BF5C70">
          <w:rPr>
            <w:szCs w:val="16"/>
            <w:lang w:val="es-US"/>
          </w:rPr>
          <w:t>Reporte No. 1 de Situación</w:t>
        </w:r>
        <w:r w:rsidRPr="00BF5C70">
          <w:rPr>
            <w:rStyle w:val="Hyperlink"/>
            <w:color w:val="auto"/>
            <w:szCs w:val="16"/>
            <w:lang w:val="es-US"/>
          </w:rPr>
          <w:t xml:space="preserve"> Humanitaria: 01 de enero de 2024 a 30 de junio de 2024</w:t>
        </w:r>
      </w:hyperlink>
      <w:r w:rsidRPr="00BF5C70">
        <w:rPr>
          <w:szCs w:val="16"/>
          <w:lang w:val="es-US"/>
        </w:rPr>
        <w:t>, pág. 27.</w:t>
      </w:r>
    </w:p>
  </w:footnote>
  <w:footnote w:id="286">
    <w:p w14:paraId="36296CFB" w14:textId="08758202" w:rsidR="000F4C77" w:rsidRPr="008923C7" w:rsidRDefault="000F4C77" w:rsidP="00265D36">
      <w:pPr>
        <w:pStyle w:val="IAPiedepgina"/>
        <w:rPr>
          <w:rFonts w:eastAsia="Cambria" w:cstheme="majorBidi"/>
          <w:szCs w:val="16"/>
          <w:lang w:val="en-US"/>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Pr="00BF5C70">
        <w:rPr>
          <w:rFonts w:eastAsia="Cambria" w:cstheme="majorBidi"/>
          <w:szCs w:val="16"/>
          <w:lang w:val="es-ES_tradnl"/>
        </w:rPr>
        <w:t xml:space="preserve">OACNUDH, </w:t>
      </w:r>
      <w:hyperlink r:id="rId249" w:history="1">
        <w:r w:rsidR="00063F7C" w:rsidRPr="00BF5C70">
          <w:rPr>
            <w:rFonts w:eastAsia="Cambria" w:cstheme="majorBidi"/>
            <w:szCs w:val="16"/>
            <w:lang w:val="es-ES_tradnl"/>
          </w:rPr>
          <w:t>Situación</w:t>
        </w:r>
        <w:r w:rsidRPr="00BF5C70">
          <w:rPr>
            <w:rFonts w:eastAsia="Cambria" w:cstheme="majorBidi"/>
            <w:szCs w:val="16"/>
            <w:lang w:val="es-ES_tradnl"/>
          </w:rPr>
          <w:t xml:space="preserve"> de los derechos humanos en la </w:t>
        </w:r>
        <w:r w:rsidR="00063F7C" w:rsidRPr="00BF5C70">
          <w:rPr>
            <w:rFonts w:eastAsia="Cambria" w:cstheme="majorBidi"/>
            <w:szCs w:val="16"/>
            <w:lang w:val="es-ES_tradnl"/>
          </w:rPr>
          <w:t>República</w:t>
        </w:r>
        <w:r w:rsidRPr="00BF5C70">
          <w:rPr>
            <w:rFonts w:eastAsia="Cambria" w:cstheme="majorBidi"/>
            <w:szCs w:val="16"/>
            <w:lang w:val="es-ES_tradnl"/>
          </w:rPr>
          <w:t xml:space="preserve"> Bolivariana de Venezuela: Informe del Alto Comisionado de las Naciones Unidas para los</w:t>
        </w:r>
        <w:r w:rsidRPr="00BF5C70">
          <w:rPr>
            <w:rStyle w:val="Hyperlink"/>
            <w:rFonts w:eastAsia="Cambria" w:cstheme="majorBidi"/>
            <w:color w:val="auto"/>
            <w:szCs w:val="16"/>
            <w:u w:val="none"/>
            <w:lang w:val="es-ES_tradnl"/>
          </w:rPr>
          <w:t xml:space="preserve"> Derechos Humanos, A/HRC/56/63</w:t>
        </w:r>
      </w:hyperlink>
      <w:r w:rsidRPr="00BF5C70">
        <w:rPr>
          <w:rFonts w:eastAsia="Cambria" w:cstheme="majorBidi"/>
          <w:szCs w:val="16"/>
          <w:lang w:val="es-ES_tradnl"/>
        </w:rPr>
        <w:t xml:space="preserve">, 28 de junio de 2024, </w:t>
      </w:r>
      <w:r w:rsidR="00063F7C" w:rsidRPr="00BF5C70">
        <w:rPr>
          <w:rFonts w:eastAsia="Cambria" w:cstheme="majorBidi"/>
          <w:szCs w:val="16"/>
          <w:lang w:val="es-ES_tradnl"/>
        </w:rPr>
        <w:t>párr.</w:t>
      </w:r>
      <w:r w:rsidRPr="00BF5C70">
        <w:rPr>
          <w:rFonts w:eastAsia="Cambria" w:cstheme="majorBidi"/>
          <w:szCs w:val="16"/>
          <w:lang w:val="es-ES_tradnl"/>
        </w:rPr>
        <w:t xml:space="preserve"> </w:t>
      </w:r>
      <w:r w:rsidRPr="008923C7">
        <w:rPr>
          <w:rFonts w:eastAsia="Cambria" w:cstheme="majorBidi"/>
          <w:szCs w:val="16"/>
          <w:lang w:val="en-US"/>
        </w:rPr>
        <w:t>33.</w:t>
      </w:r>
    </w:p>
  </w:footnote>
  <w:footnote w:id="287">
    <w:p w14:paraId="6E46A9CE" w14:textId="01137E32" w:rsidR="000F4C77" w:rsidRPr="00A06BFF" w:rsidRDefault="000F4C77" w:rsidP="00265D36">
      <w:pPr>
        <w:pStyle w:val="IAPiedepgina"/>
        <w:rPr>
          <w:rFonts w:cstheme="majorBidi"/>
          <w:szCs w:val="16"/>
          <w:lang w:val="en-US"/>
        </w:rPr>
      </w:pPr>
      <w:r w:rsidRPr="005C52BD">
        <w:rPr>
          <w:rStyle w:val="FootnoteReference"/>
          <w:rFonts w:cstheme="majorBidi"/>
          <w:sz w:val="16"/>
          <w:szCs w:val="16"/>
          <w:lang w:val="es-ES_tradnl"/>
        </w:rPr>
        <w:footnoteRef/>
      </w:r>
      <w:r w:rsidRPr="00A06BFF">
        <w:rPr>
          <w:rFonts w:cstheme="majorBidi"/>
          <w:szCs w:val="16"/>
          <w:lang w:val="en-US"/>
        </w:rPr>
        <w:t xml:space="preserve"> Confederación Sindical Internacional, </w:t>
      </w:r>
      <w:hyperlink r:id="rId250" w:history="1">
        <w:r w:rsidRPr="00A06BFF">
          <w:rPr>
            <w:rStyle w:val="Hyperlink"/>
            <w:rFonts w:cstheme="majorBidi"/>
            <w:color w:val="auto"/>
            <w:szCs w:val="16"/>
            <w:u w:val="none"/>
            <w:lang w:val="en-US"/>
          </w:rPr>
          <w:t>2024 ITUC Global Rights Index, The World´s Worst Countries for Workers</w:t>
        </w:r>
      </w:hyperlink>
      <w:r w:rsidRPr="00A06BFF">
        <w:rPr>
          <w:rFonts w:cstheme="majorBidi"/>
          <w:szCs w:val="16"/>
          <w:lang w:val="en-US"/>
        </w:rPr>
        <w:t xml:space="preserve">, </w:t>
      </w:r>
      <w:r w:rsidR="00391F3B" w:rsidRPr="00A06BFF">
        <w:rPr>
          <w:rFonts w:cstheme="majorBidi"/>
          <w:szCs w:val="16"/>
          <w:lang w:val="en-US"/>
        </w:rPr>
        <w:t>pág.</w:t>
      </w:r>
      <w:r w:rsidRPr="00A06BFF">
        <w:rPr>
          <w:rFonts w:cstheme="majorBidi"/>
          <w:szCs w:val="16"/>
          <w:lang w:val="en-US"/>
        </w:rPr>
        <w:t xml:space="preserve"> 14. </w:t>
      </w:r>
    </w:p>
  </w:footnote>
  <w:footnote w:id="288">
    <w:p w14:paraId="27ED2EC3" w14:textId="77777777" w:rsidR="000F4C77" w:rsidRPr="00BF5C70" w:rsidRDefault="000F4C77" w:rsidP="00265D3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EFE, </w:t>
      </w:r>
      <w:hyperlink r:id="rId251" w:history="1">
        <w:r w:rsidRPr="00BF5C70">
          <w:rPr>
            <w:rStyle w:val="Hyperlink"/>
            <w:rFonts w:cstheme="majorBidi"/>
            <w:color w:val="auto"/>
            <w:szCs w:val="16"/>
            <w:u w:val="none"/>
            <w:lang w:val="es-ES_tradnl"/>
          </w:rPr>
          <w:t>El salario mínimo en Venezuela, dos años en caída libre,</w:t>
        </w:r>
      </w:hyperlink>
      <w:r w:rsidRPr="00BF5C70">
        <w:rPr>
          <w:rFonts w:cstheme="majorBidi"/>
          <w:szCs w:val="16"/>
          <w:lang w:val="es-ES_tradnl"/>
        </w:rPr>
        <w:t xml:space="preserve"> 17 de marzo de 2024. </w:t>
      </w:r>
    </w:p>
  </w:footnote>
  <w:footnote w:id="289">
    <w:p w14:paraId="5127AA1B" w14:textId="77777777" w:rsidR="000F4C77" w:rsidRPr="00BF5C70" w:rsidRDefault="000F4C77" w:rsidP="00265D3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hyperlink r:id="rId252" w:history="1">
        <w:r w:rsidRPr="00BF5C70">
          <w:rPr>
            <w:rFonts w:cstheme="majorBidi"/>
            <w:szCs w:val="16"/>
            <w:lang w:val="es-ES_tradnl"/>
          </w:rPr>
          <w:t xml:space="preserve">Observatorio Venezolano de Conflictividad Social, </w:t>
        </w:r>
        <w:r w:rsidRPr="00BF5C70">
          <w:rPr>
            <w:rStyle w:val="Hyperlink"/>
            <w:rFonts w:cstheme="majorBidi"/>
            <w:color w:val="auto"/>
            <w:szCs w:val="16"/>
            <w:u w:val="none"/>
            <w:lang w:val="es-ES_tradnl"/>
          </w:rPr>
          <w:t>Conflictividad social en Venezuela en el primer semestre de 2024</w:t>
        </w:r>
      </w:hyperlink>
      <w:r w:rsidRPr="00BF5C70">
        <w:rPr>
          <w:rFonts w:cstheme="majorBidi"/>
          <w:szCs w:val="16"/>
          <w:lang w:val="es-ES_tradnl"/>
        </w:rPr>
        <w:t xml:space="preserve">, 24 de julio de 2024. </w:t>
      </w:r>
    </w:p>
  </w:footnote>
  <w:footnote w:id="290">
    <w:p w14:paraId="760B57E1" w14:textId="40C1A328" w:rsidR="000F4C77" w:rsidRPr="00BF5C70" w:rsidRDefault="000F4C77" w:rsidP="00265D3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Correo del </w:t>
      </w:r>
      <w:r w:rsidR="006518B9" w:rsidRPr="00BF5C70">
        <w:rPr>
          <w:rFonts w:cstheme="majorBidi"/>
          <w:szCs w:val="16"/>
          <w:lang w:val="es-ES_tradnl"/>
        </w:rPr>
        <w:t>Caroní</w:t>
      </w:r>
      <w:r w:rsidRPr="00BF5C70">
        <w:rPr>
          <w:rFonts w:cstheme="majorBidi"/>
          <w:szCs w:val="16"/>
          <w:lang w:val="es-ES_tradnl"/>
        </w:rPr>
        <w:t xml:space="preserve">́, </w:t>
      </w:r>
      <w:hyperlink r:id="rId253" w:history="1">
        <w:r w:rsidRPr="00BF5C70">
          <w:rPr>
            <w:rFonts w:cstheme="majorBidi"/>
            <w:szCs w:val="16"/>
            <w:lang w:val="es-ES_tradnl"/>
          </w:rPr>
          <w:t xml:space="preserve">El </w:t>
        </w:r>
        <w:r w:rsidR="006518B9" w:rsidRPr="00BF5C70">
          <w:rPr>
            <w:rFonts w:cstheme="majorBidi"/>
            <w:szCs w:val="16"/>
            <w:lang w:val="es-ES_tradnl"/>
          </w:rPr>
          <w:t>último</w:t>
        </w:r>
        <w:r w:rsidRPr="00BF5C70">
          <w:rPr>
            <w:rStyle w:val="Hyperlink"/>
            <w:rFonts w:cstheme="majorBidi"/>
            <w:color w:val="auto"/>
            <w:szCs w:val="16"/>
            <w:u w:val="none"/>
            <w:lang w:val="es-ES_tradnl"/>
          </w:rPr>
          <w:t xml:space="preserve"> glaciar de Venezuela ya es historia</w:t>
        </w:r>
      </w:hyperlink>
      <w:r w:rsidRPr="00BF5C70">
        <w:rPr>
          <w:rFonts w:cstheme="majorBidi"/>
          <w:szCs w:val="16"/>
          <w:lang w:val="es-ES_tradnl"/>
        </w:rPr>
        <w:t>, 18 de marzo de 2024.</w:t>
      </w:r>
    </w:p>
  </w:footnote>
  <w:footnote w:id="291">
    <w:p w14:paraId="2C3743A8" w14:textId="3F7AF507" w:rsidR="000F4C77" w:rsidRPr="00BF5C70" w:rsidRDefault="000F4C77" w:rsidP="00265D3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Administración Nacional de Aeronáutica y el Espacio (NASA), </w:t>
      </w:r>
      <w:hyperlink r:id="rId254" w:history="1">
        <w:r w:rsidRPr="00BF5C70">
          <w:rPr>
            <w:rStyle w:val="Hyperlink"/>
            <w:rFonts w:cstheme="majorBidi"/>
            <w:color w:val="auto"/>
            <w:szCs w:val="16"/>
            <w:u w:val="none"/>
            <w:lang w:val="es-ES_tradnl"/>
          </w:rPr>
          <w:t>El humo cubre Venezuela</w:t>
        </w:r>
      </w:hyperlink>
      <w:r w:rsidRPr="00BF5C70">
        <w:rPr>
          <w:rFonts w:cstheme="majorBidi"/>
          <w:szCs w:val="16"/>
          <w:lang w:val="es-ES_tradnl"/>
        </w:rPr>
        <w:t>, 10 de abril de 2024.</w:t>
      </w:r>
    </w:p>
  </w:footnote>
  <w:footnote w:id="292">
    <w:p w14:paraId="1C361746" w14:textId="3D7A6019" w:rsidR="000F4C77" w:rsidRPr="00BF5C70" w:rsidRDefault="000F4C77" w:rsidP="00265D36">
      <w:pPr>
        <w:pStyle w:val="IAPiedepgina"/>
        <w:rPr>
          <w:rFonts w:eastAsia="Cambria"/>
          <w:color w:val="auto"/>
          <w:szCs w:val="16"/>
          <w:lang w:val="es-ES_tradnl"/>
        </w:rPr>
      </w:pPr>
      <w:r w:rsidRPr="005C52BD">
        <w:rPr>
          <w:rStyle w:val="FootnoteReference"/>
          <w:rFonts w:eastAsia="Cambria"/>
          <w:color w:val="auto"/>
          <w:sz w:val="16"/>
          <w:szCs w:val="16"/>
          <w:lang w:val="es-ES_tradnl"/>
        </w:rPr>
        <w:footnoteRef/>
      </w:r>
      <w:r w:rsidRPr="00BF5C70">
        <w:rPr>
          <w:rFonts w:eastAsia="Cambria"/>
          <w:color w:val="auto"/>
          <w:szCs w:val="16"/>
          <w:lang w:val="es-ES_tradnl"/>
        </w:rPr>
        <w:t xml:space="preserve"> Diario El Salvador, </w:t>
      </w:r>
      <w:hyperlink r:id="rId255" w:anchor="google_vignette" w:history="1">
        <w:r w:rsidRPr="00BF5C70">
          <w:rPr>
            <w:rFonts w:eastAsia="Cambria"/>
            <w:color w:val="auto"/>
            <w:szCs w:val="16"/>
            <w:lang w:val="es-ES_tradnl"/>
          </w:rPr>
          <w:t xml:space="preserve">Tres muertes y 8,000 casas afectadas por huracán Beryl en </w:t>
        </w:r>
        <w:r w:rsidR="006518B9" w:rsidRPr="00BF5C70">
          <w:rPr>
            <w:rFonts w:eastAsia="Cambria"/>
            <w:color w:val="auto"/>
            <w:szCs w:val="16"/>
            <w:lang w:val="es-ES_tradnl"/>
          </w:rPr>
          <w:t>Venezuela</w:t>
        </w:r>
        <w:r w:rsidR="006518B9" w:rsidRPr="00BF5C70">
          <w:rPr>
            <w:rStyle w:val="Hyperlink"/>
            <w:rFonts w:eastAsia="Cambria"/>
            <w:color w:val="auto"/>
            <w:szCs w:val="16"/>
            <w:u w:val="none"/>
            <w:lang w:val="es-ES_tradnl"/>
          </w:rPr>
          <w:t>,</w:t>
        </w:r>
      </w:hyperlink>
      <w:r w:rsidRPr="00BF5C70">
        <w:rPr>
          <w:rFonts w:eastAsia="Cambria"/>
          <w:color w:val="auto"/>
          <w:szCs w:val="16"/>
          <w:lang w:val="es-ES_tradnl"/>
        </w:rPr>
        <w:t xml:space="preserve"> 3 de julio de 2024.</w:t>
      </w:r>
    </w:p>
  </w:footnote>
  <w:footnote w:id="293">
    <w:p w14:paraId="6227A2D5" w14:textId="74E7C42E" w:rsidR="000F4C77" w:rsidRPr="00BF5C70" w:rsidRDefault="000F4C77" w:rsidP="00265D3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Efecto Cocuyo, </w:t>
      </w:r>
      <w:hyperlink r:id="rId256" w:history="1">
        <w:r w:rsidRPr="00BF5C70">
          <w:rPr>
            <w:rFonts w:cstheme="majorBidi"/>
            <w:szCs w:val="16"/>
            <w:lang w:val="es-ES_tradnl"/>
          </w:rPr>
          <w:t xml:space="preserve">PC Zulia rescata a </w:t>
        </w:r>
        <w:r w:rsidR="006518B9" w:rsidRPr="00BF5C70">
          <w:rPr>
            <w:rFonts w:cstheme="majorBidi"/>
            <w:szCs w:val="16"/>
            <w:lang w:val="es-ES_tradnl"/>
          </w:rPr>
          <w:t>niños</w:t>
        </w:r>
        <w:r w:rsidRPr="00BF5C70">
          <w:rPr>
            <w:rFonts w:cstheme="majorBidi"/>
            <w:szCs w:val="16"/>
            <w:lang w:val="es-ES_tradnl"/>
          </w:rPr>
          <w:t xml:space="preserve"> wayuu arrastrados por crecida de </w:t>
        </w:r>
        <w:r w:rsidR="006518B9" w:rsidRPr="00BF5C70">
          <w:rPr>
            <w:rStyle w:val="Hyperlink"/>
            <w:rFonts w:cstheme="majorBidi"/>
            <w:color w:val="auto"/>
            <w:szCs w:val="16"/>
            <w:u w:val="none"/>
            <w:lang w:val="es-ES_tradnl"/>
          </w:rPr>
          <w:t>rio</w:t>
        </w:r>
      </w:hyperlink>
      <w:r w:rsidRPr="00BF5C70">
        <w:rPr>
          <w:rFonts w:cstheme="majorBidi"/>
          <w:szCs w:val="16"/>
          <w:lang w:val="es-ES_tradnl"/>
        </w:rPr>
        <w:t xml:space="preserve">, 7 de julio de 2024. </w:t>
      </w:r>
    </w:p>
  </w:footnote>
  <w:footnote w:id="294">
    <w:p w14:paraId="536E4092" w14:textId="79552D19" w:rsidR="000F4C77" w:rsidRPr="00BF5C70" w:rsidRDefault="000F4C77" w:rsidP="00265D36">
      <w:pPr>
        <w:pStyle w:val="IAPiedepgina"/>
        <w:rPr>
          <w:rFonts w:eastAsia="Cambria"/>
          <w:color w:val="auto"/>
          <w:szCs w:val="16"/>
          <w:lang w:val="es-ES_tradnl"/>
        </w:rPr>
      </w:pPr>
      <w:r w:rsidRPr="005C52BD">
        <w:rPr>
          <w:rStyle w:val="FootnoteReference"/>
          <w:rFonts w:eastAsia="Cambria"/>
          <w:color w:val="auto"/>
          <w:sz w:val="16"/>
          <w:szCs w:val="16"/>
          <w:lang w:val="es-ES_tradnl"/>
        </w:rPr>
        <w:footnoteRef/>
      </w:r>
      <w:r w:rsidRPr="00BF5C70">
        <w:rPr>
          <w:rFonts w:eastAsia="Cambria"/>
          <w:color w:val="auto"/>
          <w:szCs w:val="16"/>
          <w:lang w:val="es-ES_tradnl"/>
        </w:rPr>
        <w:t xml:space="preserve"> CIDH, comunicado de prensa, </w:t>
      </w:r>
      <w:hyperlink r:id="rId257" w:history="1">
        <w:r w:rsidRPr="00BF5C70">
          <w:rPr>
            <w:rFonts w:eastAsia="Cambria"/>
            <w:color w:val="auto"/>
            <w:szCs w:val="16"/>
            <w:lang w:val="es-ES_tradnl"/>
          </w:rPr>
          <w:t>La CIDH y REDESCA hacen un llamado a la solidaridad internacional ante la emergencia en los países afectados por el huracán Beryl</w:t>
        </w:r>
        <w:r w:rsidRPr="00BF5C70">
          <w:rPr>
            <w:rStyle w:val="Hyperlink"/>
            <w:rFonts w:eastAsia="Cambria"/>
            <w:color w:val="auto"/>
            <w:szCs w:val="16"/>
            <w:u w:val="none"/>
            <w:lang w:val="es-ES_tradnl"/>
          </w:rPr>
          <w:t>,</w:t>
        </w:r>
      </w:hyperlink>
      <w:r w:rsidRPr="00BF5C70">
        <w:rPr>
          <w:rFonts w:eastAsia="Cambria"/>
          <w:color w:val="auto"/>
          <w:szCs w:val="16"/>
          <w:lang w:val="es-ES_tradnl"/>
        </w:rPr>
        <w:t xml:space="preserve"> 09 de julio de 2024. </w:t>
      </w:r>
    </w:p>
  </w:footnote>
  <w:footnote w:id="295">
    <w:p w14:paraId="47B0152E" w14:textId="0EA00C95" w:rsidR="000F4C77" w:rsidRPr="00BF5C70" w:rsidRDefault="000F4C77" w:rsidP="00265D36">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El Nacional, </w:t>
      </w:r>
      <w:hyperlink r:id="rId258" w:history="1">
        <w:r w:rsidRPr="00BF5C70">
          <w:rPr>
            <w:rFonts w:cstheme="majorBidi"/>
            <w:szCs w:val="16"/>
            <w:lang w:val="es-ES_tradnl"/>
          </w:rPr>
          <w:t xml:space="preserve">Maracaibo, la capital petrolera </w:t>
        </w:r>
        <w:r w:rsidR="006518B9" w:rsidRPr="00BF5C70">
          <w:rPr>
            <w:rFonts w:cstheme="majorBidi"/>
            <w:szCs w:val="16"/>
            <w:lang w:val="es-ES_tradnl"/>
          </w:rPr>
          <w:t>símbolo</w:t>
        </w:r>
        <w:r w:rsidRPr="00BF5C70">
          <w:rPr>
            <w:rStyle w:val="Hyperlink"/>
            <w:rFonts w:cstheme="majorBidi"/>
            <w:color w:val="auto"/>
            <w:szCs w:val="16"/>
            <w:u w:val="none"/>
            <w:lang w:val="es-ES_tradnl"/>
          </w:rPr>
          <w:t xml:space="preserve"> de la decadencia de Venezuela</w:t>
        </w:r>
      </w:hyperlink>
      <w:r w:rsidRPr="00BF5C70">
        <w:rPr>
          <w:rFonts w:cstheme="majorBidi"/>
          <w:szCs w:val="16"/>
          <w:lang w:val="es-ES_tradnl"/>
        </w:rPr>
        <w:t xml:space="preserve">, 21 de julio de 2024; CODHEZ, </w:t>
      </w:r>
      <w:hyperlink r:id="rId259" w:anchor="5 - 2024.pdf" w:history="1">
        <w:r w:rsidRPr="00BF5C70">
          <w:rPr>
            <w:rStyle w:val="Hyperlink"/>
            <w:rFonts w:cstheme="majorBidi"/>
            <w:color w:val="auto"/>
            <w:szCs w:val="16"/>
            <w:u w:val="none"/>
            <w:lang w:val="es-ES_tradnl"/>
          </w:rPr>
          <w:t>Boletín #5, Situación de los derechos humanos en el Zulia, derecho a la salud y situación ambiental en Maracaibo</w:t>
        </w:r>
      </w:hyperlink>
      <w:r w:rsidRPr="00BF5C70">
        <w:rPr>
          <w:rFonts w:cstheme="majorBidi"/>
          <w:szCs w:val="16"/>
          <w:lang w:val="es-ES_tradnl"/>
        </w:rPr>
        <w:t xml:space="preserve">. </w:t>
      </w:r>
    </w:p>
  </w:footnote>
  <w:footnote w:id="296">
    <w:p w14:paraId="49294E04" w14:textId="7B25EFD6" w:rsidR="000F4C77" w:rsidRPr="00BF5C70" w:rsidRDefault="000F4C77" w:rsidP="00ED64AA">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El </w:t>
      </w:r>
      <w:r w:rsidR="006518B9" w:rsidRPr="00BF5C70">
        <w:rPr>
          <w:rFonts w:cstheme="majorBidi"/>
          <w:szCs w:val="16"/>
          <w:lang w:val="es-ES_tradnl"/>
        </w:rPr>
        <w:t>País</w:t>
      </w:r>
      <w:r w:rsidRPr="00BF5C70">
        <w:rPr>
          <w:rFonts w:cstheme="majorBidi"/>
          <w:szCs w:val="16"/>
          <w:lang w:val="es-ES_tradnl"/>
        </w:rPr>
        <w:t xml:space="preserve">, </w:t>
      </w:r>
      <w:hyperlink r:id="rId260" w:history="1">
        <w:r w:rsidRPr="00BF5C70">
          <w:rPr>
            <w:rFonts w:cstheme="majorBidi"/>
            <w:szCs w:val="16"/>
            <w:lang w:val="es-ES_tradnl"/>
          </w:rPr>
          <w:t xml:space="preserve">Un nuevo derrame de crudo de PDVSA contamina las playas del Caribe </w:t>
        </w:r>
        <w:r w:rsidRPr="00BF5C70">
          <w:rPr>
            <w:rStyle w:val="Hyperlink"/>
            <w:rFonts w:cstheme="majorBidi"/>
            <w:color w:val="auto"/>
            <w:szCs w:val="16"/>
            <w:u w:val="none"/>
            <w:lang w:val="es-ES_tradnl"/>
          </w:rPr>
          <w:t>venezolano</w:t>
        </w:r>
      </w:hyperlink>
      <w:r w:rsidRPr="00BF5C70">
        <w:rPr>
          <w:rFonts w:cstheme="majorBidi"/>
          <w:szCs w:val="16"/>
          <w:lang w:val="es-ES_tradnl"/>
        </w:rPr>
        <w:t>, 20 de agosto de 2024.</w:t>
      </w:r>
    </w:p>
  </w:footnote>
  <w:footnote w:id="297">
    <w:p w14:paraId="50A2D428" w14:textId="47FAD917" w:rsidR="000F4C77" w:rsidRPr="00BF5C70" w:rsidRDefault="000F4C77" w:rsidP="00AF27A3">
      <w:pPr>
        <w:pStyle w:val="IAPiedepgina"/>
      </w:pPr>
      <w:r w:rsidRPr="005C52BD">
        <w:rPr>
          <w:rStyle w:val="FootnoteReference"/>
          <w:rFonts w:cstheme="majorBidi"/>
          <w:sz w:val="16"/>
          <w:szCs w:val="16"/>
          <w:lang w:val="es-ES_tradnl"/>
        </w:rPr>
        <w:footnoteRef/>
      </w:r>
      <w:r w:rsidRPr="00BF5C70">
        <w:t xml:space="preserve"> PROVEA, </w:t>
      </w:r>
      <w:hyperlink r:id="rId261" w:history="1">
        <w:r w:rsidRPr="00BF5C70">
          <w:t xml:space="preserve">Derecho de los Pueblos </w:t>
        </w:r>
        <w:r w:rsidR="006518B9" w:rsidRPr="00BF5C70">
          <w:t>Indígenas</w:t>
        </w:r>
        <w:r w:rsidRPr="00BF5C70">
          <w:t xml:space="preserve">, Informe 2023, </w:t>
        </w:r>
        <w:r w:rsidR="006518B9" w:rsidRPr="00BF5C70">
          <w:t>Situación</w:t>
        </w:r>
        <w:r w:rsidRPr="00BF5C70">
          <w:rPr>
            <w:rStyle w:val="Hyperlink"/>
            <w:rFonts w:cstheme="majorBidi"/>
            <w:color w:val="auto"/>
            <w:szCs w:val="16"/>
            <w:u w:val="none"/>
            <w:lang w:val="es-ES_tradnl"/>
          </w:rPr>
          <w:t xml:space="preserve"> de los Derechos Humanos en Venezuela</w:t>
        </w:r>
      </w:hyperlink>
      <w:r w:rsidRPr="00BF5C70">
        <w:t xml:space="preserve">,27 septiembre de 2023, </w:t>
      </w:r>
      <w:r w:rsidR="006518B9" w:rsidRPr="00BF5C70">
        <w:t>pág.</w:t>
      </w:r>
      <w:r w:rsidRPr="00BF5C70">
        <w:t xml:space="preserve"> 3. </w:t>
      </w:r>
    </w:p>
  </w:footnote>
  <w:footnote w:id="298">
    <w:p w14:paraId="11B1E12B" w14:textId="505EF48E" w:rsidR="000F4C77" w:rsidRPr="00BF5C70" w:rsidRDefault="000F4C77" w:rsidP="00AF27A3">
      <w:pPr>
        <w:pStyle w:val="IAPiedepgina"/>
      </w:pPr>
      <w:r w:rsidRPr="005C52BD">
        <w:rPr>
          <w:rStyle w:val="FootnoteReference"/>
          <w:rFonts w:cstheme="majorBidi"/>
          <w:sz w:val="16"/>
          <w:szCs w:val="16"/>
          <w:lang w:val="es-ES_tradnl"/>
        </w:rPr>
        <w:footnoteRef/>
      </w:r>
      <w:r w:rsidRPr="00BF5C70">
        <w:t xml:space="preserve"> </w:t>
      </w:r>
      <w:r w:rsidR="006518B9" w:rsidRPr="00BF5C70">
        <w:t>Comité</w:t>
      </w:r>
      <w:r w:rsidRPr="00BF5C70">
        <w:t xml:space="preserve">́ para la </w:t>
      </w:r>
      <w:r w:rsidR="006518B9" w:rsidRPr="00BF5C70">
        <w:t>Eliminación</w:t>
      </w:r>
      <w:r w:rsidRPr="00BF5C70">
        <w:t xml:space="preserve"> de la </w:t>
      </w:r>
      <w:r w:rsidR="006518B9" w:rsidRPr="00BF5C70">
        <w:t>Discriminación</w:t>
      </w:r>
      <w:r w:rsidRPr="00BF5C70">
        <w:t xml:space="preserve"> Racial (CERD), </w:t>
      </w:r>
      <w:hyperlink r:id="rId262" w:history="1">
        <w:r w:rsidR="000C0BAE" w:rsidRPr="00BF5C70">
          <w:rPr>
            <w:rStyle w:val="Hyperlink"/>
            <w:rFonts w:cstheme="majorBidi"/>
            <w:color w:val="auto"/>
            <w:szCs w:val="16"/>
            <w:u w:val="none"/>
            <w:lang w:val="es-ES_tradnl"/>
          </w:rPr>
          <w:t>Observaciones finales sobre los informes periódicos 22º a 24º combinados de la República Bolivariana de Venezuela, CERD/C/VEN/CO/22-24</w:t>
        </w:r>
      </w:hyperlink>
      <w:r w:rsidRPr="00BF5C70">
        <w:t>, 23 de agosto</w:t>
      </w:r>
      <w:r w:rsidR="0033431D" w:rsidRPr="00BF5C70">
        <w:t xml:space="preserve"> de</w:t>
      </w:r>
      <w:r w:rsidRPr="00BF5C70">
        <w:t xml:space="preserve"> 2024, </w:t>
      </w:r>
      <w:r w:rsidR="006518B9" w:rsidRPr="00BF5C70">
        <w:t>párr.</w:t>
      </w:r>
      <w:r w:rsidRPr="00BF5C70">
        <w:t xml:space="preserve"> 22.</w:t>
      </w:r>
    </w:p>
  </w:footnote>
  <w:footnote w:id="299">
    <w:p w14:paraId="7017F1E7" w14:textId="0E72D1B4" w:rsidR="000F4C77" w:rsidRPr="00BF5C70" w:rsidRDefault="000F4C77" w:rsidP="00AF27A3">
      <w:pPr>
        <w:pStyle w:val="IAPiedepgina"/>
      </w:pPr>
      <w:r w:rsidRPr="005C52BD">
        <w:rPr>
          <w:rStyle w:val="FootnoteReference"/>
          <w:rFonts w:cstheme="majorBidi"/>
          <w:sz w:val="16"/>
          <w:szCs w:val="16"/>
          <w:lang w:val="es-ES_tradnl"/>
        </w:rPr>
        <w:footnoteRef/>
      </w:r>
      <w:r w:rsidRPr="00BF5C70">
        <w:t xml:space="preserve"> PROVEA, </w:t>
      </w:r>
      <w:hyperlink r:id="rId263" w:history="1">
        <w:r w:rsidRPr="00BF5C70">
          <w:t xml:space="preserve">El dolor de las familias es inmenso, </w:t>
        </w:r>
        <w:r w:rsidRPr="00BF5C70">
          <w:rPr>
            <w:rStyle w:val="Hyperlink"/>
            <w:rFonts w:cstheme="majorBidi"/>
            <w:color w:val="auto"/>
            <w:szCs w:val="16"/>
            <w:u w:val="none"/>
            <w:lang w:val="es-ES_tradnl"/>
          </w:rPr>
          <w:t>El ocaso en la tierra de los Warao</w:t>
        </w:r>
      </w:hyperlink>
      <w:r w:rsidRPr="00BF5C70">
        <w:t xml:space="preserve">, 20 </w:t>
      </w:r>
      <w:r w:rsidR="00F46E61" w:rsidRPr="00BF5C70">
        <w:t xml:space="preserve">de </w:t>
      </w:r>
      <w:r w:rsidRPr="00BF5C70">
        <w:t>abril</w:t>
      </w:r>
      <w:r w:rsidR="00597C41" w:rsidRPr="00BF5C70">
        <w:t xml:space="preserve"> de</w:t>
      </w:r>
      <w:r w:rsidRPr="00BF5C70">
        <w:t xml:space="preserve"> 2024. </w:t>
      </w:r>
    </w:p>
  </w:footnote>
  <w:footnote w:id="300">
    <w:p w14:paraId="61A82F77" w14:textId="65306E3F" w:rsidR="000F4C77" w:rsidRPr="00BF5C70" w:rsidRDefault="000F4C77" w:rsidP="00AF27A3">
      <w:pPr>
        <w:pStyle w:val="IAPiedepgina"/>
      </w:pPr>
      <w:r w:rsidRPr="005C52BD">
        <w:rPr>
          <w:rStyle w:val="FootnoteReference"/>
          <w:rFonts w:cstheme="majorBidi"/>
          <w:sz w:val="16"/>
          <w:szCs w:val="16"/>
          <w:lang w:val="es-ES_tradnl"/>
        </w:rPr>
        <w:footnoteRef/>
      </w:r>
      <w:r w:rsidRPr="00BF5C70">
        <w:t xml:space="preserve"> Clima21, </w:t>
      </w:r>
      <w:hyperlink r:id="rId264" w:history="1">
        <w:r w:rsidRPr="00BF5C70">
          <w:t xml:space="preserve">El Crimen Lento: </w:t>
        </w:r>
        <w:r w:rsidR="006518B9" w:rsidRPr="00BF5C70">
          <w:t>Situación</w:t>
        </w:r>
        <w:r w:rsidRPr="00BF5C70">
          <w:t xml:space="preserve"> de los Grupos Vulnerables frente a la </w:t>
        </w:r>
        <w:r w:rsidR="006518B9" w:rsidRPr="00BF5C70">
          <w:t>contaminación</w:t>
        </w:r>
        <w:r w:rsidRPr="00BF5C70">
          <w:t xml:space="preserve"> por mercurio en la </w:t>
        </w:r>
        <w:r w:rsidR="006518B9" w:rsidRPr="00BF5C70">
          <w:t>Amazonia</w:t>
        </w:r>
        <w:r w:rsidRPr="00BF5C70">
          <w:rPr>
            <w:rStyle w:val="Hyperlink"/>
            <w:rFonts w:cstheme="majorBidi"/>
            <w:color w:val="auto"/>
            <w:szCs w:val="16"/>
            <w:u w:val="none"/>
            <w:lang w:val="es-ES_tradnl"/>
          </w:rPr>
          <w:t xml:space="preserve"> venezolana, 30 de marzo, 2024</w:t>
        </w:r>
      </w:hyperlink>
      <w:r w:rsidRPr="00BF5C70">
        <w:t xml:space="preserve">, </w:t>
      </w:r>
      <w:r w:rsidR="006518B9" w:rsidRPr="00BF5C70">
        <w:t>pág.</w:t>
      </w:r>
      <w:r w:rsidRPr="00BF5C70">
        <w:t xml:space="preserve"> 5.</w:t>
      </w:r>
    </w:p>
  </w:footnote>
  <w:footnote w:id="301">
    <w:p w14:paraId="6185B370" w14:textId="405502C8" w:rsidR="00566EF9" w:rsidRPr="00BF5C70" w:rsidRDefault="00566EF9" w:rsidP="00AF27A3">
      <w:pPr>
        <w:pStyle w:val="IAPiedepgina"/>
      </w:pPr>
      <w:r w:rsidRPr="005C52BD">
        <w:rPr>
          <w:rStyle w:val="FootnoteReference"/>
          <w:rFonts w:cstheme="majorBidi"/>
          <w:sz w:val="16"/>
          <w:szCs w:val="16"/>
        </w:rPr>
        <w:footnoteRef/>
      </w:r>
      <w:r w:rsidRPr="00BF5C70">
        <w:t xml:space="preserve"> Centro de Documentación e Información Bolivia (CEDIB), e. al., </w:t>
      </w:r>
      <w:hyperlink r:id="rId265" w:history="1">
        <w:r w:rsidRPr="00BF5C70">
          <w:t xml:space="preserve">Minería Ilegal de Oro: Impactos sobre los derechos humanos y la biodiversidad en la </w:t>
        </w:r>
        <w:r w:rsidRPr="00BF5C70">
          <w:rPr>
            <w:rStyle w:val="Hyperlink"/>
            <w:rFonts w:cstheme="majorBidi"/>
            <w:color w:val="auto"/>
            <w:szCs w:val="16"/>
            <w:u w:val="none"/>
          </w:rPr>
          <w:t>Amazonía</w:t>
        </w:r>
      </w:hyperlink>
      <w:r w:rsidRPr="00BF5C70">
        <w:rPr>
          <w:rStyle w:val="Hyperlink"/>
          <w:rFonts w:cstheme="majorBidi"/>
          <w:color w:val="auto"/>
          <w:szCs w:val="16"/>
          <w:u w:val="none"/>
        </w:rPr>
        <w:t>, p</w:t>
      </w:r>
      <w:r w:rsidRPr="00BF5C70">
        <w:t>ág</w:t>
      </w:r>
      <w:r w:rsidR="0023384E" w:rsidRPr="00BF5C70">
        <w:t>s</w:t>
      </w:r>
      <w:r w:rsidRPr="00BF5C70">
        <w:t>. 33 y 34, octubre de 2024.</w:t>
      </w:r>
    </w:p>
  </w:footnote>
  <w:footnote w:id="302">
    <w:p w14:paraId="5D80AC58" w14:textId="7AEA7141" w:rsidR="006518B9" w:rsidRPr="00BF5C70" w:rsidRDefault="006518B9" w:rsidP="00AF27A3">
      <w:pPr>
        <w:pStyle w:val="IAPiedepgina"/>
      </w:pPr>
      <w:r w:rsidRPr="005C52BD">
        <w:rPr>
          <w:rStyle w:val="FootnoteReference"/>
          <w:rFonts w:cstheme="majorBidi"/>
          <w:sz w:val="16"/>
          <w:szCs w:val="16"/>
        </w:rPr>
        <w:footnoteRef/>
      </w:r>
      <w:r w:rsidRPr="00BF5C70">
        <w:t xml:space="preserve"> Centro de Documentación e Información Bolivia (CEDIB), e. al., </w:t>
      </w:r>
      <w:hyperlink r:id="rId266" w:history="1">
        <w:r w:rsidRPr="00BF5C70">
          <w:t xml:space="preserve">Minería Ilegal de Oro: Impactos sobre los derechos humanos y la biodiversidad en la </w:t>
        </w:r>
        <w:r w:rsidRPr="00BF5C70">
          <w:rPr>
            <w:rStyle w:val="Hyperlink"/>
            <w:rFonts w:cstheme="majorBidi"/>
            <w:color w:val="auto"/>
            <w:szCs w:val="16"/>
            <w:u w:val="none"/>
          </w:rPr>
          <w:t>Amazonía</w:t>
        </w:r>
      </w:hyperlink>
      <w:r w:rsidRPr="00BF5C70">
        <w:rPr>
          <w:rStyle w:val="Hyperlink"/>
          <w:rFonts w:cstheme="majorBidi"/>
          <w:color w:val="auto"/>
          <w:szCs w:val="16"/>
          <w:u w:val="none"/>
        </w:rPr>
        <w:t>, p</w:t>
      </w:r>
      <w:r w:rsidRPr="00BF5C70">
        <w:t>ág</w:t>
      </w:r>
      <w:r w:rsidR="000E4825" w:rsidRPr="00BF5C70">
        <w:t>s</w:t>
      </w:r>
      <w:r w:rsidRPr="00BF5C70">
        <w:t>. 33</w:t>
      </w:r>
      <w:r w:rsidR="00566EF9" w:rsidRPr="00BF5C70">
        <w:t xml:space="preserve"> y 34</w:t>
      </w:r>
      <w:r w:rsidRPr="00BF5C70">
        <w:t>, octubre de 2024</w:t>
      </w:r>
      <w:r w:rsidR="00190A54" w:rsidRPr="00BF5C70">
        <w:t>.</w:t>
      </w:r>
    </w:p>
  </w:footnote>
  <w:footnote w:id="303">
    <w:p w14:paraId="631617AF" w14:textId="55727023" w:rsidR="000F4C77" w:rsidRPr="00BF5C70" w:rsidRDefault="000F4C77" w:rsidP="00AF27A3">
      <w:pPr>
        <w:pStyle w:val="IAPiedepgina"/>
      </w:pPr>
      <w:r w:rsidRPr="005C52BD">
        <w:rPr>
          <w:rStyle w:val="FootnoteReference"/>
          <w:rFonts w:cstheme="majorBidi"/>
          <w:sz w:val="16"/>
          <w:szCs w:val="16"/>
          <w:lang w:val="es-ES_tradnl"/>
        </w:rPr>
        <w:footnoteRef/>
      </w:r>
      <w:r w:rsidRPr="00BF5C70">
        <w:t xml:space="preserve"> OACNUDH, </w:t>
      </w:r>
      <w:hyperlink r:id="rId267" w:history="1">
        <w:r w:rsidR="00813403" w:rsidRPr="00BF5C70">
          <w:rPr>
            <w:rStyle w:val="Hyperlink"/>
            <w:rFonts w:cstheme="majorBidi"/>
            <w:color w:val="auto"/>
            <w:szCs w:val="16"/>
            <w:u w:val="none"/>
            <w:lang w:val="es-ES_tradnl"/>
          </w:rPr>
          <w:t xml:space="preserve">Informe de la misión internacional independiente de determinación de los hechos sobre la </w:t>
        </w:r>
        <w:r w:rsidR="00CF7795" w:rsidRPr="00BF5C70">
          <w:rPr>
            <w:rStyle w:val="Hyperlink"/>
            <w:rFonts w:cstheme="majorBidi"/>
            <w:color w:val="auto"/>
            <w:szCs w:val="16"/>
            <w:u w:val="none"/>
            <w:lang w:val="es-ES_tradnl"/>
          </w:rPr>
          <w:t>República</w:t>
        </w:r>
        <w:r w:rsidR="00813403" w:rsidRPr="00BF5C70">
          <w:rPr>
            <w:rStyle w:val="Hyperlink"/>
            <w:rFonts w:cstheme="majorBidi"/>
            <w:color w:val="auto"/>
            <w:szCs w:val="16"/>
            <w:u w:val="none"/>
            <w:lang w:val="es-ES_tradnl"/>
          </w:rPr>
          <w:t xml:space="preserve"> Bolivariana de Venezuela, A/HRC/51/43</w:t>
        </w:r>
      </w:hyperlink>
      <w:r w:rsidRPr="00BF5C70">
        <w:t xml:space="preserve">, 20 de septiembre, 2022. </w:t>
      </w:r>
    </w:p>
  </w:footnote>
  <w:footnote w:id="304">
    <w:p w14:paraId="61978484" w14:textId="5CDE183D" w:rsidR="000F4C77" w:rsidRPr="00BF5C70" w:rsidRDefault="000F4C77" w:rsidP="00AF27A3">
      <w:pPr>
        <w:pStyle w:val="IAPiedepgina"/>
      </w:pPr>
      <w:r w:rsidRPr="005C52BD">
        <w:rPr>
          <w:rStyle w:val="FootnoteReference"/>
          <w:rFonts w:cstheme="majorBidi"/>
          <w:sz w:val="16"/>
          <w:szCs w:val="16"/>
        </w:rPr>
        <w:footnoteRef/>
      </w:r>
      <w:r w:rsidRPr="00BF5C70">
        <w:t xml:space="preserve"> Efecto Cocuyo, </w:t>
      </w:r>
      <w:hyperlink r:id="rId268" w:history="1">
        <w:r w:rsidRPr="00BF5C70">
          <w:t xml:space="preserve">Militares han desalojado a 1.271 personas de mina ilegal colapsada en </w:t>
        </w:r>
        <w:r w:rsidR="00190A54" w:rsidRPr="00BF5C70">
          <w:rPr>
            <w:rStyle w:val="Hyperlink"/>
            <w:rFonts w:cstheme="majorBidi"/>
            <w:color w:val="auto"/>
            <w:szCs w:val="16"/>
            <w:u w:val="none"/>
          </w:rPr>
          <w:t>Bolívar</w:t>
        </w:r>
      </w:hyperlink>
      <w:r w:rsidRPr="00BF5C70">
        <w:t>, 03 de marzo, 2024; Centro de Documentación e Información Bolivia (CEDIB), e. al., Amazonía</w:t>
      </w:r>
      <w:r w:rsidR="002B20B0" w:rsidRPr="00BF5C70">
        <w:t>, o</w:t>
      </w:r>
      <w:r w:rsidRPr="00BF5C70">
        <w:t>ctubre de 2024</w:t>
      </w:r>
      <w:r w:rsidR="004C29DE" w:rsidRPr="00BF5C70">
        <w:t xml:space="preserve">, </w:t>
      </w:r>
      <w:r w:rsidR="00051A34" w:rsidRPr="00BF5C70">
        <w:t>p</w:t>
      </w:r>
      <w:r w:rsidRPr="00BF5C70">
        <w:t>ág. 49.</w:t>
      </w:r>
    </w:p>
  </w:footnote>
  <w:footnote w:id="305">
    <w:p w14:paraId="2C2CEA87" w14:textId="0C40BEAF" w:rsidR="009712AD" w:rsidRPr="00AF27A3" w:rsidRDefault="009712AD" w:rsidP="00AF27A3">
      <w:pPr>
        <w:pStyle w:val="IAPiedepgina"/>
        <w:rPr>
          <w:szCs w:val="16"/>
          <w:lang w:val="es-AR"/>
        </w:rPr>
      </w:pPr>
      <w:r w:rsidRPr="00AF27A3">
        <w:rPr>
          <w:rStyle w:val="FootnoteReference"/>
          <w:sz w:val="16"/>
          <w:szCs w:val="16"/>
        </w:rPr>
        <w:footnoteRef/>
      </w:r>
      <w:r w:rsidRPr="00AF27A3">
        <w:rPr>
          <w:szCs w:val="16"/>
          <w:lang w:val="es-AR"/>
        </w:rPr>
        <w:t xml:space="preserve"> </w:t>
      </w:r>
      <w:r w:rsidR="00AF27A3" w:rsidRPr="00AF27A3">
        <w:rPr>
          <w:szCs w:val="16"/>
        </w:rPr>
        <w:t xml:space="preserve">UNICEF, </w:t>
      </w:r>
      <w:hyperlink r:id="rId269" w:history="1">
        <w:r w:rsidR="00AF27A3" w:rsidRPr="00346F25">
          <w:rPr>
            <w:rStyle w:val="Hyperlink"/>
            <w:color w:val="auto"/>
            <w:szCs w:val="16"/>
            <w:lang w:val="es-US"/>
          </w:rPr>
          <w:t>Humanitarian Situation Report No. 1</w:t>
        </w:r>
      </w:hyperlink>
      <w:r w:rsidR="00AF27A3" w:rsidRPr="00346F25">
        <w:rPr>
          <w:rStyle w:val="Hyperlink"/>
          <w:color w:val="auto"/>
          <w:lang w:val="es-US"/>
        </w:rPr>
        <w:t xml:space="preserve">, </w:t>
      </w:r>
      <w:r w:rsidR="00AF27A3" w:rsidRPr="00AF27A3">
        <w:rPr>
          <w:szCs w:val="16"/>
        </w:rPr>
        <w:t>Venezuela, 15 de agosto de 2024, p. 2.</w:t>
      </w:r>
    </w:p>
  </w:footnote>
  <w:footnote w:id="306">
    <w:p w14:paraId="6DC914EE" w14:textId="36452A8C" w:rsidR="00540407" w:rsidRPr="00A24978" w:rsidRDefault="00540407" w:rsidP="003935C7">
      <w:pPr>
        <w:pStyle w:val="IAPiedepgina"/>
      </w:pPr>
      <w:r w:rsidRPr="00A24978">
        <w:rPr>
          <w:rStyle w:val="FootnoteReference"/>
          <w:sz w:val="16"/>
          <w:szCs w:val="16"/>
        </w:rPr>
        <w:footnoteRef/>
      </w:r>
      <w:r w:rsidRPr="00A24978">
        <w:t xml:space="preserve"> </w:t>
      </w:r>
      <w:r w:rsidR="00A24978" w:rsidRPr="00A24978">
        <w:t>Información proporcionada a la CIDH durante reunión con organizaciones de sociedad civil. 25 de octubre de 2024.</w:t>
      </w:r>
    </w:p>
  </w:footnote>
  <w:footnote w:id="307">
    <w:p w14:paraId="451924A8" w14:textId="5C1F66CA" w:rsidR="00552F71" w:rsidRPr="00512F6D" w:rsidRDefault="00552F71" w:rsidP="003935C7">
      <w:pPr>
        <w:pStyle w:val="IAPiedepgina"/>
        <w:rPr>
          <w:szCs w:val="16"/>
          <w:lang w:val="es-AR"/>
        </w:rPr>
      </w:pPr>
      <w:r w:rsidRPr="00512F6D">
        <w:rPr>
          <w:rStyle w:val="FootnoteReference"/>
          <w:sz w:val="16"/>
          <w:szCs w:val="16"/>
        </w:rPr>
        <w:footnoteRef/>
      </w:r>
      <w:r w:rsidRPr="00512F6D">
        <w:rPr>
          <w:szCs w:val="16"/>
          <w:lang w:val="es-AR"/>
        </w:rPr>
        <w:t xml:space="preserve"> </w:t>
      </w:r>
      <w:r w:rsidR="0077327F" w:rsidRPr="00512F6D">
        <w:rPr>
          <w:szCs w:val="16"/>
          <w:lang w:val="es-AR"/>
        </w:rPr>
        <w:t>Información proporcionada a la CIDH durante reunión con organizaciones de sociedad civil. 25 de octubre de 2024.</w:t>
      </w:r>
    </w:p>
  </w:footnote>
  <w:footnote w:id="308">
    <w:p w14:paraId="4C714218" w14:textId="606C2977" w:rsidR="00BC72ED" w:rsidRPr="003935C7" w:rsidRDefault="00BC72ED" w:rsidP="003935C7">
      <w:pPr>
        <w:pStyle w:val="IAPiedepgina"/>
        <w:rPr>
          <w:szCs w:val="16"/>
          <w:lang w:val="es-AR"/>
        </w:rPr>
      </w:pPr>
      <w:r w:rsidRPr="003935C7">
        <w:rPr>
          <w:rStyle w:val="FootnoteReference"/>
          <w:sz w:val="16"/>
          <w:szCs w:val="16"/>
        </w:rPr>
        <w:footnoteRef/>
      </w:r>
      <w:r w:rsidRPr="003935C7">
        <w:rPr>
          <w:szCs w:val="16"/>
          <w:lang w:val="es-AR"/>
        </w:rPr>
        <w:t xml:space="preserve"> </w:t>
      </w:r>
      <w:r w:rsidR="00547692" w:rsidRPr="003935C7">
        <w:rPr>
          <w:szCs w:val="16"/>
          <w:lang w:val="es-AR"/>
        </w:rPr>
        <w:t>Información proporcionada a la CIDH durante reunión con organizaciones de sociedad civil. 25 de octubre de 2024.</w:t>
      </w:r>
    </w:p>
  </w:footnote>
  <w:footnote w:id="309">
    <w:p w14:paraId="0BF0A41F" w14:textId="7D672BAE" w:rsidR="00616270" w:rsidRPr="00BF5C70" w:rsidRDefault="00616270" w:rsidP="003935C7">
      <w:pPr>
        <w:pStyle w:val="IAPiedepgina"/>
      </w:pPr>
      <w:r w:rsidRPr="005C52BD">
        <w:rPr>
          <w:rStyle w:val="FootnoteReference"/>
          <w:rFonts w:cstheme="majorBidi"/>
          <w:sz w:val="16"/>
          <w:szCs w:val="16"/>
          <w:lang w:val="es-ES_tradnl"/>
        </w:rPr>
        <w:footnoteRef/>
      </w:r>
      <w:r w:rsidRPr="00BF5C70">
        <w:t xml:space="preserve"> VTV,</w:t>
      </w:r>
      <w:hyperlink r:id="rId270" w:history="1">
        <w:r w:rsidRPr="00BF5C70">
          <w:rPr>
            <w:rStyle w:val="Hyperlink"/>
            <w:rFonts w:cstheme="majorBidi"/>
            <w:color w:val="auto"/>
            <w:szCs w:val="16"/>
            <w:lang w:val="es-ES_tradnl"/>
          </w:rPr>
          <w:t>Más de 317 mil denuncias de violencia de género ha recibido el MP desde 2017</w:t>
        </w:r>
      </w:hyperlink>
      <w:r w:rsidRPr="00BF5C70">
        <w:t xml:space="preserve">, 20 de octubre de 2024. </w:t>
      </w:r>
    </w:p>
  </w:footnote>
  <w:footnote w:id="310">
    <w:p w14:paraId="29D4ED7D" w14:textId="77777777" w:rsidR="00616270" w:rsidRPr="00BF5C70" w:rsidRDefault="00616270" w:rsidP="003935C7">
      <w:pPr>
        <w:pStyle w:val="IAPiedepgina"/>
      </w:pPr>
      <w:r w:rsidRPr="005C52BD">
        <w:rPr>
          <w:rStyle w:val="FootnoteReference"/>
          <w:rFonts w:cstheme="majorBidi"/>
          <w:sz w:val="16"/>
          <w:szCs w:val="16"/>
          <w:lang w:val="es-ES_tradnl"/>
        </w:rPr>
        <w:footnoteRef/>
      </w:r>
      <w:r w:rsidRPr="00BF5C70">
        <w:t xml:space="preserve"> CEPAZ, </w:t>
      </w:r>
      <w:hyperlink r:id="rId271" w:history="1">
        <w:r w:rsidRPr="00BF5C70">
          <w:rPr>
            <w:rStyle w:val="Hyperlink"/>
            <w:rFonts w:cstheme="majorBidi"/>
            <w:color w:val="auto"/>
            <w:szCs w:val="16"/>
            <w:lang w:val="es-ES_tradnl"/>
          </w:rPr>
          <w:t>Observatorio Digital de Femicidios de Cepaz documentó 58 femicidios consumados y 27 frustrados en el primer cuatrimestre de 2024</w:t>
        </w:r>
      </w:hyperlink>
      <w:r w:rsidRPr="00BF5C70">
        <w:t xml:space="preserve">, 18 de julio de 2024. </w:t>
      </w:r>
    </w:p>
  </w:footnote>
  <w:footnote w:id="311">
    <w:p w14:paraId="68A79F09" w14:textId="77777777" w:rsidR="00616270" w:rsidRPr="00BF5C70" w:rsidRDefault="00616270" w:rsidP="003935C7">
      <w:pPr>
        <w:pStyle w:val="IAPiedepgina"/>
      </w:pPr>
      <w:r w:rsidRPr="005C52BD">
        <w:rPr>
          <w:rStyle w:val="FootnoteReference"/>
          <w:rFonts w:cstheme="majorBidi"/>
          <w:sz w:val="16"/>
          <w:szCs w:val="16"/>
        </w:rPr>
        <w:footnoteRef/>
      </w:r>
      <w:r w:rsidRPr="00BF5C70">
        <w:t xml:space="preserve"> Utopix. </w:t>
      </w:r>
      <w:hyperlink r:id="rId272" w:history="1">
        <w:r w:rsidRPr="00BF5C70">
          <w:rPr>
            <w:rStyle w:val="Hyperlink"/>
            <w:rFonts w:cstheme="majorBidi"/>
            <w:color w:val="auto"/>
            <w:szCs w:val="16"/>
          </w:rPr>
          <w:t>Julio de 2024: Son 14 casos para un total de 108 femicidios en Venezuela en siete meses</w:t>
        </w:r>
      </w:hyperlink>
      <w:r w:rsidRPr="00BF5C70">
        <w:t xml:space="preserve">, 8 de octubre de 2024. </w:t>
      </w:r>
    </w:p>
  </w:footnote>
  <w:footnote w:id="312">
    <w:p w14:paraId="018D192E" w14:textId="7A03BABA" w:rsidR="00616270" w:rsidRPr="00BF5C70" w:rsidRDefault="00616270" w:rsidP="003935C7">
      <w:pPr>
        <w:pStyle w:val="IAPiedepgina"/>
      </w:pPr>
      <w:r w:rsidRPr="005C52BD">
        <w:rPr>
          <w:rStyle w:val="FootnoteReference"/>
          <w:rFonts w:cstheme="majorBidi"/>
          <w:sz w:val="16"/>
          <w:szCs w:val="16"/>
          <w:lang w:val="es-ES_tradnl"/>
        </w:rPr>
        <w:footnoteRef/>
      </w:r>
      <w:r w:rsidRPr="00BF5C70">
        <w:t xml:space="preserve">Tendencias. </w:t>
      </w:r>
      <w:hyperlink r:id="rId273" w:history="1">
        <w:r w:rsidRPr="00BF5C70">
          <w:rPr>
            <w:rStyle w:val="Hyperlink"/>
            <w:rFonts w:cstheme="majorBidi"/>
            <w:color w:val="auto"/>
            <w:szCs w:val="16"/>
            <w:lang w:val="es-ES_tradnl"/>
          </w:rPr>
          <w:t>Situación de los derechos de niños, niñas y adolescentes en Venezuela</w:t>
        </w:r>
      </w:hyperlink>
      <w:r w:rsidRPr="00BF5C70">
        <w:t xml:space="preserve">, septiembre de 2024, pág. 14. </w:t>
      </w:r>
    </w:p>
  </w:footnote>
  <w:footnote w:id="313">
    <w:p w14:paraId="1D0BA552" w14:textId="7C1F6FF9" w:rsidR="00616270" w:rsidRPr="00BF5C70" w:rsidRDefault="00616270" w:rsidP="003935C7">
      <w:pPr>
        <w:pStyle w:val="IAPiedepgina"/>
      </w:pPr>
      <w:r w:rsidRPr="005C52BD">
        <w:rPr>
          <w:rStyle w:val="FootnoteReference"/>
          <w:rFonts w:cstheme="majorBidi"/>
          <w:sz w:val="16"/>
          <w:szCs w:val="16"/>
          <w:lang w:val="es-ES_tradnl"/>
        </w:rPr>
        <w:footnoteRef/>
      </w:r>
      <w:r w:rsidRPr="00BF5C70">
        <w:t xml:space="preserve"> Comisión de la mujer ULA, </w:t>
      </w:r>
      <w:hyperlink r:id="rId274" w:history="1">
        <w:r w:rsidRPr="00BF5C70">
          <w:rPr>
            <w:rStyle w:val="Hyperlink"/>
            <w:rFonts w:cstheme="majorBidi"/>
            <w:color w:val="auto"/>
            <w:szCs w:val="16"/>
            <w:lang w:val="es-ES_tradnl"/>
          </w:rPr>
          <w:t>Violencia conta las mujeres por razones de género en medios digitales</w:t>
        </w:r>
      </w:hyperlink>
      <w:r w:rsidRPr="00BF5C70">
        <w:t xml:space="preserve">, junio de 2024, pág. 23. </w:t>
      </w:r>
    </w:p>
  </w:footnote>
  <w:footnote w:id="314">
    <w:p w14:paraId="62D209B0" w14:textId="77777777" w:rsidR="00616270" w:rsidRPr="00BF5C70" w:rsidRDefault="00616270" w:rsidP="003935C7">
      <w:pPr>
        <w:pStyle w:val="IAPiedepgina"/>
      </w:pPr>
      <w:r w:rsidRPr="005C52BD">
        <w:rPr>
          <w:rStyle w:val="FootnoteReference"/>
          <w:rFonts w:cstheme="majorBidi"/>
          <w:sz w:val="16"/>
          <w:szCs w:val="16"/>
          <w:lang w:val="es-ES_tradnl"/>
        </w:rPr>
        <w:footnoteRef/>
      </w:r>
      <w:r w:rsidRPr="00BF5C70">
        <w:t xml:space="preserve"> Red de Mujeres Constructoras de Paz, </w:t>
      </w:r>
      <w:hyperlink r:id="rId275" w:history="1">
        <w:r w:rsidRPr="00BF5C70">
          <w:rPr>
            <w:rStyle w:val="Hyperlink"/>
            <w:rFonts w:cstheme="majorBidi"/>
            <w:color w:val="auto"/>
            <w:szCs w:val="16"/>
            <w:lang w:val="es-ES_tradnl"/>
          </w:rPr>
          <w:t>Corte de apelaciones ratifica la condena de Naibelys Noel víctima de violencia vicaria</w:t>
        </w:r>
      </w:hyperlink>
      <w:r w:rsidRPr="00BF5C70">
        <w:t xml:space="preserve">, 15 de junio de 2024. </w:t>
      </w:r>
    </w:p>
  </w:footnote>
  <w:footnote w:id="315">
    <w:p w14:paraId="2ECA948B" w14:textId="77777777" w:rsidR="00616270" w:rsidRPr="00BF5C70" w:rsidRDefault="00616270" w:rsidP="003935C7">
      <w:pPr>
        <w:pStyle w:val="IAPiedepgina"/>
      </w:pPr>
      <w:r w:rsidRPr="005C52BD">
        <w:rPr>
          <w:rStyle w:val="FootnoteReference"/>
          <w:rFonts w:cstheme="majorBidi"/>
          <w:sz w:val="16"/>
          <w:szCs w:val="16"/>
          <w:lang w:val="es-ES_tradnl"/>
        </w:rPr>
        <w:footnoteRef/>
      </w:r>
      <w:r w:rsidRPr="00BF5C70">
        <w:t xml:space="preserve"> Funda Redes, et al., Solicitud de audiencia temática “Situación de las mujeres y otros grupos vulnerables en la frontera colombo venezolana”, 190° Periodo ordinario de sesiones, 15 de abril de 2024, párr. 10, en archivo de la CIDH. </w:t>
      </w:r>
    </w:p>
  </w:footnote>
  <w:footnote w:id="316">
    <w:p w14:paraId="2EC9BB6C" w14:textId="1DA3547B" w:rsidR="00616270" w:rsidRPr="00BF5C70" w:rsidRDefault="00616270" w:rsidP="00A9115E">
      <w:pPr>
        <w:pStyle w:val="IAPiedepgina"/>
      </w:pPr>
      <w:r w:rsidRPr="005C52BD">
        <w:rPr>
          <w:rStyle w:val="FootnoteReference"/>
          <w:rFonts w:cstheme="majorBidi"/>
          <w:sz w:val="16"/>
          <w:szCs w:val="16"/>
        </w:rPr>
        <w:footnoteRef/>
      </w:r>
      <w:r w:rsidRPr="00BF5C70">
        <w:t xml:space="preserve"> Funda Redes, et al., Solicitud de audiencia temática “Situación de las mujeres y otros grupos vulnerables en la frontera colombo venezolana”, 190° Periodo ordinario de sesiones, 15 de abril de 2024, párrs. 14-17, en archivo de la CIDH; Tal Cual, </w:t>
      </w:r>
      <w:hyperlink r:id="rId276" w:history="1">
        <w:r w:rsidR="00761602">
          <w:rPr>
            <w:rStyle w:val="Hyperlink"/>
            <w:rFonts w:cstheme="majorBidi"/>
            <w:color w:val="auto"/>
            <w:szCs w:val="16"/>
          </w:rPr>
          <w:t>v</w:t>
        </w:r>
        <w:r w:rsidRPr="00BF5C70">
          <w:rPr>
            <w:rStyle w:val="Hyperlink"/>
            <w:rFonts w:cstheme="majorBidi"/>
            <w:color w:val="auto"/>
            <w:szCs w:val="16"/>
          </w:rPr>
          <w:t>enezolanas varadas en frontera son más vulnerables a la explotación sexual</w:t>
        </w:r>
      </w:hyperlink>
      <w:r w:rsidRPr="00BF5C70">
        <w:t>, 6 de marzo de 2024</w:t>
      </w:r>
      <w:r w:rsidR="001D764A" w:rsidRPr="00BF5C70">
        <w:t>;</w:t>
      </w:r>
      <w:r w:rsidR="001D2ABD" w:rsidRPr="00BF5C70">
        <w:t xml:space="preserve"> y</w:t>
      </w:r>
      <w:r w:rsidRPr="00BF5C70">
        <w:t xml:space="preserve"> Comité CEDAW, Observaciones finales sobre el noveno informe periódico de la República </w:t>
      </w:r>
      <w:r w:rsidR="00A027E6" w:rsidRPr="00BF5C70">
        <w:t>B</w:t>
      </w:r>
      <w:r w:rsidRPr="00BF5C70">
        <w:t>olivariana de Venezuela,</w:t>
      </w:r>
      <w:r w:rsidR="00A9115E">
        <w:t xml:space="preserve"> </w:t>
      </w:r>
      <w:r w:rsidRPr="00BF5C70">
        <w:t xml:space="preserve">CEDAW/C/VEN/CO/9, 31 de mayo </w:t>
      </w:r>
      <w:r w:rsidR="001E1B19" w:rsidRPr="00BF5C70">
        <w:t xml:space="preserve">de </w:t>
      </w:r>
      <w:r w:rsidRPr="00BF5C70">
        <w:t>2023, párr</w:t>
      </w:r>
      <w:r w:rsidR="00EF4109" w:rsidRPr="00BF5C70">
        <w:t>s</w:t>
      </w:r>
      <w:r w:rsidRPr="00BF5C70">
        <w:t>. 19 y 27.</w:t>
      </w:r>
    </w:p>
  </w:footnote>
  <w:footnote w:id="317">
    <w:p w14:paraId="0C27FB73" w14:textId="0100E95E" w:rsidR="00616270" w:rsidRPr="00BF5C70" w:rsidRDefault="00616270" w:rsidP="00291D0A">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Comité CEDAW, Observaciones finales sobre el noveno informe periódico de la República </w:t>
      </w:r>
      <w:r w:rsidR="004F52AA" w:rsidRPr="00BF5C70">
        <w:rPr>
          <w:lang w:val="es-ES_tradnl"/>
        </w:rPr>
        <w:t>B</w:t>
      </w:r>
      <w:r w:rsidRPr="00BF5C70">
        <w:rPr>
          <w:lang w:val="es-ES_tradnl"/>
        </w:rPr>
        <w:t xml:space="preserve">olivariana de Venezuela, CEDAW/C/VEN/CO/9, 31 de mayo </w:t>
      </w:r>
      <w:r w:rsidR="00F96F09" w:rsidRPr="00BF5C70">
        <w:rPr>
          <w:lang w:val="es-ES_tradnl"/>
        </w:rPr>
        <w:t>de</w:t>
      </w:r>
      <w:r w:rsidR="002F0911" w:rsidRPr="00BF5C70">
        <w:rPr>
          <w:lang w:val="es-ES_tradnl"/>
        </w:rPr>
        <w:t xml:space="preserve"> </w:t>
      </w:r>
      <w:r w:rsidRPr="00BF5C70">
        <w:rPr>
          <w:lang w:val="es-ES_tradnl"/>
        </w:rPr>
        <w:t xml:space="preserve">2023, párr. 27. </w:t>
      </w:r>
    </w:p>
  </w:footnote>
  <w:footnote w:id="318">
    <w:p w14:paraId="74E61CC0" w14:textId="77777777" w:rsidR="00616270" w:rsidRPr="00BF5C70" w:rsidRDefault="00616270" w:rsidP="00291D0A">
      <w:pPr>
        <w:pStyle w:val="IAPiedepgina"/>
      </w:pPr>
      <w:r w:rsidRPr="005C52BD">
        <w:rPr>
          <w:rStyle w:val="FootnoteReference"/>
          <w:rFonts w:cstheme="majorBidi"/>
          <w:sz w:val="16"/>
          <w:szCs w:val="16"/>
        </w:rPr>
        <w:footnoteRef/>
      </w:r>
      <w:r w:rsidRPr="00BF5C70">
        <w:t xml:space="preserve"> Relator Especial de Naciones Unidas sobre el Derecho a la Alimentación, Michael Fakhri, </w:t>
      </w:r>
      <w:hyperlink r:id="rId277" w:history="1">
        <w:r w:rsidRPr="00BF5C70">
          <w:rPr>
            <w:rStyle w:val="Hyperlink"/>
            <w:rFonts w:cstheme="majorBidi"/>
            <w:color w:val="auto"/>
            <w:szCs w:val="16"/>
          </w:rPr>
          <w:t>Declaración Final de la Misión de visita a Venezuela (República Bolivariana de)</w:t>
        </w:r>
      </w:hyperlink>
      <w:r w:rsidRPr="00BF5C70">
        <w:t>, 1-14 de febrero de 2024</w:t>
      </w:r>
    </w:p>
  </w:footnote>
  <w:footnote w:id="319">
    <w:p w14:paraId="3AE9F7DF" w14:textId="77777777" w:rsidR="00616270" w:rsidRPr="00BF5C70" w:rsidRDefault="00616270" w:rsidP="00291D0A">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Ministerio del Poder Popular para la Mujer y la Igualdad de Género, </w:t>
      </w:r>
      <w:hyperlink r:id="rId278" w:history="1">
        <w:r w:rsidRPr="00BF5C70">
          <w:rPr>
            <w:rStyle w:val="Hyperlink"/>
            <w:rFonts w:cstheme="majorBidi"/>
            <w:color w:val="auto"/>
            <w:szCs w:val="16"/>
            <w:lang w:val="es-ES_tradnl"/>
          </w:rPr>
          <w:t>Gran Misión Venezuela Mujer: Empoderando a las mujeres y transformando comunidades</w:t>
        </w:r>
      </w:hyperlink>
      <w:r w:rsidRPr="00BF5C70">
        <w:rPr>
          <w:lang w:val="es-ES_tradnl"/>
        </w:rPr>
        <w:t xml:space="preserve">, 16 de octubre de 2024. </w:t>
      </w:r>
    </w:p>
  </w:footnote>
  <w:footnote w:id="320">
    <w:p w14:paraId="3CD7053F" w14:textId="77777777" w:rsidR="00616270" w:rsidRPr="00BF5C70" w:rsidRDefault="00616270" w:rsidP="00291D0A">
      <w:pPr>
        <w:pStyle w:val="IAPiedepgina"/>
      </w:pPr>
      <w:r w:rsidRPr="005C52BD">
        <w:rPr>
          <w:rStyle w:val="FootnoteReference"/>
          <w:rFonts w:cstheme="majorBidi"/>
          <w:sz w:val="16"/>
          <w:szCs w:val="16"/>
        </w:rPr>
        <w:footnoteRef/>
      </w:r>
      <w:r w:rsidRPr="00BF5C70">
        <w:t xml:space="preserve"> Funcamama, et al., Solicitud de audiencia, “Medidas cautelares decretadas por la CIDH en su Resolución 68/2020, para el acceso a un tratamiento médico adecuado” MC-545-19, 189°Periodo Ordinario de Sesiones, 2 de diciembre de 2023, pág. 3, en archivo de la CIDH. </w:t>
      </w:r>
    </w:p>
  </w:footnote>
  <w:footnote w:id="321">
    <w:p w14:paraId="1FF1168F" w14:textId="7C530297" w:rsidR="00616270" w:rsidRPr="00BF5C70" w:rsidRDefault="00616270" w:rsidP="00291D0A">
      <w:pPr>
        <w:pStyle w:val="IAPiedepgina"/>
        <w:rPr>
          <w:rStyle w:val="Nenhum"/>
          <w:rFonts w:eastAsia="Cambria" w:cstheme="majorBidi"/>
          <w:szCs w:val="16"/>
        </w:rPr>
      </w:pPr>
      <w:r w:rsidRPr="005C52BD">
        <w:rPr>
          <w:rStyle w:val="FootnoteReference"/>
          <w:rFonts w:cstheme="majorBidi"/>
          <w:sz w:val="16"/>
          <w:szCs w:val="16"/>
        </w:rPr>
        <w:footnoteRef/>
      </w:r>
      <w:r w:rsidRPr="00BF5C70">
        <w:t xml:space="preserve"> </w:t>
      </w:r>
      <w:r w:rsidRPr="00BF5C70">
        <w:rPr>
          <w:rStyle w:val="Nenhum"/>
          <w:rFonts w:eastAsia="Cambria" w:cstheme="majorBidi"/>
          <w:szCs w:val="16"/>
        </w:rPr>
        <w:t>Información proporcionada a la CIDH por Funcamama durante reunión virtual sobre la situación de las mujeres con cáncer de mama, 23 de octubre de 2024.</w:t>
      </w:r>
    </w:p>
  </w:footnote>
  <w:footnote w:id="322">
    <w:p w14:paraId="7EFB292A" w14:textId="1B0564BC" w:rsidR="00616270" w:rsidRPr="00BF5C70" w:rsidRDefault="00616270" w:rsidP="00291D0A">
      <w:pPr>
        <w:pStyle w:val="IAPiedepgina"/>
        <w:rPr>
          <w:rStyle w:val="Nenhum"/>
          <w:rFonts w:eastAsia="Cambria" w:cstheme="majorBidi"/>
          <w:color w:val="auto"/>
          <w:szCs w:val="16"/>
        </w:rPr>
      </w:pPr>
      <w:r w:rsidRPr="005C52BD">
        <w:rPr>
          <w:rStyle w:val="FootnoteReference"/>
          <w:rFonts w:eastAsia="Arial Unicode MS" w:cstheme="majorBidi"/>
          <w:color w:val="auto"/>
          <w:sz w:val="16"/>
          <w:szCs w:val="16"/>
        </w:rPr>
        <w:footnoteRef/>
      </w:r>
      <w:r w:rsidRPr="00BF5C70">
        <w:rPr>
          <w:rStyle w:val="Nenhum"/>
          <w:rFonts w:eastAsia="Cambria" w:cstheme="majorBidi"/>
          <w:color w:val="auto"/>
          <w:szCs w:val="16"/>
        </w:rPr>
        <w:t xml:space="preserve">Información proporcionada a la CIDH por Funcamama durante reunión virtual sobre la situación de las mujeres con cáncer de mama, 23 de octubre de 2024. </w:t>
      </w:r>
    </w:p>
  </w:footnote>
  <w:footnote w:id="323">
    <w:p w14:paraId="04671976" w14:textId="77777777" w:rsidR="00616270" w:rsidRPr="00BF5C70" w:rsidRDefault="00616270" w:rsidP="00291D0A">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AVESA, </w:t>
      </w:r>
      <w:hyperlink r:id="rId279" w:anchor=":~:text=Venezuela%20sigue%20teniendo%20una%20de,zonas%20rurales%20y%20comunidades%20ind%C3%ADgenas." w:history="1">
        <w:r w:rsidRPr="00BF5C70">
          <w:rPr>
            <w:rStyle w:val="Hyperlink"/>
            <w:rFonts w:cstheme="majorBidi"/>
            <w:color w:val="auto"/>
            <w:szCs w:val="16"/>
            <w:lang w:val="es-ES_tradnl"/>
          </w:rPr>
          <w:t>Un alto porcentaje de las embarazadas en zonas rurales y comunidades indígenas venezolanas son adolescentes</w:t>
        </w:r>
      </w:hyperlink>
      <w:r w:rsidRPr="00BF5C70">
        <w:rPr>
          <w:lang w:val="es-ES_tradnl"/>
        </w:rPr>
        <w:t xml:space="preserve">, 5 de septiembre de 2024. El Aragüeño, </w:t>
      </w:r>
      <w:hyperlink r:id="rId280" w:history="1">
        <w:r w:rsidRPr="00BF5C70">
          <w:rPr>
            <w:rStyle w:val="Hyperlink"/>
            <w:rFonts w:cstheme="majorBidi"/>
            <w:color w:val="auto"/>
            <w:szCs w:val="16"/>
            <w:lang w:val="es-ES_tradnl"/>
          </w:rPr>
          <w:t>Experto advierte sobre la alarma del embarazo adolescente en Venezuela</w:t>
        </w:r>
      </w:hyperlink>
      <w:r w:rsidRPr="00BF5C70">
        <w:rPr>
          <w:lang w:val="es-ES_tradnl"/>
        </w:rPr>
        <w:t xml:space="preserve">, 5 de octubre de 2024. </w:t>
      </w:r>
    </w:p>
  </w:footnote>
  <w:footnote w:id="324">
    <w:p w14:paraId="0248783F" w14:textId="77777777" w:rsidR="00616270" w:rsidRPr="00BF5C70" w:rsidRDefault="00616270" w:rsidP="00291D0A">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Tal Cual, </w:t>
      </w:r>
      <w:hyperlink r:id="rId281" w:history="1">
        <w:r w:rsidRPr="00BF5C70">
          <w:rPr>
            <w:rStyle w:val="Hyperlink"/>
            <w:rFonts w:cstheme="majorBidi"/>
            <w:color w:val="auto"/>
            <w:szCs w:val="16"/>
            <w:lang w:val="es-ES_tradnl"/>
          </w:rPr>
          <w:t>Parir en Venezuela ahorita es más complicado que nunca</w:t>
        </w:r>
      </w:hyperlink>
      <w:r w:rsidRPr="00BF5C70">
        <w:rPr>
          <w:lang w:val="es-ES_tradnl"/>
        </w:rPr>
        <w:t xml:space="preserve">, 22 de junio de 2024. </w:t>
      </w:r>
    </w:p>
  </w:footnote>
  <w:footnote w:id="325">
    <w:p w14:paraId="3139BB17" w14:textId="77777777" w:rsidR="00616270" w:rsidRPr="00BF5C70" w:rsidRDefault="00616270" w:rsidP="00291D0A">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Comité CEDAW, Observaciones finales sobre el noveno informe periódico de la República bolivariana de Venezuela, CEDAW/C/VEN/CO/9, 31 de mayo 2023, párr. 37; AVESA</w:t>
      </w:r>
      <w:hyperlink r:id="rId282" w:history="1">
        <w:r w:rsidRPr="00BF5C70">
          <w:rPr>
            <w:rStyle w:val="Hyperlink"/>
            <w:rFonts w:cstheme="majorBidi"/>
            <w:color w:val="auto"/>
            <w:szCs w:val="16"/>
            <w:lang w:val="es-ES_tradnl"/>
          </w:rPr>
          <w:t>, Informe sobre el progreso y las brechas en la implementación de los derechos, salud y justicia sexual y reproductiva en el 10° aniversario del consenso de Montevideo en Venezuela</w:t>
        </w:r>
      </w:hyperlink>
      <w:r w:rsidRPr="00BF5C70">
        <w:rPr>
          <w:lang w:val="es-ES_tradnl"/>
        </w:rPr>
        <w:t xml:space="preserve">, 30 de agosto de 2023, pág. 10. </w:t>
      </w:r>
    </w:p>
  </w:footnote>
  <w:footnote w:id="326">
    <w:p w14:paraId="0ECB2FA9" w14:textId="77777777" w:rsidR="00616270" w:rsidRPr="00BF5C70" w:rsidRDefault="00616270" w:rsidP="00291D0A">
      <w:pPr>
        <w:pStyle w:val="IAPiedepgina"/>
      </w:pPr>
      <w:r w:rsidRPr="005C52BD">
        <w:rPr>
          <w:rStyle w:val="FootnoteReference"/>
          <w:rFonts w:cstheme="majorBidi"/>
          <w:sz w:val="16"/>
          <w:szCs w:val="16"/>
        </w:rPr>
        <w:footnoteRef/>
      </w:r>
      <w:r w:rsidRPr="00BF5C70">
        <w:t xml:space="preserve"> Oficina del Alto Comisionado de las Naciones Unidas para los Derechos Humanos, </w:t>
      </w:r>
      <w:hyperlink r:id="rId283" w:history="1">
        <w:r w:rsidRPr="00BF5C70">
          <w:rPr>
            <w:rStyle w:val="Hyperlink"/>
            <w:rFonts w:cstheme="majorBidi"/>
            <w:color w:val="auto"/>
            <w:szCs w:val="16"/>
          </w:rPr>
          <w:t>El Alto Comisionado actualiza la situación de los derechos humanos en Venezuela</w:t>
        </w:r>
      </w:hyperlink>
      <w:r w:rsidRPr="00BF5C70">
        <w:t>, 3 de julio de 2024; CIDH, Informe Anual 2021, Capítulo IV.b Venezuela, 26 de mayo de 2022, párr. 185.</w:t>
      </w:r>
    </w:p>
  </w:footnote>
  <w:footnote w:id="327">
    <w:p w14:paraId="23F029C2" w14:textId="77777777" w:rsidR="00616270" w:rsidRPr="00BF5C70" w:rsidRDefault="00616270" w:rsidP="00291D0A">
      <w:pPr>
        <w:pStyle w:val="IAPiedepgina"/>
        <w:rPr>
          <w:lang w:val="es-ES_tradnl"/>
        </w:rPr>
      </w:pPr>
      <w:r w:rsidRPr="005C52BD">
        <w:rPr>
          <w:rStyle w:val="FootnoteReference"/>
          <w:rFonts w:cstheme="majorBidi"/>
          <w:sz w:val="16"/>
          <w:szCs w:val="16"/>
          <w:lang w:val="es-ES_tradnl"/>
        </w:rPr>
        <w:footnoteRef/>
      </w:r>
      <w:r w:rsidRPr="00BF5C70">
        <w:rPr>
          <w:lang w:val="es-ES_tradnl"/>
        </w:rPr>
        <w:t xml:space="preserve"> AVESA</w:t>
      </w:r>
      <w:hyperlink r:id="rId284" w:history="1">
        <w:r w:rsidRPr="00BF5C70">
          <w:rPr>
            <w:rStyle w:val="Hyperlink"/>
            <w:rFonts w:cstheme="majorBidi"/>
            <w:color w:val="auto"/>
            <w:szCs w:val="16"/>
            <w:lang w:val="es-ES_tradnl"/>
          </w:rPr>
          <w:t>, Informe sobre el progreso y las brechas en la implementación de los derechos, salud y justicia sexual y reproductiva en el 10° aniversario del consenso de Montevideo en Venezuela</w:t>
        </w:r>
      </w:hyperlink>
      <w:r w:rsidRPr="00BF5C70">
        <w:rPr>
          <w:lang w:val="es-ES_tradnl"/>
        </w:rPr>
        <w:t xml:space="preserve">, 30 de agosto de 2023, pág. 10; El País, </w:t>
      </w:r>
      <w:hyperlink r:id="rId285" w:history="1">
        <w:r w:rsidRPr="00BF5C70">
          <w:rPr>
            <w:rStyle w:val="Hyperlink"/>
            <w:rFonts w:cstheme="majorBidi"/>
            <w:color w:val="auto"/>
            <w:szCs w:val="16"/>
            <w:lang w:val="es-ES_tradnl"/>
          </w:rPr>
          <w:t>Un bus a Colombia, el ‘plan C’ de las mujeres venezolanas que buscan abortar</w:t>
        </w:r>
      </w:hyperlink>
      <w:r w:rsidRPr="00BF5C70">
        <w:rPr>
          <w:lang w:val="es-ES_tradnl"/>
        </w:rPr>
        <w:t xml:space="preserve">, 28 de septiembre de 2024. </w:t>
      </w:r>
    </w:p>
  </w:footnote>
  <w:footnote w:id="328">
    <w:p w14:paraId="7627AEF3" w14:textId="77777777" w:rsidR="00AB1B38" w:rsidRPr="00BF5C70" w:rsidRDefault="00AB1B38" w:rsidP="00B01052">
      <w:pPr>
        <w:pStyle w:val="IAPiedepgina"/>
      </w:pPr>
      <w:r w:rsidRPr="005C52BD">
        <w:rPr>
          <w:rStyle w:val="FootnoteReference"/>
          <w:rFonts w:cstheme="majorBidi"/>
          <w:sz w:val="16"/>
          <w:szCs w:val="16"/>
          <w:lang w:val="es-ES_tradnl"/>
        </w:rPr>
        <w:footnoteRef/>
      </w:r>
      <w:r w:rsidRPr="00BF5C70">
        <w:t xml:space="preserve"> Oficina del Alto Comisionado de las Naciones Unidas para los Derechos Humanos (OACNUDH), Situación de los derechos humanos en la República Bolivariana de Venezuela. Informe del Alto Comisionado de las Naciones Unidas para los Derechos Humanos, </w:t>
      </w:r>
      <w:hyperlink r:id="rId286" w:history="1">
        <w:r w:rsidRPr="00BF5C70">
          <w:rPr>
            <w:rStyle w:val="Hyperlink"/>
            <w:rFonts w:cstheme="majorBidi"/>
            <w:color w:val="auto"/>
            <w:szCs w:val="16"/>
            <w:u w:val="none"/>
            <w:lang w:val="es-ES_tradnl"/>
          </w:rPr>
          <w:t>A/HRC/56/63</w:t>
        </w:r>
      </w:hyperlink>
      <w:r w:rsidRPr="00BF5C70">
        <w:t>, 28 de junio de 2024, párr. 33.</w:t>
      </w:r>
    </w:p>
  </w:footnote>
  <w:footnote w:id="329">
    <w:p w14:paraId="6B6F94CA" w14:textId="38F652DF" w:rsidR="00AB1B38" w:rsidRPr="00BF5C70" w:rsidRDefault="00AB1B38" w:rsidP="00B01052">
      <w:pPr>
        <w:pStyle w:val="IAPiedepgina"/>
      </w:pPr>
      <w:r w:rsidRPr="005C52BD">
        <w:rPr>
          <w:rStyle w:val="FootnoteReference"/>
          <w:rFonts w:cstheme="majorBidi"/>
          <w:sz w:val="16"/>
          <w:szCs w:val="16"/>
          <w:lang w:val="es-ES_tradnl"/>
        </w:rPr>
        <w:footnoteRef/>
      </w:r>
      <w:r w:rsidRPr="00BF5C70">
        <w:t xml:space="preserve"> Centro para los Defensores y la Justicia (CDJ), </w:t>
      </w:r>
      <w:hyperlink r:id="rId287" w:history="1">
        <w:r w:rsidRPr="00BF5C70">
          <w:rPr>
            <w:rStyle w:val="Hyperlink"/>
            <w:rFonts w:cstheme="majorBidi"/>
            <w:color w:val="auto"/>
            <w:szCs w:val="16"/>
            <w:u w:val="none"/>
            <w:lang w:val="es-ES_tradnl"/>
          </w:rPr>
          <w:t>Situación de las personas defensoras de derechos humanos en Venezuela</w:t>
        </w:r>
      </w:hyperlink>
      <w:r w:rsidRPr="00BF5C70">
        <w:t>, julio de 2024, p. 3.</w:t>
      </w:r>
    </w:p>
  </w:footnote>
  <w:footnote w:id="330">
    <w:p w14:paraId="32ABF49B" w14:textId="5CD5FA6E" w:rsidR="00AB1B38" w:rsidRPr="00BF5C70" w:rsidRDefault="00AB1B38" w:rsidP="00B01052">
      <w:pPr>
        <w:pStyle w:val="IAPiedepgina"/>
      </w:pPr>
      <w:r w:rsidRPr="005C52BD">
        <w:rPr>
          <w:rStyle w:val="FootnoteReference"/>
          <w:rFonts w:cstheme="majorBidi"/>
          <w:sz w:val="16"/>
          <w:szCs w:val="16"/>
          <w:lang w:val="es-ES_tradnl"/>
        </w:rPr>
        <w:footnoteRef/>
      </w:r>
      <w:r w:rsidRPr="00BF5C70">
        <w:t xml:space="preserve"> Centro para los Defensores y la Justicia (CDJ), </w:t>
      </w:r>
      <w:hyperlink r:id="rId288" w:history="1">
        <w:r w:rsidRPr="00BF5C70">
          <w:rPr>
            <w:rStyle w:val="Hyperlink"/>
            <w:rFonts w:cstheme="majorBidi"/>
            <w:color w:val="auto"/>
            <w:szCs w:val="16"/>
            <w:u w:val="none"/>
            <w:lang w:val="es-ES_tradnl"/>
          </w:rPr>
          <w:t>Situación de las personas defensoras de derechos humanos en Venezuela</w:t>
        </w:r>
      </w:hyperlink>
      <w:r w:rsidRPr="00BF5C70">
        <w:t>, agosto de 2024, p. 3.</w:t>
      </w:r>
    </w:p>
  </w:footnote>
  <w:footnote w:id="331">
    <w:p w14:paraId="09D3B574" w14:textId="5C25E5B1" w:rsidR="00AB1B38" w:rsidRPr="00BF5C70" w:rsidRDefault="00AB1B38" w:rsidP="00B01052">
      <w:pPr>
        <w:pStyle w:val="IAPiedepgina"/>
      </w:pPr>
      <w:r w:rsidRPr="005C52BD">
        <w:rPr>
          <w:rStyle w:val="FootnoteReference"/>
          <w:rFonts w:cstheme="majorBidi"/>
          <w:sz w:val="16"/>
          <w:szCs w:val="16"/>
        </w:rPr>
        <w:footnoteRef/>
      </w:r>
      <w:r w:rsidRPr="00BF5C70">
        <w:t xml:space="preserve"> Robert F. Kennedy Human Rights (RFK), </w:t>
      </w:r>
      <w:hyperlink r:id="rId289" w:history="1">
        <w:r w:rsidRPr="00BF5C70">
          <w:rPr>
            <w:rStyle w:val="Hyperlink"/>
            <w:rFonts w:cstheme="majorBidi"/>
            <w:color w:val="auto"/>
            <w:szCs w:val="16"/>
            <w:u w:val="none"/>
          </w:rPr>
          <w:t>RFK Human Rights Denuncia la Detención Arbitraria de Kennedy Tejeda, defensor de derechos humanos y abogado de Foro Penal en Venezuela</w:t>
        </w:r>
      </w:hyperlink>
      <w:r w:rsidRPr="00BF5C70">
        <w:t xml:space="preserve">, 4 de agosto de 2024; Federación Internacional por los Derechos Humanos (FIDH), </w:t>
      </w:r>
      <w:hyperlink r:id="rId290" w:history="1">
        <w:r w:rsidRPr="00BF5C70">
          <w:rPr>
            <w:rStyle w:val="Hyperlink"/>
            <w:rFonts w:cstheme="majorBidi"/>
            <w:color w:val="auto"/>
            <w:szCs w:val="16"/>
            <w:u w:val="none"/>
          </w:rPr>
          <w:t>Venezuela: Detención arbitraria de Kennedy Tejeda, Edward Ocariz y Yendri Omar Velásquez</w:t>
        </w:r>
      </w:hyperlink>
      <w:r w:rsidRPr="00BF5C70">
        <w:t>, 6 de septiembre de 2024</w:t>
      </w:r>
      <w:r w:rsidR="002F03BB">
        <w:t>.</w:t>
      </w:r>
      <w:r w:rsidRPr="00BF5C70">
        <w:t xml:space="preserve"> </w:t>
      </w:r>
    </w:p>
  </w:footnote>
  <w:footnote w:id="332">
    <w:p w14:paraId="19E4E023" w14:textId="77777777" w:rsidR="00AB1B38" w:rsidRPr="00BF5C70" w:rsidRDefault="00AB1B38" w:rsidP="00B01052">
      <w:pPr>
        <w:pStyle w:val="IAPiedepgina"/>
      </w:pPr>
      <w:r w:rsidRPr="005C52BD">
        <w:rPr>
          <w:rStyle w:val="FootnoteReference"/>
          <w:rFonts w:cstheme="majorBidi"/>
          <w:sz w:val="16"/>
          <w:szCs w:val="16"/>
          <w:lang w:val="es-ES_tradnl"/>
        </w:rPr>
        <w:footnoteRef/>
      </w:r>
      <w:r w:rsidRPr="00BF5C70">
        <w:t xml:space="preserve"> Amnistía Internacional, </w:t>
      </w:r>
      <w:hyperlink r:id="rId291" w:history="1">
        <w:r w:rsidRPr="00BF5C70">
          <w:rPr>
            <w:rStyle w:val="Hyperlink"/>
            <w:rFonts w:cstheme="majorBidi"/>
            <w:color w:val="auto"/>
            <w:szCs w:val="16"/>
            <w:u w:val="none"/>
            <w:lang w:val="es-ES_tradnl"/>
          </w:rPr>
          <w:t>Kennedy Tejeda: en Venezuela hay personas defensoras detenidas arbitrariamente</w:t>
        </w:r>
      </w:hyperlink>
      <w:r w:rsidRPr="00BF5C70">
        <w:t>, 13 de septiembre de 2024.</w:t>
      </w:r>
    </w:p>
  </w:footnote>
  <w:footnote w:id="333">
    <w:p w14:paraId="7C774CA4" w14:textId="77777777" w:rsidR="00AB1B38" w:rsidRPr="00BF5C70" w:rsidRDefault="00AB1B38" w:rsidP="00B01052">
      <w:pPr>
        <w:pStyle w:val="IAPiedepgina"/>
      </w:pPr>
      <w:r w:rsidRPr="005C52BD">
        <w:rPr>
          <w:rStyle w:val="FootnoteReference"/>
          <w:rFonts w:cstheme="majorBidi"/>
          <w:sz w:val="16"/>
          <w:szCs w:val="16"/>
          <w:lang w:val="es-ES_tradnl"/>
        </w:rPr>
        <w:footnoteRef/>
      </w:r>
      <w:r w:rsidRPr="00BF5C70">
        <w:t xml:space="preserve"> Amnistía Internacional, </w:t>
      </w:r>
      <w:hyperlink r:id="rId292" w:history="1">
        <w:r w:rsidRPr="00BF5C70">
          <w:rPr>
            <w:rStyle w:val="Hyperlink"/>
            <w:rFonts w:cstheme="majorBidi"/>
            <w:color w:val="auto"/>
            <w:szCs w:val="16"/>
            <w:u w:val="none"/>
            <w:lang w:val="es-ES_tradnl"/>
          </w:rPr>
          <w:t>Edward Ocariz: En Venezuela hay personas defensoras detenidas arbitrariamente</w:t>
        </w:r>
      </w:hyperlink>
      <w:r w:rsidRPr="00BF5C70">
        <w:t xml:space="preserve">, 13 de septiembre de 2024; Versión Final, </w:t>
      </w:r>
      <w:hyperlink r:id="rId293" w:history="1">
        <w:r w:rsidRPr="00BF5C70">
          <w:rPr>
            <w:rStyle w:val="Hyperlink"/>
            <w:rFonts w:cstheme="majorBidi"/>
            <w:color w:val="auto"/>
            <w:szCs w:val="16"/>
            <w:u w:val="none"/>
            <w:lang w:val="es-ES_tradnl"/>
          </w:rPr>
          <w:t>“Yo me mantengo fuerte”: El escrito que Edward Ocariz, detenido en Tocuyito, envió a sus familiares</w:t>
        </w:r>
      </w:hyperlink>
      <w:r w:rsidRPr="00BF5C70">
        <w:t xml:space="preserve">, 14 de septiembre de 2024. </w:t>
      </w:r>
    </w:p>
  </w:footnote>
  <w:footnote w:id="334">
    <w:p w14:paraId="07C43D0C" w14:textId="77777777" w:rsidR="00AB1B38" w:rsidRPr="00BF5C70" w:rsidRDefault="00AB1B38" w:rsidP="00C53050">
      <w:pPr>
        <w:pStyle w:val="IAPiedepgina"/>
        <w:rPr>
          <w:rFonts w:cstheme="majorBidi"/>
          <w:szCs w:val="16"/>
        </w:rPr>
      </w:pPr>
      <w:r w:rsidRPr="005C52BD">
        <w:rPr>
          <w:rStyle w:val="FootnoteReference"/>
          <w:rFonts w:cstheme="majorBidi"/>
          <w:sz w:val="16"/>
          <w:szCs w:val="16"/>
        </w:rPr>
        <w:footnoteRef/>
      </w:r>
      <w:r w:rsidRPr="00BF5C70">
        <w:rPr>
          <w:rFonts w:cstheme="majorBidi"/>
          <w:szCs w:val="16"/>
        </w:rPr>
        <w:t xml:space="preserve"> International Association of People’s Lawyers (IAPL), </w:t>
      </w:r>
      <w:hyperlink r:id="rId294" w:history="1">
        <w:r w:rsidRPr="00BF5C70">
          <w:rPr>
            <w:rStyle w:val="Hyperlink"/>
            <w:rFonts w:cstheme="majorBidi"/>
            <w:color w:val="auto"/>
            <w:szCs w:val="16"/>
            <w:u w:val="none"/>
          </w:rPr>
          <w:t>Venezuela: Detienen a destacado abogado defensor de Derechos Humanos en Amazonas</w:t>
        </w:r>
      </w:hyperlink>
      <w:r w:rsidRPr="00BF5C70">
        <w:rPr>
          <w:rFonts w:cstheme="majorBidi"/>
          <w:szCs w:val="16"/>
        </w:rPr>
        <w:t>, 17 de agosto de 2024.</w:t>
      </w:r>
    </w:p>
  </w:footnote>
  <w:footnote w:id="335">
    <w:p w14:paraId="0E66A671" w14:textId="77777777" w:rsidR="00AB1B38" w:rsidRPr="00675A13" w:rsidRDefault="00AB1B38" w:rsidP="00C53050">
      <w:pPr>
        <w:pStyle w:val="IAPiedepgina"/>
        <w:rPr>
          <w:rFonts w:cstheme="majorBidi"/>
          <w:szCs w:val="16"/>
        </w:rPr>
      </w:pPr>
      <w:r w:rsidRPr="005C52BD">
        <w:rPr>
          <w:rStyle w:val="FootnoteReference"/>
          <w:rFonts w:cstheme="majorBidi"/>
          <w:sz w:val="16"/>
          <w:szCs w:val="16"/>
          <w:lang w:val="es-ES_tradnl"/>
        </w:rPr>
        <w:footnoteRef/>
      </w:r>
      <w:r w:rsidRPr="00BF5C70">
        <w:rPr>
          <w:rFonts w:cstheme="majorBidi"/>
          <w:szCs w:val="16"/>
        </w:rPr>
        <w:t xml:space="preserve"> Amnistía Internacional, </w:t>
      </w:r>
      <w:hyperlink r:id="rId295" w:history="1">
        <w:r w:rsidRPr="00BF5C70">
          <w:rPr>
            <w:rStyle w:val="Hyperlink"/>
            <w:rFonts w:cstheme="majorBidi"/>
            <w:color w:val="auto"/>
            <w:szCs w:val="16"/>
            <w:u w:val="none"/>
            <w:lang w:val="es-ES_tradnl"/>
          </w:rPr>
          <w:t>Henry Gómez: en Venezuela hay personas defensoras detenidas arbitrariamente</w:t>
        </w:r>
      </w:hyperlink>
      <w:r w:rsidRPr="00BF5C70">
        <w:rPr>
          <w:rFonts w:cstheme="majorBidi"/>
          <w:szCs w:val="16"/>
        </w:rPr>
        <w:t xml:space="preserve">, 13 de septiembre de 2024; Diario Las Américas, </w:t>
      </w:r>
      <w:hyperlink r:id="rId296" w:history="1">
        <w:r w:rsidRPr="00675A13">
          <w:rPr>
            <w:rStyle w:val="Hyperlink"/>
            <w:rFonts w:cstheme="majorBidi"/>
            <w:color w:val="auto"/>
            <w:szCs w:val="16"/>
            <w:u w:val="none"/>
            <w:lang w:val="es-ES_tradnl"/>
          </w:rPr>
          <w:t>Siguen trasladando a detenidos en protestas poselectorales a la cárcel de Tocorón</w:t>
        </w:r>
      </w:hyperlink>
      <w:r w:rsidRPr="00675A13">
        <w:rPr>
          <w:rFonts w:cstheme="majorBidi"/>
          <w:szCs w:val="16"/>
        </w:rPr>
        <w:t>, 5 de septiembre de 2024.</w:t>
      </w:r>
    </w:p>
  </w:footnote>
  <w:footnote w:id="336">
    <w:p w14:paraId="7F746441" w14:textId="08D57F82" w:rsidR="003E0A9B" w:rsidRPr="00675A13" w:rsidRDefault="003E0A9B" w:rsidP="00C53050">
      <w:pPr>
        <w:pStyle w:val="IAPiedepgina"/>
        <w:rPr>
          <w:szCs w:val="16"/>
          <w:lang w:val="es-US"/>
        </w:rPr>
      </w:pPr>
      <w:r w:rsidRPr="005C52BD">
        <w:rPr>
          <w:rStyle w:val="FootnoteReference"/>
          <w:sz w:val="16"/>
          <w:szCs w:val="16"/>
        </w:rPr>
        <w:footnoteRef/>
      </w:r>
      <w:r w:rsidRPr="00675A13">
        <w:rPr>
          <w:szCs w:val="16"/>
          <w:lang w:val="es-US"/>
        </w:rPr>
        <w:t xml:space="preserve"> </w:t>
      </w:r>
      <w:r w:rsidRPr="00675A13">
        <w:rPr>
          <w:szCs w:val="16"/>
        </w:rPr>
        <w:t>Este caso fue referenciado en el apartado III.A del presente informe.</w:t>
      </w:r>
    </w:p>
  </w:footnote>
  <w:footnote w:id="337">
    <w:p w14:paraId="130BEF8E" w14:textId="77777777" w:rsidR="00AB1B38" w:rsidRPr="00675A13" w:rsidRDefault="00AB1B38" w:rsidP="00C53050">
      <w:pPr>
        <w:pStyle w:val="IAPiedepgina"/>
        <w:rPr>
          <w:rFonts w:cstheme="majorBidi"/>
          <w:szCs w:val="16"/>
        </w:rPr>
      </w:pPr>
      <w:r w:rsidRPr="005C52BD">
        <w:rPr>
          <w:rStyle w:val="FootnoteReference"/>
          <w:rFonts w:cstheme="majorBidi"/>
          <w:sz w:val="16"/>
          <w:szCs w:val="16"/>
          <w:lang w:val="es-ES_tradnl"/>
        </w:rPr>
        <w:footnoteRef/>
      </w:r>
      <w:r w:rsidRPr="00675A13">
        <w:rPr>
          <w:rFonts w:cstheme="majorBidi"/>
          <w:szCs w:val="16"/>
        </w:rPr>
        <w:t xml:space="preserve"> X de la CIDH, </w:t>
      </w:r>
      <w:hyperlink r:id="rId297" w:history="1">
        <w:r w:rsidRPr="00675A13">
          <w:rPr>
            <w:rStyle w:val="Hyperlink"/>
            <w:rFonts w:cstheme="majorBidi"/>
            <w:color w:val="auto"/>
            <w:szCs w:val="16"/>
            <w:u w:val="none"/>
            <w:lang w:val="es-ES_tradnl"/>
          </w:rPr>
          <w:t>#Venezuela: #CIDH condena la desaparición forzada de la defensora, beneficiaria de #MedidasCautelares, Rocío San Miguel e insta al Estado a informar sobre su paradero y asegurar el respeto a sus garantías judiciales y presunción de inocencia</w:t>
        </w:r>
      </w:hyperlink>
      <w:r w:rsidRPr="00675A13">
        <w:rPr>
          <w:rFonts w:cstheme="majorBidi"/>
          <w:szCs w:val="16"/>
        </w:rPr>
        <w:t xml:space="preserve">, 12 de febrero de 2024; France24, </w:t>
      </w:r>
      <w:hyperlink r:id="rId298" w:history="1">
        <w:r w:rsidRPr="00675A13">
          <w:rPr>
            <w:rStyle w:val="Hyperlink"/>
            <w:rFonts w:cstheme="majorBidi"/>
            <w:color w:val="auto"/>
            <w:szCs w:val="16"/>
            <w:u w:val="none"/>
            <w:lang w:val="es-ES_tradnl"/>
          </w:rPr>
          <w:t>Venezuela: ¿quién es Rocío San Miguel y por qué su arresto alarmó a la comunidad internacional?</w:t>
        </w:r>
      </w:hyperlink>
      <w:r w:rsidRPr="00675A13">
        <w:rPr>
          <w:rFonts w:cstheme="majorBidi"/>
          <w:szCs w:val="16"/>
        </w:rPr>
        <w:t xml:space="preserve">, 20 de febrero de 2024; Amnistía Internacional, </w:t>
      </w:r>
      <w:hyperlink r:id="rId299" w:history="1">
        <w:r w:rsidRPr="00675A13">
          <w:rPr>
            <w:rStyle w:val="Hyperlink"/>
            <w:rFonts w:cstheme="majorBidi"/>
            <w:color w:val="auto"/>
            <w:szCs w:val="16"/>
            <w:u w:val="none"/>
            <w:lang w:val="es-ES_tradnl"/>
          </w:rPr>
          <w:t>Rocío San Miguel: En Venezuela hay personas defensoras detenidas arbitrariamente</w:t>
        </w:r>
      </w:hyperlink>
      <w:r w:rsidRPr="00675A13">
        <w:rPr>
          <w:rFonts w:cstheme="majorBidi"/>
          <w:szCs w:val="16"/>
        </w:rPr>
        <w:t xml:space="preserve">, 13 de septiembre de 2024; Derechos Humanos de Venezuela en Movimiento, </w:t>
      </w:r>
      <w:hyperlink r:id="rId300" w:history="1">
        <w:r w:rsidRPr="00675A13">
          <w:rPr>
            <w:rStyle w:val="Hyperlink"/>
            <w:rFonts w:cstheme="majorBidi"/>
            <w:color w:val="auto"/>
            <w:szCs w:val="16"/>
            <w:u w:val="none"/>
            <w:lang w:val="es-ES_tradnl"/>
          </w:rPr>
          <w:t>Crisis postelectoral y de derechos humanos 2024 en Venezuela (El Libro Negro de la dictadura 2024)</w:t>
        </w:r>
      </w:hyperlink>
      <w:r w:rsidRPr="00675A13">
        <w:rPr>
          <w:rFonts w:cstheme="majorBidi"/>
          <w:szCs w:val="16"/>
        </w:rPr>
        <w:t>, 29 de agosto de 2024, p. 13.</w:t>
      </w:r>
    </w:p>
  </w:footnote>
  <w:footnote w:id="338">
    <w:p w14:paraId="4BF1DE65" w14:textId="77777777" w:rsidR="00AB1B38" w:rsidRPr="00BF5C70" w:rsidRDefault="00AB1B38" w:rsidP="00C53050">
      <w:pPr>
        <w:pStyle w:val="IAPiedepgina"/>
        <w:rPr>
          <w:rFonts w:cstheme="majorBidi"/>
          <w:szCs w:val="16"/>
        </w:rPr>
      </w:pPr>
      <w:r w:rsidRPr="005C52BD">
        <w:rPr>
          <w:rStyle w:val="FootnoteReference"/>
          <w:rFonts w:cstheme="majorBidi"/>
          <w:sz w:val="16"/>
          <w:szCs w:val="16"/>
          <w:lang w:val="es-ES_tradnl"/>
        </w:rPr>
        <w:footnoteRef/>
      </w:r>
      <w:r w:rsidRPr="00675A13">
        <w:rPr>
          <w:rFonts w:cstheme="majorBidi"/>
          <w:szCs w:val="16"/>
        </w:rPr>
        <w:t xml:space="preserve"> Observatorio para la Defensa de la Vida (ODEVIDA), </w:t>
      </w:r>
      <w:hyperlink r:id="rId301" w:history="1">
        <w:r w:rsidRPr="00675A13">
          <w:rPr>
            <w:rStyle w:val="Hyperlink"/>
            <w:rFonts w:cstheme="majorBidi"/>
            <w:color w:val="auto"/>
            <w:szCs w:val="16"/>
            <w:u w:val="none"/>
            <w:lang w:val="es-ES_tradnl"/>
          </w:rPr>
          <w:t>El calvario de ser defensor de derechos humanos en la Venezuela de Maduro</w:t>
        </w:r>
      </w:hyperlink>
      <w:r w:rsidRPr="00675A13">
        <w:rPr>
          <w:rFonts w:cstheme="majorBidi"/>
          <w:szCs w:val="16"/>
        </w:rPr>
        <w:t>, 15 de octubre de 2024, p. 11.</w:t>
      </w:r>
    </w:p>
  </w:footnote>
  <w:footnote w:id="339">
    <w:p w14:paraId="18EDB14B" w14:textId="2B275125" w:rsidR="00AB1B38" w:rsidRPr="00BF5C70" w:rsidRDefault="00AB1B38" w:rsidP="00C53050">
      <w:pPr>
        <w:pStyle w:val="IAPiedepgina"/>
        <w:rPr>
          <w:rFonts w:cstheme="majorBidi"/>
          <w:szCs w:val="16"/>
        </w:rPr>
      </w:pPr>
      <w:r w:rsidRPr="005C52BD">
        <w:rPr>
          <w:rStyle w:val="FootnoteReference"/>
          <w:rFonts w:cstheme="majorBidi"/>
          <w:sz w:val="16"/>
          <w:szCs w:val="16"/>
          <w:lang w:val="es-ES_tradnl"/>
        </w:rPr>
        <w:footnoteRef/>
      </w:r>
      <w:r w:rsidRPr="00BF5C70">
        <w:rPr>
          <w:rFonts w:cstheme="majorBidi"/>
          <w:szCs w:val="16"/>
        </w:rPr>
        <w:t xml:space="preserve"> CIDH, Comunicado de Prensa No. 198/24, </w:t>
      </w:r>
      <w:hyperlink r:id="rId302" w:history="1">
        <w:r w:rsidRPr="005E2F8F">
          <w:rPr>
            <w:rStyle w:val="Hyperlink"/>
            <w:rFonts w:cstheme="majorBidi"/>
            <w:color w:val="auto"/>
            <w:szCs w:val="16"/>
            <w:lang w:val="es-ES_tradnl"/>
          </w:rPr>
          <w:t>CIDH condena persecución contra las personas defensoras de derechos humanos en Venezuela</w:t>
        </w:r>
      </w:hyperlink>
      <w:r w:rsidRPr="00BF5C70">
        <w:rPr>
          <w:rFonts w:cstheme="majorBidi"/>
          <w:szCs w:val="16"/>
        </w:rPr>
        <w:t xml:space="preserve">, 29 de agosto de 2024; Aula Abierta, </w:t>
      </w:r>
      <w:hyperlink r:id="rId303" w:history="1">
        <w:r w:rsidRPr="00BF5C70">
          <w:rPr>
            <w:rStyle w:val="Hyperlink"/>
            <w:rFonts w:cstheme="majorBidi"/>
            <w:color w:val="auto"/>
            <w:szCs w:val="16"/>
            <w:u w:val="none"/>
            <w:lang w:val="es-ES_tradnl"/>
          </w:rPr>
          <w:t>Anulación o retención de pasaportes y restricciones a la libertad de circulación contra venezolanos</w:t>
        </w:r>
      </w:hyperlink>
      <w:r w:rsidRPr="00BF5C70">
        <w:rPr>
          <w:rFonts w:cstheme="majorBidi"/>
          <w:szCs w:val="16"/>
        </w:rPr>
        <w:t>, 7 de agosto de 2024.</w:t>
      </w:r>
    </w:p>
  </w:footnote>
  <w:footnote w:id="340">
    <w:p w14:paraId="2EF4EB30" w14:textId="0EA602BD" w:rsidR="003E0A9B" w:rsidRPr="00E16B4C" w:rsidRDefault="003E0A9B" w:rsidP="00C53050">
      <w:pPr>
        <w:pStyle w:val="IAPiedepgina"/>
        <w:rPr>
          <w:szCs w:val="16"/>
          <w:lang w:val="es-US"/>
        </w:rPr>
      </w:pPr>
      <w:r w:rsidRPr="005C52BD">
        <w:rPr>
          <w:rStyle w:val="FootnoteReference"/>
          <w:sz w:val="16"/>
          <w:szCs w:val="16"/>
        </w:rPr>
        <w:footnoteRef/>
      </w:r>
      <w:r w:rsidR="00D02C5C">
        <w:rPr>
          <w:szCs w:val="16"/>
          <w:lang w:val="es-US"/>
        </w:rPr>
        <w:t xml:space="preserve"> </w:t>
      </w:r>
      <w:r w:rsidR="00E16B4C" w:rsidRPr="00032748">
        <w:rPr>
          <w:rFonts w:cs="Arial"/>
          <w:shd w:val="clear" w:color="auto" w:fill="FFFFFF"/>
          <w:lang w:val="es-US"/>
        </w:rPr>
        <w:t>Alberto News, Liberan al activista de DDHH Yendri Velásquez: «Había sido detenido en el Aeropuerto Internacional de Maiquetía», 3 de agosto de 2024.</w:t>
      </w:r>
    </w:p>
  </w:footnote>
  <w:footnote w:id="341">
    <w:p w14:paraId="71B75399" w14:textId="77777777" w:rsidR="00AB1B38" w:rsidRPr="00BF5C70" w:rsidRDefault="00AB1B38" w:rsidP="00C53050">
      <w:pPr>
        <w:pStyle w:val="IAPiedepgina"/>
        <w:rPr>
          <w:rFonts w:cstheme="majorBidi"/>
          <w:szCs w:val="16"/>
        </w:rPr>
      </w:pPr>
      <w:r w:rsidRPr="005C52BD">
        <w:rPr>
          <w:rStyle w:val="FootnoteReference"/>
          <w:rFonts w:cstheme="majorBidi"/>
          <w:sz w:val="16"/>
          <w:szCs w:val="16"/>
          <w:lang w:val="es-ES_tradnl"/>
        </w:rPr>
        <w:footnoteRef/>
      </w:r>
      <w:r w:rsidRPr="00E16B4C">
        <w:rPr>
          <w:rFonts w:cstheme="majorBidi"/>
          <w:szCs w:val="16"/>
        </w:rPr>
        <w:t xml:space="preserve"> CIDH, Comunicado de Prensa No</w:t>
      </w:r>
      <w:r w:rsidRPr="00BF5C70">
        <w:rPr>
          <w:rFonts w:cstheme="majorBidi"/>
          <w:szCs w:val="16"/>
        </w:rPr>
        <w:t xml:space="preserve">. 198/24, </w:t>
      </w:r>
      <w:hyperlink r:id="rId304" w:history="1">
        <w:r w:rsidRPr="0044072D">
          <w:rPr>
            <w:rStyle w:val="Hyperlink"/>
            <w:rFonts w:cstheme="majorBidi"/>
            <w:color w:val="auto"/>
            <w:szCs w:val="16"/>
            <w:lang w:val="es-ES_tradnl"/>
          </w:rPr>
          <w:t>CIDH condena persecución contra las personas defensoras de derechos humanos en Venezuela</w:t>
        </w:r>
      </w:hyperlink>
      <w:r w:rsidRPr="00BF5C70">
        <w:rPr>
          <w:rFonts w:cstheme="majorBidi"/>
          <w:szCs w:val="16"/>
        </w:rPr>
        <w:t xml:space="preserve">, 29 de agosto de 2024; Observatorio para la Defensa de la Vida (ODEVIDA), </w:t>
      </w:r>
      <w:hyperlink r:id="rId305" w:history="1">
        <w:r w:rsidRPr="00BF5C70">
          <w:rPr>
            <w:rStyle w:val="Hyperlink"/>
            <w:rFonts w:cstheme="majorBidi"/>
            <w:color w:val="auto"/>
            <w:szCs w:val="16"/>
            <w:u w:val="none"/>
            <w:lang w:val="es-ES_tradnl"/>
          </w:rPr>
          <w:t>El calvario de ser defensor de derechos humanos en la Venezuela de Maduro</w:t>
        </w:r>
      </w:hyperlink>
      <w:r w:rsidRPr="00BF5C70">
        <w:rPr>
          <w:rFonts w:cstheme="majorBidi"/>
          <w:szCs w:val="16"/>
        </w:rPr>
        <w:t>, 15 de octubre de 2024, p. 11.</w:t>
      </w:r>
    </w:p>
  </w:footnote>
  <w:footnote w:id="342">
    <w:p w14:paraId="5624E984" w14:textId="577D9A81" w:rsidR="00C07E43" w:rsidRPr="00BF5C70" w:rsidRDefault="00C07E43" w:rsidP="00C53050">
      <w:pPr>
        <w:pStyle w:val="IAPiedepgina"/>
        <w:rPr>
          <w:rFonts w:cstheme="majorBidi"/>
          <w:szCs w:val="16"/>
        </w:rPr>
      </w:pPr>
      <w:r w:rsidRPr="005C52BD">
        <w:rPr>
          <w:rStyle w:val="FootnoteReference"/>
          <w:rFonts w:cstheme="majorBidi"/>
          <w:sz w:val="16"/>
          <w:szCs w:val="16"/>
        </w:rPr>
        <w:footnoteRef/>
      </w:r>
      <w:r w:rsidRPr="00BF5C70">
        <w:rPr>
          <w:rFonts w:cstheme="majorBidi"/>
          <w:szCs w:val="16"/>
        </w:rPr>
        <w:t xml:space="preserve"> Voz d</w:t>
      </w:r>
      <w:r w:rsidR="004352EF" w:rsidRPr="00BF5C70">
        <w:rPr>
          <w:rFonts w:cstheme="majorBidi"/>
          <w:szCs w:val="16"/>
        </w:rPr>
        <w:t>e</w:t>
      </w:r>
      <w:r w:rsidRPr="00BF5C70">
        <w:rPr>
          <w:rFonts w:cstheme="majorBidi"/>
          <w:szCs w:val="16"/>
        </w:rPr>
        <w:t xml:space="preserve"> America, Una nueva forma de destierro”: Venezuela anula pasaportes a sus críticos dentro y fuera del país, acceso en </w:t>
      </w:r>
      <w:hyperlink r:id="rId306" w:history="1">
        <w:r w:rsidR="004352EF" w:rsidRPr="00BF5C70">
          <w:rPr>
            <w:rStyle w:val="Hyperlink"/>
            <w:rFonts w:cstheme="majorBidi"/>
            <w:color w:val="auto"/>
            <w:szCs w:val="16"/>
          </w:rPr>
          <w:t>https://www.vozdeamerica.com/a/una-nueva-forma-de-destierro-el-gobierno-de-venezuela-anula-pasaportes-a-sus-críticos-dentro-y-fuera-del-pais/7735387.html</w:t>
        </w:r>
      </w:hyperlink>
      <w:r w:rsidR="004352EF" w:rsidRPr="00BF5C70">
        <w:rPr>
          <w:rFonts w:cstheme="majorBidi"/>
          <w:szCs w:val="16"/>
        </w:rPr>
        <w:t>, el 9 de agosto de 2024.</w:t>
      </w:r>
    </w:p>
  </w:footnote>
  <w:footnote w:id="343">
    <w:p w14:paraId="210F0E1E" w14:textId="77777777" w:rsidR="00AB1B38" w:rsidRPr="00BF5C70" w:rsidRDefault="00AB1B38" w:rsidP="00C53050">
      <w:pPr>
        <w:pStyle w:val="IAPiedepgina"/>
        <w:rPr>
          <w:rFonts w:cstheme="majorBidi"/>
          <w:szCs w:val="16"/>
        </w:rPr>
      </w:pPr>
      <w:r w:rsidRPr="005C52BD">
        <w:rPr>
          <w:rStyle w:val="FootnoteReference"/>
          <w:rFonts w:cstheme="majorBidi"/>
          <w:sz w:val="16"/>
          <w:szCs w:val="16"/>
          <w:lang w:val="es-ES_tradnl"/>
        </w:rPr>
        <w:footnoteRef/>
      </w:r>
      <w:r w:rsidRPr="00BF5C70">
        <w:rPr>
          <w:rFonts w:cstheme="majorBidi"/>
          <w:szCs w:val="16"/>
        </w:rPr>
        <w:t xml:space="preserve"> CIDH, Comunicado de Prensa No. 184/24, </w:t>
      </w:r>
      <w:hyperlink r:id="rId307" w:history="1">
        <w:r w:rsidRPr="00952329">
          <w:rPr>
            <w:rStyle w:val="Hyperlink"/>
            <w:rFonts w:cstheme="majorBidi"/>
            <w:color w:val="auto"/>
            <w:szCs w:val="16"/>
          </w:rPr>
          <w:t>CIDH y RELE condenan prácticas de terrorismo de estado en Venezuela</w:t>
        </w:r>
      </w:hyperlink>
      <w:r w:rsidRPr="00BF5C70">
        <w:rPr>
          <w:rFonts w:cstheme="majorBidi"/>
          <w:szCs w:val="16"/>
        </w:rPr>
        <w:t xml:space="preserve">, 15 de agosto de 2024. </w:t>
      </w:r>
    </w:p>
  </w:footnote>
  <w:footnote w:id="344">
    <w:p w14:paraId="61D4C0DD" w14:textId="66F50036" w:rsidR="007F4739" w:rsidRPr="00BF5C70" w:rsidRDefault="007F4739" w:rsidP="00A43D0A">
      <w:pPr>
        <w:pStyle w:val="IAPiedepgina"/>
        <w:rPr>
          <w:szCs w:val="16"/>
          <w:lang w:val="es-US"/>
        </w:rPr>
      </w:pPr>
      <w:r w:rsidRPr="005C52BD">
        <w:rPr>
          <w:rFonts w:eastAsia="Cambria" w:cs="Cambria"/>
          <w:szCs w:val="16"/>
          <w:vertAlign w:val="superscript"/>
        </w:rPr>
        <w:footnoteRef/>
      </w:r>
      <w:r w:rsidRPr="00BF5C70">
        <w:rPr>
          <w:szCs w:val="16"/>
          <w:lang w:val="es-US"/>
        </w:rPr>
        <w:t xml:space="preserve"> </w:t>
      </w:r>
      <w:r w:rsidRPr="00BF5C70">
        <w:rPr>
          <w:rFonts w:eastAsia="Cambria" w:cs="Cambria"/>
          <w:szCs w:val="16"/>
          <w:lang w:val="es-US"/>
        </w:rPr>
        <w:t xml:space="preserve">Directorio Legislativo, </w:t>
      </w:r>
      <w:hyperlink r:id="rId308" w:history="1">
        <w:r w:rsidRPr="00BF5C70">
          <w:rPr>
            <w:rStyle w:val="Hyperlink"/>
            <w:rFonts w:eastAsia="Cambria" w:cs="Cambria"/>
            <w:color w:val="auto"/>
            <w:szCs w:val="16"/>
            <w:lang w:val="es-US"/>
          </w:rPr>
          <w:t>Se aprobó la “ley anti ONG” en Venezuela: su historia y alcance, 2024</w:t>
        </w:r>
      </w:hyperlink>
      <w:r w:rsidRPr="00BF5C70">
        <w:rPr>
          <w:rFonts w:eastAsia="Cambria" w:cs="Cambria"/>
          <w:szCs w:val="16"/>
          <w:lang w:val="es-US"/>
        </w:rPr>
        <w:t xml:space="preserve">; Espacio Público, </w:t>
      </w:r>
      <w:hyperlink r:id="rId309" w:history="1">
        <w:r w:rsidRPr="00BF5C70">
          <w:rPr>
            <w:rStyle w:val="Hyperlink"/>
            <w:rFonts w:eastAsia="Cambria" w:cs="Cambria"/>
            <w:color w:val="auto"/>
            <w:szCs w:val="16"/>
            <w:lang w:val="es-US"/>
          </w:rPr>
          <w:t>Agosto: censura y represión postelectoral</w:t>
        </w:r>
      </w:hyperlink>
      <w:r w:rsidRPr="00BF5C70">
        <w:rPr>
          <w:rFonts w:eastAsia="Cambria" w:cs="Cambria"/>
          <w:szCs w:val="16"/>
          <w:lang w:val="es-US"/>
        </w:rPr>
        <w:t xml:space="preserve">, 5 de septiembre de 202; BBC, </w:t>
      </w:r>
      <w:hyperlink r:id="rId310" w:history="1">
        <w:r w:rsidRPr="00BF5C70">
          <w:rPr>
            <w:rStyle w:val="Hyperlink"/>
            <w:rFonts w:eastAsia="Cambria" w:cs="Cambria"/>
            <w:color w:val="auto"/>
            <w:szCs w:val="16"/>
            <w:lang w:val="es-US"/>
          </w:rPr>
          <w:t>Venezuela aprueba una ley contra las ONG en medio de las denuncias por arrestos arbitrarios</w:t>
        </w:r>
      </w:hyperlink>
      <w:r w:rsidRPr="00BF5C70">
        <w:rPr>
          <w:rFonts w:eastAsia="Cambria" w:cs="Cambria"/>
          <w:szCs w:val="16"/>
          <w:lang w:val="es-US"/>
        </w:rPr>
        <w:t xml:space="preserve">, 15 de agosto de 2024; Amnistía Internacional, </w:t>
      </w:r>
      <w:hyperlink r:id="rId311" w:history="1">
        <w:r w:rsidRPr="00BF5C70">
          <w:rPr>
            <w:rStyle w:val="Hyperlink"/>
            <w:rFonts w:eastAsia="Cambria" w:cs="Cambria"/>
            <w:color w:val="auto"/>
            <w:szCs w:val="16"/>
            <w:lang w:val="es-US"/>
          </w:rPr>
          <w:t>Venezuela: Aprobación de ‘Ley anti-ONG’ castiga la asistencia a víctimas y la defensa de los derechos humanos</w:t>
        </w:r>
      </w:hyperlink>
      <w:r w:rsidRPr="00BF5C70">
        <w:rPr>
          <w:rFonts w:eastAsia="Cambria" w:cs="Cambria"/>
          <w:szCs w:val="16"/>
          <w:lang w:val="es-US"/>
        </w:rPr>
        <w:t>, 16 de agosto de 2024.</w:t>
      </w:r>
    </w:p>
  </w:footnote>
  <w:footnote w:id="345">
    <w:p w14:paraId="65F49033" w14:textId="7B413ACF" w:rsidR="007F4739" w:rsidRPr="00BF5C70" w:rsidRDefault="007F4739" w:rsidP="00A43D0A">
      <w:pPr>
        <w:pStyle w:val="IAPiedepgina"/>
        <w:rPr>
          <w:rFonts w:eastAsia="Cambria" w:cs="Cambria"/>
          <w:szCs w:val="16"/>
          <w:lang w:val="es-US"/>
        </w:rPr>
      </w:pPr>
      <w:r w:rsidRPr="005C52BD">
        <w:rPr>
          <w:rFonts w:eastAsia="Cambria" w:cs="Cambria"/>
          <w:szCs w:val="16"/>
          <w:vertAlign w:val="superscript"/>
        </w:rPr>
        <w:footnoteRef/>
      </w:r>
      <w:r w:rsidRPr="00BF5C70">
        <w:rPr>
          <w:rFonts w:eastAsia="Cambria" w:cs="Cambria"/>
          <w:szCs w:val="16"/>
          <w:lang w:val="es-US"/>
        </w:rPr>
        <w:t xml:space="preserve"> Espacio Público, </w:t>
      </w:r>
      <w:hyperlink r:id="rId312" w:history="1">
        <w:r w:rsidRPr="00BF5C70">
          <w:rPr>
            <w:rStyle w:val="Hyperlink"/>
            <w:rFonts w:eastAsia="Cambria" w:cs="Cambria"/>
            <w:color w:val="auto"/>
            <w:szCs w:val="16"/>
            <w:lang w:val="es-US"/>
          </w:rPr>
          <w:t>Análisis de la Ley de Fiscalización, Regularización, Actuación y Financiamiento de las Organizaciones no Gubernamentales y Organizaciones Sociales Sin Fines de Lucro</w:t>
        </w:r>
      </w:hyperlink>
      <w:r w:rsidRPr="00BF5C70">
        <w:rPr>
          <w:rFonts w:eastAsia="Cambria" w:cs="Cambria"/>
          <w:szCs w:val="16"/>
          <w:lang w:val="es-US"/>
        </w:rPr>
        <w:t>, 6 de septiembre de 2024.</w:t>
      </w:r>
    </w:p>
  </w:footnote>
  <w:footnote w:id="346">
    <w:p w14:paraId="74020E6E" w14:textId="100A281D" w:rsidR="007F4739" w:rsidRPr="00BF5C70" w:rsidRDefault="007F4739" w:rsidP="00A43D0A">
      <w:pPr>
        <w:pStyle w:val="IAPiedepgina"/>
        <w:rPr>
          <w:rFonts w:eastAsia="Cambria" w:cs="Cambria"/>
          <w:szCs w:val="16"/>
          <w:lang w:val="es-US"/>
        </w:rPr>
      </w:pPr>
      <w:r w:rsidRPr="005C52BD">
        <w:rPr>
          <w:rFonts w:eastAsia="Cambria" w:cs="Cambria"/>
          <w:szCs w:val="16"/>
          <w:vertAlign w:val="superscript"/>
        </w:rPr>
        <w:footnoteRef/>
      </w:r>
      <w:r w:rsidRPr="00BF5C70">
        <w:rPr>
          <w:rFonts w:eastAsia="Cambria" w:cs="Cambria"/>
          <w:szCs w:val="16"/>
          <w:lang w:val="es-US"/>
        </w:rPr>
        <w:t xml:space="preserve"> Amnistía Internacional, </w:t>
      </w:r>
      <w:hyperlink r:id="rId313" w:history="1">
        <w:r w:rsidRPr="00BF5C70">
          <w:rPr>
            <w:rStyle w:val="Hyperlink"/>
            <w:rFonts w:eastAsia="Cambria" w:cs="Cambria"/>
            <w:color w:val="auto"/>
            <w:szCs w:val="16"/>
            <w:lang w:val="es-US"/>
          </w:rPr>
          <w:t>Venezuela: Aprobación de ‘Ley anti-ONG’ castiga la asistencia a víctimas y la defensa de los derechos humanos</w:t>
        </w:r>
      </w:hyperlink>
      <w:r w:rsidRPr="00BF5C70">
        <w:rPr>
          <w:rFonts w:eastAsia="Cambria" w:cs="Cambria"/>
          <w:szCs w:val="16"/>
          <w:lang w:val="es-US"/>
        </w:rPr>
        <w:t xml:space="preserve">, 16 de agosto de 2024; </w:t>
      </w:r>
      <w:hyperlink r:id="rId314" w:history="1">
        <w:r w:rsidRPr="00BF5C70">
          <w:rPr>
            <w:rStyle w:val="Hyperlink"/>
            <w:rFonts w:eastAsia="Cambria" w:cs="Cambria"/>
            <w:color w:val="auto"/>
            <w:szCs w:val="16"/>
            <w:lang w:val="es-US"/>
          </w:rPr>
          <w:t>Alianza Regional, Sociedad civil venezolana es ilegalizada en medio de la represión poselectoral</w:t>
        </w:r>
      </w:hyperlink>
      <w:r w:rsidRPr="00BF5C70">
        <w:rPr>
          <w:rFonts w:eastAsia="Cambria" w:cs="Cambria"/>
          <w:szCs w:val="16"/>
          <w:lang w:val="es-US"/>
        </w:rPr>
        <w:t xml:space="preserve">, 15 de agosto de 2024; CIDH, Comunicado de Prensa No. 22/24, </w:t>
      </w:r>
      <w:hyperlink r:id="rId315" w:history="1">
        <w:r w:rsidRPr="00BF5C70">
          <w:rPr>
            <w:rStyle w:val="Hyperlink"/>
            <w:rFonts w:eastAsia="Cambria" w:cs="Cambria"/>
            <w:color w:val="auto"/>
            <w:szCs w:val="16"/>
            <w:lang w:val="es-US"/>
          </w:rPr>
          <w:t>Venezuela: CIDH insta al Estado no aprobar proyecto de ley que limita el derecho de asociación y participación</w:t>
        </w:r>
      </w:hyperlink>
      <w:r w:rsidRPr="00BF5C70">
        <w:rPr>
          <w:rFonts w:eastAsia="Cambria" w:cs="Cambria"/>
          <w:szCs w:val="16"/>
          <w:lang w:val="es-US"/>
        </w:rPr>
        <w:t>, 26 de enero de 2024.</w:t>
      </w:r>
    </w:p>
  </w:footnote>
  <w:footnote w:id="347">
    <w:p w14:paraId="45723EE7" w14:textId="5210BA78" w:rsidR="007F4739" w:rsidRPr="00BF5C70" w:rsidRDefault="007F4739" w:rsidP="00A43D0A">
      <w:pPr>
        <w:pStyle w:val="IAPiedepgina"/>
        <w:rPr>
          <w:rFonts w:eastAsia="Cambria" w:cs="Cambria"/>
          <w:szCs w:val="16"/>
          <w:lang w:val="es-US"/>
        </w:rPr>
      </w:pPr>
      <w:r w:rsidRPr="005C52BD">
        <w:rPr>
          <w:rFonts w:eastAsia="Cambria" w:cs="Cambria"/>
          <w:szCs w:val="16"/>
          <w:vertAlign w:val="superscript"/>
        </w:rPr>
        <w:footnoteRef/>
      </w:r>
      <w:r w:rsidRPr="00BF5C70">
        <w:rPr>
          <w:rFonts w:eastAsia="Cambria" w:cs="Cambria"/>
          <w:szCs w:val="16"/>
          <w:lang w:val="es-US"/>
        </w:rPr>
        <w:t xml:space="preserve"> Espacio Público, </w:t>
      </w:r>
      <w:hyperlink r:id="rId316" w:history="1">
        <w:r w:rsidRPr="00BF5C70">
          <w:rPr>
            <w:rStyle w:val="Hyperlink"/>
            <w:rFonts w:eastAsia="Cambria" w:cs="Cambria"/>
            <w:color w:val="auto"/>
            <w:szCs w:val="16"/>
            <w:lang w:val="es-US"/>
          </w:rPr>
          <w:t>Análisis de la Ley de Fiscalización, Regularización, Actuación y Financiamiento de las Organizaciones no Gubernamentales y Organizaciones Sociales Sin Fines de Lucro</w:t>
        </w:r>
      </w:hyperlink>
      <w:r w:rsidRPr="00BF5C70">
        <w:rPr>
          <w:rFonts w:eastAsia="Cambria" w:cs="Cambria"/>
          <w:szCs w:val="16"/>
          <w:lang w:val="es-US"/>
        </w:rPr>
        <w:t>, 6 de septiembre de 2024.</w:t>
      </w:r>
    </w:p>
  </w:footnote>
  <w:footnote w:id="348">
    <w:p w14:paraId="7DFDC057" w14:textId="7A61FFE7" w:rsidR="007F4739" w:rsidRPr="00BF5C70" w:rsidRDefault="007F4739" w:rsidP="00A43D0A">
      <w:pPr>
        <w:pStyle w:val="IAPiedepgina"/>
        <w:rPr>
          <w:rFonts w:eastAsia="Cambria" w:cs="Cambria"/>
          <w:szCs w:val="16"/>
          <w:lang w:val="es-US"/>
        </w:rPr>
      </w:pPr>
      <w:r w:rsidRPr="005C52BD">
        <w:rPr>
          <w:rFonts w:eastAsia="Cambria" w:cs="Cambria"/>
          <w:szCs w:val="16"/>
          <w:vertAlign w:val="superscript"/>
        </w:rPr>
        <w:footnoteRef/>
      </w:r>
      <w:r w:rsidRPr="00BF5C70">
        <w:rPr>
          <w:rFonts w:eastAsia="Cambria" w:cs="Cambria"/>
          <w:szCs w:val="16"/>
          <w:lang w:val="es-US"/>
        </w:rPr>
        <w:t xml:space="preserve"> Espacio Público, </w:t>
      </w:r>
      <w:hyperlink r:id="rId317" w:history="1">
        <w:r w:rsidRPr="00BF5C70">
          <w:rPr>
            <w:rStyle w:val="Hyperlink"/>
            <w:rFonts w:eastAsia="Cambria" w:cs="Cambria"/>
            <w:color w:val="auto"/>
            <w:szCs w:val="16"/>
            <w:lang w:val="es-US"/>
          </w:rPr>
          <w:t>Análisis de la Ley de Fiscalización, Regularización, Actuación y Financiamiento de las Organizaciones no Gubernamentales y Organizaciones Sociales Sin Fines de Lucro</w:t>
        </w:r>
      </w:hyperlink>
      <w:r w:rsidRPr="00BF5C70">
        <w:rPr>
          <w:rFonts w:eastAsia="Cambria" w:cs="Cambria"/>
          <w:szCs w:val="16"/>
          <w:lang w:val="es-US"/>
        </w:rPr>
        <w:t>, 6 de septiembre de 2024.</w:t>
      </w:r>
    </w:p>
  </w:footnote>
  <w:footnote w:id="349">
    <w:p w14:paraId="16E17E0D" w14:textId="4496A710" w:rsidR="007F4739" w:rsidRPr="00BF5C70" w:rsidRDefault="007F4739" w:rsidP="00A43D0A">
      <w:pPr>
        <w:pStyle w:val="IAPiedepgina"/>
        <w:rPr>
          <w:rFonts w:eastAsia="Cambria" w:cs="Cambria"/>
          <w:szCs w:val="16"/>
          <w:lang w:val="es-US"/>
        </w:rPr>
      </w:pPr>
      <w:r w:rsidRPr="005C52BD">
        <w:rPr>
          <w:rFonts w:eastAsia="Cambria" w:cs="Cambria"/>
          <w:szCs w:val="16"/>
          <w:vertAlign w:val="superscript"/>
        </w:rPr>
        <w:footnoteRef/>
      </w:r>
      <w:r w:rsidRPr="00BF5C70">
        <w:rPr>
          <w:rFonts w:eastAsia="Cambria" w:cs="Cambria"/>
          <w:szCs w:val="16"/>
          <w:lang w:val="es-US"/>
        </w:rPr>
        <w:t xml:space="preserve"> CIDH, Comunicado de prensa 22/24, </w:t>
      </w:r>
      <w:hyperlink r:id="rId318" w:history="1">
        <w:r w:rsidRPr="00BF5C70">
          <w:rPr>
            <w:rStyle w:val="Hyperlink"/>
            <w:rFonts w:eastAsia="Cambria" w:cs="Cambria"/>
            <w:color w:val="auto"/>
            <w:szCs w:val="16"/>
            <w:lang w:val="es-US"/>
          </w:rPr>
          <w:t>Venezuela: CIDH insta al Estado no aprobar proyecto de ley que limita el derecho de asociación y participación</w:t>
        </w:r>
      </w:hyperlink>
      <w:r w:rsidRPr="00BF5C70">
        <w:rPr>
          <w:rFonts w:eastAsia="Cambria" w:cs="Cambria"/>
          <w:szCs w:val="16"/>
          <w:lang w:val="es-US"/>
        </w:rPr>
        <w:t>, 26 de enero de 2024.</w:t>
      </w:r>
    </w:p>
  </w:footnote>
  <w:footnote w:id="350">
    <w:p w14:paraId="7FC420CD" w14:textId="1949F2BB" w:rsidR="007F4739" w:rsidRPr="00BF5C70" w:rsidRDefault="007F4739" w:rsidP="00A43D0A">
      <w:pPr>
        <w:pStyle w:val="IAPiedepgina"/>
        <w:rPr>
          <w:rFonts w:eastAsia="Cambria" w:cs="Cambria"/>
          <w:szCs w:val="16"/>
          <w:lang w:val="es-US"/>
        </w:rPr>
      </w:pPr>
      <w:r w:rsidRPr="005C52BD">
        <w:rPr>
          <w:rFonts w:eastAsia="Cambria" w:cs="Cambria"/>
          <w:szCs w:val="16"/>
          <w:vertAlign w:val="superscript"/>
        </w:rPr>
        <w:footnoteRef/>
      </w:r>
      <w:r w:rsidRPr="00BF5C70">
        <w:rPr>
          <w:rFonts w:eastAsia="Cambria" w:cs="Cambria"/>
          <w:szCs w:val="16"/>
          <w:lang w:val="es-US"/>
        </w:rPr>
        <w:t xml:space="preserve"> CIDH, Comunicado de prensa 22/24, </w:t>
      </w:r>
      <w:hyperlink r:id="rId319" w:history="1">
        <w:r w:rsidRPr="00BF5C70">
          <w:rPr>
            <w:rStyle w:val="Hyperlink"/>
            <w:rFonts w:eastAsia="Cambria" w:cs="Cambria"/>
            <w:color w:val="auto"/>
            <w:szCs w:val="16"/>
            <w:lang w:val="es-US"/>
          </w:rPr>
          <w:t>Venezuela: CIDH insta al Estado no aprobar proyecto de ley que limita el derecho de asociación y participación</w:t>
        </w:r>
      </w:hyperlink>
      <w:r w:rsidRPr="00BF5C70">
        <w:rPr>
          <w:rFonts w:eastAsia="Cambria" w:cs="Cambria"/>
          <w:szCs w:val="16"/>
          <w:lang w:val="es-US"/>
        </w:rPr>
        <w:t>, 26 de enero de 2024.</w:t>
      </w:r>
    </w:p>
  </w:footnote>
  <w:footnote w:id="351">
    <w:p w14:paraId="08659D44" w14:textId="2F47D9CA" w:rsidR="00AB1B38" w:rsidRPr="00BF5C70" w:rsidRDefault="00AB1B38" w:rsidP="00A43D0A">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Amnistía Internacional, </w:t>
      </w:r>
      <w:hyperlink r:id="rId320" w:history="1">
        <w:r w:rsidRPr="00BF5C70">
          <w:rPr>
            <w:rStyle w:val="Hyperlink"/>
            <w:rFonts w:cstheme="majorBidi"/>
            <w:color w:val="auto"/>
            <w:szCs w:val="16"/>
            <w:u w:val="none"/>
            <w:lang w:val="es-ES_tradnl"/>
          </w:rPr>
          <w:t>Venezuela: alarmante escalada de persecución contra voces críticas y disidentes</w:t>
        </w:r>
      </w:hyperlink>
      <w:r w:rsidRPr="00BF5C70">
        <w:rPr>
          <w:rFonts w:cstheme="majorBidi"/>
          <w:szCs w:val="16"/>
          <w:lang w:val="es-ES_tradnl"/>
        </w:rPr>
        <w:t>, 15 de abril de 2024</w:t>
      </w:r>
      <w:r w:rsidR="001857F1" w:rsidRPr="00BF5C70">
        <w:rPr>
          <w:rFonts w:cstheme="majorBidi"/>
          <w:szCs w:val="16"/>
          <w:lang w:val="es-ES_tradnl"/>
        </w:rPr>
        <w:t>.</w:t>
      </w:r>
    </w:p>
  </w:footnote>
  <w:footnote w:id="352">
    <w:p w14:paraId="5D0FF0EE" w14:textId="77777777" w:rsidR="00AB1B38" w:rsidRPr="00BF5C70" w:rsidRDefault="00AB1B38" w:rsidP="00A43D0A">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OACNUDH, Comunicación al Estado de Venezuela, Mandatos de la Relatora Especial sobre la promoción y protección del derecho a la libertad de opinión y de expresión: de la Relatora Especial sobre los derechos a la libertad de reunión pacífica y de asociación y de la Relatora Especial sobre la situación de los defensores de derechos humanos, </w:t>
      </w:r>
      <w:hyperlink r:id="rId321" w:history="1">
        <w:r w:rsidRPr="00BF5C70">
          <w:rPr>
            <w:rStyle w:val="Hyperlink"/>
            <w:rFonts w:cstheme="majorBidi"/>
            <w:color w:val="auto"/>
            <w:szCs w:val="16"/>
            <w:u w:val="none"/>
            <w:lang w:val="es-ES_tradnl"/>
          </w:rPr>
          <w:t>VEN 8/2024</w:t>
        </w:r>
      </w:hyperlink>
      <w:r w:rsidRPr="00BF5C70">
        <w:rPr>
          <w:rFonts w:cstheme="majorBidi"/>
          <w:szCs w:val="16"/>
          <w:lang w:val="es-ES_tradnl"/>
        </w:rPr>
        <w:t>, 2 de octubre de 2024.</w:t>
      </w:r>
    </w:p>
  </w:footnote>
  <w:footnote w:id="353">
    <w:p w14:paraId="1A3FDBE3" w14:textId="77777777" w:rsidR="00626AEC" w:rsidRPr="00BF5C70" w:rsidRDefault="00626AEC" w:rsidP="00D327B0">
      <w:pPr>
        <w:pStyle w:val="FootnoteText"/>
        <w:rPr>
          <w:rFonts w:ascii="Cambria" w:hAnsi="Cambria" w:cstheme="majorBidi"/>
          <w:szCs w:val="16"/>
          <w:lang w:val="es-ES_tradnl"/>
        </w:rPr>
      </w:pPr>
      <w:r w:rsidRPr="005C52BD">
        <w:rPr>
          <w:rStyle w:val="FootnoteReference"/>
          <w:rFonts w:ascii="Cambria" w:hAnsi="Cambria" w:cstheme="majorBidi"/>
          <w:sz w:val="16"/>
          <w:szCs w:val="16"/>
          <w:lang w:val="es-ES_tradnl"/>
        </w:rPr>
        <w:footnoteRef/>
      </w:r>
      <w:r w:rsidRPr="00BF5C70">
        <w:rPr>
          <w:rFonts w:ascii="Cambria" w:hAnsi="Cambria" w:cstheme="majorBidi"/>
          <w:szCs w:val="16"/>
          <w:lang w:val="es-ES_tradnl"/>
        </w:rPr>
        <w:t xml:space="preserve"> Informe enviado a la CIDH por Observatorio Venezolano de Violencia LGBTIQ+, en archivo de la CIDH. Noviembre 2024</w:t>
      </w:r>
    </w:p>
  </w:footnote>
  <w:footnote w:id="354">
    <w:p w14:paraId="1EE356D4" w14:textId="065F2F64" w:rsidR="00626AEC" w:rsidRPr="00BF5C70" w:rsidRDefault="00626AEC" w:rsidP="00D327B0">
      <w:pPr>
        <w:pStyle w:val="FootnoteText"/>
        <w:rPr>
          <w:rFonts w:ascii="Cambria" w:hAnsi="Cambria" w:cstheme="majorBidi"/>
          <w:szCs w:val="16"/>
          <w:lang w:val="es-ES_tradnl"/>
        </w:rPr>
      </w:pPr>
      <w:r w:rsidRPr="005C52BD">
        <w:rPr>
          <w:rStyle w:val="FootnoteReference"/>
          <w:rFonts w:ascii="Cambria" w:hAnsi="Cambria" w:cstheme="majorBidi"/>
          <w:sz w:val="16"/>
          <w:szCs w:val="16"/>
          <w:lang w:val="es-ES_tradnl"/>
        </w:rPr>
        <w:footnoteRef/>
      </w:r>
      <w:r w:rsidRPr="00BF5C70">
        <w:rPr>
          <w:rFonts w:ascii="Cambria" w:hAnsi="Cambria" w:cstheme="majorBidi"/>
          <w:szCs w:val="16"/>
          <w:lang w:val="es-ES_tradnl"/>
        </w:rPr>
        <w:t xml:space="preserve"> Observatorio Venezolano de Violencia LGBTIQ+, </w:t>
      </w:r>
      <w:hyperlink r:id="rId322" w:history="1">
        <w:r w:rsidRPr="00BF5C70">
          <w:rPr>
            <w:rStyle w:val="Hyperlink"/>
            <w:rFonts w:ascii="Cambria" w:hAnsi="Cambria" w:cstheme="majorBidi"/>
            <w:color w:val="auto"/>
            <w:szCs w:val="16"/>
            <w:lang w:val="es-ES_tradnl"/>
          </w:rPr>
          <w:t>El OVV LGBTIQ+ ha documentado al menos 3 asesinatos de personas LGBTIQ+ en Venezuela en lo que va de año</w:t>
        </w:r>
      </w:hyperlink>
      <w:r w:rsidRPr="00BF5C70">
        <w:rPr>
          <w:rFonts w:ascii="Cambria" w:hAnsi="Cambria" w:cstheme="majorBidi"/>
          <w:szCs w:val="16"/>
          <w:lang w:val="es-ES_tradnl"/>
        </w:rPr>
        <w:t xml:space="preserve">, 27 de abril de 2024; </w:t>
      </w:r>
      <w:hyperlink r:id="rId323" w:history="1">
        <w:r w:rsidRPr="00BF5C70">
          <w:rPr>
            <w:rStyle w:val="Hyperlink"/>
            <w:rFonts w:ascii="Cambria" w:hAnsi="Cambria" w:cstheme="majorBidi"/>
            <w:color w:val="auto"/>
            <w:szCs w:val="16"/>
            <w:lang w:val="es-ES_tradnl"/>
          </w:rPr>
          <w:t>El Diario, CICPC esclareció homicidio de un miembro de la comunidad LGBTIQ+ en Guatire</w:t>
        </w:r>
      </w:hyperlink>
      <w:r w:rsidRPr="00BF5C70">
        <w:rPr>
          <w:rFonts w:ascii="Cambria" w:hAnsi="Cambria" w:cstheme="majorBidi"/>
          <w:szCs w:val="16"/>
          <w:lang w:val="es-ES_tradnl"/>
        </w:rPr>
        <w:t xml:space="preserve">, 13 de marzo 2024; El Regional del Zulia, </w:t>
      </w:r>
      <w:hyperlink r:id="rId324" w:history="1">
        <w:r w:rsidRPr="00BF5C70">
          <w:rPr>
            <w:rStyle w:val="Hyperlink"/>
            <w:rFonts w:ascii="Cambria" w:hAnsi="Cambria" w:cstheme="majorBidi"/>
            <w:color w:val="auto"/>
            <w:szCs w:val="16"/>
            <w:lang w:val="es-ES_tradnl"/>
          </w:rPr>
          <w:t>Cicpc captura al asesino de la tatuadora Amor Madera Montero</w:t>
        </w:r>
      </w:hyperlink>
      <w:r w:rsidRPr="00BF5C70">
        <w:rPr>
          <w:rFonts w:ascii="Cambria" w:hAnsi="Cambria" w:cstheme="majorBidi"/>
          <w:szCs w:val="16"/>
          <w:lang w:val="es-ES_tradnl"/>
        </w:rPr>
        <w:t>, 1 de marzo 2024</w:t>
      </w:r>
      <w:r w:rsidR="003227FE" w:rsidRPr="00BF5C70">
        <w:rPr>
          <w:rFonts w:ascii="Cambria" w:hAnsi="Cambria" w:cstheme="majorBidi"/>
          <w:szCs w:val="16"/>
          <w:lang w:val="es-ES_tradnl"/>
        </w:rPr>
        <w:t>.</w:t>
      </w:r>
      <w:r w:rsidRPr="00BF5C70">
        <w:rPr>
          <w:rFonts w:ascii="Cambria" w:hAnsi="Cambria" w:cstheme="majorBidi"/>
          <w:szCs w:val="16"/>
          <w:lang w:val="es-ES_tradnl"/>
        </w:rPr>
        <w:t xml:space="preserve"> </w:t>
      </w:r>
    </w:p>
  </w:footnote>
  <w:footnote w:id="355">
    <w:p w14:paraId="1286C1CF" w14:textId="678E1A4D" w:rsidR="00626AEC" w:rsidRPr="00BF5C70" w:rsidRDefault="00626AEC" w:rsidP="00D327B0">
      <w:pPr>
        <w:pStyle w:val="FootnoteText"/>
        <w:rPr>
          <w:rFonts w:ascii="Cambria" w:hAnsi="Cambria" w:cstheme="majorBidi"/>
          <w:szCs w:val="16"/>
          <w:lang w:val="es-ES_tradnl"/>
        </w:rPr>
      </w:pPr>
      <w:r w:rsidRPr="005C52BD">
        <w:rPr>
          <w:rStyle w:val="FootnoteReference"/>
          <w:rFonts w:ascii="Cambria" w:hAnsi="Cambria" w:cstheme="majorBidi"/>
          <w:sz w:val="16"/>
          <w:szCs w:val="16"/>
          <w:lang w:val="es-ES_tradnl"/>
        </w:rPr>
        <w:footnoteRef/>
      </w:r>
      <w:r w:rsidRPr="00BF5C70">
        <w:rPr>
          <w:rFonts w:ascii="Cambria" w:hAnsi="Cambria" w:cstheme="majorBidi"/>
          <w:szCs w:val="16"/>
          <w:lang w:val="es-ES_tradnl"/>
        </w:rPr>
        <w:t xml:space="preserve"> Caribe Afirmativo, </w:t>
      </w:r>
      <w:hyperlink r:id="rId325" w:history="1">
        <w:r w:rsidRPr="00BF5C70">
          <w:rPr>
            <w:rStyle w:val="Hyperlink"/>
            <w:rFonts w:ascii="Cambria" w:hAnsi="Cambria" w:cstheme="majorBidi"/>
            <w:color w:val="auto"/>
            <w:szCs w:val="16"/>
            <w:lang w:val="es-ES_tradnl"/>
          </w:rPr>
          <w:t>Graves riesgos para activistas LGBTIQ+ en Venezuela: Persecución, detenciones arbitrarias y desapariciones</w:t>
        </w:r>
      </w:hyperlink>
      <w:r w:rsidRPr="00BF5C70">
        <w:rPr>
          <w:rFonts w:ascii="Cambria" w:hAnsi="Cambria" w:cstheme="majorBidi"/>
          <w:szCs w:val="16"/>
          <w:lang w:val="es-ES_tradnl"/>
        </w:rPr>
        <w:t xml:space="preserve">, 8 de agosto de 2024; Visibles Venezuela (@VisiblesVzla) </w:t>
      </w:r>
      <w:hyperlink r:id="rId326" w:history="1">
        <w:r w:rsidRPr="00BF5C70">
          <w:rPr>
            <w:rStyle w:val="Hyperlink"/>
            <w:rFonts w:ascii="Cambria" w:hAnsi="Cambria" w:cstheme="majorBidi"/>
            <w:color w:val="auto"/>
            <w:szCs w:val="16"/>
            <w:lang w:val="es-ES_tradnl"/>
          </w:rPr>
          <w:t>Pronunciamiento en X</w:t>
        </w:r>
      </w:hyperlink>
      <w:r w:rsidRPr="00BF5C70">
        <w:rPr>
          <w:rFonts w:ascii="Cambria" w:hAnsi="Cambria" w:cstheme="majorBidi"/>
          <w:szCs w:val="16"/>
          <w:lang w:val="es-ES_tradnl"/>
        </w:rPr>
        <w:t xml:space="preserve"> “Han pasado 14 días desde que Nelson y su hermano fueron sacados de su vivienda de manera arbitraria por fuerzas de seguridad del Estado y los mantienen detenidos sin comunicación ni acceso a defensa privada.”, 13 de agosto de 2024</w:t>
      </w:r>
      <w:r w:rsidR="00FA4879" w:rsidRPr="00BF5C70">
        <w:rPr>
          <w:rFonts w:ascii="Cambria" w:hAnsi="Cambria" w:cstheme="majorBidi"/>
          <w:szCs w:val="16"/>
          <w:lang w:val="es-ES_tradnl"/>
        </w:rPr>
        <w:t>.</w:t>
      </w:r>
    </w:p>
  </w:footnote>
  <w:footnote w:id="356">
    <w:p w14:paraId="56C5DDEA" w14:textId="47775106" w:rsidR="00626AEC" w:rsidRPr="00BF5C70" w:rsidRDefault="00626AEC" w:rsidP="00D327B0">
      <w:pPr>
        <w:pStyle w:val="FootnoteText"/>
        <w:rPr>
          <w:rFonts w:ascii="Cambria" w:hAnsi="Cambria" w:cstheme="majorBidi"/>
          <w:szCs w:val="16"/>
          <w:lang w:val="es-ES"/>
        </w:rPr>
      </w:pPr>
      <w:r w:rsidRPr="005C52BD">
        <w:rPr>
          <w:rStyle w:val="FootnoteReference"/>
          <w:rFonts w:ascii="Cambria" w:hAnsi="Cambria" w:cstheme="majorBidi"/>
          <w:sz w:val="16"/>
          <w:szCs w:val="16"/>
          <w:lang w:val="es-ES"/>
        </w:rPr>
        <w:footnoteRef/>
      </w:r>
      <w:r w:rsidRPr="00BF5C70">
        <w:rPr>
          <w:rFonts w:ascii="Cambria" w:hAnsi="Cambria" w:cstheme="majorBidi"/>
          <w:szCs w:val="16"/>
          <w:lang w:val="es-ES"/>
        </w:rPr>
        <w:t xml:space="preserve"> Encuentro Ciudadano (@EnCiudadanoVzla) </w:t>
      </w:r>
      <w:hyperlink r:id="rId327">
        <w:r w:rsidRPr="00BF5C70">
          <w:rPr>
            <w:rStyle w:val="Hyperlink"/>
            <w:rFonts w:ascii="Cambria" w:hAnsi="Cambria" w:cstheme="majorBidi"/>
            <w:color w:val="auto"/>
            <w:szCs w:val="16"/>
            <w:lang w:val="es-ES"/>
          </w:rPr>
          <w:t>Pronunciamiento en X</w:t>
        </w:r>
      </w:hyperlink>
      <w:r w:rsidRPr="00BF5C70">
        <w:rPr>
          <w:rFonts w:ascii="Cambria" w:hAnsi="Cambria" w:cstheme="majorBidi"/>
          <w:szCs w:val="16"/>
          <w:lang w:val="es-ES"/>
        </w:rPr>
        <w:t xml:space="preserve"> “#URGENTE | Queremos denunciar que, a pesar de su grave estado de salud, Nelson Merino fue trasladado hacia el penal de Tocorón…”</w:t>
      </w:r>
      <w:r w:rsidR="0074258C" w:rsidRPr="00BF5C70">
        <w:rPr>
          <w:rFonts w:ascii="Cambria" w:hAnsi="Cambria" w:cstheme="majorBidi"/>
          <w:szCs w:val="16"/>
          <w:lang w:val="es-ES"/>
        </w:rPr>
        <w:t>,</w:t>
      </w:r>
      <w:r w:rsidRPr="00BF5C70">
        <w:rPr>
          <w:rFonts w:ascii="Cambria" w:hAnsi="Cambria" w:cstheme="majorBidi"/>
          <w:szCs w:val="16"/>
          <w:lang w:val="es-ES"/>
        </w:rPr>
        <w:t xml:space="preserve"> 4 de septiembre de 2024</w:t>
      </w:r>
      <w:r w:rsidR="008E0DF6" w:rsidRPr="00BF5C70">
        <w:rPr>
          <w:rFonts w:ascii="Cambria" w:hAnsi="Cambria" w:cstheme="majorBidi"/>
          <w:szCs w:val="16"/>
          <w:lang w:val="es-ES"/>
        </w:rPr>
        <w:t>.</w:t>
      </w:r>
    </w:p>
  </w:footnote>
  <w:footnote w:id="357">
    <w:p w14:paraId="7FDF514A" w14:textId="5193F6C8" w:rsidR="00626AEC" w:rsidRPr="00BF5C70" w:rsidRDefault="00626AEC" w:rsidP="00D327B0">
      <w:pPr>
        <w:pStyle w:val="FootnoteText"/>
        <w:rPr>
          <w:rFonts w:ascii="Cambria" w:hAnsi="Cambria" w:cstheme="majorBidi"/>
          <w:szCs w:val="16"/>
          <w:lang w:val="es-ES"/>
        </w:rPr>
      </w:pPr>
      <w:r w:rsidRPr="005C52BD">
        <w:rPr>
          <w:rStyle w:val="FootnoteReference"/>
          <w:rFonts w:ascii="Cambria" w:hAnsi="Cambria" w:cstheme="majorBidi"/>
          <w:sz w:val="16"/>
          <w:szCs w:val="16"/>
          <w:lang w:val="es-ES"/>
        </w:rPr>
        <w:footnoteRef/>
      </w:r>
      <w:r w:rsidRPr="00BF5C70">
        <w:rPr>
          <w:rFonts w:ascii="Cambria" w:hAnsi="Cambria" w:cstheme="majorBidi"/>
          <w:szCs w:val="16"/>
          <w:lang w:val="es-ES"/>
        </w:rPr>
        <w:t xml:space="preserve"> Infobae, </w:t>
      </w:r>
      <w:hyperlink r:id="rId328" w:history="1">
        <w:r w:rsidRPr="00BF5C70">
          <w:rPr>
            <w:rStyle w:val="Hyperlink"/>
            <w:rFonts w:ascii="Cambria" w:hAnsi="Cambria" w:cstheme="majorBidi"/>
            <w:color w:val="auto"/>
            <w:szCs w:val="16"/>
            <w:lang w:val="es-ES"/>
          </w:rPr>
          <w:t>Agentes de la dictadura de Nicolás Maduro intentaron allanar la vivienda de un activista LGBT al oeste de Caracas</w:t>
        </w:r>
      </w:hyperlink>
      <w:r w:rsidRPr="00BF5C70">
        <w:rPr>
          <w:rFonts w:ascii="Cambria" w:hAnsi="Cambria" w:cstheme="majorBidi"/>
          <w:szCs w:val="16"/>
          <w:lang w:val="es-ES"/>
        </w:rPr>
        <w:t>, 10 de agosto de 2024; La Rep</w:t>
      </w:r>
      <w:r w:rsidR="00996464" w:rsidRPr="00BF5C70">
        <w:rPr>
          <w:rFonts w:ascii="Cambria" w:hAnsi="Cambria" w:cstheme="majorBidi"/>
          <w:szCs w:val="16"/>
          <w:lang w:val="es-ES"/>
        </w:rPr>
        <w:t>ú</w:t>
      </w:r>
      <w:r w:rsidRPr="00BF5C70">
        <w:rPr>
          <w:rFonts w:ascii="Cambria" w:hAnsi="Cambria" w:cstheme="majorBidi"/>
          <w:szCs w:val="16"/>
          <w:lang w:val="es-ES"/>
        </w:rPr>
        <w:t xml:space="preserve">blica, </w:t>
      </w:r>
      <w:hyperlink r:id="rId329" w:history="1">
        <w:r w:rsidRPr="00BF5C70">
          <w:rPr>
            <w:rStyle w:val="Hyperlink"/>
            <w:rFonts w:ascii="Cambria" w:hAnsi="Cambria" w:cstheme="majorBidi"/>
            <w:color w:val="auto"/>
            <w:szCs w:val="16"/>
            <w:lang w:val="es-ES"/>
          </w:rPr>
          <w:t>Encapuchados de Nicolás Maduro intentan allanar y secuestrar a activista LGBTIQ+ Koddy Campos</w:t>
        </w:r>
      </w:hyperlink>
      <w:r w:rsidRPr="00BF5C70">
        <w:rPr>
          <w:rFonts w:ascii="Cambria" w:hAnsi="Cambria" w:cstheme="majorBidi"/>
          <w:szCs w:val="16"/>
          <w:lang w:val="es-ES"/>
        </w:rPr>
        <w:t>, 11 de agosto de 2024</w:t>
      </w:r>
      <w:r w:rsidR="00DF0393" w:rsidRPr="00BF5C70">
        <w:rPr>
          <w:rFonts w:ascii="Cambria" w:hAnsi="Cambria" w:cstheme="majorBidi"/>
          <w:szCs w:val="16"/>
          <w:lang w:val="es-ES"/>
        </w:rPr>
        <w:t>.</w:t>
      </w:r>
    </w:p>
  </w:footnote>
  <w:footnote w:id="358">
    <w:p w14:paraId="353E8AAE" w14:textId="346F2555" w:rsidR="00626AEC" w:rsidRPr="00BF5C70" w:rsidRDefault="00626AEC" w:rsidP="00D327B0">
      <w:pPr>
        <w:pStyle w:val="FootnoteText"/>
        <w:rPr>
          <w:rFonts w:ascii="Cambria" w:hAnsi="Cambria" w:cstheme="majorBidi"/>
          <w:szCs w:val="16"/>
          <w:lang w:val="es-ES"/>
        </w:rPr>
      </w:pPr>
      <w:r w:rsidRPr="005C52BD">
        <w:rPr>
          <w:rStyle w:val="FootnoteReference"/>
          <w:rFonts w:ascii="Cambria" w:hAnsi="Cambria" w:cstheme="majorBidi"/>
          <w:sz w:val="16"/>
          <w:szCs w:val="16"/>
          <w:lang w:val="es-ES"/>
        </w:rPr>
        <w:footnoteRef/>
      </w:r>
      <w:r w:rsidRPr="00BF5C70">
        <w:rPr>
          <w:rFonts w:ascii="Cambria" w:hAnsi="Cambria" w:cstheme="majorBidi"/>
          <w:szCs w:val="16"/>
          <w:lang w:val="es-ES"/>
        </w:rPr>
        <w:t xml:space="preserve"> El Pitazo, </w:t>
      </w:r>
      <w:hyperlink r:id="rId330">
        <w:r w:rsidRPr="00BF5C70">
          <w:rPr>
            <w:rStyle w:val="Hyperlink"/>
            <w:rFonts w:ascii="Cambria" w:hAnsi="Cambria" w:cstheme="majorBidi"/>
            <w:color w:val="auto"/>
            <w:szCs w:val="16"/>
            <w:lang w:val="es-ES"/>
          </w:rPr>
          <w:t>ONG Venezuela Igualitaria cesa operaciones indefinidamente: priorizamos nuestra seguridad</w:t>
        </w:r>
      </w:hyperlink>
      <w:r w:rsidRPr="00BF5C70">
        <w:rPr>
          <w:rFonts w:ascii="Cambria" w:hAnsi="Cambria" w:cstheme="majorBidi"/>
          <w:szCs w:val="16"/>
          <w:lang w:val="es-ES"/>
        </w:rPr>
        <w:t xml:space="preserve">, 13 de octubre de 2024; AC Venezuela Igualitaria (@VE_Igualitaria) </w:t>
      </w:r>
      <w:hyperlink r:id="rId331">
        <w:r w:rsidRPr="00BF5C70">
          <w:rPr>
            <w:rStyle w:val="Hyperlink"/>
            <w:rFonts w:ascii="Cambria" w:hAnsi="Cambria" w:cstheme="majorBidi"/>
            <w:color w:val="auto"/>
            <w:szCs w:val="16"/>
            <w:lang w:val="es-ES"/>
          </w:rPr>
          <w:t>Pronunciamiento en X</w:t>
        </w:r>
      </w:hyperlink>
      <w:r w:rsidRPr="00BF5C70">
        <w:rPr>
          <w:rFonts w:ascii="Cambria" w:hAnsi="Cambria" w:cstheme="majorBidi"/>
          <w:szCs w:val="16"/>
          <w:lang w:val="es-ES"/>
        </w:rPr>
        <w:t xml:space="preserve"> “En nuestro 12avo aniversario comunicamos esta difícil </w:t>
      </w:r>
      <w:r w:rsidR="005316D2" w:rsidRPr="00BF5C70">
        <w:rPr>
          <w:rFonts w:ascii="Cambria" w:hAnsi="Cambria" w:cstheme="majorBidi"/>
          <w:szCs w:val="16"/>
          <w:lang w:val="es-ES"/>
        </w:rPr>
        <w:t>decisión</w:t>
      </w:r>
      <w:r w:rsidRPr="00BF5C70">
        <w:rPr>
          <w:rFonts w:ascii="Cambria" w:hAnsi="Cambria" w:cstheme="majorBidi"/>
          <w:szCs w:val="16"/>
          <w:lang w:val="es-ES"/>
        </w:rPr>
        <w:t>: #ceseindefinidodeoperaciones”</w:t>
      </w:r>
      <w:r w:rsidR="005E3903" w:rsidRPr="00BF5C70">
        <w:rPr>
          <w:rFonts w:ascii="Cambria" w:hAnsi="Cambria" w:cstheme="majorBidi"/>
          <w:szCs w:val="16"/>
          <w:lang w:val="es-ES"/>
        </w:rPr>
        <w:t>,</w:t>
      </w:r>
      <w:r w:rsidRPr="00BF5C70">
        <w:rPr>
          <w:rFonts w:ascii="Cambria" w:hAnsi="Cambria" w:cstheme="majorBidi"/>
          <w:szCs w:val="16"/>
          <w:lang w:val="es-ES"/>
        </w:rPr>
        <w:t xml:space="preserve"> 12 de octubre de 2024.</w:t>
      </w:r>
    </w:p>
  </w:footnote>
  <w:footnote w:id="359">
    <w:p w14:paraId="3B5B065C" w14:textId="77777777" w:rsidR="00626AEC" w:rsidRPr="00BF5C70" w:rsidRDefault="00626AEC" w:rsidP="00D327B0">
      <w:pPr>
        <w:pStyle w:val="FootnoteText"/>
        <w:rPr>
          <w:rFonts w:ascii="Cambria" w:hAnsi="Cambria" w:cstheme="majorBidi"/>
          <w:szCs w:val="16"/>
          <w:lang w:val="es-ES_tradnl"/>
        </w:rPr>
      </w:pPr>
      <w:r w:rsidRPr="005C52BD">
        <w:rPr>
          <w:rStyle w:val="FootnoteReference"/>
          <w:rFonts w:ascii="Cambria" w:hAnsi="Cambria" w:cstheme="majorBidi"/>
          <w:sz w:val="16"/>
          <w:szCs w:val="16"/>
          <w:lang w:val="es-ES_tradnl"/>
        </w:rPr>
        <w:footnoteRef/>
      </w:r>
      <w:r w:rsidRPr="00BF5C70">
        <w:rPr>
          <w:rFonts w:ascii="Cambria" w:hAnsi="Cambria" w:cstheme="majorBidi"/>
          <w:szCs w:val="16"/>
          <w:lang w:val="es-ES_tradnl"/>
        </w:rPr>
        <w:t xml:space="preserve"> Caribe Afirmativo, </w:t>
      </w:r>
      <w:hyperlink r:id="rId332" w:history="1">
        <w:r w:rsidRPr="00BF5C70">
          <w:rPr>
            <w:rStyle w:val="Hyperlink"/>
            <w:rFonts w:ascii="Cambria" w:hAnsi="Cambria" w:cstheme="majorBidi"/>
            <w:color w:val="auto"/>
            <w:szCs w:val="16"/>
            <w:lang w:val="es-ES_tradnl"/>
          </w:rPr>
          <w:t>Dos organizaciones LGBTIQ+ en Venezuela cierran operaciones en apenas dos días</w:t>
        </w:r>
      </w:hyperlink>
      <w:r w:rsidRPr="00BF5C70">
        <w:rPr>
          <w:rFonts w:ascii="Cambria" w:hAnsi="Cambria" w:cstheme="majorBidi"/>
          <w:szCs w:val="16"/>
          <w:lang w:val="es-ES_tradnl"/>
        </w:rPr>
        <w:t>, 15 de octubre de 2024.</w:t>
      </w:r>
    </w:p>
  </w:footnote>
  <w:footnote w:id="360">
    <w:p w14:paraId="7847AD41" w14:textId="26F7FD14" w:rsidR="00B512BB" w:rsidRPr="00BF5C70" w:rsidRDefault="00B512BB" w:rsidP="00D327B0">
      <w:pPr>
        <w:pStyle w:val="FootnoteText"/>
        <w:rPr>
          <w:rFonts w:ascii="Cambria" w:eastAsia="Cambria" w:hAnsi="Cambria" w:cstheme="majorBidi"/>
          <w:szCs w:val="16"/>
          <w:lang w:val="es-ES_tradnl"/>
        </w:rPr>
      </w:pPr>
      <w:r w:rsidRPr="005C52BD">
        <w:rPr>
          <w:rStyle w:val="FootnoteReference"/>
          <w:rFonts w:ascii="Cambria" w:hAnsi="Cambria" w:cstheme="majorBidi"/>
          <w:sz w:val="16"/>
          <w:szCs w:val="16"/>
          <w:lang w:val="es-ES_tradnl"/>
        </w:rPr>
        <w:footnoteRef/>
      </w:r>
      <w:r w:rsidRPr="00BF5C70">
        <w:rPr>
          <w:rFonts w:ascii="Cambria" w:hAnsi="Cambria" w:cstheme="majorBidi"/>
          <w:szCs w:val="16"/>
          <w:lang w:val="es-ES_tradnl"/>
        </w:rPr>
        <w:t xml:space="preserve"> I</w:t>
      </w:r>
      <w:r w:rsidRPr="00BF5C70">
        <w:rPr>
          <w:rFonts w:ascii="Cambria" w:eastAsia="Cambria" w:hAnsi="Cambria" w:cstheme="majorBidi"/>
          <w:szCs w:val="16"/>
          <w:lang w:val="es-ES_tradnl"/>
        </w:rPr>
        <w:t xml:space="preserve">nfobae, </w:t>
      </w:r>
      <w:hyperlink r:id="rId333">
        <w:r w:rsidRPr="00BF5C70">
          <w:rPr>
            <w:rStyle w:val="Hyperlink"/>
            <w:rFonts w:ascii="Cambria" w:eastAsia="Cambria" w:hAnsi="Cambria" w:cstheme="majorBidi"/>
            <w:color w:val="auto"/>
            <w:szCs w:val="16"/>
            <w:lang w:val="es-ES_tradnl"/>
          </w:rPr>
          <w:t>Adultos mayores protestaron en Venezuela contra la “pensión de hambre”: menos de 4 dólares por mes</w:t>
        </w:r>
      </w:hyperlink>
      <w:r w:rsidRPr="00BF5C70">
        <w:rPr>
          <w:rFonts w:ascii="Cambria" w:eastAsia="Cambria" w:hAnsi="Cambria" w:cstheme="majorBidi"/>
          <w:szCs w:val="16"/>
          <w:lang w:val="es-ES_tradnl"/>
        </w:rPr>
        <w:t>, 30 de mayo de 2024.</w:t>
      </w:r>
      <w:r w:rsidRPr="00BF5C70">
        <w:rPr>
          <w:rFonts w:ascii="Cambria" w:hAnsi="Cambria" w:cstheme="majorBidi"/>
          <w:szCs w:val="16"/>
          <w:lang w:val="es-ES_tradnl"/>
        </w:rPr>
        <w:t xml:space="preserve"> </w:t>
      </w:r>
    </w:p>
  </w:footnote>
  <w:footnote w:id="361">
    <w:p w14:paraId="70CE85CE" w14:textId="0760A568" w:rsidR="00B512BB" w:rsidRPr="00BF5C70" w:rsidRDefault="00B512BB" w:rsidP="00A43D0A">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Pr="00BF5C70">
        <w:rPr>
          <w:rFonts w:eastAsia="Cambria" w:cstheme="majorBidi"/>
          <w:szCs w:val="16"/>
          <w:lang w:val="es-ES_tradnl"/>
        </w:rPr>
        <w:t xml:space="preserve">Provea, </w:t>
      </w:r>
      <w:hyperlink r:id="rId334">
        <w:r w:rsidRPr="00BF5C70">
          <w:rPr>
            <w:rStyle w:val="Hyperlink"/>
            <w:rFonts w:eastAsia="Cambria" w:cstheme="majorBidi"/>
            <w:color w:val="auto"/>
            <w:szCs w:val="16"/>
            <w:lang w:val="es-ES_tradnl"/>
          </w:rPr>
          <w:t>Edgar Silva: “Más de 5 millones de adultos mayores se han mantenido en pobreza extrema, en estado de exterminio”</w:t>
        </w:r>
      </w:hyperlink>
      <w:r w:rsidRPr="00BF5C70">
        <w:rPr>
          <w:rFonts w:eastAsia="Cambria" w:cstheme="majorBidi"/>
          <w:szCs w:val="16"/>
          <w:lang w:val="es-ES_tradnl"/>
        </w:rPr>
        <w:t>, 2 de junio de 2024.</w:t>
      </w:r>
    </w:p>
  </w:footnote>
  <w:footnote w:id="362">
    <w:p w14:paraId="3DF01EF4" w14:textId="5D66B348" w:rsidR="00B512BB" w:rsidRPr="00BF5C70" w:rsidRDefault="00B512BB" w:rsidP="00A43D0A">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Pr="00BF5C70">
        <w:rPr>
          <w:rFonts w:eastAsia="Cambria" w:cstheme="majorBidi"/>
          <w:szCs w:val="16"/>
          <w:lang w:val="es-ES_tradnl"/>
        </w:rPr>
        <w:t xml:space="preserve">Provea, </w:t>
      </w:r>
      <w:hyperlink r:id="rId335">
        <w:r w:rsidRPr="00BF5C70">
          <w:rPr>
            <w:rStyle w:val="Hyperlink"/>
            <w:rFonts w:eastAsia="Cambria" w:cstheme="majorBidi"/>
            <w:color w:val="auto"/>
            <w:szCs w:val="16"/>
            <w:lang w:val="es-ES_tradnl"/>
          </w:rPr>
          <w:t>Edgar Silva: “Más de 5 millones de adultos mayores se han mantenido en pobreza extrema, en estado de exterminio”</w:t>
        </w:r>
      </w:hyperlink>
      <w:r w:rsidRPr="00BF5C70">
        <w:rPr>
          <w:rFonts w:eastAsia="Cambria" w:cstheme="majorBidi"/>
          <w:szCs w:val="16"/>
          <w:lang w:val="es-ES_tradnl"/>
        </w:rPr>
        <w:t>, 2 de junio de 2024.</w:t>
      </w:r>
    </w:p>
  </w:footnote>
  <w:footnote w:id="363">
    <w:p w14:paraId="3FE05EDE" w14:textId="29FB67DA" w:rsidR="00B512BB" w:rsidRPr="00BF5C70" w:rsidRDefault="00B512BB" w:rsidP="00A43D0A">
      <w:pPr>
        <w:pStyle w:val="IAPiedepgina"/>
        <w:rPr>
          <w:rFonts w:eastAsia="Cambria" w:cstheme="majorBidi"/>
          <w:szCs w:val="16"/>
        </w:rPr>
      </w:pPr>
      <w:r w:rsidRPr="005C52BD">
        <w:rPr>
          <w:rStyle w:val="FootnoteReference"/>
          <w:rFonts w:cstheme="majorBidi"/>
          <w:sz w:val="16"/>
          <w:szCs w:val="16"/>
        </w:rPr>
        <w:footnoteRef/>
      </w:r>
      <w:r w:rsidRPr="00BF5C70">
        <w:rPr>
          <w:rFonts w:cstheme="majorBidi"/>
          <w:szCs w:val="16"/>
        </w:rPr>
        <w:t xml:space="preserve"> </w:t>
      </w:r>
      <w:r w:rsidRPr="00BF5C70">
        <w:rPr>
          <w:rFonts w:eastAsia="Cambria" w:cstheme="majorBidi"/>
          <w:szCs w:val="16"/>
        </w:rPr>
        <w:t xml:space="preserve">Naciones Unidas, </w:t>
      </w:r>
      <w:hyperlink r:id="rId336">
        <w:r w:rsidRPr="00BF5C70">
          <w:rPr>
            <w:rStyle w:val="Hyperlink"/>
            <w:rFonts w:eastAsia="Cambria" w:cstheme="majorBidi"/>
            <w:color w:val="auto"/>
            <w:szCs w:val="16"/>
          </w:rPr>
          <w:t>Misión de expertos alerta de violaciones de derechos humanos en el contexto postelectoral en Venezuela</w:t>
        </w:r>
      </w:hyperlink>
      <w:r w:rsidRPr="00BF5C70">
        <w:rPr>
          <w:rFonts w:eastAsia="Cambria" w:cstheme="majorBidi"/>
          <w:szCs w:val="16"/>
        </w:rPr>
        <w:t>, 31 de julio de 2024</w:t>
      </w:r>
      <w:r w:rsidRPr="00BF5C70">
        <w:rPr>
          <w:rFonts w:cstheme="majorBidi"/>
          <w:szCs w:val="16"/>
        </w:rPr>
        <w:t xml:space="preserve">. </w:t>
      </w:r>
    </w:p>
  </w:footnote>
  <w:footnote w:id="364">
    <w:p w14:paraId="1DA43787" w14:textId="2CCBEE03" w:rsidR="00B512BB" w:rsidRPr="00BF5C70" w:rsidRDefault="00B512BB" w:rsidP="00A43D0A">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w:t>
      </w:r>
      <w:r w:rsidRPr="00BF5C70">
        <w:rPr>
          <w:rFonts w:eastAsia="Cambria" w:cstheme="majorBidi"/>
          <w:szCs w:val="16"/>
          <w:lang w:val="es-ES_tradnl"/>
        </w:rPr>
        <w:t xml:space="preserve">CNN, </w:t>
      </w:r>
      <w:hyperlink r:id="rId337">
        <w:r w:rsidRPr="00BF5C70">
          <w:rPr>
            <w:rStyle w:val="Hyperlink"/>
            <w:rFonts w:eastAsia="Cambria" w:cstheme="majorBidi"/>
            <w:color w:val="auto"/>
            <w:szCs w:val="16"/>
            <w:lang w:val="es-ES_tradnl"/>
          </w:rPr>
          <w:t>Detienen a empresario venezolano que albergó a María Corina Machado en su casa, denuncia su abogado</w:t>
        </w:r>
      </w:hyperlink>
      <w:r w:rsidRPr="00BF5C70">
        <w:rPr>
          <w:rFonts w:eastAsia="Cambria" w:cstheme="majorBidi"/>
          <w:szCs w:val="16"/>
          <w:lang w:val="es-ES_tradnl"/>
        </w:rPr>
        <w:t>, 12 de julio de 2024.</w:t>
      </w:r>
    </w:p>
  </w:footnote>
  <w:footnote w:id="365">
    <w:p w14:paraId="447C4461" w14:textId="77777777" w:rsidR="004F4CDE" w:rsidRPr="00BF5C70" w:rsidRDefault="004F4CDE" w:rsidP="00A43D0A">
      <w:pPr>
        <w:pStyle w:val="IAPiedepgina"/>
        <w:rPr>
          <w:rFonts w:cstheme="majorBidi"/>
          <w:szCs w:val="16"/>
          <w:lang w:val="es-ES_tradnl"/>
        </w:rPr>
      </w:pPr>
      <w:r w:rsidRPr="005C52BD">
        <w:rPr>
          <w:rFonts w:eastAsia="Cambria" w:cstheme="majorBidi"/>
          <w:szCs w:val="16"/>
          <w:vertAlign w:val="superscript"/>
          <w:lang w:val="es-ES_tradnl"/>
        </w:rPr>
        <w:footnoteRef/>
      </w:r>
      <w:r w:rsidRPr="00BF5C70">
        <w:rPr>
          <w:rFonts w:eastAsia="Cambria" w:cstheme="majorBidi"/>
          <w:szCs w:val="16"/>
          <w:lang w:val="es-ES_tradnl"/>
        </w:rPr>
        <w:t xml:space="preserve"> OVP, </w:t>
      </w:r>
      <w:hyperlink r:id="rId338">
        <w:r w:rsidRPr="00BF5C70">
          <w:rPr>
            <w:rStyle w:val="Hyperlink"/>
            <w:rFonts w:eastAsia="Cambria" w:cstheme="majorBidi"/>
            <w:color w:val="auto"/>
            <w:szCs w:val="16"/>
            <w:lang w:val="es-ES_tradnl"/>
          </w:rPr>
          <w:t>“Presos venezolanos viven en menos espacio del que ocupan sus propios pies”</w:t>
        </w:r>
      </w:hyperlink>
      <w:r w:rsidRPr="00BF5C70">
        <w:rPr>
          <w:rFonts w:eastAsia="Cambria" w:cstheme="majorBidi"/>
          <w:szCs w:val="16"/>
          <w:lang w:val="es-ES_tradnl"/>
        </w:rPr>
        <w:t>, 25 de septiembre de 2024.</w:t>
      </w:r>
    </w:p>
  </w:footnote>
  <w:footnote w:id="366">
    <w:p w14:paraId="6E581A5F" w14:textId="77777777" w:rsidR="004F4CDE" w:rsidRPr="00BF5C70" w:rsidRDefault="004F4CDE" w:rsidP="00A43D0A">
      <w:pPr>
        <w:pStyle w:val="IAPiedepgina"/>
        <w:rPr>
          <w:rFonts w:cstheme="majorBidi"/>
          <w:szCs w:val="16"/>
          <w:lang w:val="pt-BR"/>
        </w:rPr>
      </w:pPr>
      <w:r w:rsidRPr="005C52BD">
        <w:rPr>
          <w:rFonts w:eastAsia="Cambria" w:cstheme="majorBidi"/>
          <w:szCs w:val="16"/>
          <w:vertAlign w:val="superscript"/>
          <w:lang w:val="es-ES_tradnl"/>
        </w:rPr>
        <w:footnoteRef/>
      </w:r>
      <w:r w:rsidRPr="00BF5C70">
        <w:rPr>
          <w:rFonts w:eastAsia="Cambria" w:cstheme="majorBidi"/>
          <w:szCs w:val="16"/>
          <w:lang w:val="es-ES_tradnl"/>
        </w:rPr>
        <w:t xml:space="preserve"> OVP, </w:t>
      </w:r>
      <w:hyperlink r:id="rId339">
        <w:r w:rsidRPr="00BF5C70">
          <w:rPr>
            <w:rStyle w:val="Hyperlink"/>
            <w:rFonts w:eastAsia="Cambria" w:cstheme="majorBidi"/>
            <w:color w:val="auto"/>
            <w:szCs w:val="16"/>
            <w:lang w:val="es-ES_tradnl"/>
          </w:rPr>
          <w:t>Informe Anual 2023: Degradación, desprecio y abandono: características del sistema penitenciario venezolano</w:t>
        </w:r>
      </w:hyperlink>
      <w:r w:rsidRPr="00BF5C70">
        <w:rPr>
          <w:rFonts w:eastAsia="Cambria" w:cstheme="majorBidi"/>
          <w:szCs w:val="16"/>
          <w:lang w:val="es-ES_tradnl"/>
        </w:rPr>
        <w:t xml:space="preserve">, 26 de julio de 2024, pp. 52 y 72. </w:t>
      </w:r>
      <w:r w:rsidRPr="00BF5C70">
        <w:rPr>
          <w:rFonts w:eastAsia="Cambria" w:cstheme="majorBidi"/>
          <w:szCs w:val="16"/>
          <w:lang w:val="pt-BR"/>
        </w:rPr>
        <w:t xml:space="preserve">Además, ver: CIDH, </w:t>
      </w:r>
      <w:hyperlink r:id="rId340" w:anchor="p=870">
        <w:r w:rsidRPr="00BF5C70">
          <w:rPr>
            <w:rStyle w:val="Hyperlink"/>
            <w:rFonts w:eastAsia="Cambria" w:cstheme="majorBidi"/>
            <w:color w:val="auto"/>
            <w:szCs w:val="16"/>
            <w:lang w:val="pt-BR"/>
          </w:rPr>
          <w:t>Informe Anual, Capítulo IV. B “Venezuela”</w:t>
        </w:r>
      </w:hyperlink>
      <w:r w:rsidRPr="00BF5C70">
        <w:rPr>
          <w:rFonts w:eastAsia="Cambria" w:cstheme="majorBidi"/>
          <w:szCs w:val="16"/>
          <w:lang w:val="pt-BR"/>
        </w:rPr>
        <w:t xml:space="preserve">, 2021, párr. 202; CIDH, </w:t>
      </w:r>
      <w:hyperlink r:id="rId341">
        <w:r w:rsidRPr="00BF5C70">
          <w:rPr>
            <w:rStyle w:val="Hyperlink"/>
            <w:rFonts w:eastAsia="Cambria" w:cstheme="majorBidi"/>
            <w:color w:val="auto"/>
            <w:szCs w:val="16"/>
            <w:lang w:val="pt-BR"/>
          </w:rPr>
          <w:t>Informe Anual, Capítulo IV.B “Venezuela”</w:t>
        </w:r>
      </w:hyperlink>
      <w:r w:rsidRPr="00BF5C70">
        <w:rPr>
          <w:rFonts w:eastAsia="Cambria" w:cstheme="majorBidi"/>
          <w:szCs w:val="16"/>
          <w:lang w:val="pt-BR"/>
        </w:rPr>
        <w:t xml:space="preserve">, 2022, párr. 122; y CIDH, </w:t>
      </w:r>
      <w:hyperlink r:id="rId342">
        <w:r w:rsidRPr="00BF5C70">
          <w:rPr>
            <w:rStyle w:val="Hyperlink"/>
            <w:rFonts w:eastAsia="Cambria" w:cstheme="majorBidi"/>
            <w:color w:val="auto"/>
            <w:szCs w:val="16"/>
            <w:lang w:val="pt-BR"/>
          </w:rPr>
          <w:t>Informe Anual, Capítulo IV.B “Venezuela”</w:t>
        </w:r>
      </w:hyperlink>
      <w:r w:rsidRPr="00BF5C70">
        <w:rPr>
          <w:rFonts w:eastAsia="Cambria" w:cstheme="majorBidi"/>
          <w:szCs w:val="16"/>
          <w:lang w:val="pt-BR"/>
        </w:rPr>
        <w:t xml:space="preserve">, 2023, párr. 130. </w:t>
      </w:r>
    </w:p>
  </w:footnote>
  <w:footnote w:id="367">
    <w:p w14:paraId="44F8A63F" w14:textId="77777777" w:rsidR="004F4CDE" w:rsidRPr="00115E2C" w:rsidRDefault="004F4CDE" w:rsidP="00A43D0A">
      <w:pPr>
        <w:pStyle w:val="IAPiedepgina"/>
        <w:rPr>
          <w:rFonts w:cstheme="majorBidi"/>
          <w:szCs w:val="16"/>
          <w:lang w:val="pt-BR"/>
        </w:rPr>
      </w:pPr>
      <w:r w:rsidRPr="005C52BD">
        <w:rPr>
          <w:rFonts w:eastAsia="Cambria" w:cstheme="majorBidi"/>
          <w:szCs w:val="16"/>
          <w:vertAlign w:val="superscript"/>
          <w:lang w:val="es-ES_tradnl"/>
        </w:rPr>
        <w:footnoteRef/>
      </w:r>
      <w:r w:rsidRPr="00115E2C">
        <w:rPr>
          <w:rFonts w:eastAsia="Cambria" w:cstheme="majorBidi"/>
          <w:szCs w:val="16"/>
          <w:lang w:val="pt-BR"/>
        </w:rPr>
        <w:t xml:space="preserve"> Últimas Noticias, </w:t>
      </w:r>
      <w:hyperlink r:id="rId343">
        <w:r w:rsidRPr="00115E2C">
          <w:rPr>
            <w:rStyle w:val="Hyperlink"/>
            <w:rFonts w:eastAsia="Cambria" w:cstheme="majorBidi"/>
            <w:color w:val="auto"/>
            <w:szCs w:val="16"/>
            <w:lang w:val="pt-BR"/>
          </w:rPr>
          <w:t>“Avanzan acciones para descongestionar centros de detención preventiva”</w:t>
        </w:r>
      </w:hyperlink>
      <w:r w:rsidRPr="00115E2C">
        <w:rPr>
          <w:rFonts w:eastAsia="Cambria" w:cstheme="majorBidi"/>
          <w:szCs w:val="16"/>
          <w:lang w:val="pt-BR"/>
        </w:rPr>
        <w:t xml:space="preserve">, 19 de febrero de 2024. </w:t>
      </w:r>
    </w:p>
  </w:footnote>
  <w:footnote w:id="368">
    <w:p w14:paraId="120EA2EB" w14:textId="77777777" w:rsidR="004F4CDE" w:rsidRPr="00BF5C70" w:rsidRDefault="004F4CDE" w:rsidP="00A43D0A">
      <w:pPr>
        <w:pStyle w:val="IAPiedepgina"/>
        <w:rPr>
          <w:rFonts w:cstheme="majorBidi"/>
          <w:szCs w:val="16"/>
          <w:lang w:val="es-ES_tradnl"/>
        </w:rPr>
      </w:pPr>
      <w:r w:rsidRPr="005C52BD">
        <w:rPr>
          <w:rStyle w:val="IAPiedepginaChar"/>
          <w:rFonts w:eastAsia="Cambria" w:cstheme="majorBidi"/>
          <w:color w:val="auto"/>
          <w:szCs w:val="16"/>
          <w:vertAlign w:val="superscript"/>
          <w:lang w:val="es-ES_tradnl"/>
        </w:rPr>
        <w:footnoteRef/>
      </w:r>
      <w:r w:rsidRPr="00BF5C70">
        <w:rPr>
          <w:rFonts w:eastAsia="Cambria" w:cstheme="majorBidi"/>
          <w:szCs w:val="16"/>
          <w:vertAlign w:val="superscript"/>
          <w:lang w:val="es-ES_tradnl"/>
        </w:rPr>
        <w:t xml:space="preserve"> </w:t>
      </w:r>
      <w:r w:rsidRPr="00BF5C70">
        <w:rPr>
          <w:rFonts w:eastAsia="Cambria" w:cstheme="majorBidi"/>
          <w:szCs w:val="16"/>
          <w:lang w:val="es-ES_tradnl"/>
        </w:rPr>
        <w:t xml:space="preserve">OVP, </w:t>
      </w:r>
      <w:hyperlink r:id="rId344">
        <w:r w:rsidRPr="00BF5C70">
          <w:rPr>
            <w:rStyle w:val="Hyperlink"/>
            <w:rFonts w:eastAsia="Cambria" w:cstheme="majorBidi"/>
            <w:color w:val="auto"/>
            <w:szCs w:val="16"/>
            <w:lang w:val="es-ES_tradnl"/>
          </w:rPr>
          <w:t>“Presos venezolanos viven en menos espacio del que ocupan sus propios pies”</w:t>
        </w:r>
      </w:hyperlink>
      <w:r w:rsidRPr="00BF5C70">
        <w:rPr>
          <w:rFonts w:eastAsia="Cambria" w:cstheme="majorBidi"/>
          <w:szCs w:val="16"/>
          <w:lang w:val="es-ES_tradnl"/>
        </w:rPr>
        <w:t>, 25 de septiembre de 2024.</w:t>
      </w:r>
    </w:p>
  </w:footnote>
  <w:footnote w:id="369">
    <w:p w14:paraId="568CD7A7" w14:textId="77777777" w:rsidR="004F4CDE" w:rsidRPr="00BF5C70" w:rsidRDefault="004F4CDE" w:rsidP="00A43D0A">
      <w:pPr>
        <w:pStyle w:val="IAPiedepgina"/>
        <w:rPr>
          <w:rFonts w:cstheme="majorBidi"/>
          <w:szCs w:val="16"/>
          <w:vertAlign w:val="superscript"/>
          <w:lang w:val="es-ES_tradnl"/>
        </w:rPr>
      </w:pPr>
      <w:r w:rsidRPr="005C52BD">
        <w:rPr>
          <w:rFonts w:eastAsia="Cambria" w:cstheme="majorBidi"/>
          <w:szCs w:val="16"/>
          <w:vertAlign w:val="superscript"/>
          <w:lang w:val="es-ES_tradnl"/>
        </w:rPr>
        <w:footnoteRef/>
      </w:r>
      <w:r w:rsidRPr="00BF5C70">
        <w:rPr>
          <w:rFonts w:eastAsia="Cambria" w:cstheme="majorBidi"/>
          <w:szCs w:val="16"/>
          <w:vertAlign w:val="superscript"/>
          <w:lang w:val="es-ES_tradnl"/>
        </w:rPr>
        <w:t xml:space="preserve"> </w:t>
      </w:r>
      <w:r w:rsidRPr="00BF5C70">
        <w:rPr>
          <w:rFonts w:eastAsia="Cambria" w:cstheme="majorBidi"/>
          <w:szCs w:val="16"/>
          <w:lang w:val="es-ES_tradnl"/>
        </w:rPr>
        <w:t xml:space="preserve">OVP, </w:t>
      </w:r>
      <w:hyperlink r:id="rId345">
        <w:r w:rsidRPr="00BF5C70">
          <w:rPr>
            <w:rStyle w:val="Hyperlink"/>
            <w:rFonts w:eastAsia="Cambria" w:cstheme="majorBidi"/>
            <w:color w:val="auto"/>
            <w:szCs w:val="16"/>
            <w:lang w:val="es-ES_tradnl"/>
          </w:rPr>
          <w:t>“Presos venezolanos viven en menos espacio del que ocupan sus propios pies”</w:t>
        </w:r>
      </w:hyperlink>
      <w:r w:rsidRPr="00BF5C70">
        <w:rPr>
          <w:rFonts w:eastAsia="Cambria" w:cstheme="majorBidi"/>
          <w:szCs w:val="16"/>
          <w:lang w:val="es-ES_tradnl"/>
        </w:rPr>
        <w:t xml:space="preserve">, 25 de septiembre de 2024. </w:t>
      </w:r>
    </w:p>
  </w:footnote>
  <w:footnote w:id="370">
    <w:p w14:paraId="743A0A0A" w14:textId="77777777" w:rsidR="004F4CDE" w:rsidRPr="00BF5C70" w:rsidRDefault="004F4CDE" w:rsidP="009D7A58">
      <w:pPr>
        <w:pStyle w:val="IAPiedepgina"/>
      </w:pPr>
      <w:r w:rsidRPr="005C52BD">
        <w:rPr>
          <w:rFonts w:eastAsia="Cambria"/>
          <w:vertAlign w:val="superscript"/>
        </w:rPr>
        <w:footnoteRef/>
      </w:r>
      <w:r w:rsidRPr="00BF5C70">
        <w:rPr>
          <w:rFonts w:eastAsia="Cambria"/>
          <w:vertAlign w:val="superscript"/>
        </w:rPr>
        <w:t xml:space="preserve"> </w:t>
      </w:r>
      <w:r w:rsidRPr="00BF5C70">
        <w:rPr>
          <w:rFonts w:eastAsia="Cambria"/>
        </w:rPr>
        <w:t xml:space="preserve">CIDH, </w:t>
      </w:r>
      <w:hyperlink r:id="rId346">
        <w:r w:rsidRPr="00BF5C70">
          <w:rPr>
            <w:rStyle w:val="Hyperlink"/>
            <w:rFonts w:eastAsia="Cambria" w:cstheme="majorBidi"/>
            <w:color w:val="auto"/>
            <w:szCs w:val="16"/>
          </w:rPr>
          <w:t>Informe sobre el uso de la prisión preventiva en las Américas</w:t>
        </w:r>
      </w:hyperlink>
      <w:r w:rsidRPr="00BF5C70">
        <w:rPr>
          <w:rFonts w:eastAsia="Cambria"/>
        </w:rPr>
        <w:t>, OEA/Ser.L/V/II. Doc. 46/13, 30 de diciembre de 2013, párr. 290.</w:t>
      </w:r>
    </w:p>
  </w:footnote>
  <w:footnote w:id="371">
    <w:p w14:paraId="71A022CE" w14:textId="77777777" w:rsidR="004F4CDE" w:rsidRPr="00BF5C70" w:rsidRDefault="004F4CDE" w:rsidP="009D7A58">
      <w:pPr>
        <w:pStyle w:val="IAPiedepgina"/>
        <w:rPr>
          <w:lang w:val="es-ES_tradnl"/>
        </w:rPr>
      </w:pPr>
      <w:r w:rsidRPr="005C52BD">
        <w:rPr>
          <w:rFonts w:eastAsia="Cambria"/>
          <w:vertAlign w:val="superscript"/>
          <w:lang w:val="es-ES_tradnl"/>
        </w:rPr>
        <w:footnoteRef/>
      </w:r>
      <w:r w:rsidRPr="00BF5C70">
        <w:rPr>
          <w:rFonts w:eastAsia="Cambria"/>
          <w:vertAlign w:val="superscript"/>
          <w:lang w:val="es-ES_tradnl"/>
        </w:rPr>
        <w:t xml:space="preserve"> </w:t>
      </w:r>
      <w:r w:rsidRPr="00BF5C70">
        <w:rPr>
          <w:rFonts w:eastAsia="Cambria"/>
          <w:lang w:val="es-ES_tradnl"/>
        </w:rPr>
        <w:t xml:space="preserve">OVP, </w:t>
      </w:r>
      <w:hyperlink r:id="rId347">
        <w:r w:rsidRPr="00BF5C70">
          <w:rPr>
            <w:rStyle w:val="Hyperlink"/>
            <w:rFonts w:eastAsia="Cambria" w:cstheme="majorBidi"/>
            <w:color w:val="auto"/>
            <w:szCs w:val="16"/>
            <w:lang w:val="es-ES_tradnl"/>
          </w:rPr>
          <w:t>Informe Anual 2023: Degradación, desprecio y abandono: características del sistema penitenciario venezolano</w:t>
        </w:r>
      </w:hyperlink>
      <w:r w:rsidRPr="00BF5C70">
        <w:rPr>
          <w:rFonts w:eastAsia="Cambria"/>
          <w:lang w:val="es-ES_tradnl"/>
        </w:rPr>
        <w:t xml:space="preserve">, 26 de julio de 2024, p. 46. </w:t>
      </w:r>
    </w:p>
  </w:footnote>
  <w:footnote w:id="372">
    <w:p w14:paraId="27643EBC" w14:textId="2676BE6F" w:rsidR="004F4CDE" w:rsidRPr="00BF5C70" w:rsidRDefault="004F4CDE" w:rsidP="009D7A58">
      <w:pPr>
        <w:pStyle w:val="IAPiedepgina"/>
      </w:pPr>
      <w:r w:rsidRPr="005C52BD">
        <w:rPr>
          <w:rFonts w:eastAsia="Cambria"/>
          <w:vertAlign w:val="superscript"/>
        </w:rPr>
        <w:footnoteRef/>
      </w:r>
      <w:r w:rsidRPr="00BF5C70">
        <w:rPr>
          <w:rFonts w:eastAsia="Cambria"/>
          <w:vertAlign w:val="superscript"/>
        </w:rPr>
        <w:t xml:space="preserve"> </w:t>
      </w:r>
      <w:r w:rsidRPr="00BF5C70">
        <w:rPr>
          <w:rFonts w:eastAsia="Cambria"/>
        </w:rPr>
        <w:t xml:space="preserve">CIDH, </w:t>
      </w:r>
      <w:hyperlink r:id="rId348">
        <w:r w:rsidRPr="00BF5C70">
          <w:rPr>
            <w:rStyle w:val="Hyperlink"/>
            <w:rFonts w:eastAsia="Cambria" w:cstheme="majorBidi"/>
            <w:color w:val="auto"/>
            <w:szCs w:val="16"/>
          </w:rPr>
          <w:t>Informe sobre medidas dirigidas a reducir el uso de la prisión preventiva en las Américas</w:t>
        </w:r>
      </w:hyperlink>
      <w:r w:rsidRPr="00BF5C70">
        <w:rPr>
          <w:rFonts w:eastAsia="Cambria"/>
        </w:rPr>
        <w:t>, OEA/Ser.L/V/II. Doc. 46/13, 30 de diciembre de 2013, párr. 231</w:t>
      </w:r>
      <w:r w:rsidR="003F33D9" w:rsidRPr="00BF5C70">
        <w:rPr>
          <w:rFonts w:eastAsia="Cambria"/>
        </w:rPr>
        <w:t>,</w:t>
      </w:r>
      <w:r w:rsidRPr="00BF5C70">
        <w:rPr>
          <w:rFonts w:eastAsia="Cambria"/>
        </w:rPr>
        <w:t xml:space="preserve"> Recomendación A “Medidas de carácter general relativas a las políticas del Estado”, párr. 1. </w:t>
      </w:r>
    </w:p>
  </w:footnote>
  <w:footnote w:id="373">
    <w:p w14:paraId="4BC77C8D" w14:textId="77777777" w:rsidR="004F4CDE" w:rsidRPr="00BF5C70" w:rsidRDefault="004F4CDE" w:rsidP="009D7A58">
      <w:pPr>
        <w:pStyle w:val="IAPiedepgina"/>
        <w:rPr>
          <w:lang w:val="es-ES_tradnl"/>
        </w:rPr>
      </w:pPr>
      <w:r w:rsidRPr="005C52BD">
        <w:rPr>
          <w:rFonts w:eastAsia="Cambria"/>
          <w:vertAlign w:val="superscript"/>
          <w:lang w:val="es-ES_tradnl"/>
        </w:rPr>
        <w:footnoteRef/>
      </w:r>
      <w:r w:rsidRPr="00BF5C70">
        <w:rPr>
          <w:rFonts w:eastAsia="Cambria"/>
          <w:vertAlign w:val="superscript"/>
          <w:lang w:val="es-ES_tradnl"/>
        </w:rPr>
        <w:t xml:space="preserve"> </w:t>
      </w:r>
      <w:r w:rsidRPr="00BF5C70">
        <w:rPr>
          <w:rFonts w:eastAsia="Cambria"/>
          <w:lang w:val="es-ES_tradnl"/>
        </w:rPr>
        <w:t xml:space="preserve">OVP, </w:t>
      </w:r>
      <w:hyperlink r:id="rId349">
        <w:r w:rsidRPr="00BF5C70">
          <w:rPr>
            <w:rStyle w:val="Hyperlink"/>
            <w:rFonts w:eastAsia="Cambria" w:cstheme="majorBidi"/>
            <w:color w:val="auto"/>
            <w:szCs w:val="16"/>
            <w:lang w:val="es-ES_tradnl"/>
          </w:rPr>
          <w:t>Informe Anual 2023: Degradación, desprecio y abandono: características del sistema penitenciario venezolano</w:t>
        </w:r>
      </w:hyperlink>
      <w:r w:rsidRPr="00BF5C70">
        <w:rPr>
          <w:rFonts w:eastAsia="Cambria"/>
          <w:lang w:val="es-ES_tradnl"/>
        </w:rPr>
        <w:t xml:space="preserve">, 26 de julio de 2024, pp. 82-85. </w:t>
      </w:r>
    </w:p>
  </w:footnote>
  <w:footnote w:id="374">
    <w:p w14:paraId="3F020749" w14:textId="77777777" w:rsidR="004F4CDE" w:rsidRPr="00BF5C70" w:rsidRDefault="004F4CDE" w:rsidP="009D7A58">
      <w:pPr>
        <w:pStyle w:val="IAPiedepgina"/>
        <w:rPr>
          <w:lang w:val="es-ES_tradnl"/>
        </w:rPr>
      </w:pPr>
      <w:r w:rsidRPr="005C52BD">
        <w:rPr>
          <w:rFonts w:eastAsia="Cambria"/>
          <w:vertAlign w:val="superscript"/>
          <w:lang w:val="es-ES_tradnl"/>
        </w:rPr>
        <w:footnoteRef/>
      </w:r>
      <w:r w:rsidRPr="00BF5C70">
        <w:rPr>
          <w:rFonts w:eastAsia="Cambria"/>
          <w:vertAlign w:val="superscript"/>
          <w:lang w:val="es-ES_tradnl"/>
        </w:rPr>
        <w:t xml:space="preserve"> </w:t>
      </w:r>
      <w:r w:rsidRPr="00BF5C70">
        <w:rPr>
          <w:rFonts w:eastAsia="Cambria"/>
          <w:lang w:val="es-ES_tradnl"/>
        </w:rPr>
        <w:t xml:space="preserve">En esta línea, ver: CIDH, </w:t>
      </w:r>
      <w:hyperlink r:id="rId350">
        <w:r w:rsidRPr="00BF5C70">
          <w:rPr>
            <w:rStyle w:val="Hyperlink"/>
            <w:rFonts w:eastAsia="Cambria" w:cstheme="majorBidi"/>
            <w:color w:val="auto"/>
            <w:szCs w:val="16"/>
            <w:lang w:val="es-ES_tradnl"/>
          </w:rPr>
          <w:t>Informe Anual, Capítulo IV.B “Venezuela”</w:t>
        </w:r>
      </w:hyperlink>
      <w:r w:rsidRPr="00BF5C70">
        <w:rPr>
          <w:rFonts w:eastAsia="Cambria"/>
          <w:lang w:val="es-ES_tradnl"/>
        </w:rPr>
        <w:t xml:space="preserve">, 2022, párr. 121. </w:t>
      </w:r>
    </w:p>
  </w:footnote>
  <w:footnote w:id="375">
    <w:p w14:paraId="4BDE6219" w14:textId="77777777" w:rsidR="004F4CDE" w:rsidRPr="00BF5C70" w:rsidRDefault="004F4CDE" w:rsidP="009D7A58">
      <w:pPr>
        <w:pStyle w:val="IAPiedepgina"/>
        <w:rPr>
          <w:lang w:val="es-ES_tradnl"/>
        </w:rPr>
      </w:pPr>
      <w:r w:rsidRPr="005C52BD">
        <w:rPr>
          <w:rFonts w:eastAsia="Cambria"/>
          <w:vertAlign w:val="superscript"/>
          <w:lang w:val="es-ES_tradnl"/>
        </w:rPr>
        <w:footnoteRef/>
      </w:r>
      <w:r w:rsidRPr="00BF5C70">
        <w:rPr>
          <w:rFonts w:eastAsia="Cambria"/>
          <w:vertAlign w:val="superscript"/>
          <w:lang w:val="es-ES_tradnl"/>
        </w:rPr>
        <w:t xml:space="preserve"> </w:t>
      </w:r>
      <w:r w:rsidRPr="00BF5C70">
        <w:rPr>
          <w:rFonts w:eastAsia="Cambria"/>
          <w:lang w:val="es-ES_tradnl"/>
        </w:rPr>
        <w:t xml:space="preserve">OVP, </w:t>
      </w:r>
      <w:hyperlink r:id="rId351">
        <w:r w:rsidRPr="00BF5C70">
          <w:rPr>
            <w:rStyle w:val="Hyperlink"/>
            <w:rFonts w:eastAsia="Cambria" w:cstheme="majorBidi"/>
            <w:color w:val="auto"/>
            <w:szCs w:val="16"/>
            <w:lang w:val="es-ES_tradnl"/>
          </w:rPr>
          <w:t>Informe Anual 2023: Degradación, desprecio y abandono: características del sistema penitenciario venezolano</w:t>
        </w:r>
      </w:hyperlink>
      <w:r w:rsidRPr="00BF5C70">
        <w:rPr>
          <w:rFonts w:eastAsia="Cambria"/>
          <w:lang w:val="es-ES_tradnl"/>
        </w:rPr>
        <w:t xml:space="preserve">, 26 de julio de 2024, pp. 85-86. </w:t>
      </w:r>
    </w:p>
  </w:footnote>
  <w:footnote w:id="376">
    <w:p w14:paraId="2D66261C" w14:textId="34747DE5" w:rsidR="004F4CDE" w:rsidRPr="00BF5C70" w:rsidRDefault="004F4CDE" w:rsidP="009D7A58">
      <w:pPr>
        <w:pStyle w:val="IAPiedepgina"/>
      </w:pPr>
      <w:r w:rsidRPr="005C52BD">
        <w:rPr>
          <w:rFonts w:eastAsia="Cambria"/>
          <w:vertAlign w:val="superscript"/>
        </w:rPr>
        <w:footnoteRef/>
      </w:r>
      <w:r w:rsidRPr="00BF5C70">
        <w:rPr>
          <w:rFonts w:eastAsia="Cambria"/>
          <w:vertAlign w:val="superscript"/>
        </w:rPr>
        <w:t xml:space="preserve"> </w:t>
      </w:r>
      <w:r w:rsidRPr="00BF5C70">
        <w:rPr>
          <w:rFonts w:eastAsia="Cambria"/>
        </w:rPr>
        <w:t>En este sentido, CIDH,</w:t>
      </w:r>
      <w:hyperlink r:id="rId352">
        <w:r w:rsidRPr="00BF5C70">
          <w:rPr>
            <w:rStyle w:val="Hyperlink"/>
            <w:rFonts w:eastAsia="Cambria" w:cstheme="majorBidi"/>
            <w:color w:val="auto"/>
            <w:szCs w:val="16"/>
          </w:rPr>
          <w:t xml:space="preserve"> </w:t>
        </w:r>
      </w:hyperlink>
      <w:hyperlink r:id="rId353">
        <w:r w:rsidRPr="00BF5C70">
          <w:rPr>
            <w:rStyle w:val="Hyperlink"/>
            <w:rFonts w:eastAsia="Cambria" w:cstheme="majorBidi"/>
            <w:color w:val="auto"/>
            <w:szCs w:val="16"/>
          </w:rPr>
          <w:t>Informe sobre los derechos humanos de las personas privadas de libertad en las Américas</w:t>
        </w:r>
      </w:hyperlink>
      <w:r w:rsidRPr="00BF5C70">
        <w:rPr>
          <w:rFonts w:eastAsia="Cambria"/>
        </w:rPr>
        <w:t>, OEA/Ser.L/V/II, adoptado el 31 de diciembre de 2011, párrs. 76 y 77.</w:t>
      </w:r>
    </w:p>
  </w:footnote>
  <w:footnote w:id="377">
    <w:p w14:paraId="42D0CF85" w14:textId="77777777" w:rsidR="004F4CDE" w:rsidRPr="00BF5C70" w:rsidRDefault="004F4CDE" w:rsidP="009D7A58">
      <w:pPr>
        <w:pStyle w:val="IAPiedepgina"/>
        <w:rPr>
          <w:lang w:val="es-ES_tradnl"/>
        </w:rPr>
      </w:pPr>
      <w:r w:rsidRPr="005C52BD">
        <w:rPr>
          <w:rFonts w:eastAsia="Cambria"/>
          <w:vertAlign w:val="superscript"/>
          <w:lang w:val="es-ES_tradnl"/>
        </w:rPr>
        <w:footnoteRef/>
      </w:r>
      <w:r w:rsidRPr="00BF5C70">
        <w:rPr>
          <w:rFonts w:eastAsia="Cambria"/>
          <w:vertAlign w:val="superscript"/>
          <w:lang w:val="es-ES_tradnl"/>
        </w:rPr>
        <w:t xml:space="preserve"> </w:t>
      </w:r>
      <w:r w:rsidRPr="00BF5C70">
        <w:rPr>
          <w:rFonts w:eastAsia="Cambria"/>
          <w:lang w:val="es-ES_tradnl"/>
        </w:rPr>
        <w:t xml:space="preserve">Ver: OVP, </w:t>
      </w:r>
      <w:hyperlink r:id="rId354">
        <w:r w:rsidRPr="00BF5C70">
          <w:rPr>
            <w:rStyle w:val="Hyperlink"/>
            <w:rFonts w:eastAsia="Cambria" w:cstheme="majorBidi"/>
            <w:color w:val="auto"/>
            <w:szCs w:val="16"/>
            <w:lang w:val="es-ES_tradnl"/>
          </w:rPr>
          <w:t>“Población reclusa inició huelga de hambre en reclamo por sus derechos”</w:t>
        </w:r>
      </w:hyperlink>
      <w:r w:rsidRPr="00BF5C70">
        <w:rPr>
          <w:rFonts w:eastAsia="Cambria"/>
          <w:lang w:val="es-ES_tradnl"/>
        </w:rPr>
        <w:t xml:space="preserve">, 10 de junio de 2024; y Efecto Cocuyo, </w:t>
      </w:r>
      <w:hyperlink r:id="rId355">
        <w:r w:rsidRPr="00BF5C70">
          <w:rPr>
            <w:rStyle w:val="Hyperlink"/>
            <w:rFonts w:eastAsia="Cambria" w:cstheme="majorBidi"/>
            <w:color w:val="auto"/>
            <w:szCs w:val="16"/>
            <w:lang w:val="es-ES_tradnl"/>
          </w:rPr>
          <w:t>“Maduro cambia a ministra de Servicio Penitenciario tras huelga de hambre en 16 cárceles del país”</w:t>
        </w:r>
      </w:hyperlink>
      <w:r w:rsidRPr="00BF5C70">
        <w:rPr>
          <w:rFonts w:eastAsia="Cambria"/>
          <w:lang w:val="es-ES_tradnl"/>
        </w:rPr>
        <w:t xml:space="preserve">, 11 de junio de 2024. </w:t>
      </w:r>
    </w:p>
  </w:footnote>
  <w:footnote w:id="378">
    <w:p w14:paraId="5FB608DE" w14:textId="77777777" w:rsidR="004F4CDE" w:rsidRPr="00BF5C70" w:rsidRDefault="004F4CDE" w:rsidP="009D7A58">
      <w:pPr>
        <w:pStyle w:val="IAPiedepgina"/>
      </w:pPr>
      <w:r w:rsidRPr="005C52BD">
        <w:rPr>
          <w:rFonts w:eastAsia="Cambria"/>
          <w:vertAlign w:val="superscript"/>
        </w:rPr>
        <w:footnoteRef/>
      </w:r>
      <w:r w:rsidRPr="00BF5C70">
        <w:rPr>
          <w:rFonts w:eastAsia="Cambria"/>
          <w:vertAlign w:val="superscript"/>
        </w:rPr>
        <w:t xml:space="preserve"> </w:t>
      </w:r>
      <w:r w:rsidRPr="00BF5C70">
        <w:rPr>
          <w:rFonts w:eastAsia="Cambria"/>
        </w:rPr>
        <w:t xml:space="preserve">Ver: OVP, </w:t>
      </w:r>
      <w:hyperlink r:id="rId356">
        <w:r w:rsidRPr="00BF5C70">
          <w:rPr>
            <w:rStyle w:val="Hyperlink"/>
            <w:rFonts w:eastAsia="Cambria" w:cstheme="majorBidi"/>
            <w:color w:val="auto"/>
            <w:szCs w:val="16"/>
          </w:rPr>
          <w:t>“27 militares continúan en huelga de hambre hasta no recibir respuestas en Cenapromil-Charallave"</w:t>
        </w:r>
      </w:hyperlink>
      <w:r w:rsidRPr="00BF5C70">
        <w:rPr>
          <w:rFonts w:eastAsia="Cambria"/>
        </w:rPr>
        <w:t xml:space="preserve">, 22 de octubre de 2024; UVL, </w:t>
      </w:r>
      <w:hyperlink r:id="rId357">
        <w:r w:rsidRPr="00BF5C70">
          <w:rPr>
            <w:rStyle w:val="Hyperlink"/>
            <w:rFonts w:eastAsia="Cambria" w:cstheme="majorBidi"/>
            <w:color w:val="auto"/>
            <w:szCs w:val="16"/>
          </w:rPr>
          <w:t>“Militares presos en el Fuerte Guaicaipuro inician huelga de hambre”</w:t>
        </w:r>
      </w:hyperlink>
      <w:r w:rsidRPr="00BF5C70">
        <w:rPr>
          <w:rFonts w:eastAsia="Cambria"/>
        </w:rPr>
        <w:t xml:space="preserve">, 22 de octubre de 2024. Además, ver: Swissinfo, </w:t>
      </w:r>
      <w:hyperlink r:id="rId358">
        <w:r w:rsidRPr="00BF5C70">
          <w:rPr>
            <w:rStyle w:val="Hyperlink"/>
            <w:rFonts w:eastAsia="Cambria" w:cstheme="majorBidi"/>
            <w:color w:val="auto"/>
            <w:szCs w:val="16"/>
          </w:rPr>
          <w:t>“ONG dice que 27 militares presos empezaron una huelga de hambre ante amenazas en la cárcel”</w:t>
        </w:r>
      </w:hyperlink>
      <w:r w:rsidRPr="00BF5C70">
        <w:rPr>
          <w:rFonts w:eastAsia="Cambria"/>
        </w:rPr>
        <w:t xml:space="preserve">, 22 de octubre de 2024. </w:t>
      </w:r>
    </w:p>
  </w:footnote>
  <w:footnote w:id="379">
    <w:p w14:paraId="657F0789" w14:textId="77777777" w:rsidR="004F4CDE" w:rsidRPr="00BF5C70" w:rsidRDefault="004F4CDE" w:rsidP="009D7A58">
      <w:pPr>
        <w:pStyle w:val="IAPiedepgina"/>
        <w:rPr>
          <w:lang w:val="es-ES_tradnl"/>
        </w:rPr>
      </w:pPr>
      <w:r w:rsidRPr="005C52BD">
        <w:rPr>
          <w:rFonts w:eastAsia="Cambria"/>
          <w:vertAlign w:val="superscript"/>
          <w:lang w:val="es-ES_tradnl"/>
        </w:rPr>
        <w:footnoteRef/>
      </w:r>
      <w:r w:rsidRPr="00BF5C70">
        <w:rPr>
          <w:rFonts w:eastAsia="Cambria"/>
          <w:lang w:val="es-ES_tradnl"/>
        </w:rPr>
        <w:t xml:space="preserve"> OVP, </w:t>
      </w:r>
      <w:hyperlink r:id="rId359">
        <w:r w:rsidRPr="00BF5C70">
          <w:rPr>
            <w:rStyle w:val="Hyperlink"/>
            <w:rFonts w:eastAsia="Cambria" w:cstheme="majorBidi"/>
            <w:color w:val="auto"/>
            <w:szCs w:val="16"/>
            <w:lang w:val="es-ES_tradnl"/>
          </w:rPr>
          <w:t>Informe Anual 2023: Degradación, desprecio y abandono: características del sistema penitenciario venezolano</w:t>
        </w:r>
      </w:hyperlink>
      <w:r w:rsidRPr="00BF5C70">
        <w:rPr>
          <w:rFonts w:eastAsia="Cambria"/>
          <w:lang w:val="es-ES_tradnl"/>
        </w:rPr>
        <w:t xml:space="preserve">, 26 de julio de 2024, pp. 61-63. </w:t>
      </w:r>
    </w:p>
  </w:footnote>
  <w:footnote w:id="380">
    <w:p w14:paraId="5550F945" w14:textId="77777777" w:rsidR="004F4CDE" w:rsidRPr="00BF5C70" w:rsidRDefault="004F4CDE" w:rsidP="009D7A58">
      <w:pPr>
        <w:pStyle w:val="IAPiedepgina"/>
        <w:rPr>
          <w:lang w:val="es-ES_tradnl"/>
        </w:rPr>
      </w:pPr>
      <w:r w:rsidRPr="005C52BD">
        <w:rPr>
          <w:rFonts w:eastAsia="Cambria"/>
          <w:vertAlign w:val="superscript"/>
          <w:lang w:val="es-ES_tradnl"/>
        </w:rPr>
        <w:footnoteRef/>
      </w:r>
      <w:r w:rsidRPr="00BF5C70">
        <w:rPr>
          <w:rFonts w:eastAsia="Cambria"/>
          <w:lang w:val="es-ES_tradnl"/>
        </w:rPr>
        <w:t xml:space="preserve"> OVP, </w:t>
      </w:r>
      <w:hyperlink r:id="rId360">
        <w:r w:rsidRPr="00BF5C70">
          <w:rPr>
            <w:rStyle w:val="Hyperlink"/>
            <w:rFonts w:eastAsia="Cambria" w:cstheme="majorBidi"/>
            <w:color w:val="auto"/>
            <w:szCs w:val="16"/>
            <w:lang w:val="es-ES_tradnl"/>
          </w:rPr>
          <w:t>Informe Anual 2023: Degradación, desprecio y abandono: características del sistema penitenciario venezolano</w:t>
        </w:r>
      </w:hyperlink>
      <w:r w:rsidRPr="00BF5C70">
        <w:rPr>
          <w:rFonts w:eastAsia="Cambria"/>
          <w:lang w:val="es-ES_tradnl"/>
        </w:rPr>
        <w:t xml:space="preserve">, 26 de julio de 2024, pp. 65-66. </w:t>
      </w:r>
    </w:p>
  </w:footnote>
  <w:footnote w:id="381">
    <w:p w14:paraId="1E77B87D" w14:textId="77777777" w:rsidR="004F4CDE" w:rsidRPr="00BF5C70" w:rsidRDefault="004F4CDE" w:rsidP="009D7A58">
      <w:pPr>
        <w:pStyle w:val="IAPiedepgina"/>
        <w:rPr>
          <w:lang w:val="es-ES_tradnl"/>
        </w:rPr>
      </w:pPr>
      <w:r w:rsidRPr="005C52BD">
        <w:rPr>
          <w:rFonts w:eastAsia="Cambria"/>
          <w:vertAlign w:val="superscript"/>
          <w:lang w:val="es-ES_tradnl"/>
        </w:rPr>
        <w:footnoteRef/>
      </w:r>
      <w:r w:rsidRPr="00BF5C70">
        <w:rPr>
          <w:rFonts w:eastAsia="Cambria"/>
          <w:vertAlign w:val="superscript"/>
          <w:lang w:val="es-ES_tradnl"/>
        </w:rPr>
        <w:t xml:space="preserve"> </w:t>
      </w:r>
      <w:r w:rsidRPr="00BF5C70">
        <w:rPr>
          <w:rFonts w:eastAsia="Cambria"/>
          <w:lang w:val="es-ES_tradnl"/>
        </w:rPr>
        <w:t xml:space="preserve">UVL, </w:t>
      </w:r>
      <w:hyperlink r:id="rId361">
        <w:r w:rsidRPr="00BF5C70">
          <w:rPr>
            <w:rStyle w:val="Hyperlink"/>
            <w:rFonts w:eastAsia="Cambria" w:cstheme="majorBidi"/>
            <w:color w:val="auto"/>
            <w:szCs w:val="16"/>
            <w:lang w:val="es-ES_tradnl"/>
          </w:rPr>
          <w:t>Informe Anual sobre la Situación de los derechos humanos de las personas privadas de libertad en los Centros de Detención Preventiva de Venezuela 2023</w:t>
        </w:r>
      </w:hyperlink>
      <w:r w:rsidRPr="00BF5C70">
        <w:rPr>
          <w:rFonts w:eastAsia="Cambria"/>
          <w:lang w:val="es-ES_tradnl"/>
        </w:rPr>
        <w:t xml:space="preserve">, enero de 2024, pp. 35, 38 y 62. Además, ver: Runrun.es, </w:t>
      </w:r>
      <w:hyperlink r:id="rId362">
        <w:r w:rsidRPr="00BF5C70">
          <w:rPr>
            <w:rStyle w:val="Hyperlink"/>
            <w:rFonts w:eastAsia="Cambria" w:cstheme="majorBidi"/>
            <w:color w:val="auto"/>
            <w:szCs w:val="16"/>
            <w:lang w:val="es-ES_tradnl"/>
          </w:rPr>
          <w:t>“Casi 40 personas murieron a causa de enfermedades en cárceles y calabozos durante 2023”</w:t>
        </w:r>
      </w:hyperlink>
      <w:r w:rsidRPr="00BF5C70">
        <w:rPr>
          <w:rFonts w:eastAsia="Cambria"/>
          <w:lang w:val="es-ES_tradnl"/>
        </w:rPr>
        <w:t xml:space="preserve">, enero de 2024; NTN24, </w:t>
      </w:r>
      <w:hyperlink r:id="rId363">
        <w:r w:rsidRPr="00BF5C70">
          <w:rPr>
            <w:rStyle w:val="Hyperlink"/>
            <w:rFonts w:eastAsia="Cambria" w:cstheme="majorBidi"/>
            <w:color w:val="auto"/>
            <w:szCs w:val="16"/>
            <w:lang w:val="es-ES_tradnl"/>
          </w:rPr>
          <w:t>“La impactante imagen de una cárcel femenina en Venezuela que explica la expansión de la tuberculosis”</w:t>
        </w:r>
      </w:hyperlink>
      <w:r w:rsidRPr="00BF5C70">
        <w:rPr>
          <w:rFonts w:eastAsia="Cambria"/>
          <w:lang w:val="es-ES_tradnl"/>
        </w:rPr>
        <w:t xml:space="preserve">, 8 de febrero de 2024. </w:t>
      </w:r>
    </w:p>
  </w:footnote>
  <w:footnote w:id="382">
    <w:p w14:paraId="71ED66E1" w14:textId="77777777" w:rsidR="004F4CDE" w:rsidRPr="00BF5C70" w:rsidRDefault="004F4CDE" w:rsidP="009D7A58">
      <w:pPr>
        <w:pStyle w:val="IAPiedepgina"/>
        <w:rPr>
          <w:lang w:val="es-ES_tradnl"/>
        </w:rPr>
      </w:pPr>
      <w:r w:rsidRPr="005C52BD">
        <w:rPr>
          <w:rFonts w:eastAsia="Cambria"/>
          <w:vertAlign w:val="superscript"/>
          <w:lang w:val="es-ES_tradnl"/>
        </w:rPr>
        <w:footnoteRef/>
      </w:r>
      <w:r w:rsidRPr="00BF5C70">
        <w:rPr>
          <w:rFonts w:eastAsia="Cambria"/>
          <w:vertAlign w:val="superscript"/>
          <w:lang w:val="es-ES_tradnl"/>
        </w:rPr>
        <w:t xml:space="preserve"> </w:t>
      </w:r>
      <w:r w:rsidRPr="00BF5C70">
        <w:rPr>
          <w:rFonts w:eastAsia="Cambria"/>
          <w:lang w:val="es-ES_tradnl"/>
        </w:rPr>
        <w:t xml:space="preserve">OVP, </w:t>
      </w:r>
      <w:hyperlink r:id="rId364">
        <w:r w:rsidRPr="00BF5C70">
          <w:rPr>
            <w:rStyle w:val="Hyperlink"/>
            <w:rFonts w:eastAsia="Cambria" w:cstheme="majorBidi"/>
            <w:color w:val="auto"/>
            <w:szCs w:val="16"/>
            <w:lang w:val="es-ES_tradnl"/>
          </w:rPr>
          <w:t>Informe Anual 2023: Degradación, desprecio y abandono: características del sistema penitenciario venezolano</w:t>
        </w:r>
      </w:hyperlink>
      <w:r w:rsidRPr="00BF5C70">
        <w:rPr>
          <w:rFonts w:eastAsia="Cambria"/>
          <w:lang w:val="es-ES_tradnl"/>
        </w:rPr>
        <w:t xml:space="preserve">, 26 de julio de 2024, pp. 68-69. </w:t>
      </w:r>
    </w:p>
  </w:footnote>
  <w:footnote w:id="383">
    <w:p w14:paraId="3B90ACEA" w14:textId="77777777" w:rsidR="004F4CDE" w:rsidRPr="00BF5C70" w:rsidRDefault="004F4CDE" w:rsidP="00BC2F21">
      <w:pPr>
        <w:pStyle w:val="IAPiedepgina"/>
      </w:pPr>
      <w:r w:rsidRPr="005C52BD">
        <w:rPr>
          <w:rFonts w:eastAsia="Cambria"/>
          <w:vertAlign w:val="superscript"/>
        </w:rPr>
        <w:footnoteRef/>
      </w:r>
      <w:r w:rsidRPr="00BF5C70">
        <w:rPr>
          <w:rFonts w:eastAsia="Cambria"/>
          <w:vertAlign w:val="superscript"/>
        </w:rPr>
        <w:t xml:space="preserve"> </w:t>
      </w:r>
      <w:r w:rsidRPr="00BF5C70">
        <w:rPr>
          <w:rFonts w:eastAsia="Cambria"/>
        </w:rPr>
        <w:t xml:space="preserve">UVL, </w:t>
      </w:r>
      <w:hyperlink r:id="rId365">
        <w:r w:rsidRPr="00BF5C70">
          <w:rPr>
            <w:rStyle w:val="Hyperlink"/>
            <w:rFonts w:eastAsia="Cambria" w:cstheme="majorBidi"/>
            <w:color w:val="auto"/>
            <w:szCs w:val="16"/>
            <w:lang w:val="es-ES_tradnl"/>
          </w:rPr>
          <w:t>Informe Anual sobre la Situación de los derechos humanos de las personas privadas de libertad en los Centros de Detención Preventiva de Venezuela 2023</w:t>
        </w:r>
      </w:hyperlink>
      <w:r w:rsidRPr="00BF5C70">
        <w:rPr>
          <w:rFonts w:eastAsia="Cambria"/>
        </w:rPr>
        <w:t xml:space="preserve">, enero de 2024, pp. 14-16 y 36. </w:t>
      </w:r>
    </w:p>
  </w:footnote>
  <w:footnote w:id="384">
    <w:p w14:paraId="38466B7E" w14:textId="77777777" w:rsidR="004F4CDE" w:rsidRPr="00BF5C70" w:rsidRDefault="004F4CDE" w:rsidP="00BC2F21">
      <w:pPr>
        <w:pStyle w:val="IAPiedepgina"/>
      </w:pPr>
      <w:r w:rsidRPr="005C52BD">
        <w:rPr>
          <w:rFonts w:eastAsia="Cambria"/>
          <w:vertAlign w:val="superscript"/>
        </w:rPr>
        <w:footnoteRef/>
      </w:r>
      <w:r w:rsidRPr="00BF5C70">
        <w:rPr>
          <w:rFonts w:eastAsia="Cambria"/>
        </w:rPr>
        <w:t xml:space="preserve"> OVP, </w:t>
      </w:r>
      <w:hyperlink r:id="rId366">
        <w:r w:rsidRPr="00BF5C70">
          <w:rPr>
            <w:rStyle w:val="Hyperlink"/>
            <w:rFonts w:eastAsia="Cambria" w:cstheme="majorBidi"/>
            <w:color w:val="auto"/>
            <w:szCs w:val="16"/>
            <w:lang w:val="es-ES_tradnl"/>
          </w:rPr>
          <w:t>Informe Anual 2023: Degradación, desprecio y abandono: características del sistema penitenciario venezolano</w:t>
        </w:r>
      </w:hyperlink>
      <w:r w:rsidRPr="00BF5C70">
        <w:rPr>
          <w:rFonts w:eastAsia="Cambria"/>
        </w:rPr>
        <w:t xml:space="preserve">, 26 de julio de 2024, p. 69. Además, ver: Espiga, </w:t>
      </w:r>
      <w:hyperlink r:id="rId367">
        <w:r w:rsidRPr="00BF5C70">
          <w:rPr>
            <w:rStyle w:val="Hyperlink"/>
            <w:rFonts w:eastAsia="Cambria" w:cstheme="majorBidi"/>
            <w:color w:val="auto"/>
            <w:szCs w:val="16"/>
            <w:lang w:val="es-ES_tradnl"/>
          </w:rPr>
          <w:t>“El infierno de Tocuyito: Los presos sólo tienen derecho a dos vasos de agua por día”</w:t>
        </w:r>
      </w:hyperlink>
      <w:r w:rsidRPr="00BF5C70">
        <w:rPr>
          <w:rFonts w:eastAsia="Cambria"/>
        </w:rPr>
        <w:t xml:space="preserve">, 6 de octubre de 2024. </w:t>
      </w:r>
    </w:p>
  </w:footnote>
  <w:footnote w:id="385">
    <w:p w14:paraId="00969C7D" w14:textId="77777777" w:rsidR="004F4CDE" w:rsidRPr="00BF5C70" w:rsidRDefault="004F4CDE" w:rsidP="00BC2F21">
      <w:pPr>
        <w:pStyle w:val="IAPiedepgina"/>
      </w:pPr>
      <w:r w:rsidRPr="005C52BD">
        <w:rPr>
          <w:rFonts w:eastAsia="Cambria"/>
          <w:vertAlign w:val="superscript"/>
        </w:rPr>
        <w:footnoteRef/>
      </w:r>
      <w:r w:rsidRPr="00BF5C70">
        <w:rPr>
          <w:rFonts w:eastAsia="Cambria"/>
          <w:vertAlign w:val="superscript"/>
        </w:rPr>
        <w:t xml:space="preserve"> </w:t>
      </w:r>
      <w:r w:rsidRPr="00BF5C70">
        <w:rPr>
          <w:rFonts w:eastAsia="Cambria"/>
        </w:rPr>
        <w:t xml:space="preserve">Al respecto, ver: OVP, </w:t>
      </w:r>
      <w:hyperlink r:id="rId368">
        <w:r w:rsidRPr="00BF5C70">
          <w:rPr>
            <w:rStyle w:val="Hyperlink"/>
            <w:rFonts w:eastAsia="Cambria" w:cstheme="majorBidi"/>
            <w:color w:val="auto"/>
            <w:szCs w:val="16"/>
            <w:lang w:val="es-ES_tradnl"/>
          </w:rPr>
          <w:t>Informe Anual 2023: Degradación, desprecio y abandono: características del sistema penitenciario venezolano</w:t>
        </w:r>
      </w:hyperlink>
      <w:r w:rsidRPr="00BF5C70">
        <w:rPr>
          <w:rFonts w:eastAsia="Cambria"/>
        </w:rPr>
        <w:t xml:space="preserve">, 26 de julio de 2024, pp. 93-95; OVP, </w:t>
      </w:r>
      <w:hyperlink r:id="rId369">
        <w:r w:rsidRPr="00BF5C70">
          <w:rPr>
            <w:rStyle w:val="Hyperlink"/>
            <w:rFonts w:eastAsia="Cambria" w:cstheme="majorBidi"/>
            <w:color w:val="auto"/>
            <w:szCs w:val="16"/>
            <w:lang w:val="es-ES_tradnl"/>
          </w:rPr>
          <w:t>“Presos del CONAS Lara conviven entre maltratos y hacinamiento”</w:t>
        </w:r>
      </w:hyperlink>
      <w:r w:rsidRPr="00BF5C70">
        <w:rPr>
          <w:rFonts w:eastAsia="Cambria"/>
        </w:rPr>
        <w:t xml:space="preserve">, 20 de mayo de 2024; OVP, </w:t>
      </w:r>
      <w:hyperlink r:id="rId370">
        <w:r w:rsidRPr="00BF5C70">
          <w:rPr>
            <w:rStyle w:val="Hyperlink"/>
            <w:rFonts w:eastAsia="Cambria" w:cstheme="majorBidi"/>
            <w:color w:val="auto"/>
            <w:szCs w:val="16"/>
            <w:lang w:val="es-ES_tradnl"/>
          </w:rPr>
          <w:t>“Hasta tres cuartos de tortura tienen en la cárcel de Santa Ana 1 y 2”</w:t>
        </w:r>
      </w:hyperlink>
      <w:r w:rsidRPr="00BF5C70">
        <w:rPr>
          <w:rFonts w:eastAsia="Cambria"/>
        </w:rPr>
        <w:t xml:space="preserve">, 29 de abril de 2024; y CNN, </w:t>
      </w:r>
      <w:hyperlink r:id="rId371">
        <w:r w:rsidRPr="00BF5C70">
          <w:rPr>
            <w:rStyle w:val="Hyperlink"/>
            <w:rFonts w:eastAsia="Cambria" w:cstheme="majorBidi"/>
            <w:color w:val="auto"/>
            <w:szCs w:val="16"/>
            <w:lang w:val="es-ES_tradnl"/>
          </w:rPr>
          <w:t>“Familiares de detenidos tras elecciones en Venezuela denuncian que estos sufren torturas, comida en mal estado y deterioro de la salud”</w:t>
        </w:r>
      </w:hyperlink>
      <w:r w:rsidRPr="00BF5C70">
        <w:rPr>
          <w:rFonts w:eastAsia="Cambria"/>
        </w:rPr>
        <w:t xml:space="preserve">, 7 de octubre de 2024. </w:t>
      </w:r>
    </w:p>
  </w:footnote>
  <w:footnote w:id="386">
    <w:p w14:paraId="2CFE277A" w14:textId="77777777" w:rsidR="004F4CDE" w:rsidRPr="00BF5C70" w:rsidRDefault="004F4CDE" w:rsidP="00BC2F21">
      <w:pPr>
        <w:pStyle w:val="IAPiedepgina"/>
      </w:pPr>
      <w:r w:rsidRPr="005C52BD">
        <w:rPr>
          <w:rFonts w:eastAsia="Cambria"/>
          <w:vertAlign w:val="superscript"/>
        </w:rPr>
        <w:footnoteRef/>
      </w:r>
      <w:r w:rsidRPr="00BF5C70">
        <w:rPr>
          <w:rFonts w:eastAsia="Cambria"/>
          <w:vertAlign w:val="superscript"/>
        </w:rPr>
        <w:t xml:space="preserve"> </w:t>
      </w:r>
      <w:r w:rsidRPr="00BF5C70">
        <w:rPr>
          <w:rFonts w:eastAsia="Cambria"/>
        </w:rPr>
        <w:t xml:space="preserve">OVP, </w:t>
      </w:r>
      <w:hyperlink r:id="rId372">
        <w:r w:rsidRPr="00BF5C70">
          <w:rPr>
            <w:rStyle w:val="Hyperlink"/>
            <w:rFonts w:eastAsia="Cambria" w:cstheme="majorBidi"/>
            <w:color w:val="auto"/>
            <w:szCs w:val="16"/>
            <w:lang w:val="es-ES_tradnl"/>
          </w:rPr>
          <w:t>Informe Anual 2023: Degradación, desprecio y abandono: características del sistema penitenciario venezolano</w:t>
        </w:r>
      </w:hyperlink>
      <w:r w:rsidRPr="00BF5C70">
        <w:rPr>
          <w:rFonts w:eastAsia="Cambria"/>
        </w:rPr>
        <w:t xml:space="preserve">, 26 de julio de 2024, págs. 93-95. Además, ver: CNN, </w:t>
      </w:r>
      <w:hyperlink r:id="rId373">
        <w:r w:rsidRPr="00BF5C70">
          <w:rPr>
            <w:rStyle w:val="Hyperlink"/>
            <w:rFonts w:eastAsia="Cambria" w:cstheme="majorBidi"/>
            <w:color w:val="auto"/>
            <w:szCs w:val="16"/>
            <w:lang w:val="es-ES_tradnl"/>
          </w:rPr>
          <w:t>“Familiares de detenidos tras elecciones en Venezuela denuncian que estos sufren torturas, comida en mal estado y deterioro de la salud”</w:t>
        </w:r>
      </w:hyperlink>
      <w:r w:rsidRPr="00BF5C70">
        <w:rPr>
          <w:rFonts w:eastAsia="Cambria"/>
        </w:rPr>
        <w:t xml:space="preserve">, 7 de octubre de 2024. </w:t>
      </w:r>
    </w:p>
  </w:footnote>
  <w:footnote w:id="387">
    <w:p w14:paraId="2D3D326A" w14:textId="77777777" w:rsidR="004F4CDE" w:rsidRPr="00BF5C70" w:rsidRDefault="004F4CDE" w:rsidP="00BC2F21">
      <w:pPr>
        <w:pStyle w:val="IAPiedepgina"/>
      </w:pPr>
      <w:r w:rsidRPr="005C52BD">
        <w:rPr>
          <w:rFonts w:eastAsia="Cambria"/>
          <w:vertAlign w:val="superscript"/>
        </w:rPr>
        <w:footnoteRef/>
      </w:r>
      <w:r w:rsidRPr="00BF5C70">
        <w:rPr>
          <w:rFonts w:eastAsia="Cambria"/>
          <w:vertAlign w:val="superscript"/>
        </w:rPr>
        <w:t xml:space="preserve"> </w:t>
      </w:r>
      <w:r w:rsidRPr="00BF5C70">
        <w:rPr>
          <w:rFonts w:eastAsia="Cambria"/>
        </w:rPr>
        <w:t xml:space="preserve">En este sentido, CIDH. </w:t>
      </w:r>
      <w:hyperlink r:id="rId374">
        <w:r w:rsidRPr="00BF5C70">
          <w:rPr>
            <w:rStyle w:val="Hyperlink"/>
            <w:rFonts w:eastAsia="Cambria" w:cstheme="majorBidi"/>
            <w:color w:val="auto"/>
            <w:szCs w:val="16"/>
          </w:rPr>
          <w:t>Informe sobre los derechos humanos de las personas privadas de libertad en las Américas</w:t>
        </w:r>
      </w:hyperlink>
      <w:r w:rsidRPr="00BF5C70">
        <w:rPr>
          <w:rFonts w:eastAsia="Cambria"/>
        </w:rPr>
        <w:t xml:space="preserve">, OEA/Ser.L/V/II, adoptado el 31 de diciembre de 2011, párr. 432. </w:t>
      </w:r>
    </w:p>
  </w:footnote>
  <w:footnote w:id="388">
    <w:p w14:paraId="1FC3C93D" w14:textId="623C9CDA" w:rsidR="004F4CDE" w:rsidRPr="00BF5C70" w:rsidRDefault="004F4CDE" w:rsidP="00BC2F21">
      <w:pPr>
        <w:pStyle w:val="IAPiedepgina"/>
      </w:pPr>
      <w:r w:rsidRPr="005C52BD">
        <w:rPr>
          <w:rFonts w:eastAsia="Cambria"/>
          <w:vertAlign w:val="superscript"/>
        </w:rPr>
        <w:footnoteRef/>
      </w:r>
      <w:r w:rsidRPr="00BF5C70">
        <w:rPr>
          <w:rFonts w:eastAsia="Cambria"/>
        </w:rPr>
        <w:t xml:space="preserve"> Al respecto, ver: </w:t>
      </w:r>
      <w:r w:rsidR="00F52454" w:rsidRPr="00BF5C70">
        <w:rPr>
          <w:rFonts w:cs="Open Sans"/>
          <w:shd w:val="clear" w:color="auto" w:fill="FFFFFF"/>
          <w:lang w:val="es-US"/>
        </w:rPr>
        <w:t xml:space="preserve">Corte IDH. Caso Chinchilla Sandoval y otros Vs. Guatemala. Excepción Preliminar, Fondo, Reparaciones y Costas. Sentencia de 29 de febrero de 2016. </w:t>
      </w:r>
      <w:r w:rsidR="00F52454" w:rsidRPr="00BF5C70">
        <w:rPr>
          <w:rFonts w:cs="Open Sans"/>
          <w:shd w:val="clear" w:color="auto" w:fill="FFFFFF"/>
          <w:lang w:val="es-AR"/>
        </w:rPr>
        <w:t>Serie C No. 312</w:t>
      </w:r>
      <w:r w:rsidR="001D08CE" w:rsidRPr="00BF5C70">
        <w:rPr>
          <w:rFonts w:cs="Open Sans"/>
          <w:shd w:val="clear" w:color="auto" w:fill="FFFFFF"/>
          <w:lang w:val="es-AR"/>
        </w:rPr>
        <w:t>,</w:t>
      </w:r>
      <w:r w:rsidRPr="00BF5C70">
        <w:rPr>
          <w:rFonts w:eastAsia="Cambria"/>
        </w:rPr>
        <w:t xml:space="preserve"> párrs. 171-</w:t>
      </w:r>
      <w:r w:rsidR="001D08CE" w:rsidRPr="00BF5C70">
        <w:rPr>
          <w:rFonts w:eastAsia="Cambria"/>
        </w:rPr>
        <w:t>1</w:t>
      </w:r>
      <w:r w:rsidRPr="00BF5C70">
        <w:rPr>
          <w:rFonts w:eastAsia="Cambria"/>
        </w:rPr>
        <w:t xml:space="preserve">72. </w:t>
      </w:r>
    </w:p>
  </w:footnote>
  <w:footnote w:id="389">
    <w:p w14:paraId="350BF83F" w14:textId="77777777" w:rsidR="004F4CDE" w:rsidRPr="00BF5C70" w:rsidRDefault="004F4CDE" w:rsidP="00BC2F21">
      <w:pPr>
        <w:pStyle w:val="IAPiedepgina"/>
      </w:pPr>
      <w:r w:rsidRPr="005C52BD">
        <w:rPr>
          <w:rFonts w:eastAsia="Cambria"/>
          <w:vertAlign w:val="superscript"/>
        </w:rPr>
        <w:footnoteRef/>
      </w:r>
      <w:r w:rsidRPr="00BF5C70">
        <w:rPr>
          <w:rFonts w:eastAsia="Cambria"/>
        </w:rPr>
        <w:t xml:space="preserve"> CIDH. </w:t>
      </w:r>
      <w:hyperlink r:id="rId375">
        <w:r w:rsidRPr="00BF5C70">
          <w:rPr>
            <w:rStyle w:val="Hyperlink"/>
            <w:rFonts w:eastAsia="Cambria" w:cstheme="majorBidi"/>
            <w:color w:val="auto"/>
            <w:szCs w:val="16"/>
          </w:rPr>
          <w:t>Informe sobre los derechos humanos de las personas privadas de libertad en las Américas</w:t>
        </w:r>
      </w:hyperlink>
      <w:r w:rsidRPr="00BF5C70">
        <w:rPr>
          <w:rFonts w:eastAsia="Cambria"/>
        </w:rPr>
        <w:t xml:space="preserve">, OEA/Ser.L/V/II, adoptado el 31 de diciembre de 2011, párr. 343. </w:t>
      </w:r>
    </w:p>
  </w:footnote>
  <w:footnote w:id="390">
    <w:p w14:paraId="56F8974F" w14:textId="77777777" w:rsidR="00B512BB" w:rsidRPr="00BF5C70" w:rsidRDefault="00B512BB" w:rsidP="00BC2F21">
      <w:pPr>
        <w:pStyle w:val="IAPiedepgina"/>
        <w:rPr>
          <w:vertAlign w:val="superscript"/>
        </w:rPr>
      </w:pPr>
      <w:r w:rsidRPr="005C52BD">
        <w:rPr>
          <w:vertAlign w:val="superscript"/>
        </w:rPr>
        <w:footnoteRef/>
      </w:r>
      <w:r w:rsidRPr="00BF5C70">
        <w:rPr>
          <w:rFonts w:eastAsia="Cambria"/>
        </w:rPr>
        <w:t xml:space="preserve"> Plataforma R4V, </w:t>
      </w:r>
      <w:hyperlink r:id="rId376">
        <w:r w:rsidRPr="00BF5C70">
          <w:rPr>
            <w:rStyle w:val="Hyperlink"/>
            <w:rFonts w:eastAsia="Cambria" w:cstheme="majorBidi"/>
            <w:color w:val="auto"/>
            <w:szCs w:val="16"/>
            <w:lang w:val="es-ES_tradnl"/>
          </w:rPr>
          <w:t>Refugees and Migrants from Venezuela</w:t>
        </w:r>
      </w:hyperlink>
      <w:r w:rsidRPr="00BF5C70">
        <w:rPr>
          <w:rFonts w:eastAsia="Cambria"/>
        </w:rPr>
        <w:t>, 3 de junio de 2024.</w:t>
      </w:r>
    </w:p>
  </w:footnote>
  <w:footnote w:id="391">
    <w:p w14:paraId="19D19D73" w14:textId="77777777" w:rsidR="00B512BB" w:rsidRPr="00BF5C70" w:rsidRDefault="00B512BB" w:rsidP="00BC2F21">
      <w:pPr>
        <w:pStyle w:val="IAPiedepgina"/>
        <w:rPr>
          <w:rFonts w:eastAsia="Cambria"/>
        </w:rPr>
      </w:pPr>
      <w:r w:rsidRPr="005C52BD">
        <w:rPr>
          <w:rFonts w:eastAsiaTheme="minorEastAsia"/>
          <w:vertAlign w:val="superscript"/>
        </w:rPr>
        <w:footnoteRef/>
      </w:r>
      <w:r w:rsidRPr="00BF5C70">
        <w:t xml:space="preserve"> </w:t>
      </w:r>
      <w:r w:rsidRPr="00BF5C70">
        <w:rPr>
          <w:rFonts w:eastAsia="Cambria"/>
        </w:rPr>
        <w:t xml:space="preserve">Plataforma R4V, </w:t>
      </w:r>
      <w:hyperlink r:id="rId377">
        <w:r w:rsidRPr="00BF5C70">
          <w:rPr>
            <w:rStyle w:val="Hyperlink"/>
            <w:rFonts w:eastAsia="Cambria" w:cstheme="majorBidi"/>
            <w:color w:val="auto"/>
            <w:szCs w:val="16"/>
            <w:lang w:val="es-ES_tradnl"/>
          </w:rPr>
          <w:t>Refugees and Migrants from Venezuela</w:t>
        </w:r>
      </w:hyperlink>
      <w:r w:rsidRPr="00BF5C70">
        <w:rPr>
          <w:rFonts w:eastAsia="Cambria"/>
        </w:rPr>
        <w:t>, 3 de junio de 2024.</w:t>
      </w:r>
    </w:p>
  </w:footnote>
  <w:footnote w:id="392">
    <w:p w14:paraId="1991FFE6" w14:textId="77777777" w:rsidR="00B512BB" w:rsidRPr="00A06BFF" w:rsidRDefault="00B512BB" w:rsidP="00BC2F21">
      <w:pPr>
        <w:pStyle w:val="IAPiedepgina"/>
        <w:rPr>
          <w:lang w:val="en-US"/>
        </w:rPr>
      </w:pPr>
      <w:r w:rsidRPr="005C52BD">
        <w:rPr>
          <w:vertAlign w:val="superscript"/>
        </w:rPr>
        <w:footnoteRef/>
      </w:r>
      <w:r w:rsidRPr="00A06BFF">
        <w:rPr>
          <w:rFonts w:eastAsia="Cambria"/>
          <w:lang w:val="en-US"/>
        </w:rPr>
        <w:t xml:space="preserve"> United Nations High Commissioner for Refugees (UNHCR), </w:t>
      </w:r>
      <w:hyperlink r:id="rId378">
        <w:r w:rsidRPr="00A06BFF">
          <w:rPr>
            <w:rStyle w:val="Hyperlink"/>
            <w:rFonts w:eastAsia="Cambria" w:cstheme="majorBidi"/>
            <w:color w:val="auto"/>
            <w:szCs w:val="16"/>
            <w:lang w:val="en-US"/>
          </w:rPr>
          <w:t>Refugee Data Finder</w:t>
        </w:r>
      </w:hyperlink>
      <w:r w:rsidRPr="00A06BFF">
        <w:rPr>
          <w:rFonts w:eastAsia="Cambria"/>
          <w:lang w:val="en-US"/>
        </w:rPr>
        <w:t>, June 2024.</w:t>
      </w:r>
    </w:p>
  </w:footnote>
  <w:footnote w:id="393">
    <w:p w14:paraId="1112DA19" w14:textId="77777777" w:rsidR="00B512BB" w:rsidRPr="00BF5C70" w:rsidRDefault="00B512BB" w:rsidP="00BC2F21">
      <w:pPr>
        <w:pStyle w:val="IAPiedepgina"/>
      </w:pPr>
      <w:r w:rsidRPr="005C52BD">
        <w:rPr>
          <w:vertAlign w:val="superscript"/>
        </w:rPr>
        <w:footnoteRef/>
      </w:r>
      <w:r w:rsidRPr="00BF5C70">
        <w:t xml:space="preserve"> </w:t>
      </w:r>
      <w:r w:rsidRPr="00BF5C70">
        <w:rPr>
          <w:rFonts w:eastAsia="Cambria"/>
        </w:rPr>
        <w:t xml:space="preserve">Plataforma R4V, </w:t>
      </w:r>
      <w:hyperlink r:id="rId379">
        <w:r w:rsidRPr="00BF5C70">
          <w:rPr>
            <w:rStyle w:val="Hyperlink"/>
            <w:rFonts w:eastAsia="Cambria" w:cstheme="majorBidi"/>
            <w:color w:val="auto"/>
            <w:szCs w:val="16"/>
            <w:lang w:val="es-ES_tradnl"/>
          </w:rPr>
          <w:t>RMNA 2024 – Refugees and Migrants Needs Analysis</w:t>
        </w:r>
      </w:hyperlink>
      <w:r w:rsidRPr="00BF5C70">
        <w:rPr>
          <w:rFonts w:eastAsia="Cambria"/>
        </w:rPr>
        <w:t>, 10 de septiembre de 2024, p. 7.</w:t>
      </w:r>
    </w:p>
  </w:footnote>
  <w:footnote w:id="394">
    <w:p w14:paraId="1B45A5C2" w14:textId="77777777" w:rsidR="00B512BB" w:rsidRPr="00BF5C70" w:rsidRDefault="00B512BB" w:rsidP="00BC2F21">
      <w:pPr>
        <w:pStyle w:val="IAPiedepgina"/>
        <w:rPr>
          <w:rFonts w:cstheme="majorBidi"/>
          <w:szCs w:val="16"/>
          <w:lang w:val="es-ES_tradnl"/>
        </w:rPr>
      </w:pPr>
      <w:r w:rsidRPr="005C52BD">
        <w:rPr>
          <w:rFonts w:cstheme="majorBidi"/>
          <w:szCs w:val="16"/>
          <w:vertAlign w:val="superscript"/>
          <w:lang w:val="es-ES_tradnl"/>
        </w:rPr>
        <w:footnoteRef/>
      </w:r>
      <w:r w:rsidRPr="00BF5C70">
        <w:rPr>
          <w:rFonts w:cstheme="majorBidi"/>
          <w:szCs w:val="16"/>
          <w:lang w:val="es-ES_tradnl"/>
        </w:rPr>
        <w:t xml:space="preserve"> </w:t>
      </w:r>
      <w:r w:rsidRPr="00BF5C70">
        <w:rPr>
          <w:rFonts w:eastAsia="Cambria" w:cstheme="majorBidi"/>
          <w:szCs w:val="16"/>
          <w:lang w:val="es-ES_tradnl"/>
        </w:rPr>
        <w:t xml:space="preserve">Venezuela, </w:t>
      </w:r>
      <w:hyperlink r:id="rId380">
        <w:r w:rsidRPr="00BF5C70">
          <w:rPr>
            <w:rStyle w:val="Hyperlink"/>
            <w:rFonts w:eastAsia="Cambria" w:cstheme="majorBidi"/>
            <w:color w:val="auto"/>
            <w:szCs w:val="16"/>
            <w:lang w:val="es-ES_tradnl"/>
          </w:rPr>
          <w:t>Comunicado. Venezuela rechaza las injerencistas acciones y declaraciones de un grupo de gobiernos de derecha que pretenden desconocer los resultados electorales</w:t>
        </w:r>
      </w:hyperlink>
      <w:r w:rsidRPr="00BF5C70">
        <w:rPr>
          <w:rFonts w:eastAsia="Cambria" w:cstheme="majorBidi"/>
          <w:szCs w:val="16"/>
          <w:lang w:val="es-ES_tradnl"/>
        </w:rPr>
        <w:t>, 29 de julio de 2024.</w:t>
      </w:r>
    </w:p>
  </w:footnote>
  <w:footnote w:id="395">
    <w:p w14:paraId="59F4D18D" w14:textId="41B46E7C" w:rsidR="00B512BB" w:rsidRPr="00A06BFF" w:rsidRDefault="00B512BB" w:rsidP="00BC2F21">
      <w:pPr>
        <w:pStyle w:val="IAPiedepgina"/>
        <w:rPr>
          <w:rFonts w:eastAsia="Cambria" w:cstheme="majorBidi"/>
          <w:szCs w:val="16"/>
          <w:lang w:val="en-US"/>
        </w:rPr>
      </w:pPr>
      <w:r w:rsidRPr="005C52BD">
        <w:rPr>
          <w:rFonts w:cstheme="majorBidi"/>
          <w:szCs w:val="16"/>
          <w:vertAlign w:val="superscript"/>
          <w:lang w:val="es-ES_tradnl"/>
        </w:rPr>
        <w:footnoteRef/>
      </w:r>
      <w:r w:rsidRPr="00A06BFF">
        <w:rPr>
          <w:rFonts w:cstheme="majorBidi"/>
          <w:szCs w:val="16"/>
          <w:lang w:val="en-US"/>
        </w:rPr>
        <w:t xml:space="preserve"> </w:t>
      </w:r>
      <w:r w:rsidRPr="00A06BFF">
        <w:rPr>
          <w:rFonts w:eastAsia="Cambria" w:cstheme="majorBidi"/>
          <w:szCs w:val="16"/>
          <w:lang w:val="en-US"/>
        </w:rPr>
        <w:t xml:space="preserve">Plataforma R4V, </w:t>
      </w:r>
      <w:hyperlink r:id="rId381">
        <w:r w:rsidRPr="00A06BFF">
          <w:rPr>
            <w:rStyle w:val="Hyperlink"/>
            <w:rFonts w:eastAsia="Cambria" w:cstheme="majorBidi"/>
            <w:color w:val="auto"/>
            <w:szCs w:val="16"/>
            <w:lang w:val="en-US"/>
          </w:rPr>
          <w:t>Special Situation Report: Impact of the elections in Venezuela on refugees and migrants</w:t>
        </w:r>
      </w:hyperlink>
      <w:r w:rsidRPr="00A06BFF">
        <w:rPr>
          <w:rFonts w:eastAsia="Cambria" w:cstheme="majorBidi"/>
          <w:szCs w:val="16"/>
          <w:lang w:val="en-US"/>
        </w:rPr>
        <w:t xml:space="preserve">, 10 de </w:t>
      </w:r>
      <w:r w:rsidR="000E6E16" w:rsidRPr="00A06BFF">
        <w:rPr>
          <w:rFonts w:eastAsia="Cambria" w:cstheme="majorBidi"/>
          <w:szCs w:val="16"/>
          <w:lang w:val="en-US"/>
        </w:rPr>
        <w:t>a</w:t>
      </w:r>
      <w:r w:rsidRPr="00A06BFF">
        <w:rPr>
          <w:rFonts w:eastAsia="Cambria" w:cstheme="majorBidi"/>
          <w:szCs w:val="16"/>
          <w:lang w:val="en-US"/>
        </w:rPr>
        <w:t>gosto de 2024.</w:t>
      </w:r>
    </w:p>
  </w:footnote>
  <w:footnote w:id="396">
    <w:p w14:paraId="2017F267" w14:textId="66793F32" w:rsidR="00B512BB" w:rsidRPr="00BF5C70" w:rsidRDefault="00B512BB" w:rsidP="00BC2F21">
      <w:pPr>
        <w:pStyle w:val="IAPiedepgina"/>
        <w:rPr>
          <w:rFonts w:cstheme="majorBidi"/>
          <w:szCs w:val="16"/>
        </w:rPr>
      </w:pPr>
      <w:r w:rsidRPr="005C52BD">
        <w:rPr>
          <w:rFonts w:cstheme="majorBidi"/>
          <w:szCs w:val="16"/>
          <w:vertAlign w:val="superscript"/>
        </w:rPr>
        <w:footnoteRef/>
      </w:r>
      <w:r w:rsidR="0D03B8E2" w:rsidRPr="00BF5C70">
        <w:rPr>
          <w:rFonts w:eastAsia="Cambria" w:cstheme="majorBidi"/>
          <w:szCs w:val="16"/>
        </w:rPr>
        <w:t xml:space="preserve"> Instituto Nacional de Aeronáutica Civil (INAC) [@InacVzla], (2024, 29 de julio), #COMUNICADO. En rechazo al injerencismo de gobiernos de derecha y basados en la soberanía plena, se anuncia la suspensión temporal [Tweet], </w:t>
      </w:r>
      <w:hyperlink r:id="rId382">
        <w:r w:rsidR="0D03B8E2" w:rsidRPr="00BF5C70">
          <w:rPr>
            <w:rStyle w:val="Hyperlink"/>
            <w:rFonts w:eastAsia="Cambria" w:cstheme="majorBidi"/>
            <w:color w:val="auto"/>
            <w:szCs w:val="16"/>
          </w:rPr>
          <w:t>https://x.com/InacVzla/status/1818109594591281373</w:t>
        </w:r>
      </w:hyperlink>
      <w:r w:rsidR="00D50383">
        <w:t>.</w:t>
      </w:r>
      <w:r w:rsidR="0D03B8E2" w:rsidRPr="00BF5C70">
        <w:rPr>
          <w:rFonts w:eastAsia="Cambria" w:cstheme="majorBidi"/>
          <w:szCs w:val="16"/>
        </w:rPr>
        <w:t xml:space="preserve"> </w:t>
      </w:r>
    </w:p>
  </w:footnote>
  <w:footnote w:id="397">
    <w:p w14:paraId="51BB2DA3" w14:textId="77777777" w:rsidR="00B512BB" w:rsidRPr="00BF5C70" w:rsidRDefault="00B512BB" w:rsidP="00BC2F21">
      <w:pPr>
        <w:pStyle w:val="IAPiedepgina"/>
        <w:rPr>
          <w:rFonts w:cstheme="majorBidi"/>
          <w:szCs w:val="16"/>
          <w:lang w:val="es-ES_tradnl"/>
        </w:rPr>
      </w:pPr>
      <w:r w:rsidRPr="005C52BD">
        <w:rPr>
          <w:rFonts w:cstheme="majorBidi"/>
          <w:szCs w:val="16"/>
          <w:vertAlign w:val="superscript"/>
          <w:lang w:val="es-ES_tradnl"/>
        </w:rPr>
        <w:footnoteRef/>
      </w:r>
      <w:r w:rsidRPr="00BF5C70">
        <w:rPr>
          <w:rFonts w:cstheme="majorBidi"/>
          <w:szCs w:val="16"/>
          <w:vertAlign w:val="superscript"/>
          <w:lang w:val="es-ES_tradnl"/>
        </w:rPr>
        <w:t xml:space="preserve"> </w:t>
      </w:r>
      <w:r w:rsidRPr="00BF5C70">
        <w:rPr>
          <w:rFonts w:eastAsia="Cambria" w:cstheme="majorBidi"/>
          <w:szCs w:val="16"/>
          <w:lang w:val="es-ES_tradnl"/>
        </w:rPr>
        <w:t>En Panamá, se ha registrado un total de 57.979 personas</w:t>
      </w:r>
      <w:r w:rsidRPr="00BF5C70">
        <w:rPr>
          <w:rFonts w:eastAsia="Source Sans Pro" w:cstheme="majorBidi"/>
          <w:szCs w:val="16"/>
          <w:lang w:val="es-ES_tradnl"/>
        </w:rPr>
        <w:t xml:space="preserve"> venezolanas y </w:t>
      </w:r>
      <w:r w:rsidRPr="00BF5C70">
        <w:rPr>
          <w:rFonts w:eastAsia="Cambria" w:cstheme="majorBidi"/>
          <w:szCs w:val="16"/>
          <w:lang w:val="es-ES_tradnl"/>
        </w:rPr>
        <w:t xml:space="preserve">en República Dominicana, un total de 125.132. Plataforma R4V, </w:t>
      </w:r>
      <w:hyperlink r:id="rId383">
        <w:r w:rsidRPr="00BF5C70">
          <w:rPr>
            <w:rStyle w:val="Hyperlink"/>
            <w:rFonts w:eastAsia="Cambria" w:cstheme="majorBidi"/>
            <w:color w:val="auto"/>
            <w:szCs w:val="16"/>
            <w:lang w:val="es-ES_tradnl"/>
          </w:rPr>
          <w:t>Refugees and Migrants from Venezuela</w:t>
        </w:r>
      </w:hyperlink>
      <w:r w:rsidRPr="00BF5C70">
        <w:rPr>
          <w:rFonts w:eastAsia="Cambria" w:cstheme="majorBidi"/>
          <w:szCs w:val="16"/>
          <w:lang w:val="es-ES_tradnl"/>
        </w:rPr>
        <w:t>, 3 de junio de 2024.</w:t>
      </w:r>
    </w:p>
  </w:footnote>
  <w:footnote w:id="398">
    <w:p w14:paraId="14D2A65A" w14:textId="77777777" w:rsidR="00B512BB" w:rsidRPr="00BF5C70" w:rsidRDefault="00B512BB" w:rsidP="00BC2F21">
      <w:pPr>
        <w:pStyle w:val="IAPiedepgina"/>
        <w:rPr>
          <w:rFonts w:cstheme="majorBidi"/>
          <w:szCs w:val="16"/>
          <w:lang w:val="es-ES_tradnl"/>
        </w:rPr>
      </w:pPr>
      <w:r w:rsidRPr="005C52BD">
        <w:rPr>
          <w:rFonts w:cstheme="majorBidi"/>
          <w:szCs w:val="16"/>
          <w:vertAlign w:val="superscript"/>
          <w:lang w:val="es-ES_tradnl"/>
        </w:rPr>
        <w:footnoteRef/>
      </w:r>
      <w:r w:rsidRPr="00BF5C70">
        <w:rPr>
          <w:rFonts w:cstheme="majorBidi"/>
          <w:szCs w:val="16"/>
          <w:lang w:val="es-ES_tradnl"/>
        </w:rPr>
        <w:t xml:space="preserve"> </w:t>
      </w:r>
      <w:hyperlink r:id="rId384">
        <w:r w:rsidRPr="00BF5C70">
          <w:rPr>
            <w:rStyle w:val="Hyperlink"/>
            <w:rFonts w:eastAsia="Cambria" w:cstheme="majorBidi"/>
            <w:color w:val="auto"/>
            <w:szCs w:val="16"/>
            <w:lang w:val="es-ES_tradnl"/>
          </w:rPr>
          <w:t>Convención Americana de Derechos Humanos (Pacto de San José)</w:t>
        </w:r>
      </w:hyperlink>
      <w:r w:rsidRPr="00BF5C70">
        <w:rPr>
          <w:rFonts w:eastAsia="Cambria" w:cstheme="majorBidi"/>
          <w:szCs w:val="16"/>
          <w:lang w:val="es-ES_tradnl"/>
        </w:rPr>
        <w:t>, San José, Costa Rica, 7 al 22 de noviembre de 1969.</w:t>
      </w:r>
    </w:p>
  </w:footnote>
  <w:footnote w:id="399">
    <w:p w14:paraId="70447FE4" w14:textId="77777777" w:rsidR="00B512BB" w:rsidRPr="00BF5C70" w:rsidRDefault="00B512BB" w:rsidP="00BC2F21">
      <w:pPr>
        <w:pStyle w:val="IAPiedepgina"/>
        <w:rPr>
          <w:rFonts w:cstheme="majorBidi"/>
          <w:szCs w:val="16"/>
          <w:lang w:val="es-ES_tradnl"/>
        </w:rPr>
      </w:pPr>
      <w:r w:rsidRPr="005C52BD">
        <w:rPr>
          <w:rFonts w:cstheme="majorBidi"/>
          <w:szCs w:val="16"/>
          <w:vertAlign w:val="superscript"/>
          <w:lang w:val="es-ES_tradnl"/>
        </w:rPr>
        <w:footnoteRef/>
      </w:r>
      <w:r w:rsidRPr="00BF5C70">
        <w:rPr>
          <w:rFonts w:eastAsia="Cambria" w:cstheme="majorBidi"/>
          <w:szCs w:val="16"/>
          <w:vertAlign w:val="superscript"/>
          <w:lang w:val="es-ES_tradnl"/>
        </w:rPr>
        <w:t xml:space="preserve"> </w:t>
      </w:r>
      <w:hyperlink r:id="rId385">
        <w:r w:rsidRPr="00BF5C70">
          <w:rPr>
            <w:rStyle w:val="Hyperlink"/>
            <w:rFonts w:eastAsia="Cambria" w:cstheme="majorBidi"/>
            <w:color w:val="auto"/>
            <w:szCs w:val="16"/>
            <w:lang w:val="es-ES_tradnl"/>
          </w:rPr>
          <w:t>Convención Americana de Derechos Humanos (Pacto de San José)</w:t>
        </w:r>
      </w:hyperlink>
      <w:r w:rsidRPr="00BF5C70">
        <w:rPr>
          <w:rFonts w:eastAsia="Cambria" w:cstheme="majorBidi"/>
          <w:szCs w:val="16"/>
          <w:lang w:val="es-ES_tradnl"/>
        </w:rPr>
        <w:t>, ya citada.</w:t>
      </w:r>
    </w:p>
  </w:footnote>
  <w:footnote w:id="400">
    <w:p w14:paraId="73E99CFA" w14:textId="57FF0D58" w:rsidR="00B512BB" w:rsidRPr="00BF5C70" w:rsidRDefault="00B512BB" w:rsidP="00BC2F21">
      <w:pPr>
        <w:pStyle w:val="IAPiedepgina"/>
        <w:rPr>
          <w:rFonts w:cstheme="majorBidi"/>
          <w:szCs w:val="16"/>
        </w:rPr>
      </w:pPr>
      <w:r w:rsidRPr="005C52BD">
        <w:rPr>
          <w:rFonts w:cstheme="majorBidi"/>
          <w:szCs w:val="16"/>
          <w:vertAlign w:val="superscript"/>
        </w:rPr>
        <w:footnoteRef/>
      </w:r>
      <w:r w:rsidR="0D03B8E2" w:rsidRPr="00BF5C70">
        <w:rPr>
          <w:rFonts w:eastAsia="Cambria" w:cstheme="majorBidi"/>
          <w:szCs w:val="16"/>
        </w:rPr>
        <w:t xml:space="preserve"> CIDH, </w:t>
      </w:r>
      <w:hyperlink r:id="rId386">
        <w:r w:rsidR="0D03B8E2" w:rsidRPr="00BF5C70">
          <w:rPr>
            <w:rStyle w:val="Hyperlink"/>
            <w:rFonts w:eastAsia="Cambria" w:cstheme="majorBidi"/>
            <w:color w:val="auto"/>
            <w:szCs w:val="16"/>
          </w:rPr>
          <w:t>Movilidad humana y obligaciones de protección. Hacia una perspectiva subregional,</w:t>
        </w:r>
      </w:hyperlink>
      <w:r w:rsidR="0D03B8E2" w:rsidRPr="00BF5C70">
        <w:rPr>
          <w:rFonts w:eastAsia="Cambria" w:cstheme="majorBidi"/>
          <w:szCs w:val="16"/>
        </w:rPr>
        <w:t xml:space="preserve"> OEA/Ser.L/V/II. Doc. 194</w:t>
      </w:r>
      <w:r w:rsidR="004869A6" w:rsidRPr="00BF5C70">
        <w:rPr>
          <w:rFonts w:eastAsia="Cambria" w:cstheme="majorBidi"/>
          <w:szCs w:val="16"/>
        </w:rPr>
        <w:t>,</w:t>
      </w:r>
      <w:r w:rsidR="0D03B8E2" w:rsidRPr="00BF5C70">
        <w:rPr>
          <w:rFonts w:eastAsia="Cambria" w:cstheme="majorBidi"/>
          <w:szCs w:val="16"/>
        </w:rPr>
        <w:t xml:space="preserve"> 21 de julio 2023, párr. 132.</w:t>
      </w:r>
    </w:p>
  </w:footnote>
  <w:footnote w:id="401">
    <w:p w14:paraId="45C6788B" w14:textId="77777777" w:rsidR="00BB2F8F" w:rsidRPr="00BF5C70" w:rsidRDefault="00BB2F8F" w:rsidP="00BC2F21">
      <w:pPr>
        <w:pStyle w:val="IAPiedepgina"/>
        <w:rPr>
          <w:rFonts w:cstheme="majorBidi"/>
          <w:szCs w:val="16"/>
          <w:lang w:val="es-ES_tradnl"/>
        </w:rPr>
      </w:pPr>
      <w:r w:rsidRPr="005C52BD">
        <w:rPr>
          <w:rStyle w:val="FootnoteReference"/>
          <w:rFonts w:cstheme="majorBidi"/>
          <w:sz w:val="16"/>
          <w:szCs w:val="16"/>
          <w:lang w:val="es-ES_tradnl"/>
        </w:rPr>
        <w:footnoteRef/>
      </w:r>
      <w:r w:rsidRPr="00BF5C70">
        <w:rPr>
          <w:rFonts w:cstheme="majorBidi"/>
          <w:szCs w:val="16"/>
          <w:lang w:val="es-ES_tradnl"/>
        </w:rPr>
        <w:t xml:space="preserve"> Información recibida por la CIDH en reunión mantenida con la sociedad civil el 28 de mayo de 2024.</w:t>
      </w:r>
    </w:p>
  </w:footnote>
  <w:footnote w:id="402">
    <w:p w14:paraId="179943E1" w14:textId="77777777" w:rsidR="00E155C9" w:rsidRPr="00BF5C70" w:rsidRDefault="00E155C9" w:rsidP="00D50383">
      <w:pPr>
        <w:pStyle w:val="IAPiedepgina"/>
      </w:pPr>
      <w:r w:rsidRPr="005C52BD">
        <w:rPr>
          <w:rStyle w:val="FootnoteReference"/>
          <w:rFonts w:cstheme="majorBidi"/>
          <w:sz w:val="16"/>
          <w:szCs w:val="16"/>
          <w:lang w:val="es-ES_tradnl"/>
        </w:rPr>
        <w:footnoteRef/>
      </w:r>
      <w:r w:rsidRPr="00BF5C70">
        <w:t xml:space="preserve"> CIDH, 190° Período de sesiones, audiencia pública </w:t>
      </w:r>
      <w:hyperlink r:id="rId387">
        <w:r w:rsidRPr="00BF5C70">
          <w:rPr>
            <w:rStyle w:val="Hyperlink"/>
            <w:rFonts w:cstheme="majorBidi"/>
            <w:color w:val="auto"/>
            <w:szCs w:val="16"/>
            <w:lang w:val="es-ES_tradnl"/>
          </w:rPr>
          <w:t>“Venezuela: Afectaciones al derecho a la salud del pueblo indígena Yanomami en el estado de Amazonas”</w:t>
        </w:r>
      </w:hyperlink>
      <w:r w:rsidRPr="00BF5C70">
        <w:t>, 8 a 12 de julio de 2024.</w:t>
      </w:r>
    </w:p>
  </w:footnote>
  <w:footnote w:id="403">
    <w:p w14:paraId="4E81D84F" w14:textId="77777777" w:rsidR="00BB2F8F" w:rsidRPr="00BF5C70" w:rsidRDefault="00BB2F8F" w:rsidP="00D50383">
      <w:pPr>
        <w:pStyle w:val="IAPiedepgina"/>
      </w:pPr>
      <w:r w:rsidRPr="005C52BD">
        <w:rPr>
          <w:rStyle w:val="FootnoteReference"/>
          <w:rFonts w:cstheme="majorBidi"/>
          <w:sz w:val="16"/>
          <w:szCs w:val="16"/>
          <w:lang w:val="es-ES_tradnl"/>
        </w:rPr>
        <w:footnoteRef/>
      </w:r>
      <w:r w:rsidRPr="00BF5C70">
        <w:t xml:space="preserve"> Consejo de Derechos Humanos, </w:t>
      </w:r>
      <w:hyperlink r:id="rId388">
        <w:r w:rsidRPr="00BF5C70">
          <w:rPr>
            <w:rStyle w:val="Hyperlink"/>
            <w:rFonts w:cstheme="majorBidi"/>
            <w:color w:val="auto"/>
            <w:szCs w:val="16"/>
            <w:lang w:val="es-ES_tradnl"/>
          </w:rPr>
          <w:t>Conclusiones detalladas de la Misión internacional independiente de determinación de los hechos sobre la República Bolivariana de Venezuela</w:t>
        </w:r>
      </w:hyperlink>
      <w:r w:rsidRPr="00BF5C70">
        <w:t>, A/HRC/51/CRP.2, 20 de septiembre de 2022.</w:t>
      </w:r>
    </w:p>
  </w:footnote>
  <w:footnote w:id="404">
    <w:p w14:paraId="66542F6E" w14:textId="7511C5F4" w:rsidR="00BB2F8F" w:rsidRPr="00BF5C70" w:rsidRDefault="00BB2F8F" w:rsidP="00D50383">
      <w:pPr>
        <w:pStyle w:val="IAPiedepgina"/>
      </w:pPr>
      <w:r w:rsidRPr="005C52BD">
        <w:rPr>
          <w:rStyle w:val="FootnoteReference"/>
          <w:rFonts w:cstheme="majorBidi"/>
          <w:sz w:val="16"/>
          <w:szCs w:val="16"/>
          <w:lang w:val="es-ES_tradnl"/>
        </w:rPr>
        <w:footnoteRef/>
      </w:r>
      <w:r w:rsidRPr="00BF5C70">
        <w:t xml:space="preserve"> CERD, </w:t>
      </w:r>
      <w:hyperlink r:id="rId389">
        <w:r w:rsidRPr="00BF5C70">
          <w:rPr>
            <w:rStyle w:val="Hyperlink"/>
            <w:rFonts w:cstheme="majorBidi"/>
            <w:color w:val="auto"/>
            <w:szCs w:val="16"/>
            <w:lang w:val="es-ES_tradnl"/>
          </w:rPr>
          <w:t>Observaciones finales sobre los informes periódicos 22º a 24º combinados de la República Bolivariana de Venezuela</w:t>
        </w:r>
      </w:hyperlink>
      <w:r w:rsidRPr="00BF5C70">
        <w:t>, CERD/C/VEN/CO/22-24, 18 de septiembre de 2024, p. 6</w:t>
      </w:r>
      <w:r w:rsidR="00BF0F0C">
        <w:t>.</w:t>
      </w:r>
    </w:p>
  </w:footnote>
  <w:footnote w:id="405">
    <w:p w14:paraId="46AC7BE8" w14:textId="5C7FB7A4" w:rsidR="00BB2F8F" w:rsidRPr="00BF5C70" w:rsidRDefault="00BB2F8F" w:rsidP="00D50383">
      <w:pPr>
        <w:pStyle w:val="IAPiedepgina"/>
      </w:pPr>
      <w:r w:rsidRPr="005C52BD">
        <w:rPr>
          <w:rStyle w:val="FootnoteReference"/>
          <w:rFonts w:cstheme="majorBidi"/>
          <w:sz w:val="16"/>
          <w:szCs w:val="16"/>
          <w:lang w:val="es-ES_tradnl"/>
        </w:rPr>
        <w:footnoteRef/>
      </w:r>
      <w:r w:rsidRPr="00BF5C70">
        <w:t xml:space="preserve"> CERD, </w:t>
      </w:r>
      <w:hyperlink r:id="rId390">
        <w:r w:rsidRPr="00BF5C70">
          <w:rPr>
            <w:rStyle w:val="Hyperlink"/>
            <w:rFonts w:cstheme="majorBidi"/>
            <w:color w:val="auto"/>
            <w:szCs w:val="16"/>
            <w:lang w:val="es-ES_tradnl"/>
          </w:rPr>
          <w:t>Observaciones finales sobre los informes periódicos 22º a 24º combinados de la República Bolivariana de Venezuela</w:t>
        </w:r>
      </w:hyperlink>
      <w:r w:rsidRPr="00BF5C70">
        <w:t>, CERD/C/VEN/CO/22-24, 18 de septiembre de 2024, p. 4</w:t>
      </w:r>
      <w:r w:rsidR="000F1EF9" w:rsidRPr="00BF5C70">
        <w:t>.</w:t>
      </w:r>
    </w:p>
  </w:footnote>
  <w:footnote w:id="406">
    <w:p w14:paraId="621A512A" w14:textId="2D5B3517" w:rsidR="00BB2F8F" w:rsidRPr="00BF5C70" w:rsidRDefault="00BB2F8F" w:rsidP="00D50383">
      <w:pPr>
        <w:pStyle w:val="IAPiedepgina"/>
      </w:pPr>
      <w:r w:rsidRPr="005C52BD">
        <w:rPr>
          <w:rStyle w:val="FootnoteReference"/>
          <w:rFonts w:cstheme="majorBidi"/>
          <w:sz w:val="16"/>
          <w:szCs w:val="16"/>
          <w:lang w:val="es-ES_tradnl"/>
        </w:rPr>
        <w:footnoteRef/>
      </w:r>
      <w:r w:rsidRPr="00BF5C70">
        <w:t xml:space="preserve"> </w:t>
      </w:r>
      <w:r w:rsidR="00652658" w:rsidRPr="00BF5C70">
        <w:t xml:space="preserve">CERD, </w:t>
      </w:r>
      <w:hyperlink r:id="rId391">
        <w:r w:rsidR="00652658" w:rsidRPr="00BF5C70">
          <w:rPr>
            <w:rStyle w:val="Hyperlink"/>
            <w:rFonts w:cstheme="majorBidi"/>
            <w:color w:val="auto"/>
            <w:szCs w:val="16"/>
            <w:lang w:val="es-ES_tradnl"/>
          </w:rPr>
          <w:t>Observaciones finales sobre los informes periódicos 22º a 24º combinados de la República Bolivariana de Venezuela</w:t>
        </w:r>
      </w:hyperlink>
      <w:r w:rsidR="00652658" w:rsidRPr="00BF5C70">
        <w:t>, CERD/C/VEN/CO/22-24, 18 de septiembre de 2024, p. 5.</w:t>
      </w:r>
    </w:p>
  </w:footnote>
  <w:footnote w:id="407">
    <w:p w14:paraId="3891845C" w14:textId="77777777" w:rsidR="00BC27A6" w:rsidRPr="00BF5C70" w:rsidRDefault="00BC27A6" w:rsidP="00BF0F0C">
      <w:pPr>
        <w:pStyle w:val="IAPiedepgina"/>
      </w:pPr>
      <w:r w:rsidRPr="005C52BD">
        <w:rPr>
          <w:rStyle w:val="FootnoteReference"/>
          <w:rFonts w:cstheme="majorBidi"/>
          <w:sz w:val="16"/>
          <w:szCs w:val="16"/>
          <w:lang w:val="es-ES_tradnl"/>
        </w:rPr>
        <w:footnoteRef/>
      </w:r>
      <w:r w:rsidRPr="00BF5C70">
        <w:rPr>
          <w:vertAlign w:val="superscript"/>
        </w:rPr>
        <w:t xml:space="preserve"> </w:t>
      </w:r>
      <w:r w:rsidRPr="00BF5C70">
        <w:t xml:space="preserve">Naciones Unidas, Convención Internacional sobre la Eliminación de Todas las Formas de Discriminación Racial, Comité para la Eliminación de la Discriminación Racial, Observaciones finales sobre los informes periódicos 22º a 24º combinados de la República Bolivariana de Venezuela, CERD/C/VEN/CO/22-24, 18 de septiembre de 2024. </w:t>
      </w:r>
    </w:p>
  </w:footnote>
  <w:footnote w:id="408">
    <w:p w14:paraId="07ECE40A" w14:textId="3BC767F8" w:rsidR="0021702D" w:rsidRPr="003774C9" w:rsidRDefault="0021702D" w:rsidP="00BF0F0C">
      <w:pPr>
        <w:pStyle w:val="IAPiedepgina"/>
        <w:rPr>
          <w:lang w:val="es-AR"/>
        </w:rPr>
      </w:pPr>
      <w:r w:rsidRPr="005C52BD">
        <w:rPr>
          <w:rStyle w:val="FootnoteReference"/>
          <w:rFonts w:cstheme="majorBidi"/>
          <w:sz w:val="16"/>
          <w:szCs w:val="16"/>
          <w:lang w:val="es-ES_tradnl"/>
        </w:rPr>
        <w:footnoteRef/>
      </w:r>
      <w:r w:rsidRPr="00BF5C70">
        <w:rPr>
          <w:lang w:val="es-US"/>
        </w:rPr>
        <w:t xml:space="preserve"> </w:t>
      </w:r>
      <w:r w:rsidR="00E04445" w:rsidRPr="00BF5C70">
        <w:t>Naciones Unidas, Convención Internacional sobre la Eliminación de Todas las Formas de Discriminación Racial, Comité para la Eliminación de la Discriminación Racial, Observaciones finales sobre los informes periódicos 22º a 24º combinados de la República Bolivariana de Venezuela, CERD/C/VEN/CO/22-24, 18 de septiembre de 2024</w:t>
      </w:r>
      <w:r w:rsidRPr="00BF5C70">
        <w:rPr>
          <w:lang w:val="es-US"/>
        </w:rPr>
        <w:t xml:space="preserve">, párr. </w:t>
      </w:r>
      <w:r w:rsidRPr="003774C9">
        <w:rPr>
          <w:lang w:val="es-AR"/>
        </w:rPr>
        <w:t xml:space="preserve">14, p. 4. </w:t>
      </w:r>
    </w:p>
  </w:footnote>
  <w:footnote w:id="409">
    <w:p w14:paraId="25F507DC" w14:textId="71545182" w:rsidR="0021702D" w:rsidRPr="003774C9" w:rsidRDefault="0021702D" w:rsidP="00BF0F0C">
      <w:pPr>
        <w:pStyle w:val="IAPiedepgina"/>
        <w:rPr>
          <w:lang w:val="es-AR"/>
        </w:rPr>
      </w:pPr>
      <w:r w:rsidRPr="005C52BD">
        <w:rPr>
          <w:rStyle w:val="FootnoteReference"/>
          <w:rFonts w:cstheme="majorBidi"/>
          <w:sz w:val="16"/>
          <w:szCs w:val="16"/>
          <w:lang w:val="es-ES_tradnl"/>
        </w:rPr>
        <w:footnoteRef/>
      </w:r>
      <w:r w:rsidRPr="00BF5C70">
        <w:rPr>
          <w:lang w:val="es-US"/>
        </w:rPr>
        <w:t xml:space="preserve"> </w:t>
      </w:r>
      <w:r w:rsidR="00E04445" w:rsidRPr="00BF5C70">
        <w:t>Naciones Unidas, Convención Internacional sobre la Eliminación de Todas las Formas de Discriminación Racial, Comité para la Eliminación de la Discriminación Racial, Observaciones finales sobre los informes periódicos 22º a 24º combinados de la República Bolivariana de Venezuela, CERD/C/VEN/CO/22-24, 18 de septiembre de 2024</w:t>
      </w:r>
      <w:r w:rsidRPr="00BF5C70">
        <w:rPr>
          <w:lang w:val="es-US"/>
        </w:rPr>
        <w:t xml:space="preserve">, párr. </w:t>
      </w:r>
      <w:r w:rsidRPr="003774C9">
        <w:rPr>
          <w:lang w:val="es-AR"/>
        </w:rPr>
        <w:t>40, p. 10.</w:t>
      </w:r>
    </w:p>
  </w:footnote>
  <w:footnote w:id="410">
    <w:p w14:paraId="321AF0C4" w14:textId="72045784" w:rsidR="0021702D" w:rsidRPr="003774C9" w:rsidRDefault="0021702D" w:rsidP="00BF0F0C">
      <w:pPr>
        <w:pStyle w:val="IAPiedepgina"/>
        <w:rPr>
          <w:lang w:val="es-AR"/>
        </w:rPr>
      </w:pPr>
      <w:r w:rsidRPr="005C52BD">
        <w:rPr>
          <w:rStyle w:val="FootnoteReference"/>
          <w:rFonts w:cstheme="majorBidi"/>
          <w:sz w:val="16"/>
          <w:szCs w:val="16"/>
          <w:lang w:val="es-ES_tradnl"/>
        </w:rPr>
        <w:footnoteRef/>
      </w:r>
      <w:r w:rsidRPr="00BF5C70">
        <w:rPr>
          <w:lang w:val="es-US"/>
        </w:rPr>
        <w:t xml:space="preserve"> </w:t>
      </w:r>
      <w:r w:rsidR="00E04445" w:rsidRPr="00BF5C70">
        <w:t>Naciones Unidas, Convención Internacional sobre la Eliminación de Todas las Formas de Discriminación Racial, Comité para la Eliminación de la Discriminación Racial, Observaciones finales sobre los informes periódicos 22º a 24º combinados de la República Bolivariana de Venezuela, CERD/C/VEN/CO/22-24, 18 de septiembre de 2024.</w:t>
      </w:r>
      <w:r w:rsidRPr="00BF5C70">
        <w:rPr>
          <w:lang w:val="es-US"/>
        </w:rPr>
        <w:t xml:space="preserve">, párr. </w:t>
      </w:r>
      <w:r w:rsidRPr="003774C9">
        <w:rPr>
          <w:lang w:val="es-AR"/>
        </w:rPr>
        <w:t>29, p. 7.</w:t>
      </w:r>
    </w:p>
  </w:footnote>
  <w:footnote w:id="411">
    <w:p w14:paraId="4E93612D" w14:textId="574DDB8A" w:rsidR="0021702D" w:rsidRPr="00BF5C70" w:rsidRDefault="0021702D" w:rsidP="00BF0F0C">
      <w:pPr>
        <w:pStyle w:val="IAPiedepgina"/>
      </w:pPr>
      <w:r w:rsidRPr="005C52BD">
        <w:rPr>
          <w:rStyle w:val="FootnoteReference"/>
          <w:rFonts w:cstheme="majorBidi"/>
          <w:sz w:val="16"/>
          <w:szCs w:val="16"/>
          <w:lang w:val="es-ES_tradnl"/>
        </w:rPr>
        <w:footnoteRef/>
      </w:r>
      <w:r w:rsidRPr="00BF5C70">
        <w:rPr>
          <w:lang w:val="es-US"/>
        </w:rPr>
        <w:t xml:space="preserve"> </w:t>
      </w:r>
      <w:r w:rsidR="00E04445" w:rsidRPr="00BF5C70">
        <w:t>Naciones Unidas, Convención Internacional sobre la Eliminación de Todas las Formas de Discriminación Racial, Comité para la Eliminación de la Discriminación Racial, Observaciones finales sobre los informes periódicos 22º a 24º combinados de la República Bolivariana de Venezuela, CERD/C/VEN/CO/22-24, 18 de septiembre de 2024.</w:t>
      </w:r>
      <w:r w:rsidRPr="00BF5C70">
        <w:rPr>
          <w:lang w:val="es-US"/>
        </w:rPr>
        <w:t xml:space="preserve">, párr. </w:t>
      </w:r>
      <w:r w:rsidRPr="00BF5C70">
        <w:t>30, p. 8.</w:t>
      </w:r>
    </w:p>
  </w:footnote>
  <w:footnote w:id="412">
    <w:p w14:paraId="0703CA40" w14:textId="608F8844" w:rsidR="0021702D" w:rsidRPr="00BF5C70" w:rsidRDefault="0021702D" w:rsidP="00BF0F0C">
      <w:pPr>
        <w:pStyle w:val="IAPiedepgina"/>
      </w:pPr>
      <w:r w:rsidRPr="005C52BD">
        <w:rPr>
          <w:rStyle w:val="FootnoteReference"/>
          <w:rFonts w:cstheme="majorBidi"/>
          <w:sz w:val="16"/>
          <w:szCs w:val="16"/>
        </w:rPr>
        <w:footnoteRef/>
      </w:r>
      <w:r w:rsidRPr="00BF5C70">
        <w:t xml:space="preserve"> </w:t>
      </w:r>
      <w:r w:rsidR="00E04445" w:rsidRPr="00BF5C70">
        <w:t>Naciones Unidas, Convención Internacional sobre la Eliminación de Todas las Formas de Discriminación Racial, Comité para la Eliminación de la Discriminación Racial, Observaciones finales sobre los informes periódicos 22º a 24º combinados de la República Bolivariana de Venezuela, CERD/C/VEN/CO/22-24, 18 de septiembre de 2024</w:t>
      </w:r>
      <w:r w:rsidRPr="00BF5C70">
        <w:t>, párr. 32, p. 8.</w:t>
      </w:r>
    </w:p>
  </w:footnote>
  <w:footnote w:id="413">
    <w:p w14:paraId="53F8B403" w14:textId="77777777" w:rsidR="00B26A25" w:rsidRPr="0075373C" w:rsidRDefault="00B26A25" w:rsidP="00B26A25">
      <w:pPr>
        <w:pStyle w:val="IAPiedepgina"/>
      </w:pPr>
      <w:r w:rsidRPr="005C52BD">
        <w:rPr>
          <w:vertAlign w:val="superscript"/>
        </w:rPr>
        <w:footnoteRef/>
      </w:r>
      <w:r w:rsidRPr="0075373C">
        <w:t xml:space="preserve"> CADH. Artículo 4. </w:t>
      </w:r>
    </w:p>
  </w:footnote>
  <w:footnote w:id="414">
    <w:p w14:paraId="071EB26E" w14:textId="71C3E349" w:rsidR="00B26A25" w:rsidRPr="005A14F9" w:rsidRDefault="00B26A25" w:rsidP="00B26A25">
      <w:pPr>
        <w:pStyle w:val="IAPiedepgina"/>
        <w:rPr>
          <w:lang w:val="es-AR"/>
        </w:rPr>
      </w:pPr>
      <w:r w:rsidRPr="005C52BD">
        <w:rPr>
          <w:vertAlign w:val="superscript"/>
        </w:rPr>
        <w:footnoteRef/>
      </w:r>
      <w:r w:rsidRPr="0075373C">
        <w:t xml:space="preserve"> Voto Parcialmente Disidente del Juez Eduardo Vio Grossi, Corte Interamericana de Derechos Humanos, Caso Manuela Y Otros Vs. </w:t>
      </w:r>
      <w:r w:rsidRPr="005A14F9">
        <w:rPr>
          <w:lang w:val="es-AR"/>
        </w:rPr>
        <w:t xml:space="preserve">El Salvador, Sentencia de 2 de </w:t>
      </w:r>
      <w:r w:rsidR="00F7243E" w:rsidRPr="005A14F9">
        <w:rPr>
          <w:lang w:val="es-AR"/>
        </w:rPr>
        <w:t>noviembre</w:t>
      </w:r>
      <w:r w:rsidRPr="005A14F9">
        <w:rPr>
          <w:lang w:val="es-AR"/>
        </w:rPr>
        <w:t xml:space="preserve"> de 2021,</w:t>
      </w:r>
      <w:r w:rsidR="00F7243E">
        <w:rPr>
          <w:lang w:val="es-AR"/>
        </w:rPr>
        <w:t xml:space="preserve"> </w:t>
      </w:r>
      <w:r w:rsidRPr="005A14F9">
        <w:rPr>
          <w:lang w:val="es-AR"/>
        </w:rPr>
        <w:t>(Excepciones Preliminares, Fondo, Reparaciones y Costas)</w:t>
      </w:r>
      <w:r w:rsidR="00F7243E">
        <w:rPr>
          <w:lang w:val="es-AR"/>
        </w:rPr>
        <w:t>, p</w:t>
      </w:r>
      <w:r w:rsidRPr="005A14F9">
        <w:rPr>
          <w:lang w:val="es-AR"/>
        </w:rPr>
        <w:t>árrafo 13.</w:t>
      </w:r>
    </w:p>
  </w:footnote>
  <w:footnote w:id="415">
    <w:p w14:paraId="3FAFE98C" w14:textId="77777777" w:rsidR="00B26A25" w:rsidRPr="005A14F9" w:rsidRDefault="00B26A25" w:rsidP="00B26A25">
      <w:pPr>
        <w:pStyle w:val="IAPiedepgina"/>
        <w:rPr>
          <w:lang w:val="es-AR"/>
        </w:rPr>
      </w:pPr>
      <w:r w:rsidRPr="005C52BD">
        <w:rPr>
          <w:vertAlign w:val="superscript"/>
        </w:rPr>
        <w:footnoteRef/>
      </w:r>
      <w:r w:rsidRPr="005A14F9">
        <w:rPr>
          <w:lang w:val="es-AR"/>
        </w:rPr>
        <w:t xml:space="preserve"> Corte IDH. Caso Beatriz y otros Vs. El Salvador. Fondo, Reparaciones y Costas. Sentencia de 22 de noviembre de 2024. Serie C No. 549.</w:t>
      </w:r>
    </w:p>
  </w:footnote>
  <w:footnote w:id="416">
    <w:p w14:paraId="5A9F738E" w14:textId="77777777" w:rsidR="00B26A25" w:rsidRPr="005A14F9" w:rsidRDefault="00B26A25" w:rsidP="00B26A25">
      <w:pPr>
        <w:pStyle w:val="IAPiedepgina"/>
        <w:rPr>
          <w:lang w:val="es-AR"/>
        </w:rPr>
      </w:pPr>
      <w:r w:rsidRPr="005C52BD">
        <w:rPr>
          <w:vertAlign w:val="superscript"/>
        </w:rPr>
        <w:footnoteRef/>
      </w:r>
      <w:r w:rsidRPr="005A14F9">
        <w:rPr>
          <w:lang w:val="es-AR"/>
        </w:rPr>
        <w:t xml:space="preserve"> Corte IDH. Caso Romero Feris Vs. Argentina. Fondo, Reparaciones y Costas. Sentencia de 15 de octubre de 2019. Serie C No. 391. Párr. 77.</w:t>
      </w:r>
    </w:p>
  </w:footnote>
  <w:footnote w:id="417">
    <w:p w14:paraId="3220E44E" w14:textId="77777777" w:rsidR="00B26A25" w:rsidRPr="005A14F9" w:rsidRDefault="00B26A25" w:rsidP="00B26A25">
      <w:pPr>
        <w:pStyle w:val="IAPiedepgina"/>
      </w:pPr>
      <w:r w:rsidRPr="005C52BD">
        <w:rPr>
          <w:vertAlign w:val="superscript"/>
        </w:rPr>
        <w:footnoteRef/>
      </w:r>
      <w:r w:rsidRPr="005A14F9">
        <w:t xml:space="preserve"> CADH. Art. 1.2 “Para los efectos de esta Convención, persona es todo ser humano”.</w:t>
      </w:r>
    </w:p>
  </w:footnote>
  <w:footnote w:id="418">
    <w:p w14:paraId="32E35662" w14:textId="77777777" w:rsidR="00B26A25" w:rsidRPr="005A14F9" w:rsidRDefault="00B26A25" w:rsidP="00B26A25">
      <w:pPr>
        <w:pStyle w:val="IAPiedepgina"/>
      </w:pPr>
      <w:r w:rsidRPr="005C52BD">
        <w:rPr>
          <w:vertAlign w:val="superscript"/>
        </w:rPr>
        <w:footnoteRef/>
      </w:r>
      <w:r w:rsidRPr="005A14F9">
        <w:t xml:space="preserve"> Corte IDH. OC-22/16. Titularidad de derechos de las personas jurídicas en el Sistema Interamericano de derechos Humanos. Opinión Consultiva de 26 de febrero de 2016. Serie A. No. 22. Párr. 48.</w:t>
      </w:r>
    </w:p>
  </w:footnote>
  <w:footnote w:id="419">
    <w:p w14:paraId="5675C378" w14:textId="77777777" w:rsidR="00B26A25" w:rsidRPr="0075373C" w:rsidRDefault="00B26A25" w:rsidP="00B26A25">
      <w:pPr>
        <w:pStyle w:val="IAPiedepgina"/>
        <w:rPr>
          <w:lang w:val="en-US"/>
        </w:rPr>
      </w:pPr>
      <w:r w:rsidRPr="005C52BD">
        <w:rPr>
          <w:vertAlign w:val="superscript"/>
        </w:rPr>
        <w:footnoteRef/>
      </w:r>
      <w:r w:rsidRPr="0075373C">
        <w:rPr>
          <w:lang w:val="en-US"/>
        </w:rPr>
        <w:t xml:space="preserve"> Kaluger, G., and Kaluger, M., Human Development: The Span of Life, The C.V. Mosby Co., St. Louis, 1974, page 28-29. </w:t>
      </w:r>
    </w:p>
  </w:footnote>
  <w:footnote w:id="420">
    <w:p w14:paraId="7ED8B293" w14:textId="77777777" w:rsidR="00B26A25" w:rsidRPr="005A14F9" w:rsidRDefault="00B26A25" w:rsidP="00B26A25">
      <w:pPr>
        <w:pStyle w:val="IAPiedepgina"/>
      </w:pPr>
      <w:r w:rsidRPr="005C52BD">
        <w:rPr>
          <w:vertAlign w:val="superscript"/>
        </w:rPr>
        <w:footnoteRef/>
      </w:r>
      <w:r w:rsidRPr="005A14F9">
        <w:t xml:space="preserve">  Declaración Universal sobre el Genoma Humano y los Derechos Humanos. Artículo 1.</w:t>
      </w:r>
    </w:p>
  </w:footnote>
  <w:footnote w:id="421">
    <w:p w14:paraId="5A47A564" w14:textId="77777777" w:rsidR="00B26A25" w:rsidRPr="005A14F9" w:rsidRDefault="00B26A25" w:rsidP="00B26A25">
      <w:pPr>
        <w:pStyle w:val="IAPiedepgina"/>
      </w:pPr>
      <w:r w:rsidRPr="005C52BD">
        <w:rPr>
          <w:vertAlign w:val="superscript"/>
        </w:rPr>
        <w:footnoteRef/>
      </w:r>
      <w:r w:rsidRPr="005A14F9">
        <w:t xml:space="preserve"> Convención Americana sobre Derechos Humanos. Artículo 4, 5, 7, 8, 10, 11, 12, 13, 14, 16, 18, 20, 21, 22, 24 y 25.</w:t>
      </w:r>
    </w:p>
  </w:footnote>
  <w:footnote w:id="422">
    <w:p w14:paraId="09A0CE10" w14:textId="02BA5055" w:rsidR="00B26A25" w:rsidRPr="005A14F9" w:rsidRDefault="00B26A25" w:rsidP="00B26A25">
      <w:pPr>
        <w:pStyle w:val="IAPiedepgina"/>
      </w:pPr>
      <w:r w:rsidRPr="005C52BD">
        <w:rPr>
          <w:vertAlign w:val="superscript"/>
        </w:rPr>
        <w:footnoteRef/>
      </w:r>
      <w:r w:rsidRPr="005A14F9">
        <w:t xml:space="preserve"> Pacto Internacional de Derechos Civiles y Políticos. Preámbulo, inc. 3; Convención Americana sobre Derechos Humanos, inc. 3. Preámbulo; Carta Africana de Derechos Humanos. Preámbulo, inc. 6; Declaración de Ginebra sobre los Derechos de los Niños. Preámbulo, inc. 1; Declaración Americana de los Derechos y Deberes Internacionales del Hombre. Art. 1; Declaración Universal de Derechos Humanos. Preámbulo, inc. 1; Declaración de Derechos del Niño. Preámbulo, inc. 2; Convención Europeo de Derechos Humanos. Preámbulo, inc. 2</w:t>
      </w:r>
      <w:r w:rsidR="00817A63">
        <w:t>.</w:t>
      </w:r>
    </w:p>
  </w:footnote>
  <w:footnote w:id="423">
    <w:p w14:paraId="790E0264" w14:textId="77777777" w:rsidR="00B26A25" w:rsidRPr="005A14F9" w:rsidRDefault="00B26A25" w:rsidP="00B26A25">
      <w:pPr>
        <w:pStyle w:val="IAPiedepgina"/>
      </w:pPr>
      <w:r w:rsidRPr="005C52BD">
        <w:rPr>
          <w:vertAlign w:val="superscript"/>
        </w:rPr>
        <w:footnoteRef/>
      </w:r>
      <w:r w:rsidRPr="005A14F9">
        <w:t xml:space="preserve"> Corte IDH. </w:t>
      </w:r>
      <w:r w:rsidRPr="005A14F9">
        <w:rPr>
          <w:lang w:val="pt-BR"/>
        </w:rPr>
        <w:t xml:space="preserve">Caso Cuscul Pivaral vs. Guatemala. </w:t>
      </w:r>
      <w:r w:rsidRPr="005A14F9">
        <w:t>Sentencia de 23 de agosto de 2018. ““Por otro lado, el Tribunal ha señalado que la extrema pobreza y la falta adecuada de atención médica a mujeres en estado de embarazo o post-embarazo son causas de alta mortalidad y morbilidad materna, por lo que los Estados deben brindar políticas de salud adecuadas que permitan ofrecer asistencia con personal entrenado adecuadamente para la atención de los nacimientos, políticas de prevención de la mortalidad materna a través de controles pre-natales y post-parto adecuados, e instrumentos legales y administrativos en políticas de salud que permitan documentar adecuadamente los casos de mortalidad materna. Asimismo, la Corte ha reconocido que, en virtud del artículo 19 de la Convención, el Estado debe asumir una posición especial de garante con mayor cuidado y responsabilidad, y debe tomar medidas especiales orientadas en el principio del interés superior del niño.”</w:t>
      </w:r>
    </w:p>
  </w:footnote>
  <w:footnote w:id="424">
    <w:p w14:paraId="297EBA94" w14:textId="77777777" w:rsidR="00B26A25" w:rsidRPr="005A14F9" w:rsidRDefault="00B26A25" w:rsidP="00B26A25">
      <w:pPr>
        <w:pStyle w:val="IAPiedepgina"/>
      </w:pPr>
      <w:r w:rsidRPr="005C52BD">
        <w:rPr>
          <w:vertAlign w:val="superscript"/>
        </w:rPr>
        <w:footnoteRef/>
      </w:r>
      <w:r w:rsidRPr="005A14F9">
        <w:t>Convención sobre los Derechos del Niño. Preámbulo.</w:t>
      </w:r>
    </w:p>
  </w:footnote>
  <w:footnote w:id="425">
    <w:p w14:paraId="7DC88A2A" w14:textId="77777777" w:rsidR="00B26A25" w:rsidRPr="005A14F9" w:rsidRDefault="00B26A25" w:rsidP="00B26A25">
      <w:pPr>
        <w:pStyle w:val="IAPiedepgina"/>
      </w:pPr>
      <w:r w:rsidRPr="005C52BD">
        <w:rPr>
          <w:vertAlign w:val="superscript"/>
        </w:rPr>
        <w:footnoteRef/>
      </w:r>
      <w:r w:rsidRPr="005A14F9">
        <w:t xml:space="preserve">  “La razón principal para disponer en el párrafo 4 [ahora artículo 6(5)] del texto original que la pena de muerte no debería aplicarse a mujeres embarazadas fue para salvar la vida inocente del niño no nacido”. Naciones Unidas. Asamblea General. Informe de la Tercera Comisión sobre los Proyectos de Pactos Internacionales de Derechos Humanos. A/3764. Pág. 40. </w:t>
      </w:r>
    </w:p>
  </w:footnote>
  <w:footnote w:id="426">
    <w:p w14:paraId="11697BA0" w14:textId="77777777" w:rsidR="00B26A25" w:rsidRPr="00200A0F" w:rsidRDefault="00B26A25" w:rsidP="00B26A25">
      <w:pPr>
        <w:pStyle w:val="IAPiedepgina"/>
        <w:rPr>
          <w:szCs w:val="16"/>
        </w:rPr>
      </w:pPr>
      <w:r w:rsidRPr="005C52BD">
        <w:rPr>
          <w:rStyle w:val="FootnoteReference"/>
          <w:sz w:val="16"/>
          <w:szCs w:val="16"/>
        </w:rPr>
        <w:footnoteRef/>
      </w:r>
      <w:r w:rsidRPr="00200A0F">
        <w:rPr>
          <w:szCs w:val="16"/>
        </w:rPr>
        <w:t xml:space="preserve"> Artículo 9.</w:t>
      </w:r>
    </w:p>
  </w:footnote>
  <w:footnote w:id="427">
    <w:p w14:paraId="16B86119" w14:textId="77777777" w:rsidR="00B26A25" w:rsidRPr="00200A0F" w:rsidRDefault="00B26A25" w:rsidP="00B26A25">
      <w:pPr>
        <w:pStyle w:val="IAPiedepgina"/>
        <w:rPr>
          <w:szCs w:val="16"/>
        </w:rPr>
      </w:pPr>
      <w:r w:rsidRPr="005C52BD">
        <w:rPr>
          <w:szCs w:val="16"/>
          <w:vertAlign w:val="superscript"/>
        </w:rPr>
        <w:footnoteRef/>
      </w:r>
      <w:r w:rsidRPr="00200A0F">
        <w:rPr>
          <w:szCs w:val="16"/>
          <w:vertAlign w:val="superscript"/>
        </w:rPr>
        <w:t xml:space="preserve"> </w:t>
      </w:r>
      <w:r w:rsidRPr="00200A0F">
        <w:rPr>
          <w:szCs w:val="16"/>
        </w:rPr>
        <w:t xml:space="preserve">Artículo 10. </w:t>
      </w:r>
    </w:p>
  </w:footnote>
  <w:footnote w:id="428">
    <w:p w14:paraId="3A71C9DC" w14:textId="77777777" w:rsidR="00B26A25" w:rsidRPr="00200A0F" w:rsidRDefault="00B26A25" w:rsidP="00B26A25">
      <w:pPr>
        <w:pStyle w:val="IAPiedepgina"/>
        <w:rPr>
          <w:szCs w:val="16"/>
        </w:rPr>
      </w:pPr>
      <w:r w:rsidRPr="005C52BD">
        <w:rPr>
          <w:szCs w:val="16"/>
          <w:vertAlign w:val="superscript"/>
        </w:rPr>
        <w:footnoteRef/>
      </w:r>
      <w:r w:rsidRPr="00200A0F">
        <w:rPr>
          <w:szCs w:val="16"/>
          <w:vertAlign w:val="superscript"/>
        </w:rPr>
        <w:t xml:space="preserve"> </w:t>
      </w:r>
      <w:r w:rsidRPr="00200A0F">
        <w:rPr>
          <w:szCs w:val="16"/>
        </w:rPr>
        <w:t xml:space="preserve">Artículo 11.2. y 12. </w:t>
      </w:r>
    </w:p>
  </w:footnote>
  <w:footnote w:id="429">
    <w:p w14:paraId="3A59C53A" w14:textId="77777777" w:rsidR="00B26A25" w:rsidRPr="00200A0F" w:rsidRDefault="00B26A25" w:rsidP="00B26A25">
      <w:pPr>
        <w:pStyle w:val="IAPiedepgina"/>
        <w:rPr>
          <w:szCs w:val="16"/>
        </w:rPr>
      </w:pPr>
      <w:r w:rsidRPr="005C52BD">
        <w:rPr>
          <w:szCs w:val="16"/>
          <w:vertAlign w:val="superscript"/>
        </w:rPr>
        <w:footnoteRef/>
      </w:r>
      <w:r w:rsidRPr="00200A0F">
        <w:rPr>
          <w:szCs w:val="16"/>
          <w:vertAlign w:val="superscript"/>
        </w:rPr>
        <w:t xml:space="preserve"> </w:t>
      </w:r>
      <w:r w:rsidRPr="00200A0F">
        <w:rPr>
          <w:szCs w:val="16"/>
        </w:rPr>
        <w:t>Artículo 11, 2, d.</w:t>
      </w:r>
    </w:p>
  </w:footnote>
  <w:footnote w:id="430">
    <w:p w14:paraId="20F026C7" w14:textId="77777777" w:rsidR="00B26A25" w:rsidRPr="00200A0F" w:rsidRDefault="00B26A25" w:rsidP="00B26A25">
      <w:pPr>
        <w:pStyle w:val="IAPiedepgina"/>
        <w:rPr>
          <w:szCs w:val="16"/>
        </w:rPr>
      </w:pPr>
      <w:r w:rsidRPr="005C52BD">
        <w:rPr>
          <w:szCs w:val="16"/>
          <w:vertAlign w:val="superscript"/>
        </w:rPr>
        <w:footnoteRef/>
      </w:r>
      <w:r w:rsidRPr="00200A0F">
        <w:rPr>
          <w:szCs w:val="16"/>
          <w:vertAlign w:val="superscript"/>
        </w:rPr>
        <w:t xml:space="preserve"> </w:t>
      </w:r>
      <w:r w:rsidRPr="00200A0F">
        <w:rPr>
          <w:szCs w:val="16"/>
        </w:rPr>
        <w:t>Artículo 9.</w:t>
      </w:r>
    </w:p>
  </w:footnote>
  <w:footnote w:id="431">
    <w:p w14:paraId="380C5891" w14:textId="3FEFAC0C" w:rsidR="00B26A25" w:rsidRPr="00A06BFF" w:rsidRDefault="00B26A25" w:rsidP="00B26A25">
      <w:pPr>
        <w:pStyle w:val="IAPiedepgina"/>
        <w:rPr>
          <w:rFonts w:asciiTheme="minorHAnsi" w:hAnsiTheme="minorHAnsi"/>
          <w:sz w:val="18"/>
          <w:szCs w:val="18"/>
          <w:lang w:val="pt-BR"/>
        </w:rPr>
      </w:pPr>
      <w:r w:rsidRPr="005C52BD">
        <w:rPr>
          <w:szCs w:val="16"/>
          <w:vertAlign w:val="superscript"/>
        </w:rPr>
        <w:footnoteRef/>
      </w:r>
      <w:r w:rsidRPr="00200A0F">
        <w:rPr>
          <w:szCs w:val="16"/>
          <w:lang w:val="es-AR"/>
        </w:rPr>
        <w:t xml:space="preserve">Planificación familiar. </w:t>
      </w:r>
      <w:r w:rsidRPr="00200A0F">
        <w:rPr>
          <w:szCs w:val="16"/>
          <w:lang w:val="pt-BR"/>
        </w:rPr>
        <w:t>Métodos anticonceptivos</w:t>
      </w:r>
      <w:r w:rsidR="00877BF4">
        <w:rPr>
          <w:szCs w:val="16"/>
          <w:lang w:val="pt-BR"/>
        </w:rPr>
        <w:t>,</w:t>
      </w:r>
      <w:r w:rsidRPr="00200A0F">
        <w:rPr>
          <w:szCs w:val="16"/>
          <w:lang w:val="pt-BR"/>
        </w:rPr>
        <w:t xml:space="preserve"> </w:t>
      </w:r>
      <w:hyperlink r:id="rId392" w:history="1">
        <w:r w:rsidR="00F7243E" w:rsidRPr="00A06BFF">
          <w:rPr>
            <w:rStyle w:val="Hyperlink"/>
            <w:rFonts w:cstheme="majorBidi"/>
            <w:color w:val="auto"/>
            <w:szCs w:val="16"/>
            <w:lang w:val="pt-BR"/>
          </w:rPr>
          <w:t>https://www.who.int/es/news-room/fact-sheets/detail/family-planning-contraception</w:t>
        </w:r>
      </w:hyperlink>
      <w:r w:rsidR="00F7243E" w:rsidRPr="00A06BFF">
        <w:rPr>
          <w:szCs w:val="16"/>
          <w:lang w:val="pt-BR"/>
        </w:rPr>
        <w:t xml:space="preserve">. </w:t>
      </w:r>
    </w:p>
  </w:footnote>
  <w:footnote w:id="432">
    <w:p w14:paraId="4CAE75F6" w14:textId="77777777" w:rsidR="00B26A25" w:rsidRPr="005A14F9" w:rsidRDefault="00B26A25" w:rsidP="00B26A25">
      <w:pPr>
        <w:pStyle w:val="IAPiedepgina"/>
      </w:pPr>
      <w:r w:rsidRPr="005C52BD">
        <w:rPr>
          <w:vertAlign w:val="superscript"/>
        </w:rPr>
        <w:footnoteRef/>
      </w:r>
      <w:r w:rsidRPr="005A14F9">
        <w:rPr>
          <w:lang w:val="pt-BR"/>
        </w:rPr>
        <w:t xml:space="preserve">  Corte IDH. </w:t>
      </w:r>
      <w:r w:rsidRPr="005A14F9">
        <w:t xml:space="preserve">Caso I.V. Vs. Bolivia. Excepciones Preliminares, Fondo, Reparaciones y Costas. Sentencia de 30 de noviembre de 2016. Serie C No. 329. </w:t>
      </w:r>
    </w:p>
  </w:footnote>
  <w:footnote w:id="433">
    <w:p w14:paraId="5BF03C8D" w14:textId="77777777" w:rsidR="00B26A25" w:rsidRPr="005A14F9" w:rsidRDefault="00B26A25" w:rsidP="00B26A25">
      <w:pPr>
        <w:pStyle w:val="IAPiedepgina"/>
      </w:pPr>
      <w:r w:rsidRPr="005C52BD">
        <w:rPr>
          <w:vertAlign w:val="superscript"/>
        </w:rPr>
        <w:footnoteRef/>
      </w:r>
      <w:r w:rsidRPr="005A14F9">
        <w:t xml:space="preserve"> Corte IDH. Caso I.V. Vs. Bolivia. Excepciones Preliminares, Fondo, Reparaciones y Costas. Sentencia de 30 de noviembre de 2016. Serie C No. 329. </w:t>
      </w:r>
    </w:p>
  </w:footnote>
  <w:footnote w:id="434">
    <w:p w14:paraId="2A4FD36D" w14:textId="77777777" w:rsidR="00B26A25" w:rsidRPr="005A14F9" w:rsidRDefault="00B26A25" w:rsidP="00B26A25">
      <w:pPr>
        <w:pStyle w:val="IAPiedepgina"/>
      </w:pPr>
      <w:r w:rsidRPr="005C52BD">
        <w:rPr>
          <w:vertAlign w:val="superscript"/>
        </w:rPr>
        <w:footnoteRef/>
      </w:r>
      <w:r w:rsidRPr="005A14F9">
        <w:t xml:space="preserve"> Ibidem</w:t>
      </w:r>
      <w:r>
        <w:t>.</w:t>
      </w:r>
    </w:p>
  </w:footnote>
  <w:footnote w:id="435">
    <w:p w14:paraId="536ECD25" w14:textId="77777777" w:rsidR="00B26A25" w:rsidRPr="005A14F9" w:rsidRDefault="00B26A25" w:rsidP="00B26A25">
      <w:pPr>
        <w:pStyle w:val="IAPiedepgina"/>
      </w:pPr>
      <w:r w:rsidRPr="005C52BD">
        <w:rPr>
          <w:vertAlign w:val="superscript"/>
        </w:rPr>
        <w:footnoteRef/>
      </w:r>
      <w:r w:rsidRPr="005A14F9">
        <w:t xml:space="preserve"> Corte IDH. Caso I.V. Vs. Bolivia. Excepciones Preliminares, Fondo, Reparaciones y Costas. Sentencia de 30 de noviembre de 2016. Serie C No. 329. </w:t>
      </w:r>
    </w:p>
  </w:footnote>
  <w:footnote w:id="436">
    <w:p w14:paraId="5CC0E865" w14:textId="77777777" w:rsidR="00B26A25" w:rsidRPr="005A14F9" w:rsidRDefault="00B26A25" w:rsidP="00B26A25">
      <w:pPr>
        <w:pStyle w:val="IAPiedepgina"/>
      </w:pPr>
      <w:r w:rsidRPr="005C52BD">
        <w:rPr>
          <w:vertAlign w:val="superscript"/>
        </w:rPr>
        <w:footnoteRef/>
      </w:r>
      <w:r w:rsidRPr="005A14F9">
        <w:t xml:space="preserve"> Convención de Viena sobre el Derecho de los Tratados. Artículo 26.</w:t>
      </w:r>
    </w:p>
  </w:footnote>
  <w:footnote w:id="437">
    <w:p w14:paraId="6FA0505E" w14:textId="77777777" w:rsidR="00B26A25" w:rsidRPr="005A14F9" w:rsidRDefault="00B26A25" w:rsidP="00B26A25">
      <w:pPr>
        <w:pStyle w:val="IAPiedepgina"/>
      </w:pPr>
      <w:r w:rsidRPr="005C52BD">
        <w:rPr>
          <w:vertAlign w:val="superscript"/>
        </w:rPr>
        <w:footnoteRef/>
      </w:r>
      <w:r w:rsidRPr="00B26A25">
        <w:rPr>
          <w:lang w:val="es-AR"/>
        </w:rPr>
        <w:t xml:space="preserve"> Corte IDH. </w:t>
      </w:r>
      <w:r w:rsidRPr="005A14F9">
        <w:t>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w:t>
      </w:r>
    </w:p>
  </w:footnote>
  <w:footnote w:id="438">
    <w:p w14:paraId="743812A4" w14:textId="77777777" w:rsidR="00B26A25" w:rsidRPr="005A14F9" w:rsidRDefault="00B26A25" w:rsidP="00B26A25">
      <w:pPr>
        <w:pStyle w:val="IAPiedepgina"/>
        <w:rPr>
          <w:rFonts w:eastAsia="Cambria" w:cs="Cambria"/>
        </w:rPr>
      </w:pPr>
      <w:r w:rsidRPr="005C52BD">
        <w:rPr>
          <w:vertAlign w:val="superscript"/>
        </w:rPr>
        <w:footnoteRef/>
      </w:r>
      <w:r w:rsidRPr="005A14F9">
        <w:t xml:space="preserve"> </w:t>
      </w:r>
      <w:r w:rsidRPr="005A14F9">
        <w:rPr>
          <w:rFonts w:eastAsia="Cambria" w:cs="Cambria"/>
        </w:rPr>
        <w:t>Sistematización de las críticas en: González Domínguez, P. (2017). La doctrina del control de convencionalidad a la luz del principio de subsidiariedad. Estudios constitucionales, 15(1), 55-98.</w:t>
      </w:r>
    </w:p>
  </w:footnote>
  <w:footnote w:id="439">
    <w:p w14:paraId="26301E62" w14:textId="77777777" w:rsidR="00B26A25" w:rsidRPr="005A14F9" w:rsidRDefault="00B26A25" w:rsidP="00B26A25">
      <w:pPr>
        <w:pStyle w:val="IAPiedepgina"/>
        <w:rPr>
          <w:rFonts w:eastAsia="Cambria" w:cs="Cambria"/>
        </w:rPr>
      </w:pPr>
      <w:r w:rsidRPr="005C52BD">
        <w:rPr>
          <w:vertAlign w:val="superscript"/>
        </w:rPr>
        <w:footnoteRef/>
      </w:r>
      <w:r w:rsidRPr="005A14F9">
        <w:rPr>
          <w:rFonts w:eastAsia="Cambria" w:cs="Cambria"/>
        </w:rPr>
        <w:t xml:space="preserve"> Convención de Viena sobre el Derecho de los Tratados.</w:t>
      </w:r>
    </w:p>
  </w:footnote>
  <w:footnote w:id="440">
    <w:p w14:paraId="1F0A525F" w14:textId="77777777" w:rsidR="00B26A25" w:rsidRPr="005A14F9" w:rsidRDefault="00B26A25" w:rsidP="00B26A25">
      <w:pPr>
        <w:pStyle w:val="IAPiedepgina"/>
      </w:pPr>
      <w:r w:rsidRPr="005C52BD">
        <w:rPr>
          <w:vertAlign w:val="superscript"/>
        </w:rPr>
        <w:footnoteRef/>
      </w:r>
      <w:r w:rsidRPr="005A14F9">
        <w:t xml:space="preserve"> </w:t>
      </w:r>
      <w:r w:rsidRPr="005A14F9">
        <w:rPr>
          <w:rFonts w:eastAsia="Cambria" w:cs="Cambria"/>
        </w:rPr>
        <w:t>Corte IDH. Derechos y garantías de niñas y niños en el contexto de la migración y/o en necesidad de protección internacional. Opinión Consultiva OC-21/14 de 19 de agosto de 2014. Serie A No. 21.Párr. 31.</w:t>
      </w:r>
    </w:p>
  </w:footnote>
  <w:footnote w:id="441">
    <w:p w14:paraId="6A06C5E6" w14:textId="77777777" w:rsidR="00B26A25" w:rsidRPr="005A14F9" w:rsidRDefault="00B26A25" w:rsidP="00B26A25">
      <w:pPr>
        <w:pStyle w:val="IAPiedepgina"/>
        <w:rPr>
          <w:rFonts w:eastAsia="Cambria" w:cs="Cambria"/>
        </w:rPr>
      </w:pPr>
      <w:r w:rsidRPr="005C52BD">
        <w:rPr>
          <w:vertAlign w:val="superscript"/>
        </w:rPr>
        <w:footnoteRef/>
      </w:r>
      <w:r w:rsidRPr="005A14F9">
        <w:t xml:space="preserve"> </w:t>
      </w:r>
      <w:r w:rsidRPr="005A14F9">
        <w:rPr>
          <w:rFonts w:eastAsia="Cambria" w:cs="Cambria"/>
        </w:rPr>
        <w:t xml:space="preserve">Ramírez, F. G. (2023). Una mirada crítica al control de convencionalidad. Revista de Derecho y Ciencias Sociales, (28), 101-142; Palacios, D. L. (2017). Control de convencionalidad interamericano en sede nacional: una noción aún en construcción. Revista Direito e Práxis, 8, 1389-1418. </w:t>
      </w:r>
    </w:p>
  </w:footnote>
  <w:footnote w:id="442">
    <w:p w14:paraId="20E2FC05" w14:textId="77777777" w:rsidR="00B26A25" w:rsidRPr="005A14F9" w:rsidRDefault="00B26A25" w:rsidP="00B26A25">
      <w:pPr>
        <w:pStyle w:val="IAPiedepgina"/>
      </w:pPr>
      <w:r w:rsidRPr="005C52BD">
        <w:rPr>
          <w:vertAlign w:val="superscript"/>
        </w:rPr>
        <w:footnoteRef/>
      </w:r>
      <w:r w:rsidRPr="005A14F9">
        <w:t xml:space="preserve"> Colombo, I. (2022). Un análisis crítico de la doctrina del control de convencionalidad. Omnia. Derecho y sociedad, 5 (1), pp. 83-116.</w:t>
      </w:r>
    </w:p>
  </w:footnote>
  <w:footnote w:id="443">
    <w:p w14:paraId="3EEB2222" w14:textId="77777777" w:rsidR="00B26A25" w:rsidRPr="005A14F9" w:rsidRDefault="00B26A25" w:rsidP="00B26A25">
      <w:pPr>
        <w:pStyle w:val="IAPiedepgina"/>
      </w:pPr>
      <w:r w:rsidRPr="005C52BD">
        <w:rPr>
          <w:vertAlign w:val="superscript"/>
        </w:rPr>
        <w:footnoteRef/>
      </w:r>
      <w:r w:rsidRPr="005A14F9">
        <w:t xml:space="preserve"> Colombo, I. (2022). Un análisis crítico de la doctrina del control de convencionalidad. Omnia. Derecho y sociedad, 5 (1), pp. 83-116.</w:t>
      </w:r>
    </w:p>
  </w:footnote>
  <w:footnote w:id="444">
    <w:p w14:paraId="5D8955C8" w14:textId="77777777" w:rsidR="00B26A25" w:rsidRPr="005A14F9" w:rsidRDefault="00B26A25" w:rsidP="00B26A25">
      <w:pPr>
        <w:pStyle w:val="IAPiedepgina"/>
        <w:rPr>
          <w:rFonts w:eastAsia="Calibri" w:cs="Calibri"/>
        </w:rPr>
      </w:pPr>
      <w:r w:rsidRPr="005C52BD">
        <w:rPr>
          <w:vertAlign w:val="superscript"/>
        </w:rPr>
        <w:footnoteRef/>
      </w:r>
      <w:r w:rsidRPr="005A14F9">
        <w:rPr>
          <w:rFonts w:eastAsia="Calibri" w:cs="Calibri"/>
        </w:rPr>
        <w:t xml:space="preserve"> Convención Americana sobre Derechos Humanos. Artículo 17.1</w:t>
      </w:r>
      <w:r>
        <w:rPr>
          <w:rFonts w:eastAsia="Calibri" w:cs="Calibri"/>
        </w:rPr>
        <w:t>.</w:t>
      </w:r>
    </w:p>
  </w:footnote>
  <w:footnote w:id="445">
    <w:p w14:paraId="78ACB4EA" w14:textId="77777777" w:rsidR="00B26A25" w:rsidRPr="0075373C" w:rsidRDefault="00B26A25" w:rsidP="00B26A25">
      <w:pPr>
        <w:pStyle w:val="IAPiedepgina"/>
        <w:rPr>
          <w:rFonts w:eastAsia="Calibri" w:cs="Calibri"/>
          <w:lang w:val="en-US"/>
        </w:rPr>
      </w:pPr>
      <w:r w:rsidRPr="005C52BD">
        <w:rPr>
          <w:vertAlign w:val="superscript"/>
        </w:rPr>
        <w:footnoteRef/>
      </w:r>
      <w:r w:rsidRPr="005A14F9">
        <w:rPr>
          <w:rFonts w:eastAsia="Calibri" w:cs="Calibri"/>
        </w:rPr>
        <w:t xml:space="preserve"> Convención de Viena sobre el Derecho de los Tratados. </w:t>
      </w:r>
      <w:r w:rsidRPr="0075373C">
        <w:rPr>
          <w:rFonts w:eastAsia="Calibri" w:cs="Calibri"/>
          <w:lang w:val="en-US"/>
        </w:rPr>
        <w:t>Artículo 31</w:t>
      </w:r>
      <w:r>
        <w:rPr>
          <w:rFonts w:eastAsia="Calibri" w:cs="Calibri"/>
          <w:lang w:val="en-US"/>
        </w:rPr>
        <w:t>.</w:t>
      </w:r>
    </w:p>
  </w:footnote>
  <w:footnote w:id="446">
    <w:p w14:paraId="14A57E5B" w14:textId="77777777" w:rsidR="00B26A25" w:rsidRPr="0075373C" w:rsidRDefault="00B26A25" w:rsidP="00B26A25">
      <w:pPr>
        <w:pStyle w:val="IAPiedepgina"/>
        <w:rPr>
          <w:rFonts w:eastAsia="Calibri" w:cs="Calibri"/>
          <w:lang w:val="en-US"/>
        </w:rPr>
      </w:pPr>
      <w:r w:rsidRPr="005C52BD">
        <w:rPr>
          <w:vertAlign w:val="superscript"/>
        </w:rPr>
        <w:footnoteRef/>
      </w:r>
      <w:r w:rsidRPr="0075373C">
        <w:rPr>
          <w:rFonts w:eastAsia="Calibri" w:cs="Calibri"/>
          <w:lang w:val="en-US"/>
        </w:rPr>
        <w:t xml:space="preserve">  International Court of Justice. Case concerning rights of nationals of the United States of America in Morocco. France v. United States of America. ICJ Reports 1952, pp. 196-199. International Court of Justice. Interpretation of peace treaties with Bulgaria, Hungary, and Romania (Second Phase). ICJ Reports 1950, pp.229-230.</w:t>
      </w:r>
    </w:p>
  </w:footnote>
  <w:footnote w:id="447">
    <w:p w14:paraId="2BED1A96" w14:textId="77777777" w:rsidR="00B26A25" w:rsidRPr="005A14F9" w:rsidRDefault="00B26A25" w:rsidP="00B26A25">
      <w:pPr>
        <w:pStyle w:val="IAPiedepgina"/>
        <w:rPr>
          <w:rFonts w:eastAsia="Calibri" w:cs="Calibri"/>
        </w:rPr>
      </w:pPr>
      <w:r w:rsidRPr="005C52BD">
        <w:rPr>
          <w:vertAlign w:val="superscript"/>
        </w:rPr>
        <w:footnoteRef/>
      </w:r>
      <w:r w:rsidRPr="0075373C">
        <w:rPr>
          <w:rFonts w:eastAsia="Calibri" w:cs="Calibri"/>
          <w:lang w:val="en-US"/>
        </w:rPr>
        <w:t xml:space="preserve"> International Court of Justice. Question of the Delimitation of the Continental Shelf between Nicaragua and Colombia beyond 200 Nautical Miles from the Nicaraguan Coast (Nicaragua v. Colombia), Preliminary Objections, Judgment, I.C.J. Reports 2016, p. 116-123, párrs. </w:t>
      </w:r>
      <w:r w:rsidRPr="005A14F9">
        <w:rPr>
          <w:rFonts w:eastAsia="Calibri" w:cs="Calibri"/>
        </w:rPr>
        <w:t>34-38, 46. Si bien la Corte Internacional de Justicia no se basó exclusivamente en el criterio literal de interpretación, éste sí fue uno de los primeros que tuvo en cuenta ese Tribunal para descartar la interpretación de la parte colombiana.</w:t>
      </w:r>
    </w:p>
  </w:footnote>
  <w:footnote w:id="448">
    <w:p w14:paraId="4221C8CE" w14:textId="77777777" w:rsidR="00B26A25" w:rsidRPr="005A14F9" w:rsidRDefault="00B26A25" w:rsidP="00B26A25">
      <w:pPr>
        <w:pStyle w:val="IAPiedepgina"/>
        <w:rPr>
          <w:rFonts w:eastAsia="Calibri" w:cs="Calibri"/>
        </w:rPr>
      </w:pPr>
      <w:r w:rsidRPr="005C52BD">
        <w:rPr>
          <w:vertAlign w:val="superscript"/>
        </w:rPr>
        <w:footnoteRef/>
      </w:r>
      <w:r w:rsidRPr="005A14F9">
        <w:rPr>
          <w:rFonts w:eastAsia="Calibri" w:cs="Calibri"/>
        </w:rPr>
        <w:t xml:space="preserve"> Convenio Europeo de Derechos Humanos. Artículo 12: “A partir de la edad núbil, el hombre y la mujer tienen derecho a casarse y a fundar una familia según las leyes nacionales que rijan el ejercicio de este derecho”.</w:t>
      </w:r>
    </w:p>
  </w:footnote>
  <w:footnote w:id="449">
    <w:p w14:paraId="25215849" w14:textId="77777777" w:rsidR="00B26A25" w:rsidRPr="005A14F9" w:rsidRDefault="00B26A25" w:rsidP="00B26A25">
      <w:pPr>
        <w:pStyle w:val="IAPiedepgina"/>
      </w:pPr>
      <w:r w:rsidRPr="005C52BD">
        <w:rPr>
          <w:vertAlign w:val="superscript"/>
        </w:rPr>
        <w:footnoteRef/>
      </w:r>
      <w:r w:rsidRPr="005A14F9">
        <w:t xml:space="preserve"> TEDH. Oliari y otros vs Italia. 21 de julio de 2015. Párr. 193.</w:t>
      </w:r>
    </w:p>
  </w:footnote>
  <w:footnote w:id="450">
    <w:p w14:paraId="0B44AD02" w14:textId="77777777" w:rsidR="00B26A25" w:rsidRPr="005A14F9" w:rsidRDefault="00B26A25" w:rsidP="00B26A25">
      <w:pPr>
        <w:pStyle w:val="IAPiedepgina"/>
      </w:pPr>
      <w:r w:rsidRPr="005C52BD">
        <w:rPr>
          <w:vertAlign w:val="superscript"/>
        </w:rPr>
        <w:footnoteRef/>
      </w:r>
      <w:r w:rsidRPr="005A14F9">
        <w:t xml:space="preserve"> TEDH. Chapin y Charpentier vs Francia. 09 de septiembre de 2016. Párr.48</w:t>
      </w:r>
      <w:r>
        <w:t>.</w:t>
      </w:r>
    </w:p>
  </w:footnote>
  <w:footnote w:id="451">
    <w:p w14:paraId="64ADD9F3" w14:textId="77777777" w:rsidR="00B26A25" w:rsidRPr="005A14F9" w:rsidRDefault="00B26A25" w:rsidP="00B26A25">
      <w:pPr>
        <w:pStyle w:val="IAPiedepgina"/>
      </w:pPr>
      <w:r w:rsidRPr="005C52BD">
        <w:rPr>
          <w:vertAlign w:val="superscript"/>
        </w:rPr>
        <w:footnoteRef/>
      </w:r>
      <w:r w:rsidRPr="005A14F9">
        <w:t xml:space="preserve"> TEDH. </w:t>
      </w:r>
      <w:r w:rsidRPr="0075373C">
        <w:rPr>
          <w:lang w:val="en-US"/>
        </w:rPr>
        <w:t xml:space="preserve">Orlandi v Italia. “The Court reiterates that States are still free, under Article 12 of the Convention as well as under Article 14 taken in conjunction with Article 8, to restrict access to marriage to different sex. The same holds for Article 14 taken in conjunction with Article 12 (see </w:t>
      </w:r>
      <w:r w:rsidRPr="0075373C">
        <w:rPr>
          <w:i/>
          <w:lang w:val="en-US"/>
        </w:rPr>
        <w:t>Oliari and Others</w:t>
      </w:r>
      <w:r w:rsidRPr="0075373C">
        <w:rPr>
          <w:lang w:val="en-US"/>
        </w:rPr>
        <w:t xml:space="preserve">, cited above, § 193).” </w:t>
      </w:r>
      <w:r w:rsidRPr="005A14F9">
        <w:t xml:space="preserve">(Traducción: El Tribunal reitera que </w:t>
      </w:r>
      <w:r w:rsidRPr="005A14F9">
        <w:rPr>
          <w:b/>
        </w:rPr>
        <w:t>los Estados siguen siendo libres</w:t>
      </w:r>
      <w:r w:rsidRPr="005A14F9">
        <w:t xml:space="preserve">, de acuerdo con el Artículo 12 de la Convención, así como con el Artículo 14 en conjunción con el Artículo 8, </w:t>
      </w:r>
      <w:r w:rsidRPr="005A14F9">
        <w:rPr>
          <w:b/>
        </w:rPr>
        <w:t>de restringir el acceso al matrimonio a parejas de distinto sexo</w:t>
      </w:r>
      <w:r w:rsidRPr="005A14F9">
        <w:t>. Lo mismo se aplica al Artículo 14 en conjunción con el Artículo 12.) Párr. 192</w:t>
      </w:r>
      <w:r>
        <w:t>.</w:t>
      </w:r>
    </w:p>
  </w:footnote>
  <w:footnote w:id="452">
    <w:p w14:paraId="7C8F3044" w14:textId="77777777" w:rsidR="00B26A25" w:rsidRPr="005A14F9" w:rsidRDefault="00B26A25" w:rsidP="00B26A25">
      <w:pPr>
        <w:pStyle w:val="IAPiedepgina"/>
      </w:pPr>
      <w:r w:rsidRPr="005C52BD">
        <w:rPr>
          <w:vertAlign w:val="superscript"/>
        </w:rPr>
        <w:footnoteRef/>
      </w:r>
      <w:r w:rsidRPr="005A14F9">
        <w:t xml:space="preserve"> En este caso, el Tribunal analizó -únicamente- la posible violación al artículo 8 de la CEDH, que se refiere al derecho de los individuos de no ser sujetos de interferencias arbitrarias del Estado en su vida privada. En el caso de parejas del mismo sexo, el Tribunal estableció que la falta de un marco legal que permita a las parejas del mismo sexo tener su relación reconocida y protegida bajo la ley nacional puede generar obstáculos significativos en la vida cotidiana de estas parejas. Sin perjuicio de lo anterior, estableció que el Estado puede disfrutar de un margen de apreciación para determinar la forma de registro de las uniones del mismo sexo, lo que implica que este registro no debe ser necesariamente a través de la figura del matrimonio.</w:t>
      </w:r>
    </w:p>
  </w:footnote>
  <w:footnote w:id="453">
    <w:p w14:paraId="1C3B9D9C" w14:textId="6718B7DD" w:rsidR="00B26A25" w:rsidRPr="0075373C" w:rsidRDefault="00B26A25" w:rsidP="00B26A25">
      <w:pPr>
        <w:pStyle w:val="IAPiedepgina"/>
      </w:pPr>
      <w:r w:rsidRPr="005C52BD">
        <w:rPr>
          <w:vertAlign w:val="superscript"/>
        </w:rPr>
        <w:footnoteRef/>
      </w:r>
      <w:r w:rsidRPr="0075373C">
        <w:t xml:space="preserve"> CADH</w:t>
      </w:r>
      <w:r w:rsidR="008F3168">
        <w:t xml:space="preserve">, </w:t>
      </w:r>
      <w:r w:rsidRPr="0075373C">
        <w:t>Artículo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20CB7242" w14:textId="77777777" w:rsidTr="00975B7D">
      <w:trPr>
        <w:trHeight w:hRule="exact" w:val="640"/>
        <w:jc w:val="center"/>
      </w:trPr>
      <w:tc>
        <w:tcPr>
          <w:tcW w:w="4675" w:type="dxa"/>
          <w:shd w:val="clear" w:color="auto" w:fill="auto"/>
        </w:tcPr>
        <w:p w14:paraId="72C99360" w14:textId="4F0520E8" w:rsidR="00975B7D" w:rsidRDefault="00975B7D" w:rsidP="00975B7D">
          <w:pPr>
            <w:pStyle w:val="Header"/>
          </w:pPr>
          <w:r>
            <w:rPr>
              <w:noProof/>
            </w:rPr>
            <w:drawing>
              <wp:inline distT="0" distB="0" distL="0" distR="0" wp14:anchorId="12CC3582" wp14:editId="54322D76">
                <wp:extent cx="823213"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23213" cy="317500"/>
                        </a:xfrm>
                        <a:prstGeom prst="rect">
                          <a:avLst/>
                        </a:prstGeom>
                      </pic:spPr>
                    </pic:pic>
                  </a:graphicData>
                </a:graphic>
              </wp:inline>
            </w:drawing>
          </w:r>
        </w:p>
      </w:tc>
      <w:tc>
        <w:tcPr>
          <w:tcW w:w="4675" w:type="dxa"/>
          <w:shd w:val="clear" w:color="auto" w:fill="auto"/>
        </w:tcPr>
        <w:p w14:paraId="3A27B805" w14:textId="3A5228CB" w:rsidR="00975B7D" w:rsidRDefault="00975B7D" w:rsidP="00975B7D">
          <w:pPr>
            <w:pStyle w:val="Header"/>
            <w:jc w:val="right"/>
          </w:pPr>
          <w:r>
            <w:rPr>
              <w:noProof/>
            </w:rPr>
            <w:drawing>
              <wp:inline distT="0" distB="0" distL="0" distR="0" wp14:anchorId="7CF3C32B" wp14:editId="1BC56D28">
                <wp:extent cx="1344098" cy="3175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75B7D" w:rsidRDefault="003B41C5" w:rsidP="0097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39333156" w14:textId="77777777" w:rsidTr="00975B7D">
      <w:trPr>
        <w:trHeight w:hRule="exact" w:val="860"/>
        <w:jc w:val="center"/>
      </w:trPr>
      <w:tc>
        <w:tcPr>
          <w:tcW w:w="4675" w:type="dxa"/>
          <w:shd w:val="clear" w:color="auto" w:fill="auto"/>
        </w:tcPr>
        <w:p w14:paraId="33C572F1" w14:textId="0A48E89F" w:rsidR="00975B7D" w:rsidRDefault="00975B7D" w:rsidP="00975B7D">
          <w:pPr>
            <w:pStyle w:val="Header"/>
          </w:pPr>
          <w:r>
            <w:rPr>
              <w:noProof/>
            </w:rPr>
            <w:drawing>
              <wp:inline distT="0" distB="0" distL="0" distR="0" wp14:anchorId="2A10D456" wp14:editId="3C483F97">
                <wp:extent cx="118542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185427" cy="457200"/>
                        </a:xfrm>
                        <a:prstGeom prst="rect">
                          <a:avLst/>
                        </a:prstGeom>
                      </pic:spPr>
                    </pic:pic>
                  </a:graphicData>
                </a:graphic>
              </wp:inline>
            </w:drawing>
          </w:r>
        </w:p>
      </w:tc>
      <w:tc>
        <w:tcPr>
          <w:tcW w:w="4675" w:type="dxa"/>
          <w:shd w:val="clear" w:color="auto" w:fill="auto"/>
        </w:tcPr>
        <w:p w14:paraId="38D75DB8" w14:textId="680CDFB4" w:rsidR="00975B7D" w:rsidRDefault="00975B7D" w:rsidP="00975B7D">
          <w:pPr>
            <w:pStyle w:val="Header"/>
            <w:jc w:val="right"/>
          </w:pPr>
          <w:r>
            <w:rPr>
              <w:noProof/>
            </w:rPr>
            <w:drawing>
              <wp:inline distT="0" distB="0" distL="0" distR="0" wp14:anchorId="50EEEF2E" wp14:editId="57A0D77B">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75B7D" w:rsidRDefault="003B41C5" w:rsidP="0097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15733"/>
    <w:multiLevelType w:val="hybridMultilevel"/>
    <w:tmpl w:val="C4F4711C"/>
    <w:lvl w:ilvl="0" w:tplc="FFFFFFFF">
      <w:start w:val="1"/>
      <w:numFmt w:val="decimal"/>
      <w:lvlText w:val="%1."/>
      <w:lvlJc w:val="left"/>
      <w:pPr>
        <w:ind w:left="720" w:hanging="360"/>
      </w:pPr>
      <w:rPr>
        <w:rFonts w:hint="default"/>
        <w:b w:val="0"/>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124DBE"/>
    <w:multiLevelType w:val="multilevel"/>
    <w:tmpl w:val="51AA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EF0F1D"/>
    <w:multiLevelType w:val="hybridMultilevel"/>
    <w:tmpl w:val="6D04C90E"/>
    <w:lvl w:ilvl="0" w:tplc="4D3E944E">
      <w:start w:val="1"/>
      <w:numFmt w:val="decimal"/>
      <w:lvlText w:val="%1."/>
      <w:lvlJc w:val="left"/>
      <w:pPr>
        <w:ind w:left="720" w:hanging="360"/>
      </w:pPr>
      <w:rPr>
        <w:rFonts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A70C8B"/>
    <w:multiLevelType w:val="multilevel"/>
    <w:tmpl w:val="1DEC3462"/>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615812"/>
    <w:multiLevelType w:val="multilevel"/>
    <w:tmpl w:val="7636616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A53A73"/>
    <w:multiLevelType w:val="multilevel"/>
    <w:tmpl w:val="EEBC3BB6"/>
    <w:lvl w:ilvl="0">
      <w:start w:val="1"/>
      <w:numFmt w:val="decimal"/>
      <w:pStyle w:val="IAPrrafo"/>
      <w:lvlText w:val="%1."/>
      <w:lvlJc w:val="left"/>
      <w:pPr>
        <w:tabs>
          <w:tab w:val="num" w:pos="720"/>
        </w:tabs>
        <w:ind w:left="0" w:firstLine="720"/>
      </w:pPr>
      <w:rPr>
        <w:rFonts w:ascii="Cambria" w:hAnsi="Cambria" w:hint="default"/>
        <w:color w:val="auto"/>
        <w:sz w:val="20"/>
        <w:szCs w:val="20"/>
        <w:vertAlign w:val="baseline"/>
        <w:lang w:val="es-E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B44103"/>
    <w:multiLevelType w:val="hybridMultilevel"/>
    <w:tmpl w:val="86BC3940"/>
    <w:lvl w:ilvl="0" w:tplc="DED2A4D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4278A"/>
    <w:multiLevelType w:val="multilevel"/>
    <w:tmpl w:val="479454EE"/>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6776F2"/>
    <w:multiLevelType w:val="hybridMultilevel"/>
    <w:tmpl w:val="E522F93A"/>
    <w:lvl w:ilvl="0" w:tplc="FFFFFFFF">
      <w:start w:val="1"/>
      <w:numFmt w:val="decimal"/>
      <w:lvlText w:val="%1."/>
      <w:lvlJc w:val="left"/>
      <w:pPr>
        <w:ind w:left="720" w:hanging="360"/>
      </w:pPr>
      <w:rPr>
        <w:rFonts w:hint="default"/>
        <w:b w:val="0"/>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EA535B"/>
    <w:multiLevelType w:val="multilevel"/>
    <w:tmpl w:val="404E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E038B6"/>
    <w:multiLevelType w:val="multilevel"/>
    <w:tmpl w:val="F8CAF13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4D352B44"/>
    <w:multiLevelType w:val="multilevel"/>
    <w:tmpl w:val="F8CAF13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15:restartNumberingAfterBreak="0">
    <w:nsid w:val="56315127"/>
    <w:multiLevelType w:val="hybridMultilevel"/>
    <w:tmpl w:val="0F941654"/>
    <w:lvl w:ilvl="0" w:tplc="02720CF6">
      <w:start w:val="1"/>
      <w:numFmt w:val="bullet"/>
      <w:lvlText w:val=""/>
      <w:lvlJc w:val="left"/>
      <w:pPr>
        <w:ind w:left="1800" w:hanging="360"/>
      </w:pPr>
      <w:rPr>
        <w:rFonts w:ascii="Symbol" w:hAnsi="Symbol"/>
      </w:rPr>
    </w:lvl>
    <w:lvl w:ilvl="1" w:tplc="77BC0162">
      <w:start w:val="1"/>
      <w:numFmt w:val="bullet"/>
      <w:lvlText w:val=""/>
      <w:lvlJc w:val="left"/>
      <w:pPr>
        <w:ind w:left="1800" w:hanging="360"/>
      </w:pPr>
      <w:rPr>
        <w:rFonts w:ascii="Symbol" w:hAnsi="Symbol"/>
      </w:rPr>
    </w:lvl>
    <w:lvl w:ilvl="2" w:tplc="76E8147A">
      <w:start w:val="1"/>
      <w:numFmt w:val="bullet"/>
      <w:lvlText w:val=""/>
      <w:lvlJc w:val="left"/>
      <w:pPr>
        <w:ind w:left="1800" w:hanging="360"/>
      </w:pPr>
      <w:rPr>
        <w:rFonts w:ascii="Symbol" w:hAnsi="Symbol"/>
      </w:rPr>
    </w:lvl>
    <w:lvl w:ilvl="3" w:tplc="EB7A6D7E">
      <w:start w:val="1"/>
      <w:numFmt w:val="bullet"/>
      <w:lvlText w:val=""/>
      <w:lvlJc w:val="left"/>
      <w:pPr>
        <w:ind w:left="1800" w:hanging="360"/>
      </w:pPr>
      <w:rPr>
        <w:rFonts w:ascii="Symbol" w:hAnsi="Symbol"/>
      </w:rPr>
    </w:lvl>
    <w:lvl w:ilvl="4" w:tplc="12083DAA">
      <w:start w:val="1"/>
      <w:numFmt w:val="bullet"/>
      <w:lvlText w:val=""/>
      <w:lvlJc w:val="left"/>
      <w:pPr>
        <w:ind w:left="1800" w:hanging="360"/>
      </w:pPr>
      <w:rPr>
        <w:rFonts w:ascii="Symbol" w:hAnsi="Symbol"/>
      </w:rPr>
    </w:lvl>
    <w:lvl w:ilvl="5" w:tplc="222C4CB4">
      <w:start w:val="1"/>
      <w:numFmt w:val="bullet"/>
      <w:lvlText w:val=""/>
      <w:lvlJc w:val="left"/>
      <w:pPr>
        <w:ind w:left="1800" w:hanging="360"/>
      </w:pPr>
      <w:rPr>
        <w:rFonts w:ascii="Symbol" w:hAnsi="Symbol"/>
      </w:rPr>
    </w:lvl>
    <w:lvl w:ilvl="6" w:tplc="2F2621B8">
      <w:start w:val="1"/>
      <w:numFmt w:val="bullet"/>
      <w:lvlText w:val=""/>
      <w:lvlJc w:val="left"/>
      <w:pPr>
        <w:ind w:left="1800" w:hanging="360"/>
      </w:pPr>
      <w:rPr>
        <w:rFonts w:ascii="Symbol" w:hAnsi="Symbol"/>
      </w:rPr>
    </w:lvl>
    <w:lvl w:ilvl="7" w:tplc="0E52D83E">
      <w:start w:val="1"/>
      <w:numFmt w:val="bullet"/>
      <w:lvlText w:val=""/>
      <w:lvlJc w:val="left"/>
      <w:pPr>
        <w:ind w:left="1800" w:hanging="360"/>
      </w:pPr>
      <w:rPr>
        <w:rFonts w:ascii="Symbol" w:hAnsi="Symbol"/>
      </w:rPr>
    </w:lvl>
    <w:lvl w:ilvl="8" w:tplc="587C0C46">
      <w:start w:val="1"/>
      <w:numFmt w:val="bullet"/>
      <w:lvlText w:val=""/>
      <w:lvlJc w:val="left"/>
      <w:pPr>
        <w:ind w:left="1800" w:hanging="360"/>
      </w:pPr>
      <w:rPr>
        <w:rFonts w:ascii="Symbol" w:hAnsi="Symbol"/>
      </w:rPr>
    </w:lvl>
  </w:abstractNum>
  <w:abstractNum w:abstractNumId="23" w15:restartNumberingAfterBreak="0">
    <w:nsid w:val="639B0F3E"/>
    <w:multiLevelType w:val="hybridMultilevel"/>
    <w:tmpl w:val="C4F4711C"/>
    <w:lvl w:ilvl="0" w:tplc="FFFFFFFF">
      <w:start w:val="1"/>
      <w:numFmt w:val="decimal"/>
      <w:lvlText w:val="%1."/>
      <w:lvlJc w:val="left"/>
      <w:pPr>
        <w:ind w:left="720" w:hanging="360"/>
      </w:pPr>
      <w:rPr>
        <w:rFonts w:hint="default"/>
        <w:b w:val="0"/>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A744AB"/>
    <w:multiLevelType w:val="hybridMultilevel"/>
    <w:tmpl w:val="E522F93A"/>
    <w:lvl w:ilvl="0" w:tplc="FFFFFFFF">
      <w:start w:val="1"/>
      <w:numFmt w:val="decimal"/>
      <w:lvlText w:val="%1."/>
      <w:lvlJc w:val="left"/>
      <w:pPr>
        <w:ind w:left="720" w:hanging="360"/>
      </w:pPr>
      <w:rPr>
        <w:rFonts w:hint="default"/>
        <w:b w:val="0"/>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83182C"/>
    <w:multiLevelType w:val="multilevel"/>
    <w:tmpl w:val="772C6F8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207F39"/>
    <w:multiLevelType w:val="multilevel"/>
    <w:tmpl w:val="1A3024E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279264453">
    <w:abstractNumId w:val="25"/>
  </w:num>
  <w:num w:numId="12" w16cid:durableId="877358585">
    <w:abstractNumId w:val="14"/>
  </w:num>
  <w:num w:numId="13" w16cid:durableId="2134470952">
    <w:abstractNumId w:val="26"/>
  </w:num>
  <w:num w:numId="14" w16cid:durableId="2062900320">
    <w:abstractNumId w:val="13"/>
  </w:num>
  <w:num w:numId="15" w16cid:durableId="1888103647">
    <w:abstractNumId w:val="15"/>
  </w:num>
  <w:num w:numId="16" w16cid:durableId="93786300">
    <w:abstractNumId w:val="16"/>
  </w:num>
  <w:num w:numId="17" w16cid:durableId="629095513">
    <w:abstractNumId w:val="12"/>
  </w:num>
  <w:num w:numId="18" w16cid:durableId="10322637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32835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67098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0163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21395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0256765">
    <w:abstractNumId w:val="19"/>
  </w:num>
  <w:num w:numId="24" w16cid:durableId="1928490650">
    <w:abstractNumId w:val="18"/>
  </w:num>
  <w:num w:numId="25" w16cid:durableId="208154131">
    <w:abstractNumId w:val="24"/>
  </w:num>
  <w:num w:numId="26" w16cid:durableId="277371254">
    <w:abstractNumId w:val="10"/>
  </w:num>
  <w:num w:numId="27" w16cid:durableId="2139689541">
    <w:abstractNumId w:val="23"/>
  </w:num>
  <w:num w:numId="28" w16cid:durableId="520625094">
    <w:abstractNumId w:val="15"/>
  </w:num>
  <w:num w:numId="29" w16cid:durableId="1969973020">
    <w:abstractNumId w:val="15"/>
  </w:num>
  <w:num w:numId="30" w16cid:durableId="455679798">
    <w:abstractNumId w:val="22"/>
  </w:num>
  <w:num w:numId="31" w16cid:durableId="2029989249">
    <w:abstractNumId w:val="11"/>
  </w:num>
  <w:num w:numId="32" w16cid:durableId="1208831546">
    <w:abstractNumId w:val="15"/>
  </w:num>
  <w:num w:numId="33" w16cid:durableId="1383628057">
    <w:abstractNumId w:val="15"/>
  </w:num>
  <w:num w:numId="34" w16cid:durableId="1459297800">
    <w:abstractNumId w:val="17"/>
  </w:num>
  <w:num w:numId="35" w16cid:durableId="595788895">
    <w:abstractNumId w:val="21"/>
  </w:num>
  <w:num w:numId="36" w16cid:durableId="1644776687">
    <w:abstractNumId w:val="20"/>
  </w:num>
  <w:num w:numId="37" w16cid:durableId="1535456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069"/>
    <w:rsid w:val="00000273"/>
    <w:rsid w:val="0000028E"/>
    <w:rsid w:val="0000086F"/>
    <w:rsid w:val="00000A0A"/>
    <w:rsid w:val="00000C11"/>
    <w:rsid w:val="00000C1F"/>
    <w:rsid w:val="00000CF9"/>
    <w:rsid w:val="00000DE6"/>
    <w:rsid w:val="00001091"/>
    <w:rsid w:val="00001239"/>
    <w:rsid w:val="000014EC"/>
    <w:rsid w:val="0000208B"/>
    <w:rsid w:val="0000222D"/>
    <w:rsid w:val="0000261D"/>
    <w:rsid w:val="00002A6D"/>
    <w:rsid w:val="00002F1A"/>
    <w:rsid w:val="000030E9"/>
    <w:rsid w:val="000031D2"/>
    <w:rsid w:val="00003410"/>
    <w:rsid w:val="000036F8"/>
    <w:rsid w:val="0000378A"/>
    <w:rsid w:val="00003B05"/>
    <w:rsid w:val="0000403C"/>
    <w:rsid w:val="00004232"/>
    <w:rsid w:val="0000438C"/>
    <w:rsid w:val="0000477E"/>
    <w:rsid w:val="0000539E"/>
    <w:rsid w:val="00005829"/>
    <w:rsid w:val="0000714D"/>
    <w:rsid w:val="0000727B"/>
    <w:rsid w:val="00007635"/>
    <w:rsid w:val="000076C0"/>
    <w:rsid w:val="000079D1"/>
    <w:rsid w:val="00007AB3"/>
    <w:rsid w:val="00007B52"/>
    <w:rsid w:val="0001019B"/>
    <w:rsid w:val="000103D9"/>
    <w:rsid w:val="0001084C"/>
    <w:rsid w:val="0001087D"/>
    <w:rsid w:val="00010C23"/>
    <w:rsid w:val="00010F60"/>
    <w:rsid w:val="0001115F"/>
    <w:rsid w:val="000111BB"/>
    <w:rsid w:val="000111EC"/>
    <w:rsid w:val="0001128B"/>
    <w:rsid w:val="000113B7"/>
    <w:rsid w:val="000114A0"/>
    <w:rsid w:val="00011FEA"/>
    <w:rsid w:val="00012334"/>
    <w:rsid w:val="0001260D"/>
    <w:rsid w:val="00012816"/>
    <w:rsid w:val="00012B01"/>
    <w:rsid w:val="00012B1E"/>
    <w:rsid w:val="00012BB8"/>
    <w:rsid w:val="00012DDF"/>
    <w:rsid w:val="00013328"/>
    <w:rsid w:val="00013397"/>
    <w:rsid w:val="000134C3"/>
    <w:rsid w:val="00013886"/>
    <w:rsid w:val="000139D6"/>
    <w:rsid w:val="00013ACE"/>
    <w:rsid w:val="00013B7A"/>
    <w:rsid w:val="00014046"/>
    <w:rsid w:val="000149A4"/>
    <w:rsid w:val="00014C6D"/>
    <w:rsid w:val="00014E8E"/>
    <w:rsid w:val="00014F2B"/>
    <w:rsid w:val="0001552C"/>
    <w:rsid w:val="00015EC4"/>
    <w:rsid w:val="0001630B"/>
    <w:rsid w:val="0001651A"/>
    <w:rsid w:val="000169DB"/>
    <w:rsid w:val="00016AF6"/>
    <w:rsid w:val="00016D6C"/>
    <w:rsid w:val="0001784A"/>
    <w:rsid w:val="00017B57"/>
    <w:rsid w:val="00017B5C"/>
    <w:rsid w:val="00017E5A"/>
    <w:rsid w:val="00017ED2"/>
    <w:rsid w:val="0002009A"/>
    <w:rsid w:val="00021253"/>
    <w:rsid w:val="00021417"/>
    <w:rsid w:val="000218BD"/>
    <w:rsid w:val="00021998"/>
    <w:rsid w:val="00023181"/>
    <w:rsid w:val="00023197"/>
    <w:rsid w:val="00023900"/>
    <w:rsid w:val="00023BE1"/>
    <w:rsid w:val="00023E34"/>
    <w:rsid w:val="00024331"/>
    <w:rsid w:val="000244DF"/>
    <w:rsid w:val="000244FE"/>
    <w:rsid w:val="000247E0"/>
    <w:rsid w:val="00024B0D"/>
    <w:rsid w:val="00024CBB"/>
    <w:rsid w:val="00025257"/>
    <w:rsid w:val="000252A6"/>
    <w:rsid w:val="00025369"/>
    <w:rsid w:val="0002556A"/>
    <w:rsid w:val="00025961"/>
    <w:rsid w:val="00025AA2"/>
    <w:rsid w:val="000260F2"/>
    <w:rsid w:val="0002616D"/>
    <w:rsid w:val="0002676A"/>
    <w:rsid w:val="000268BD"/>
    <w:rsid w:val="00026CD0"/>
    <w:rsid w:val="00027073"/>
    <w:rsid w:val="000272F3"/>
    <w:rsid w:val="00027C0D"/>
    <w:rsid w:val="00027EF3"/>
    <w:rsid w:val="00030094"/>
    <w:rsid w:val="000300E2"/>
    <w:rsid w:val="00030619"/>
    <w:rsid w:val="00030D8B"/>
    <w:rsid w:val="00030DEA"/>
    <w:rsid w:val="00031720"/>
    <w:rsid w:val="0003231D"/>
    <w:rsid w:val="00032748"/>
    <w:rsid w:val="00032844"/>
    <w:rsid w:val="00032928"/>
    <w:rsid w:val="00032CAF"/>
    <w:rsid w:val="00033344"/>
    <w:rsid w:val="00033539"/>
    <w:rsid w:val="000335E5"/>
    <w:rsid w:val="0003362C"/>
    <w:rsid w:val="00033DD8"/>
    <w:rsid w:val="00033FBF"/>
    <w:rsid w:val="0003446E"/>
    <w:rsid w:val="000345CB"/>
    <w:rsid w:val="000346FB"/>
    <w:rsid w:val="00034B62"/>
    <w:rsid w:val="00034BC4"/>
    <w:rsid w:val="00034F08"/>
    <w:rsid w:val="00035F0F"/>
    <w:rsid w:val="00036421"/>
    <w:rsid w:val="00036666"/>
    <w:rsid w:val="0003673C"/>
    <w:rsid w:val="0003681B"/>
    <w:rsid w:val="00036AF3"/>
    <w:rsid w:val="00037111"/>
    <w:rsid w:val="000372A2"/>
    <w:rsid w:val="00037475"/>
    <w:rsid w:val="00037B28"/>
    <w:rsid w:val="00037C18"/>
    <w:rsid w:val="00037E3E"/>
    <w:rsid w:val="00040159"/>
    <w:rsid w:val="00040422"/>
    <w:rsid w:val="00040775"/>
    <w:rsid w:val="00040E21"/>
    <w:rsid w:val="00040F55"/>
    <w:rsid w:val="000411AC"/>
    <w:rsid w:val="00041254"/>
    <w:rsid w:val="00041776"/>
    <w:rsid w:val="00041B84"/>
    <w:rsid w:val="00042648"/>
    <w:rsid w:val="00042929"/>
    <w:rsid w:val="00042B47"/>
    <w:rsid w:val="00042C9F"/>
    <w:rsid w:val="00042F4D"/>
    <w:rsid w:val="000430C9"/>
    <w:rsid w:val="000433CC"/>
    <w:rsid w:val="00043B5E"/>
    <w:rsid w:val="00043EF3"/>
    <w:rsid w:val="00044013"/>
    <w:rsid w:val="000448FF"/>
    <w:rsid w:val="00044D3D"/>
    <w:rsid w:val="0004509E"/>
    <w:rsid w:val="00045194"/>
    <w:rsid w:val="0004541A"/>
    <w:rsid w:val="000454F7"/>
    <w:rsid w:val="0004550F"/>
    <w:rsid w:val="00045744"/>
    <w:rsid w:val="00045A4B"/>
    <w:rsid w:val="00046107"/>
    <w:rsid w:val="00050786"/>
    <w:rsid w:val="00050816"/>
    <w:rsid w:val="00050C95"/>
    <w:rsid w:val="00050E8D"/>
    <w:rsid w:val="00050F70"/>
    <w:rsid w:val="00051045"/>
    <w:rsid w:val="000513B6"/>
    <w:rsid w:val="0005159B"/>
    <w:rsid w:val="0005164A"/>
    <w:rsid w:val="000518C8"/>
    <w:rsid w:val="000519A6"/>
    <w:rsid w:val="00051A22"/>
    <w:rsid w:val="00051A34"/>
    <w:rsid w:val="00051A42"/>
    <w:rsid w:val="00051D4E"/>
    <w:rsid w:val="000522ED"/>
    <w:rsid w:val="00052586"/>
    <w:rsid w:val="00052F73"/>
    <w:rsid w:val="0005310B"/>
    <w:rsid w:val="00053506"/>
    <w:rsid w:val="00053864"/>
    <w:rsid w:val="00053A90"/>
    <w:rsid w:val="00053F6E"/>
    <w:rsid w:val="000541DF"/>
    <w:rsid w:val="000546FD"/>
    <w:rsid w:val="000549E3"/>
    <w:rsid w:val="00054E82"/>
    <w:rsid w:val="000550C6"/>
    <w:rsid w:val="00055210"/>
    <w:rsid w:val="00055242"/>
    <w:rsid w:val="00055645"/>
    <w:rsid w:val="000557DB"/>
    <w:rsid w:val="00055B40"/>
    <w:rsid w:val="00055D33"/>
    <w:rsid w:val="00055F4A"/>
    <w:rsid w:val="00056309"/>
    <w:rsid w:val="0005630D"/>
    <w:rsid w:val="000568F5"/>
    <w:rsid w:val="00056B86"/>
    <w:rsid w:val="00056C2D"/>
    <w:rsid w:val="00056E1B"/>
    <w:rsid w:val="000570C5"/>
    <w:rsid w:val="000572C9"/>
    <w:rsid w:val="00057C0C"/>
    <w:rsid w:val="0006019F"/>
    <w:rsid w:val="00060253"/>
    <w:rsid w:val="00060277"/>
    <w:rsid w:val="00060373"/>
    <w:rsid w:val="0006098E"/>
    <w:rsid w:val="00061884"/>
    <w:rsid w:val="000618BE"/>
    <w:rsid w:val="0006199A"/>
    <w:rsid w:val="00061E53"/>
    <w:rsid w:val="00061EE8"/>
    <w:rsid w:val="000620CB"/>
    <w:rsid w:val="000623B8"/>
    <w:rsid w:val="00062B02"/>
    <w:rsid w:val="00062B4C"/>
    <w:rsid w:val="00062BE4"/>
    <w:rsid w:val="00062DD9"/>
    <w:rsid w:val="00063011"/>
    <w:rsid w:val="000633CB"/>
    <w:rsid w:val="000633D7"/>
    <w:rsid w:val="00063634"/>
    <w:rsid w:val="000636B7"/>
    <w:rsid w:val="00063743"/>
    <w:rsid w:val="000638CD"/>
    <w:rsid w:val="00063D8C"/>
    <w:rsid w:val="00063E07"/>
    <w:rsid w:val="00063F7C"/>
    <w:rsid w:val="00064209"/>
    <w:rsid w:val="000646EA"/>
    <w:rsid w:val="0006481F"/>
    <w:rsid w:val="00064DA6"/>
    <w:rsid w:val="00064FB6"/>
    <w:rsid w:val="000651DB"/>
    <w:rsid w:val="00065431"/>
    <w:rsid w:val="0006589A"/>
    <w:rsid w:val="00065BE8"/>
    <w:rsid w:val="00065DBF"/>
    <w:rsid w:val="00065EF1"/>
    <w:rsid w:val="00066184"/>
    <w:rsid w:val="000661C7"/>
    <w:rsid w:val="000667A6"/>
    <w:rsid w:val="00066CF9"/>
    <w:rsid w:val="00067DF3"/>
    <w:rsid w:val="00070125"/>
    <w:rsid w:val="00070629"/>
    <w:rsid w:val="00070712"/>
    <w:rsid w:val="000713AF"/>
    <w:rsid w:val="00071814"/>
    <w:rsid w:val="00071DEB"/>
    <w:rsid w:val="0007317F"/>
    <w:rsid w:val="000731D7"/>
    <w:rsid w:val="00073629"/>
    <w:rsid w:val="000737FE"/>
    <w:rsid w:val="00073C48"/>
    <w:rsid w:val="000742A0"/>
    <w:rsid w:val="000743AC"/>
    <w:rsid w:val="000747B2"/>
    <w:rsid w:val="0007498B"/>
    <w:rsid w:val="00074B35"/>
    <w:rsid w:val="000751D4"/>
    <w:rsid w:val="00075D14"/>
    <w:rsid w:val="00075D55"/>
    <w:rsid w:val="00075F47"/>
    <w:rsid w:val="00075FAA"/>
    <w:rsid w:val="000767B8"/>
    <w:rsid w:val="00076AC8"/>
    <w:rsid w:val="00076D17"/>
    <w:rsid w:val="00076DC1"/>
    <w:rsid w:val="0007728C"/>
    <w:rsid w:val="00077380"/>
    <w:rsid w:val="00077BDE"/>
    <w:rsid w:val="00077D10"/>
    <w:rsid w:val="00077FAC"/>
    <w:rsid w:val="000803EA"/>
    <w:rsid w:val="0008068A"/>
    <w:rsid w:val="00080B6E"/>
    <w:rsid w:val="00080BD5"/>
    <w:rsid w:val="00080EDF"/>
    <w:rsid w:val="000811FB"/>
    <w:rsid w:val="00081561"/>
    <w:rsid w:val="00081C4B"/>
    <w:rsid w:val="00081EF2"/>
    <w:rsid w:val="00082037"/>
    <w:rsid w:val="000827A7"/>
    <w:rsid w:val="00082AB6"/>
    <w:rsid w:val="000831F4"/>
    <w:rsid w:val="0008361C"/>
    <w:rsid w:val="00084405"/>
    <w:rsid w:val="00084753"/>
    <w:rsid w:val="0008492E"/>
    <w:rsid w:val="0008534C"/>
    <w:rsid w:val="000853B8"/>
    <w:rsid w:val="00085426"/>
    <w:rsid w:val="00085447"/>
    <w:rsid w:val="00085531"/>
    <w:rsid w:val="00085843"/>
    <w:rsid w:val="00085941"/>
    <w:rsid w:val="00085996"/>
    <w:rsid w:val="00085BE8"/>
    <w:rsid w:val="0008619C"/>
    <w:rsid w:val="00086493"/>
    <w:rsid w:val="000867CA"/>
    <w:rsid w:val="00086ECD"/>
    <w:rsid w:val="0008715A"/>
    <w:rsid w:val="000873E7"/>
    <w:rsid w:val="00087724"/>
    <w:rsid w:val="000879D9"/>
    <w:rsid w:val="00087A55"/>
    <w:rsid w:val="0009029D"/>
    <w:rsid w:val="000907AC"/>
    <w:rsid w:val="00091092"/>
    <w:rsid w:val="0009127E"/>
    <w:rsid w:val="000914EC"/>
    <w:rsid w:val="00092021"/>
    <w:rsid w:val="00092338"/>
    <w:rsid w:val="00092363"/>
    <w:rsid w:val="00092F20"/>
    <w:rsid w:val="000930EB"/>
    <w:rsid w:val="00093CDC"/>
    <w:rsid w:val="000942F2"/>
    <w:rsid w:val="00094C56"/>
    <w:rsid w:val="0009534A"/>
    <w:rsid w:val="00095B5A"/>
    <w:rsid w:val="00095DD7"/>
    <w:rsid w:val="00095F96"/>
    <w:rsid w:val="0009687C"/>
    <w:rsid w:val="00096F05"/>
    <w:rsid w:val="00097692"/>
    <w:rsid w:val="00097D48"/>
    <w:rsid w:val="00097ED4"/>
    <w:rsid w:val="000A007D"/>
    <w:rsid w:val="000A04B5"/>
    <w:rsid w:val="000A07E4"/>
    <w:rsid w:val="000A0B8D"/>
    <w:rsid w:val="000A18EF"/>
    <w:rsid w:val="000A1AD6"/>
    <w:rsid w:val="000A2230"/>
    <w:rsid w:val="000A29D3"/>
    <w:rsid w:val="000A2B31"/>
    <w:rsid w:val="000A319F"/>
    <w:rsid w:val="000A369E"/>
    <w:rsid w:val="000A3A11"/>
    <w:rsid w:val="000A423E"/>
    <w:rsid w:val="000A4395"/>
    <w:rsid w:val="000A51DB"/>
    <w:rsid w:val="000A5391"/>
    <w:rsid w:val="000A58BE"/>
    <w:rsid w:val="000A5D4C"/>
    <w:rsid w:val="000A5E8E"/>
    <w:rsid w:val="000A63D9"/>
    <w:rsid w:val="000A64E0"/>
    <w:rsid w:val="000A659D"/>
    <w:rsid w:val="000A664E"/>
    <w:rsid w:val="000A67EB"/>
    <w:rsid w:val="000A6CF2"/>
    <w:rsid w:val="000A6F0E"/>
    <w:rsid w:val="000A722A"/>
    <w:rsid w:val="000A7480"/>
    <w:rsid w:val="000A7BD5"/>
    <w:rsid w:val="000A7D08"/>
    <w:rsid w:val="000A7F1E"/>
    <w:rsid w:val="000B04A9"/>
    <w:rsid w:val="000B04CF"/>
    <w:rsid w:val="000B061E"/>
    <w:rsid w:val="000B0758"/>
    <w:rsid w:val="000B0F2E"/>
    <w:rsid w:val="000B150C"/>
    <w:rsid w:val="000B17C2"/>
    <w:rsid w:val="000B1E3F"/>
    <w:rsid w:val="000B1EC5"/>
    <w:rsid w:val="000B220C"/>
    <w:rsid w:val="000B2887"/>
    <w:rsid w:val="000B2E98"/>
    <w:rsid w:val="000B33BF"/>
    <w:rsid w:val="000B3599"/>
    <w:rsid w:val="000B36A0"/>
    <w:rsid w:val="000B38FA"/>
    <w:rsid w:val="000B3A18"/>
    <w:rsid w:val="000B3E7D"/>
    <w:rsid w:val="000B43EB"/>
    <w:rsid w:val="000B48AB"/>
    <w:rsid w:val="000B4B87"/>
    <w:rsid w:val="000B4E36"/>
    <w:rsid w:val="000B5A9A"/>
    <w:rsid w:val="000B5B62"/>
    <w:rsid w:val="000B5F63"/>
    <w:rsid w:val="000B606F"/>
    <w:rsid w:val="000B60C5"/>
    <w:rsid w:val="000B6317"/>
    <w:rsid w:val="000B6921"/>
    <w:rsid w:val="000B6AD7"/>
    <w:rsid w:val="000B7561"/>
    <w:rsid w:val="000B7F27"/>
    <w:rsid w:val="000C0004"/>
    <w:rsid w:val="000C0205"/>
    <w:rsid w:val="000C0823"/>
    <w:rsid w:val="000C0ABB"/>
    <w:rsid w:val="000C0BAE"/>
    <w:rsid w:val="000C0FD4"/>
    <w:rsid w:val="000C13BC"/>
    <w:rsid w:val="000C153D"/>
    <w:rsid w:val="000C2653"/>
    <w:rsid w:val="000C26B1"/>
    <w:rsid w:val="000C2761"/>
    <w:rsid w:val="000C2C21"/>
    <w:rsid w:val="000C2D3B"/>
    <w:rsid w:val="000C38A1"/>
    <w:rsid w:val="000C3B16"/>
    <w:rsid w:val="000C3CE2"/>
    <w:rsid w:val="000C3D86"/>
    <w:rsid w:val="000C3E33"/>
    <w:rsid w:val="000C41E7"/>
    <w:rsid w:val="000C440A"/>
    <w:rsid w:val="000C4663"/>
    <w:rsid w:val="000C5113"/>
    <w:rsid w:val="000C517F"/>
    <w:rsid w:val="000C5ACB"/>
    <w:rsid w:val="000C62B7"/>
    <w:rsid w:val="000C6383"/>
    <w:rsid w:val="000C6837"/>
    <w:rsid w:val="000C6E9C"/>
    <w:rsid w:val="000C71BD"/>
    <w:rsid w:val="000C7872"/>
    <w:rsid w:val="000C7CA5"/>
    <w:rsid w:val="000C7D3C"/>
    <w:rsid w:val="000C7FAA"/>
    <w:rsid w:val="000D0C10"/>
    <w:rsid w:val="000D20E5"/>
    <w:rsid w:val="000D2747"/>
    <w:rsid w:val="000D2B65"/>
    <w:rsid w:val="000D2D00"/>
    <w:rsid w:val="000D2D7E"/>
    <w:rsid w:val="000D2FED"/>
    <w:rsid w:val="000D32AC"/>
    <w:rsid w:val="000D32C9"/>
    <w:rsid w:val="000D3D13"/>
    <w:rsid w:val="000D4232"/>
    <w:rsid w:val="000D4D5A"/>
    <w:rsid w:val="000D5067"/>
    <w:rsid w:val="000D5E30"/>
    <w:rsid w:val="000D5EA1"/>
    <w:rsid w:val="000D60E4"/>
    <w:rsid w:val="000D636D"/>
    <w:rsid w:val="000D6D8C"/>
    <w:rsid w:val="000D7339"/>
    <w:rsid w:val="000D7815"/>
    <w:rsid w:val="000D7890"/>
    <w:rsid w:val="000D7946"/>
    <w:rsid w:val="000D7FE8"/>
    <w:rsid w:val="000E0690"/>
    <w:rsid w:val="000E069C"/>
    <w:rsid w:val="000E0819"/>
    <w:rsid w:val="000E085C"/>
    <w:rsid w:val="000E09E8"/>
    <w:rsid w:val="000E0C26"/>
    <w:rsid w:val="000E12A4"/>
    <w:rsid w:val="000E2185"/>
    <w:rsid w:val="000E264C"/>
    <w:rsid w:val="000E2CFD"/>
    <w:rsid w:val="000E310D"/>
    <w:rsid w:val="000E3344"/>
    <w:rsid w:val="000E3608"/>
    <w:rsid w:val="000E3A4C"/>
    <w:rsid w:val="000E4061"/>
    <w:rsid w:val="000E40B2"/>
    <w:rsid w:val="000E42AD"/>
    <w:rsid w:val="000E43F7"/>
    <w:rsid w:val="000E447A"/>
    <w:rsid w:val="000E4825"/>
    <w:rsid w:val="000E4AA3"/>
    <w:rsid w:val="000E4AEA"/>
    <w:rsid w:val="000E4CDD"/>
    <w:rsid w:val="000E4DB4"/>
    <w:rsid w:val="000E584E"/>
    <w:rsid w:val="000E5A74"/>
    <w:rsid w:val="000E5EFE"/>
    <w:rsid w:val="000E6067"/>
    <w:rsid w:val="000E6203"/>
    <w:rsid w:val="000E66C3"/>
    <w:rsid w:val="000E6D3D"/>
    <w:rsid w:val="000E6D76"/>
    <w:rsid w:val="000E6E16"/>
    <w:rsid w:val="000E76E5"/>
    <w:rsid w:val="000E7A40"/>
    <w:rsid w:val="000E7C59"/>
    <w:rsid w:val="000F0041"/>
    <w:rsid w:val="000F09CD"/>
    <w:rsid w:val="000F0AB2"/>
    <w:rsid w:val="000F0C5D"/>
    <w:rsid w:val="000F0E5B"/>
    <w:rsid w:val="000F17C6"/>
    <w:rsid w:val="000F18A9"/>
    <w:rsid w:val="000F1993"/>
    <w:rsid w:val="000F1CEF"/>
    <w:rsid w:val="000F1EF9"/>
    <w:rsid w:val="000F1F52"/>
    <w:rsid w:val="000F2740"/>
    <w:rsid w:val="000F2A1D"/>
    <w:rsid w:val="000F2E55"/>
    <w:rsid w:val="000F2F0D"/>
    <w:rsid w:val="000F339A"/>
    <w:rsid w:val="000F33D1"/>
    <w:rsid w:val="000F369C"/>
    <w:rsid w:val="000F3D30"/>
    <w:rsid w:val="000F3E84"/>
    <w:rsid w:val="000F4470"/>
    <w:rsid w:val="000F45AE"/>
    <w:rsid w:val="000F4AEE"/>
    <w:rsid w:val="000F4BEF"/>
    <w:rsid w:val="000F4C77"/>
    <w:rsid w:val="000F57FC"/>
    <w:rsid w:val="000F59F0"/>
    <w:rsid w:val="000F67EA"/>
    <w:rsid w:val="000F6B0F"/>
    <w:rsid w:val="000F6BFB"/>
    <w:rsid w:val="000F716E"/>
    <w:rsid w:val="000F74C0"/>
    <w:rsid w:val="000F74FC"/>
    <w:rsid w:val="000F7802"/>
    <w:rsid w:val="000F795D"/>
    <w:rsid w:val="000F7ABC"/>
    <w:rsid w:val="000F7ACF"/>
    <w:rsid w:val="000F7C19"/>
    <w:rsid w:val="000F7D07"/>
    <w:rsid w:val="000F7E0F"/>
    <w:rsid w:val="00100334"/>
    <w:rsid w:val="00100602"/>
    <w:rsid w:val="001006DD"/>
    <w:rsid w:val="00101450"/>
    <w:rsid w:val="001018F2"/>
    <w:rsid w:val="001018FF"/>
    <w:rsid w:val="00101B56"/>
    <w:rsid w:val="00101C47"/>
    <w:rsid w:val="00101C65"/>
    <w:rsid w:val="00101CF9"/>
    <w:rsid w:val="001020F0"/>
    <w:rsid w:val="001025C2"/>
    <w:rsid w:val="00102734"/>
    <w:rsid w:val="00102900"/>
    <w:rsid w:val="00102931"/>
    <w:rsid w:val="0010333A"/>
    <w:rsid w:val="00103F5D"/>
    <w:rsid w:val="00104332"/>
    <w:rsid w:val="0010436E"/>
    <w:rsid w:val="00104A5E"/>
    <w:rsid w:val="001054D7"/>
    <w:rsid w:val="001059D3"/>
    <w:rsid w:val="00106042"/>
    <w:rsid w:val="001062CE"/>
    <w:rsid w:val="0010637F"/>
    <w:rsid w:val="001066FF"/>
    <w:rsid w:val="00106CA5"/>
    <w:rsid w:val="001076AF"/>
    <w:rsid w:val="00107E88"/>
    <w:rsid w:val="00107F55"/>
    <w:rsid w:val="001103A3"/>
    <w:rsid w:val="00110632"/>
    <w:rsid w:val="00110B0C"/>
    <w:rsid w:val="00110B62"/>
    <w:rsid w:val="00110BA3"/>
    <w:rsid w:val="00112128"/>
    <w:rsid w:val="00112461"/>
    <w:rsid w:val="0011255A"/>
    <w:rsid w:val="0011269A"/>
    <w:rsid w:val="001130FF"/>
    <w:rsid w:val="0011317B"/>
    <w:rsid w:val="001135BE"/>
    <w:rsid w:val="001137F7"/>
    <w:rsid w:val="001148F9"/>
    <w:rsid w:val="00114C08"/>
    <w:rsid w:val="00114D93"/>
    <w:rsid w:val="00114E2B"/>
    <w:rsid w:val="001150C0"/>
    <w:rsid w:val="0011557E"/>
    <w:rsid w:val="001156B4"/>
    <w:rsid w:val="001156CD"/>
    <w:rsid w:val="001158D3"/>
    <w:rsid w:val="00115E2C"/>
    <w:rsid w:val="00115E80"/>
    <w:rsid w:val="001162E0"/>
    <w:rsid w:val="001164B4"/>
    <w:rsid w:val="00116C15"/>
    <w:rsid w:val="00117070"/>
    <w:rsid w:val="00117147"/>
    <w:rsid w:val="00117370"/>
    <w:rsid w:val="001174CC"/>
    <w:rsid w:val="0011753C"/>
    <w:rsid w:val="00120304"/>
    <w:rsid w:val="0012046F"/>
    <w:rsid w:val="0012069F"/>
    <w:rsid w:val="001206EF"/>
    <w:rsid w:val="00120812"/>
    <w:rsid w:val="001210CA"/>
    <w:rsid w:val="001215E4"/>
    <w:rsid w:val="00121CA3"/>
    <w:rsid w:val="00121E75"/>
    <w:rsid w:val="00121E92"/>
    <w:rsid w:val="00121FE7"/>
    <w:rsid w:val="00122151"/>
    <w:rsid w:val="00122446"/>
    <w:rsid w:val="001229CC"/>
    <w:rsid w:val="00122EB7"/>
    <w:rsid w:val="0012301C"/>
    <w:rsid w:val="0012373B"/>
    <w:rsid w:val="0012379E"/>
    <w:rsid w:val="00123A3D"/>
    <w:rsid w:val="00123ABB"/>
    <w:rsid w:val="00123EBD"/>
    <w:rsid w:val="0012403A"/>
    <w:rsid w:val="001245B5"/>
    <w:rsid w:val="00124A00"/>
    <w:rsid w:val="00124BD2"/>
    <w:rsid w:val="00124C0A"/>
    <w:rsid w:val="00124D60"/>
    <w:rsid w:val="00124D61"/>
    <w:rsid w:val="00125041"/>
    <w:rsid w:val="0012596D"/>
    <w:rsid w:val="001259D5"/>
    <w:rsid w:val="00125E29"/>
    <w:rsid w:val="00125EAB"/>
    <w:rsid w:val="001265C1"/>
    <w:rsid w:val="00126A16"/>
    <w:rsid w:val="00126A27"/>
    <w:rsid w:val="00126A33"/>
    <w:rsid w:val="00126D0D"/>
    <w:rsid w:val="00127438"/>
    <w:rsid w:val="0012794C"/>
    <w:rsid w:val="00127E0C"/>
    <w:rsid w:val="001305BA"/>
    <w:rsid w:val="00130640"/>
    <w:rsid w:val="00130A7D"/>
    <w:rsid w:val="00130C1B"/>
    <w:rsid w:val="00130E1B"/>
    <w:rsid w:val="001310E0"/>
    <w:rsid w:val="001311BB"/>
    <w:rsid w:val="001318B1"/>
    <w:rsid w:val="00131AFD"/>
    <w:rsid w:val="00131B28"/>
    <w:rsid w:val="001321D0"/>
    <w:rsid w:val="00132577"/>
    <w:rsid w:val="00133067"/>
    <w:rsid w:val="00133837"/>
    <w:rsid w:val="001338F4"/>
    <w:rsid w:val="001338FA"/>
    <w:rsid w:val="00133B0B"/>
    <w:rsid w:val="00133C88"/>
    <w:rsid w:val="001343FB"/>
    <w:rsid w:val="00134647"/>
    <w:rsid w:val="00135016"/>
    <w:rsid w:val="001350EF"/>
    <w:rsid w:val="0013516F"/>
    <w:rsid w:val="001353E6"/>
    <w:rsid w:val="00135457"/>
    <w:rsid w:val="0013547A"/>
    <w:rsid w:val="00135862"/>
    <w:rsid w:val="00135919"/>
    <w:rsid w:val="00136586"/>
    <w:rsid w:val="00136603"/>
    <w:rsid w:val="00136767"/>
    <w:rsid w:val="001369CE"/>
    <w:rsid w:val="00136A68"/>
    <w:rsid w:val="00136E6C"/>
    <w:rsid w:val="001371B0"/>
    <w:rsid w:val="00137483"/>
    <w:rsid w:val="0013749B"/>
    <w:rsid w:val="0014008B"/>
    <w:rsid w:val="00140154"/>
    <w:rsid w:val="00140817"/>
    <w:rsid w:val="00140B82"/>
    <w:rsid w:val="00140FD4"/>
    <w:rsid w:val="00141DE2"/>
    <w:rsid w:val="00141F46"/>
    <w:rsid w:val="00141FEF"/>
    <w:rsid w:val="00142295"/>
    <w:rsid w:val="0014253F"/>
    <w:rsid w:val="001426C2"/>
    <w:rsid w:val="0014276F"/>
    <w:rsid w:val="00142923"/>
    <w:rsid w:val="00142D5B"/>
    <w:rsid w:val="0014326C"/>
    <w:rsid w:val="00143370"/>
    <w:rsid w:val="00143449"/>
    <w:rsid w:val="001435EA"/>
    <w:rsid w:val="00144491"/>
    <w:rsid w:val="0014536A"/>
    <w:rsid w:val="00145AAC"/>
    <w:rsid w:val="00145E6F"/>
    <w:rsid w:val="00145F42"/>
    <w:rsid w:val="00146490"/>
    <w:rsid w:val="001464CA"/>
    <w:rsid w:val="0014669E"/>
    <w:rsid w:val="00146C24"/>
    <w:rsid w:val="00146CA1"/>
    <w:rsid w:val="00146EEB"/>
    <w:rsid w:val="001471D7"/>
    <w:rsid w:val="001473D6"/>
    <w:rsid w:val="001473F2"/>
    <w:rsid w:val="00147719"/>
    <w:rsid w:val="00147770"/>
    <w:rsid w:val="00147B0D"/>
    <w:rsid w:val="00147BA6"/>
    <w:rsid w:val="00150052"/>
    <w:rsid w:val="00150C67"/>
    <w:rsid w:val="001510DA"/>
    <w:rsid w:val="0015118B"/>
    <w:rsid w:val="0015121E"/>
    <w:rsid w:val="00151462"/>
    <w:rsid w:val="00151926"/>
    <w:rsid w:val="0015193D"/>
    <w:rsid w:val="00151C25"/>
    <w:rsid w:val="00151D6E"/>
    <w:rsid w:val="0015231E"/>
    <w:rsid w:val="001524D3"/>
    <w:rsid w:val="001525CC"/>
    <w:rsid w:val="001529AD"/>
    <w:rsid w:val="001529BF"/>
    <w:rsid w:val="001529D5"/>
    <w:rsid w:val="00152E45"/>
    <w:rsid w:val="00153DD5"/>
    <w:rsid w:val="0015439C"/>
    <w:rsid w:val="001544D6"/>
    <w:rsid w:val="00154893"/>
    <w:rsid w:val="00154ADF"/>
    <w:rsid w:val="00154B1D"/>
    <w:rsid w:val="00154B22"/>
    <w:rsid w:val="00154B5F"/>
    <w:rsid w:val="00154E25"/>
    <w:rsid w:val="00154FBD"/>
    <w:rsid w:val="0015527A"/>
    <w:rsid w:val="001554E5"/>
    <w:rsid w:val="00155583"/>
    <w:rsid w:val="00155676"/>
    <w:rsid w:val="00155978"/>
    <w:rsid w:val="00155C5E"/>
    <w:rsid w:val="00155EF8"/>
    <w:rsid w:val="00156186"/>
    <w:rsid w:val="00157B6F"/>
    <w:rsid w:val="00160010"/>
    <w:rsid w:val="00160315"/>
    <w:rsid w:val="00160928"/>
    <w:rsid w:val="00160F80"/>
    <w:rsid w:val="00161819"/>
    <w:rsid w:val="00161C22"/>
    <w:rsid w:val="001620BC"/>
    <w:rsid w:val="001620D3"/>
    <w:rsid w:val="001623DA"/>
    <w:rsid w:val="00162AC8"/>
    <w:rsid w:val="00162FBB"/>
    <w:rsid w:val="001630EF"/>
    <w:rsid w:val="001633F8"/>
    <w:rsid w:val="00163407"/>
    <w:rsid w:val="0016387F"/>
    <w:rsid w:val="00163F22"/>
    <w:rsid w:val="0016427C"/>
    <w:rsid w:val="0016463D"/>
    <w:rsid w:val="00164780"/>
    <w:rsid w:val="00164942"/>
    <w:rsid w:val="00164F87"/>
    <w:rsid w:val="00165248"/>
    <w:rsid w:val="00165F0C"/>
    <w:rsid w:val="00165FF6"/>
    <w:rsid w:val="001660AA"/>
    <w:rsid w:val="00166D59"/>
    <w:rsid w:val="00166E15"/>
    <w:rsid w:val="00167053"/>
    <w:rsid w:val="0016709C"/>
    <w:rsid w:val="001670F1"/>
    <w:rsid w:val="00167166"/>
    <w:rsid w:val="00167271"/>
    <w:rsid w:val="0016760F"/>
    <w:rsid w:val="0016777C"/>
    <w:rsid w:val="00167818"/>
    <w:rsid w:val="001679CF"/>
    <w:rsid w:val="00167A2F"/>
    <w:rsid w:val="00167ACD"/>
    <w:rsid w:val="00167EF2"/>
    <w:rsid w:val="00167FD6"/>
    <w:rsid w:val="001700B3"/>
    <w:rsid w:val="001704B7"/>
    <w:rsid w:val="00170AF5"/>
    <w:rsid w:val="00170D99"/>
    <w:rsid w:val="00171094"/>
    <w:rsid w:val="0017115C"/>
    <w:rsid w:val="00171572"/>
    <w:rsid w:val="00171DFA"/>
    <w:rsid w:val="00171EE9"/>
    <w:rsid w:val="00172065"/>
    <w:rsid w:val="00172817"/>
    <w:rsid w:val="0017285A"/>
    <w:rsid w:val="001733C8"/>
    <w:rsid w:val="00173D7D"/>
    <w:rsid w:val="00173E75"/>
    <w:rsid w:val="00174411"/>
    <w:rsid w:val="001748AA"/>
    <w:rsid w:val="001751A3"/>
    <w:rsid w:val="00175619"/>
    <w:rsid w:val="00175662"/>
    <w:rsid w:val="00175F56"/>
    <w:rsid w:val="00176013"/>
    <w:rsid w:val="00176395"/>
    <w:rsid w:val="001767EC"/>
    <w:rsid w:val="00176A5C"/>
    <w:rsid w:val="00176B0B"/>
    <w:rsid w:val="00176B62"/>
    <w:rsid w:val="001772E0"/>
    <w:rsid w:val="00177B03"/>
    <w:rsid w:val="00180203"/>
    <w:rsid w:val="0018028A"/>
    <w:rsid w:val="00180325"/>
    <w:rsid w:val="0018051D"/>
    <w:rsid w:val="001805FB"/>
    <w:rsid w:val="00180950"/>
    <w:rsid w:val="00180A68"/>
    <w:rsid w:val="00180C80"/>
    <w:rsid w:val="00180EAF"/>
    <w:rsid w:val="00181567"/>
    <w:rsid w:val="001818B8"/>
    <w:rsid w:val="0018205B"/>
    <w:rsid w:val="001826BD"/>
    <w:rsid w:val="00182990"/>
    <w:rsid w:val="00182FE6"/>
    <w:rsid w:val="0018313F"/>
    <w:rsid w:val="0018362A"/>
    <w:rsid w:val="0018371D"/>
    <w:rsid w:val="001837DC"/>
    <w:rsid w:val="00183808"/>
    <w:rsid w:val="001839C6"/>
    <w:rsid w:val="0018405A"/>
    <w:rsid w:val="00184311"/>
    <w:rsid w:val="00184329"/>
    <w:rsid w:val="00184901"/>
    <w:rsid w:val="00184AE2"/>
    <w:rsid w:val="00184C30"/>
    <w:rsid w:val="00184E6A"/>
    <w:rsid w:val="001854CF"/>
    <w:rsid w:val="00185671"/>
    <w:rsid w:val="001856A5"/>
    <w:rsid w:val="001856AC"/>
    <w:rsid w:val="00185742"/>
    <w:rsid w:val="001857F1"/>
    <w:rsid w:val="001859FE"/>
    <w:rsid w:val="00186139"/>
    <w:rsid w:val="001862F4"/>
    <w:rsid w:val="00186613"/>
    <w:rsid w:val="00186630"/>
    <w:rsid w:val="00186DCF"/>
    <w:rsid w:val="00187261"/>
    <w:rsid w:val="0018726C"/>
    <w:rsid w:val="00187BFA"/>
    <w:rsid w:val="0019015F"/>
    <w:rsid w:val="001905F3"/>
    <w:rsid w:val="00190A54"/>
    <w:rsid w:val="00190B57"/>
    <w:rsid w:val="0019102C"/>
    <w:rsid w:val="0019109D"/>
    <w:rsid w:val="001911C1"/>
    <w:rsid w:val="0019157D"/>
    <w:rsid w:val="00191A9A"/>
    <w:rsid w:val="00191DA4"/>
    <w:rsid w:val="00192036"/>
    <w:rsid w:val="00192188"/>
    <w:rsid w:val="001926B6"/>
    <w:rsid w:val="00192951"/>
    <w:rsid w:val="001929E0"/>
    <w:rsid w:val="00192D0B"/>
    <w:rsid w:val="00193C19"/>
    <w:rsid w:val="00194255"/>
    <w:rsid w:val="00194EE6"/>
    <w:rsid w:val="0019535C"/>
    <w:rsid w:val="00195CBB"/>
    <w:rsid w:val="00195FE9"/>
    <w:rsid w:val="001969DE"/>
    <w:rsid w:val="00196C6F"/>
    <w:rsid w:val="00196E1E"/>
    <w:rsid w:val="00197511"/>
    <w:rsid w:val="001976D0"/>
    <w:rsid w:val="00197C38"/>
    <w:rsid w:val="00197F3A"/>
    <w:rsid w:val="001A086A"/>
    <w:rsid w:val="001A0E82"/>
    <w:rsid w:val="001A1238"/>
    <w:rsid w:val="001A126C"/>
    <w:rsid w:val="001A1476"/>
    <w:rsid w:val="001A1888"/>
    <w:rsid w:val="001A199B"/>
    <w:rsid w:val="001A22F7"/>
    <w:rsid w:val="001A24D0"/>
    <w:rsid w:val="001A2717"/>
    <w:rsid w:val="001A2793"/>
    <w:rsid w:val="001A2903"/>
    <w:rsid w:val="001A2E52"/>
    <w:rsid w:val="001A2E73"/>
    <w:rsid w:val="001A3226"/>
    <w:rsid w:val="001A3380"/>
    <w:rsid w:val="001A3CA4"/>
    <w:rsid w:val="001A4039"/>
    <w:rsid w:val="001A41D4"/>
    <w:rsid w:val="001A424B"/>
    <w:rsid w:val="001A478B"/>
    <w:rsid w:val="001A4F62"/>
    <w:rsid w:val="001A4F71"/>
    <w:rsid w:val="001A526D"/>
    <w:rsid w:val="001A5AAF"/>
    <w:rsid w:val="001A5BAE"/>
    <w:rsid w:val="001A5DBA"/>
    <w:rsid w:val="001A5E04"/>
    <w:rsid w:val="001A6155"/>
    <w:rsid w:val="001A6458"/>
    <w:rsid w:val="001A6A21"/>
    <w:rsid w:val="001A6BC7"/>
    <w:rsid w:val="001A6C3D"/>
    <w:rsid w:val="001A6D53"/>
    <w:rsid w:val="001A6DFA"/>
    <w:rsid w:val="001A726B"/>
    <w:rsid w:val="001A72CC"/>
    <w:rsid w:val="001A75F5"/>
    <w:rsid w:val="001A77DF"/>
    <w:rsid w:val="001B00D6"/>
    <w:rsid w:val="001B0F39"/>
    <w:rsid w:val="001B0FC6"/>
    <w:rsid w:val="001B151D"/>
    <w:rsid w:val="001B16B9"/>
    <w:rsid w:val="001B175B"/>
    <w:rsid w:val="001B1B08"/>
    <w:rsid w:val="001B23FA"/>
    <w:rsid w:val="001B244B"/>
    <w:rsid w:val="001B2B09"/>
    <w:rsid w:val="001B3025"/>
    <w:rsid w:val="001B31A1"/>
    <w:rsid w:val="001B4308"/>
    <w:rsid w:val="001B4398"/>
    <w:rsid w:val="001B463E"/>
    <w:rsid w:val="001B4867"/>
    <w:rsid w:val="001B490D"/>
    <w:rsid w:val="001B524E"/>
    <w:rsid w:val="001B5A6C"/>
    <w:rsid w:val="001B6060"/>
    <w:rsid w:val="001B6100"/>
    <w:rsid w:val="001B6589"/>
    <w:rsid w:val="001B6880"/>
    <w:rsid w:val="001B6DA6"/>
    <w:rsid w:val="001B7185"/>
    <w:rsid w:val="001B72F8"/>
    <w:rsid w:val="001B73F4"/>
    <w:rsid w:val="001C0B82"/>
    <w:rsid w:val="001C0BD7"/>
    <w:rsid w:val="001C0EA9"/>
    <w:rsid w:val="001C14FC"/>
    <w:rsid w:val="001C15CE"/>
    <w:rsid w:val="001C1688"/>
    <w:rsid w:val="001C1715"/>
    <w:rsid w:val="001C19D7"/>
    <w:rsid w:val="001C1A91"/>
    <w:rsid w:val="001C1EB7"/>
    <w:rsid w:val="001C1F13"/>
    <w:rsid w:val="001C2487"/>
    <w:rsid w:val="001C26B7"/>
    <w:rsid w:val="001C2953"/>
    <w:rsid w:val="001C299C"/>
    <w:rsid w:val="001C3049"/>
    <w:rsid w:val="001C36B6"/>
    <w:rsid w:val="001C37B9"/>
    <w:rsid w:val="001C39A9"/>
    <w:rsid w:val="001C3AF1"/>
    <w:rsid w:val="001C3CF9"/>
    <w:rsid w:val="001C4529"/>
    <w:rsid w:val="001C4C92"/>
    <w:rsid w:val="001C53BD"/>
    <w:rsid w:val="001C5601"/>
    <w:rsid w:val="001C5CDD"/>
    <w:rsid w:val="001C5ECD"/>
    <w:rsid w:val="001C6532"/>
    <w:rsid w:val="001C6572"/>
    <w:rsid w:val="001C65C2"/>
    <w:rsid w:val="001C6AF2"/>
    <w:rsid w:val="001C6D20"/>
    <w:rsid w:val="001C6EDA"/>
    <w:rsid w:val="001C7533"/>
    <w:rsid w:val="001C777A"/>
    <w:rsid w:val="001C7876"/>
    <w:rsid w:val="001C78C9"/>
    <w:rsid w:val="001C7C50"/>
    <w:rsid w:val="001C7F06"/>
    <w:rsid w:val="001D01CC"/>
    <w:rsid w:val="001D08CE"/>
    <w:rsid w:val="001D099A"/>
    <w:rsid w:val="001D0A26"/>
    <w:rsid w:val="001D0C33"/>
    <w:rsid w:val="001D0D8C"/>
    <w:rsid w:val="001D13F6"/>
    <w:rsid w:val="001D1E60"/>
    <w:rsid w:val="001D22F7"/>
    <w:rsid w:val="001D265E"/>
    <w:rsid w:val="001D2914"/>
    <w:rsid w:val="001D2ABD"/>
    <w:rsid w:val="001D3053"/>
    <w:rsid w:val="001D334F"/>
    <w:rsid w:val="001D338E"/>
    <w:rsid w:val="001D3409"/>
    <w:rsid w:val="001D348E"/>
    <w:rsid w:val="001D3625"/>
    <w:rsid w:val="001D3B48"/>
    <w:rsid w:val="001D3F25"/>
    <w:rsid w:val="001D4546"/>
    <w:rsid w:val="001D459E"/>
    <w:rsid w:val="001D4B06"/>
    <w:rsid w:val="001D5229"/>
    <w:rsid w:val="001D564B"/>
    <w:rsid w:val="001D5DC0"/>
    <w:rsid w:val="001D6428"/>
    <w:rsid w:val="001D66E1"/>
    <w:rsid w:val="001D67BC"/>
    <w:rsid w:val="001D6ABB"/>
    <w:rsid w:val="001D7115"/>
    <w:rsid w:val="001D7319"/>
    <w:rsid w:val="001D7586"/>
    <w:rsid w:val="001D764A"/>
    <w:rsid w:val="001D770E"/>
    <w:rsid w:val="001E048E"/>
    <w:rsid w:val="001E0516"/>
    <w:rsid w:val="001E05F1"/>
    <w:rsid w:val="001E0DD8"/>
    <w:rsid w:val="001E12A3"/>
    <w:rsid w:val="001E14F2"/>
    <w:rsid w:val="001E1648"/>
    <w:rsid w:val="001E1838"/>
    <w:rsid w:val="001E1B19"/>
    <w:rsid w:val="001E2126"/>
    <w:rsid w:val="001E21F0"/>
    <w:rsid w:val="001E26CC"/>
    <w:rsid w:val="001E2986"/>
    <w:rsid w:val="001E29C2"/>
    <w:rsid w:val="001E2B3F"/>
    <w:rsid w:val="001E2C30"/>
    <w:rsid w:val="001E2C37"/>
    <w:rsid w:val="001E2FC0"/>
    <w:rsid w:val="001E3BAF"/>
    <w:rsid w:val="001E4109"/>
    <w:rsid w:val="001E4328"/>
    <w:rsid w:val="001E44E6"/>
    <w:rsid w:val="001E49FF"/>
    <w:rsid w:val="001E4A72"/>
    <w:rsid w:val="001E4A82"/>
    <w:rsid w:val="001E513C"/>
    <w:rsid w:val="001E5571"/>
    <w:rsid w:val="001E5660"/>
    <w:rsid w:val="001E5859"/>
    <w:rsid w:val="001E591D"/>
    <w:rsid w:val="001E5AD3"/>
    <w:rsid w:val="001E5F99"/>
    <w:rsid w:val="001E64A9"/>
    <w:rsid w:val="001E67AF"/>
    <w:rsid w:val="001E6C0F"/>
    <w:rsid w:val="001E6EA5"/>
    <w:rsid w:val="001E76B0"/>
    <w:rsid w:val="001E796A"/>
    <w:rsid w:val="001E79A1"/>
    <w:rsid w:val="001E7A7E"/>
    <w:rsid w:val="001E7C76"/>
    <w:rsid w:val="001F0258"/>
    <w:rsid w:val="001F03BA"/>
    <w:rsid w:val="001F0440"/>
    <w:rsid w:val="001F0472"/>
    <w:rsid w:val="001F1086"/>
    <w:rsid w:val="001F12B0"/>
    <w:rsid w:val="001F13D9"/>
    <w:rsid w:val="001F201D"/>
    <w:rsid w:val="001F2054"/>
    <w:rsid w:val="001F20C1"/>
    <w:rsid w:val="001F262D"/>
    <w:rsid w:val="001F2C15"/>
    <w:rsid w:val="001F2D7F"/>
    <w:rsid w:val="001F2DCC"/>
    <w:rsid w:val="001F32F6"/>
    <w:rsid w:val="001F3474"/>
    <w:rsid w:val="001F3CDE"/>
    <w:rsid w:val="001F3F6B"/>
    <w:rsid w:val="001F3FD7"/>
    <w:rsid w:val="001F4DD9"/>
    <w:rsid w:val="001F5B97"/>
    <w:rsid w:val="001F6185"/>
    <w:rsid w:val="001F61EB"/>
    <w:rsid w:val="001F622F"/>
    <w:rsid w:val="001F630B"/>
    <w:rsid w:val="001F668E"/>
    <w:rsid w:val="001F70C4"/>
    <w:rsid w:val="001F73E5"/>
    <w:rsid w:val="001F7548"/>
    <w:rsid w:val="001F78A6"/>
    <w:rsid w:val="001F791A"/>
    <w:rsid w:val="001F7974"/>
    <w:rsid w:val="001F7A1A"/>
    <w:rsid w:val="001F7FE0"/>
    <w:rsid w:val="00200A2F"/>
    <w:rsid w:val="00201246"/>
    <w:rsid w:val="0020130F"/>
    <w:rsid w:val="00201C0C"/>
    <w:rsid w:val="00201F63"/>
    <w:rsid w:val="00201FFD"/>
    <w:rsid w:val="00202465"/>
    <w:rsid w:val="00202B32"/>
    <w:rsid w:val="00203D83"/>
    <w:rsid w:val="0020406D"/>
    <w:rsid w:val="00204383"/>
    <w:rsid w:val="0020444C"/>
    <w:rsid w:val="00204573"/>
    <w:rsid w:val="00204C09"/>
    <w:rsid w:val="0020540A"/>
    <w:rsid w:val="002055B7"/>
    <w:rsid w:val="0020567D"/>
    <w:rsid w:val="00205980"/>
    <w:rsid w:val="002059EF"/>
    <w:rsid w:val="00205A9E"/>
    <w:rsid w:val="00205F33"/>
    <w:rsid w:val="00205F5F"/>
    <w:rsid w:val="0020600C"/>
    <w:rsid w:val="00206461"/>
    <w:rsid w:val="002065D4"/>
    <w:rsid w:val="00206628"/>
    <w:rsid w:val="00206965"/>
    <w:rsid w:val="00206C74"/>
    <w:rsid w:val="0020719A"/>
    <w:rsid w:val="002074BB"/>
    <w:rsid w:val="0020788D"/>
    <w:rsid w:val="00207D6B"/>
    <w:rsid w:val="00207E22"/>
    <w:rsid w:val="002102B2"/>
    <w:rsid w:val="00210A2F"/>
    <w:rsid w:val="00210A95"/>
    <w:rsid w:val="00210C06"/>
    <w:rsid w:val="00210FF3"/>
    <w:rsid w:val="002115F2"/>
    <w:rsid w:val="002117E0"/>
    <w:rsid w:val="00211AA5"/>
    <w:rsid w:val="00212045"/>
    <w:rsid w:val="00212461"/>
    <w:rsid w:val="00212701"/>
    <w:rsid w:val="0021275F"/>
    <w:rsid w:val="00212ABA"/>
    <w:rsid w:val="00213182"/>
    <w:rsid w:val="00213841"/>
    <w:rsid w:val="0021407F"/>
    <w:rsid w:val="002141FA"/>
    <w:rsid w:val="0021435C"/>
    <w:rsid w:val="00214505"/>
    <w:rsid w:val="00214533"/>
    <w:rsid w:val="0021462E"/>
    <w:rsid w:val="002147AA"/>
    <w:rsid w:val="00214980"/>
    <w:rsid w:val="00215117"/>
    <w:rsid w:val="00215789"/>
    <w:rsid w:val="002157E8"/>
    <w:rsid w:val="0021586A"/>
    <w:rsid w:val="002158E2"/>
    <w:rsid w:val="00215CC8"/>
    <w:rsid w:val="00215D16"/>
    <w:rsid w:val="00215EB8"/>
    <w:rsid w:val="0021610C"/>
    <w:rsid w:val="00216195"/>
    <w:rsid w:val="0021702D"/>
    <w:rsid w:val="00217070"/>
    <w:rsid w:val="002171EB"/>
    <w:rsid w:val="0021723C"/>
    <w:rsid w:val="002172DA"/>
    <w:rsid w:val="00217470"/>
    <w:rsid w:val="002178D0"/>
    <w:rsid w:val="00217C0D"/>
    <w:rsid w:val="00217D2D"/>
    <w:rsid w:val="00217DF3"/>
    <w:rsid w:val="00220246"/>
    <w:rsid w:val="002203F6"/>
    <w:rsid w:val="0022058D"/>
    <w:rsid w:val="00220728"/>
    <w:rsid w:val="00220779"/>
    <w:rsid w:val="002208E2"/>
    <w:rsid w:val="00220D02"/>
    <w:rsid w:val="0022123B"/>
    <w:rsid w:val="00221624"/>
    <w:rsid w:val="00221B97"/>
    <w:rsid w:val="00221CA9"/>
    <w:rsid w:val="0022207E"/>
    <w:rsid w:val="00222475"/>
    <w:rsid w:val="00222CE5"/>
    <w:rsid w:val="00222DFC"/>
    <w:rsid w:val="00222E1D"/>
    <w:rsid w:val="00222EFA"/>
    <w:rsid w:val="00224151"/>
    <w:rsid w:val="00225207"/>
    <w:rsid w:val="0022526B"/>
    <w:rsid w:val="002252F4"/>
    <w:rsid w:val="00225F69"/>
    <w:rsid w:val="00226B62"/>
    <w:rsid w:val="00226C95"/>
    <w:rsid w:val="00226FB1"/>
    <w:rsid w:val="00227309"/>
    <w:rsid w:val="002276B7"/>
    <w:rsid w:val="002276FC"/>
    <w:rsid w:val="002277CC"/>
    <w:rsid w:val="0022785E"/>
    <w:rsid w:val="0022794E"/>
    <w:rsid w:val="00227BFC"/>
    <w:rsid w:val="00227EB2"/>
    <w:rsid w:val="00230667"/>
    <w:rsid w:val="002307EA"/>
    <w:rsid w:val="0023093B"/>
    <w:rsid w:val="00230A74"/>
    <w:rsid w:val="00230B0E"/>
    <w:rsid w:val="00231CF9"/>
    <w:rsid w:val="0023247E"/>
    <w:rsid w:val="00232567"/>
    <w:rsid w:val="00232829"/>
    <w:rsid w:val="0023299C"/>
    <w:rsid w:val="002329F7"/>
    <w:rsid w:val="00232B81"/>
    <w:rsid w:val="0023305E"/>
    <w:rsid w:val="0023370C"/>
    <w:rsid w:val="0023384E"/>
    <w:rsid w:val="00233BEC"/>
    <w:rsid w:val="002346CF"/>
    <w:rsid w:val="00234AE6"/>
    <w:rsid w:val="00234D5E"/>
    <w:rsid w:val="00234D7C"/>
    <w:rsid w:val="002350FC"/>
    <w:rsid w:val="002353DB"/>
    <w:rsid w:val="002356A7"/>
    <w:rsid w:val="002357CC"/>
    <w:rsid w:val="00235D07"/>
    <w:rsid w:val="00235FB3"/>
    <w:rsid w:val="00236193"/>
    <w:rsid w:val="00236390"/>
    <w:rsid w:val="0023647F"/>
    <w:rsid w:val="0023660C"/>
    <w:rsid w:val="00236671"/>
    <w:rsid w:val="00236760"/>
    <w:rsid w:val="002368A9"/>
    <w:rsid w:val="00236A03"/>
    <w:rsid w:val="00236DCB"/>
    <w:rsid w:val="00237546"/>
    <w:rsid w:val="00237669"/>
    <w:rsid w:val="00237EA8"/>
    <w:rsid w:val="00239CD6"/>
    <w:rsid w:val="00240736"/>
    <w:rsid w:val="002408C4"/>
    <w:rsid w:val="00240B00"/>
    <w:rsid w:val="00240C65"/>
    <w:rsid w:val="0024173B"/>
    <w:rsid w:val="00241ACC"/>
    <w:rsid w:val="00241B28"/>
    <w:rsid w:val="002421AE"/>
    <w:rsid w:val="00242619"/>
    <w:rsid w:val="002428F8"/>
    <w:rsid w:val="00242CAC"/>
    <w:rsid w:val="002432B8"/>
    <w:rsid w:val="0024362A"/>
    <w:rsid w:val="002436A2"/>
    <w:rsid w:val="00243B9C"/>
    <w:rsid w:val="00243DD9"/>
    <w:rsid w:val="00244943"/>
    <w:rsid w:val="00244AC5"/>
    <w:rsid w:val="00245544"/>
    <w:rsid w:val="002457AA"/>
    <w:rsid w:val="00246074"/>
    <w:rsid w:val="002464D0"/>
    <w:rsid w:val="002468A1"/>
    <w:rsid w:val="002468DC"/>
    <w:rsid w:val="002468DD"/>
    <w:rsid w:val="00246C1B"/>
    <w:rsid w:val="00247407"/>
    <w:rsid w:val="002475E3"/>
    <w:rsid w:val="0024760E"/>
    <w:rsid w:val="00247AE2"/>
    <w:rsid w:val="00247B45"/>
    <w:rsid w:val="00250760"/>
    <w:rsid w:val="00250793"/>
    <w:rsid w:val="002513BC"/>
    <w:rsid w:val="00251D14"/>
    <w:rsid w:val="00252CD8"/>
    <w:rsid w:val="00252D9B"/>
    <w:rsid w:val="00252F40"/>
    <w:rsid w:val="002530CD"/>
    <w:rsid w:val="0025376F"/>
    <w:rsid w:val="00253865"/>
    <w:rsid w:val="00253B64"/>
    <w:rsid w:val="00253B79"/>
    <w:rsid w:val="00253C25"/>
    <w:rsid w:val="0025400C"/>
    <w:rsid w:val="002548F2"/>
    <w:rsid w:val="00254D8D"/>
    <w:rsid w:val="00255155"/>
    <w:rsid w:val="002558A1"/>
    <w:rsid w:val="00255D08"/>
    <w:rsid w:val="00256140"/>
    <w:rsid w:val="002565E6"/>
    <w:rsid w:val="002567B2"/>
    <w:rsid w:val="00256E0C"/>
    <w:rsid w:val="00256FB3"/>
    <w:rsid w:val="00257117"/>
    <w:rsid w:val="00257159"/>
    <w:rsid w:val="00257316"/>
    <w:rsid w:val="002574E7"/>
    <w:rsid w:val="00257540"/>
    <w:rsid w:val="00257CC0"/>
    <w:rsid w:val="002603CC"/>
    <w:rsid w:val="002607D9"/>
    <w:rsid w:val="00260A56"/>
    <w:rsid w:val="00260B1D"/>
    <w:rsid w:val="00260D22"/>
    <w:rsid w:val="0026142A"/>
    <w:rsid w:val="0026152D"/>
    <w:rsid w:val="0026170B"/>
    <w:rsid w:val="0026211D"/>
    <w:rsid w:val="00262485"/>
    <w:rsid w:val="00262844"/>
    <w:rsid w:val="00262ABE"/>
    <w:rsid w:val="00262C61"/>
    <w:rsid w:val="0026301F"/>
    <w:rsid w:val="0026309E"/>
    <w:rsid w:val="00264076"/>
    <w:rsid w:val="00264436"/>
    <w:rsid w:val="00264696"/>
    <w:rsid w:val="00264914"/>
    <w:rsid w:val="0026492D"/>
    <w:rsid w:val="00264C6F"/>
    <w:rsid w:val="00264CBC"/>
    <w:rsid w:val="00264D26"/>
    <w:rsid w:val="00265021"/>
    <w:rsid w:val="0026584A"/>
    <w:rsid w:val="00265C47"/>
    <w:rsid w:val="00265D36"/>
    <w:rsid w:val="002664FD"/>
    <w:rsid w:val="00266ACE"/>
    <w:rsid w:val="00266F1C"/>
    <w:rsid w:val="002670F0"/>
    <w:rsid w:val="002671B9"/>
    <w:rsid w:val="00267A05"/>
    <w:rsid w:val="00267A95"/>
    <w:rsid w:val="00267BD7"/>
    <w:rsid w:val="002702D0"/>
    <w:rsid w:val="002707EE"/>
    <w:rsid w:val="00270816"/>
    <w:rsid w:val="002708C4"/>
    <w:rsid w:val="00270F34"/>
    <w:rsid w:val="00271132"/>
    <w:rsid w:val="00271251"/>
    <w:rsid w:val="0027129C"/>
    <w:rsid w:val="00271974"/>
    <w:rsid w:val="002719AA"/>
    <w:rsid w:val="00271B49"/>
    <w:rsid w:val="00271C73"/>
    <w:rsid w:val="0027213F"/>
    <w:rsid w:val="00272CD1"/>
    <w:rsid w:val="00272EBC"/>
    <w:rsid w:val="002732D8"/>
    <w:rsid w:val="00273FEB"/>
    <w:rsid w:val="002743A3"/>
    <w:rsid w:val="0027453B"/>
    <w:rsid w:val="00274719"/>
    <w:rsid w:val="002748C8"/>
    <w:rsid w:val="0027493E"/>
    <w:rsid w:val="00275022"/>
    <w:rsid w:val="00275C61"/>
    <w:rsid w:val="00275E35"/>
    <w:rsid w:val="002764C3"/>
    <w:rsid w:val="00276AE3"/>
    <w:rsid w:val="00276F19"/>
    <w:rsid w:val="0027732E"/>
    <w:rsid w:val="002774F3"/>
    <w:rsid w:val="00277526"/>
    <w:rsid w:val="002775C2"/>
    <w:rsid w:val="002777BE"/>
    <w:rsid w:val="00277867"/>
    <w:rsid w:val="00277A60"/>
    <w:rsid w:val="00277F49"/>
    <w:rsid w:val="00280B00"/>
    <w:rsid w:val="00280D91"/>
    <w:rsid w:val="00280DED"/>
    <w:rsid w:val="00280F36"/>
    <w:rsid w:val="002815A6"/>
    <w:rsid w:val="00282141"/>
    <w:rsid w:val="0028234D"/>
    <w:rsid w:val="002827CE"/>
    <w:rsid w:val="00283454"/>
    <w:rsid w:val="00283504"/>
    <w:rsid w:val="00283626"/>
    <w:rsid w:val="00283EE3"/>
    <w:rsid w:val="00283F81"/>
    <w:rsid w:val="00284040"/>
    <w:rsid w:val="002840B4"/>
    <w:rsid w:val="0028439E"/>
    <w:rsid w:val="00284420"/>
    <w:rsid w:val="0028515E"/>
    <w:rsid w:val="00285288"/>
    <w:rsid w:val="00285367"/>
    <w:rsid w:val="00285462"/>
    <w:rsid w:val="00285BFB"/>
    <w:rsid w:val="00285D1D"/>
    <w:rsid w:val="00285D1E"/>
    <w:rsid w:val="002860E1"/>
    <w:rsid w:val="0028655B"/>
    <w:rsid w:val="002866C0"/>
    <w:rsid w:val="00286AB9"/>
    <w:rsid w:val="00287174"/>
    <w:rsid w:val="002872D1"/>
    <w:rsid w:val="00287363"/>
    <w:rsid w:val="002877D2"/>
    <w:rsid w:val="00287809"/>
    <w:rsid w:val="0029008D"/>
    <w:rsid w:val="002900C0"/>
    <w:rsid w:val="0029021D"/>
    <w:rsid w:val="00290399"/>
    <w:rsid w:val="00290793"/>
    <w:rsid w:val="00290F9A"/>
    <w:rsid w:val="00291137"/>
    <w:rsid w:val="002912B9"/>
    <w:rsid w:val="0029189F"/>
    <w:rsid w:val="0029192A"/>
    <w:rsid w:val="00291A71"/>
    <w:rsid w:val="00291D0A"/>
    <w:rsid w:val="00291D84"/>
    <w:rsid w:val="00292923"/>
    <w:rsid w:val="00292964"/>
    <w:rsid w:val="00292F75"/>
    <w:rsid w:val="002931D5"/>
    <w:rsid w:val="0029330F"/>
    <w:rsid w:val="0029333F"/>
    <w:rsid w:val="002933A4"/>
    <w:rsid w:val="002937C9"/>
    <w:rsid w:val="00293E98"/>
    <w:rsid w:val="00294965"/>
    <w:rsid w:val="00294E0F"/>
    <w:rsid w:val="00294E2F"/>
    <w:rsid w:val="00294EBD"/>
    <w:rsid w:val="00295FA1"/>
    <w:rsid w:val="00296052"/>
    <w:rsid w:val="0029633B"/>
    <w:rsid w:val="002963BF"/>
    <w:rsid w:val="00296643"/>
    <w:rsid w:val="00296965"/>
    <w:rsid w:val="00296E2A"/>
    <w:rsid w:val="0029754F"/>
    <w:rsid w:val="00297A64"/>
    <w:rsid w:val="00297C11"/>
    <w:rsid w:val="00297E37"/>
    <w:rsid w:val="00297FE7"/>
    <w:rsid w:val="002A0061"/>
    <w:rsid w:val="002A011D"/>
    <w:rsid w:val="002A11F4"/>
    <w:rsid w:val="002A1466"/>
    <w:rsid w:val="002A1585"/>
    <w:rsid w:val="002A1589"/>
    <w:rsid w:val="002A1A11"/>
    <w:rsid w:val="002A1CFB"/>
    <w:rsid w:val="002A1E2A"/>
    <w:rsid w:val="002A221B"/>
    <w:rsid w:val="002A241B"/>
    <w:rsid w:val="002A2A9A"/>
    <w:rsid w:val="002A2F7F"/>
    <w:rsid w:val="002A2FDF"/>
    <w:rsid w:val="002A3188"/>
    <w:rsid w:val="002A3436"/>
    <w:rsid w:val="002A3486"/>
    <w:rsid w:val="002A3AE0"/>
    <w:rsid w:val="002A3FF8"/>
    <w:rsid w:val="002A4040"/>
    <w:rsid w:val="002A40D7"/>
    <w:rsid w:val="002A48A2"/>
    <w:rsid w:val="002A4992"/>
    <w:rsid w:val="002A4FB1"/>
    <w:rsid w:val="002A50CB"/>
    <w:rsid w:val="002A50D9"/>
    <w:rsid w:val="002A551C"/>
    <w:rsid w:val="002A577D"/>
    <w:rsid w:val="002A5798"/>
    <w:rsid w:val="002A5AA0"/>
    <w:rsid w:val="002A5B00"/>
    <w:rsid w:val="002A5CB3"/>
    <w:rsid w:val="002A5DE5"/>
    <w:rsid w:val="002A5FEB"/>
    <w:rsid w:val="002A66E5"/>
    <w:rsid w:val="002A6900"/>
    <w:rsid w:val="002A698A"/>
    <w:rsid w:val="002A6DD0"/>
    <w:rsid w:val="002A73C0"/>
    <w:rsid w:val="002A761E"/>
    <w:rsid w:val="002A76F9"/>
    <w:rsid w:val="002A7A68"/>
    <w:rsid w:val="002A7CA5"/>
    <w:rsid w:val="002A7EE9"/>
    <w:rsid w:val="002A7FAE"/>
    <w:rsid w:val="002B034F"/>
    <w:rsid w:val="002B0558"/>
    <w:rsid w:val="002B0BDA"/>
    <w:rsid w:val="002B1B7C"/>
    <w:rsid w:val="002B20B0"/>
    <w:rsid w:val="002B22CF"/>
    <w:rsid w:val="002B24C2"/>
    <w:rsid w:val="002B2E7F"/>
    <w:rsid w:val="002B2F49"/>
    <w:rsid w:val="002B2F78"/>
    <w:rsid w:val="002B3103"/>
    <w:rsid w:val="002B327F"/>
    <w:rsid w:val="002B4046"/>
    <w:rsid w:val="002B4845"/>
    <w:rsid w:val="002B4D98"/>
    <w:rsid w:val="002B5131"/>
    <w:rsid w:val="002B55AF"/>
    <w:rsid w:val="002B57B0"/>
    <w:rsid w:val="002B5940"/>
    <w:rsid w:val="002B5DDA"/>
    <w:rsid w:val="002B5E0C"/>
    <w:rsid w:val="002B6164"/>
    <w:rsid w:val="002B6C1E"/>
    <w:rsid w:val="002B7308"/>
    <w:rsid w:val="002B734C"/>
    <w:rsid w:val="002B737F"/>
    <w:rsid w:val="002B75FC"/>
    <w:rsid w:val="002B8149"/>
    <w:rsid w:val="002C00D2"/>
    <w:rsid w:val="002C0A6F"/>
    <w:rsid w:val="002C0DF1"/>
    <w:rsid w:val="002C0FA2"/>
    <w:rsid w:val="002C111A"/>
    <w:rsid w:val="002C1399"/>
    <w:rsid w:val="002C179F"/>
    <w:rsid w:val="002C1A51"/>
    <w:rsid w:val="002C1C19"/>
    <w:rsid w:val="002C1E2A"/>
    <w:rsid w:val="002C1EFF"/>
    <w:rsid w:val="002C2430"/>
    <w:rsid w:val="002C2626"/>
    <w:rsid w:val="002C2C26"/>
    <w:rsid w:val="002C31BE"/>
    <w:rsid w:val="002C31E6"/>
    <w:rsid w:val="002C3CFA"/>
    <w:rsid w:val="002C412A"/>
    <w:rsid w:val="002C4522"/>
    <w:rsid w:val="002C47A6"/>
    <w:rsid w:val="002C4853"/>
    <w:rsid w:val="002C4DBC"/>
    <w:rsid w:val="002C55FB"/>
    <w:rsid w:val="002C5CAD"/>
    <w:rsid w:val="002C5D1B"/>
    <w:rsid w:val="002C66C5"/>
    <w:rsid w:val="002C7046"/>
    <w:rsid w:val="002C7276"/>
    <w:rsid w:val="002C72AB"/>
    <w:rsid w:val="002C74B4"/>
    <w:rsid w:val="002D0952"/>
    <w:rsid w:val="002D1959"/>
    <w:rsid w:val="002D21DA"/>
    <w:rsid w:val="002D237E"/>
    <w:rsid w:val="002D25E6"/>
    <w:rsid w:val="002D26A7"/>
    <w:rsid w:val="002D26E9"/>
    <w:rsid w:val="002D289B"/>
    <w:rsid w:val="002D3081"/>
    <w:rsid w:val="002D3383"/>
    <w:rsid w:val="002D41BE"/>
    <w:rsid w:val="002D420F"/>
    <w:rsid w:val="002D44D4"/>
    <w:rsid w:val="002D44E1"/>
    <w:rsid w:val="002D471B"/>
    <w:rsid w:val="002D4A50"/>
    <w:rsid w:val="002D4D95"/>
    <w:rsid w:val="002D5345"/>
    <w:rsid w:val="002D5368"/>
    <w:rsid w:val="002D5500"/>
    <w:rsid w:val="002D57F5"/>
    <w:rsid w:val="002D5FD9"/>
    <w:rsid w:val="002D64AA"/>
    <w:rsid w:val="002D6675"/>
    <w:rsid w:val="002D68AE"/>
    <w:rsid w:val="002D74CB"/>
    <w:rsid w:val="002D76D5"/>
    <w:rsid w:val="002D7735"/>
    <w:rsid w:val="002D7972"/>
    <w:rsid w:val="002D7FD4"/>
    <w:rsid w:val="002E0290"/>
    <w:rsid w:val="002E02C0"/>
    <w:rsid w:val="002E04DA"/>
    <w:rsid w:val="002E05F4"/>
    <w:rsid w:val="002E104E"/>
    <w:rsid w:val="002E1095"/>
    <w:rsid w:val="002E132C"/>
    <w:rsid w:val="002E13E4"/>
    <w:rsid w:val="002E1502"/>
    <w:rsid w:val="002E230E"/>
    <w:rsid w:val="002E24D4"/>
    <w:rsid w:val="002E296F"/>
    <w:rsid w:val="002E3149"/>
    <w:rsid w:val="002E33DD"/>
    <w:rsid w:val="002E33E2"/>
    <w:rsid w:val="002E376E"/>
    <w:rsid w:val="002E3799"/>
    <w:rsid w:val="002E3A12"/>
    <w:rsid w:val="002E3A8F"/>
    <w:rsid w:val="002E3DD3"/>
    <w:rsid w:val="002E3F0B"/>
    <w:rsid w:val="002E4453"/>
    <w:rsid w:val="002E51B8"/>
    <w:rsid w:val="002E6314"/>
    <w:rsid w:val="002E6406"/>
    <w:rsid w:val="002E68F0"/>
    <w:rsid w:val="002E69E8"/>
    <w:rsid w:val="002E6B52"/>
    <w:rsid w:val="002E6EF4"/>
    <w:rsid w:val="002E70E5"/>
    <w:rsid w:val="002E7C40"/>
    <w:rsid w:val="002E7D5F"/>
    <w:rsid w:val="002E7FB6"/>
    <w:rsid w:val="002F03BB"/>
    <w:rsid w:val="002F07D0"/>
    <w:rsid w:val="002F081B"/>
    <w:rsid w:val="002F0911"/>
    <w:rsid w:val="002F0B67"/>
    <w:rsid w:val="002F0BBC"/>
    <w:rsid w:val="002F0E6A"/>
    <w:rsid w:val="002F1071"/>
    <w:rsid w:val="002F13CF"/>
    <w:rsid w:val="002F16D9"/>
    <w:rsid w:val="002F1AF2"/>
    <w:rsid w:val="002F1BF7"/>
    <w:rsid w:val="002F309C"/>
    <w:rsid w:val="002F346D"/>
    <w:rsid w:val="002F35E3"/>
    <w:rsid w:val="002F36D4"/>
    <w:rsid w:val="002F3713"/>
    <w:rsid w:val="002F3759"/>
    <w:rsid w:val="002F3DCE"/>
    <w:rsid w:val="002F40D3"/>
    <w:rsid w:val="002F41CA"/>
    <w:rsid w:val="002F48D0"/>
    <w:rsid w:val="002F4A73"/>
    <w:rsid w:val="002F4B50"/>
    <w:rsid w:val="002F5D5E"/>
    <w:rsid w:val="002F69A3"/>
    <w:rsid w:val="002F6D3C"/>
    <w:rsid w:val="002F76B8"/>
    <w:rsid w:val="002F76F6"/>
    <w:rsid w:val="002F77F2"/>
    <w:rsid w:val="00300055"/>
    <w:rsid w:val="00300580"/>
    <w:rsid w:val="003009A2"/>
    <w:rsid w:val="00300EB7"/>
    <w:rsid w:val="00301834"/>
    <w:rsid w:val="0030203B"/>
    <w:rsid w:val="0030206D"/>
    <w:rsid w:val="003022CC"/>
    <w:rsid w:val="00302458"/>
    <w:rsid w:val="00302CB3"/>
    <w:rsid w:val="00302F61"/>
    <w:rsid w:val="00302F87"/>
    <w:rsid w:val="0030385D"/>
    <w:rsid w:val="0030389C"/>
    <w:rsid w:val="0030412E"/>
    <w:rsid w:val="00304674"/>
    <w:rsid w:val="003047B3"/>
    <w:rsid w:val="00304C5E"/>
    <w:rsid w:val="00304F7E"/>
    <w:rsid w:val="00305438"/>
    <w:rsid w:val="00305B83"/>
    <w:rsid w:val="00305BC4"/>
    <w:rsid w:val="0030681E"/>
    <w:rsid w:val="00306899"/>
    <w:rsid w:val="00306961"/>
    <w:rsid w:val="003069DA"/>
    <w:rsid w:val="00306E8D"/>
    <w:rsid w:val="00307879"/>
    <w:rsid w:val="00307A08"/>
    <w:rsid w:val="00307BF3"/>
    <w:rsid w:val="00307D2C"/>
    <w:rsid w:val="003101CA"/>
    <w:rsid w:val="00310658"/>
    <w:rsid w:val="00310B61"/>
    <w:rsid w:val="003110B3"/>
    <w:rsid w:val="00311198"/>
    <w:rsid w:val="0031147C"/>
    <w:rsid w:val="003118EC"/>
    <w:rsid w:val="003118F5"/>
    <w:rsid w:val="00311B73"/>
    <w:rsid w:val="00311E44"/>
    <w:rsid w:val="0031238B"/>
    <w:rsid w:val="0031254C"/>
    <w:rsid w:val="00312B8C"/>
    <w:rsid w:val="00312FB9"/>
    <w:rsid w:val="00313407"/>
    <w:rsid w:val="003136FA"/>
    <w:rsid w:val="003138D5"/>
    <w:rsid w:val="00313F56"/>
    <w:rsid w:val="00314209"/>
    <w:rsid w:val="003142D2"/>
    <w:rsid w:val="003149F4"/>
    <w:rsid w:val="00314DCA"/>
    <w:rsid w:val="0031544D"/>
    <w:rsid w:val="00315473"/>
    <w:rsid w:val="003155DE"/>
    <w:rsid w:val="003158C8"/>
    <w:rsid w:val="00315F3B"/>
    <w:rsid w:val="003160F6"/>
    <w:rsid w:val="003162A8"/>
    <w:rsid w:val="003162F4"/>
    <w:rsid w:val="00316378"/>
    <w:rsid w:val="00316435"/>
    <w:rsid w:val="00316679"/>
    <w:rsid w:val="003168FF"/>
    <w:rsid w:val="0031698F"/>
    <w:rsid w:val="00316DBC"/>
    <w:rsid w:val="00317644"/>
    <w:rsid w:val="00317959"/>
    <w:rsid w:val="00317C4B"/>
    <w:rsid w:val="00317D91"/>
    <w:rsid w:val="00317F1E"/>
    <w:rsid w:val="00320262"/>
    <w:rsid w:val="00320383"/>
    <w:rsid w:val="00320454"/>
    <w:rsid w:val="003206DC"/>
    <w:rsid w:val="003207E2"/>
    <w:rsid w:val="00320CDF"/>
    <w:rsid w:val="003215C8"/>
    <w:rsid w:val="00321A4A"/>
    <w:rsid w:val="00321B7F"/>
    <w:rsid w:val="00321FBB"/>
    <w:rsid w:val="003220EC"/>
    <w:rsid w:val="0032249E"/>
    <w:rsid w:val="0032258B"/>
    <w:rsid w:val="003227FE"/>
    <w:rsid w:val="0032291E"/>
    <w:rsid w:val="00323004"/>
    <w:rsid w:val="00323DBF"/>
    <w:rsid w:val="00324920"/>
    <w:rsid w:val="00324AC5"/>
    <w:rsid w:val="00324B17"/>
    <w:rsid w:val="00324CE0"/>
    <w:rsid w:val="0032531C"/>
    <w:rsid w:val="00325626"/>
    <w:rsid w:val="00325B36"/>
    <w:rsid w:val="00325FCD"/>
    <w:rsid w:val="00326206"/>
    <w:rsid w:val="003263CF"/>
    <w:rsid w:val="003269E5"/>
    <w:rsid w:val="003274C6"/>
    <w:rsid w:val="0032794F"/>
    <w:rsid w:val="003279CC"/>
    <w:rsid w:val="00327A20"/>
    <w:rsid w:val="003300D6"/>
    <w:rsid w:val="003302E1"/>
    <w:rsid w:val="00330CE5"/>
    <w:rsid w:val="00330D91"/>
    <w:rsid w:val="00331C09"/>
    <w:rsid w:val="00331F73"/>
    <w:rsid w:val="003322D8"/>
    <w:rsid w:val="00332476"/>
    <w:rsid w:val="00332CF4"/>
    <w:rsid w:val="0033378C"/>
    <w:rsid w:val="003337DD"/>
    <w:rsid w:val="0033431D"/>
    <w:rsid w:val="00334869"/>
    <w:rsid w:val="00334D05"/>
    <w:rsid w:val="00335015"/>
    <w:rsid w:val="00335043"/>
    <w:rsid w:val="00335134"/>
    <w:rsid w:val="00335960"/>
    <w:rsid w:val="00335F32"/>
    <w:rsid w:val="0033619E"/>
    <w:rsid w:val="003363C5"/>
    <w:rsid w:val="00336420"/>
    <w:rsid w:val="003364EC"/>
    <w:rsid w:val="00336CC5"/>
    <w:rsid w:val="00336D46"/>
    <w:rsid w:val="00336E34"/>
    <w:rsid w:val="00336FEB"/>
    <w:rsid w:val="00337338"/>
    <w:rsid w:val="0033755E"/>
    <w:rsid w:val="003376C2"/>
    <w:rsid w:val="00337726"/>
    <w:rsid w:val="00337733"/>
    <w:rsid w:val="00337CDA"/>
    <w:rsid w:val="0034038E"/>
    <w:rsid w:val="00340970"/>
    <w:rsid w:val="00340C89"/>
    <w:rsid w:val="00340DBB"/>
    <w:rsid w:val="0034111A"/>
    <w:rsid w:val="003411AC"/>
    <w:rsid w:val="0034142A"/>
    <w:rsid w:val="003416AB"/>
    <w:rsid w:val="00341B06"/>
    <w:rsid w:val="00341BA4"/>
    <w:rsid w:val="00341E2A"/>
    <w:rsid w:val="00341EA1"/>
    <w:rsid w:val="0034209B"/>
    <w:rsid w:val="00342D90"/>
    <w:rsid w:val="003430B0"/>
    <w:rsid w:val="00343196"/>
    <w:rsid w:val="0034349A"/>
    <w:rsid w:val="0034349C"/>
    <w:rsid w:val="00344214"/>
    <w:rsid w:val="003443A9"/>
    <w:rsid w:val="00344421"/>
    <w:rsid w:val="0034498C"/>
    <w:rsid w:val="00344B1B"/>
    <w:rsid w:val="00344C8D"/>
    <w:rsid w:val="00344FD6"/>
    <w:rsid w:val="00345301"/>
    <w:rsid w:val="0034543F"/>
    <w:rsid w:val="0034551B"/>
    <w:rsid w:val="00345541"/>
    <w:rsid w:val="00345670"/>
    <w:rsid w:val="00345A3C"/>
    <w:rsid w:val="003460B2"/>
    <w:rsid w:val="003464AE"/>
    <w:rsid w:val="003465B3"/>
    <w:rsid w:val="003467A2"/>
    <w:rsid w:val="003467CF"/>
    <w:rsid w:val="00346AAD"/>
    <w:rsid w:val="00346F25"/>
    <w:rsid w:val="003470EA"/>
    <w:rsid w:val="00347541"/>
    <w:rsid w:val="0034754B"/>
    <w:rsid w:val="00347766"/>
    <w:rsid w:val="00347F5C"/>
    <w:rsid w:val="00350583"/>
    <w:rsid w:val="00350C69"/>
    <w:rsid w:val="0035109C"/>
    <w:rsid w:val="003510CD"/>
    <w:rsid w:val="003510EB"/>
    <w:rsid w:val="00351282"/>
    <w:rsid w:val="003513F3"/>
    <w:rsid w:val="00351480"/>
    <w:rsid w:val="003515C7"/>
    <w:rsid w:val="003515CF"/>
    <w:rsid w:val="00351677"/>
    <w:rsid w:val="00351913"/>
    <w:rsid w:val="003519BF"/>
    <w:rsid w:val="00351B2B"/>
    <w:rsid w:val="00351B38"/>
    <w:rsid w:val="00351FDF"/>
    <w:rsid w:val="003522BA"/>
    <w:rsid w:val="00352386"/>
    <w:rsid w:val="003526B9"/>
    <w:rsid w:val="00352DA6"/>
    <w:rsid w:val="00353358"/>
    <w:rsid w:val="00353384"/>
    <w:rsid w:val="003534A3"/>
    <w:rsid w:val="0035386D"/>
    <w:rsid w:val="00353DC3"/>
    <w:rsid w:val="003540D8"/>
    <w:rsid w:val="00354B8E"/>
    <w:rsid w:val="00354CC1"/>
    <w:rsid w:val="00354CC5"/>
    <w:rsid w:val="00354CFF"/>
    <w:rsid w:val="00355BA2"/>
    <w:rsid w:val="00355F51"/>
    <w:rsid w:val="00356120"/>
    <w:rsid w:val="003563A8"/>
    <w:rsid w:val="00356549"/>
    <w:rsid w:val="0035660A"/>
    <w:rsid w:val="003566A1"/>
    <w:rsid w:val="00356996"/>
    <w:rsid w:val="00356EB2"/>
    <w:rsid w:val="00356F8D"/>
    <w:rsid w:val="0035742E"/>
    <w:rsid w:val="003575B0"/>
    <w:rsid w:val="003576DD"/>
    <w:rsid w:val="00357926"/>
    <w:rsid w:val="00357E80"/>
    <w:rsid w:val="00357EBC"/>
    <w:rsid w:val="00360062"/>
    <w:rsid w:val="0036027E"/>
    <w:rsid w:val="00360636"/>
    <w:rsid w:val="003606C2"/>
    <w:rsid w:val="003609C9"/>
    <w:rsid w:val="00360E85"/>
    <w:rsid w:val="00360FBB"/>
    <w:rsid w:val="003611D2"/>
    <w:rsid w:val="003615C0"/>
    <w:rsid w:val="003617CB"/>
    <w:rsid w:val="00362050"/>
    <w:rsid w:val="003625AE"/>
    <w:rsid w:val="00362969"/>
    <w:rsid w:val="003629B0"/>
    <w:rsid w:val="00362AB3"/>
    <w:rsid w:val="00363028"/>
    <w:rsid w:val="00363AAD"/>
    <w:rsid w:val="00363CC5"/>
    <w:rsid w:val="00364033"/>
    <w:rsid w:val="003644F7"/>
    <w:rsid w:val="00364565"/>
    <w:rsid w:val="0036456F"/>
    <w:rsid w:val="00364718"/>
    <w:rsid w:val="00364E93"/>
    <w:rsid w:val="003658EA"/>
    <w:rsid w:val="00365BDD"/>
    <w:rsid w:val="00365C29"/>
    <w:rsid w:val="003672DC"/>
    <w:rsid w:val="00367558"/>
    <w:rsid w:val="00367785"/>
    <w:rsid w:val="00367A05"/>
    <w:rsid w:val="00367C60"/>
    <w:rsid w:val="00367C72"/>
    <w:rsid w:val="0037024E"/>
    <w:rsid w:val="00370391"/>
    <w:rsid w:val="003703AA"/>
    <w:rsid w:val="003707AF"/>
    <w:rsid w:val="00370A73"/>
    <w:rsid w:val="00370C40"/>
    <w:rsid w:val="00370FA7"/>
    <w:rsid w:val="00371271"/>
    <w:rsid w:val="003714F5"/>
    <w:rsid w:val="00371768"/>
    <w:rsid w:val="00371B1B"/>
    <w:rsid w:val="00371B2A"/>
    <w:rsid w:val="00372074"/>
    <w:rsid w:val="003722A1"/>
    <w:rsid w:val="0037292F"/>
    <w:rsid w:val="00372D12"/>
    <w:rsid w:val="003736C2"/>
    <w:rsid w:val="00373C41"/>
    <w:rsid w:val="00374038"/>
    <w:rsid w:val="0037407D"/>
    <w:rsid w:val="00374C3D"/>
    <w:rsid w:val="00374DCC"/>
    <w:rsid w:val="003752F5"/>
    <w:rsid w:val="0037558E"/>
    <w:rsid w:val="003756DC"/>
    <w:rsid w:val="003758EA"/>
    <w:rsid w:val="00375938"/>
    <w:rsid w:val="00375A0F"/>
    <w:rsid w:val="003760DD"/>
    <w:rsid w:val="0037683C"/>
    <w:rsid w:val="0037692F"/>
    <w:rsid w:val="0037695D"/>
    <w:rsid w:val="00376A99"/>
    <w:rsid w:val="00376CDF"/>
    <w:rsid w:val="00376DB3"/>
    <w:rsid w:val="003774C9"/>
    <w:rsid w:val="0037762C"/>
    <w:rsid w:val="00377A21"/>
    <w:rsid w:val="00380803"/>
    <w:rsid w:val="0038093F"/>
    <w:rsid w:val="003813E5"/>
    <w:rsid w:val="003814E0"/>
    <w:rsid w:val="003820D5"/>
    <w:rsid w:val="003823E1"/>
    <w:rsid w:val="003825AC"/>
    <w:rsid w:val="00382722"/>
    <w:rsid w:val="00382F94"/>
    <w:rsid w:val="00383001"/>
    <w:rsid w:val="0038300A"/>
    <w:rsid w:val="00383161"/>
    <w:rsid w:val="003832DA"/>
    <w:rsid w:val="003835B5"/>
    <w:rsid w:val="00383A2A"/>
    <w:rsid w:val="00383B32"/>
    <w:rsid w:val="00383CED"/>
    <w:rsid w:val="00383E2E"/>
    <w:rsid w:val="00384204"/>
    <w:rsid w:val="00384510"/>
    <w:rsid w:val="003845A5"/>
    <w:rsid w:val="00384C44"/>
    <w:rsid w:val="00384E77"/>
    <w:rsid w:val="00385028"/>
    <w:rsid w:val="003853B8"/>
    <w:rsid w:val="00385616"/>
    <w:rsid w:val="003857AF"/>
    <w:rsid w:val="00385A6E"/>
    <w:rsid w:val="00385B33"/>
    <w:rsid w:val="00385BBD"/>
    <w:rsid w:val="00386165"/>
    <w:rsid w:val="00386547"/>
    <w:rsid w:val="003869AC"/>
    <w:rsid w:val="00386D46"/>
    <w:rsid w:val="0038725D"/>
    <w:rsid w:val="003872A0"/>
    <w:rsid w:val="003876C8"/>
    <w:rsid w:val="00387706"/>
    <w:rsid w:val="00387CBE"/>
    <w:rsid w:val="00390330"/>
    <w:rsid w:val="00390A1D"/>
    <w:rsid w:val="00390BFB"/>
    <w:rsid w:val="0039186E"/>
    <w:rsid w:val="00391B36"/>
    <w:rsid w:val="00391F3B"/>
    <w:rsid w:val="00392863"/>
    <w:rsid w:val="00392AEA"/>
    <w:rsid w:val="00392B48"/>
    <w:rsid w:val="00392B6C"/>
    <w:rsid w:val="00393239"/>
    <w:rsid w:val="003932B8"/>
    <w:rsid w:val="003935C7"/>
    <w:rsid w:val="003935DF"/>
    <w:rsid w:val="003940B4"/>
    <w:rsid w:val="003940E8"/>
    <w:rsid w:val="00394234"/>
    <w:rsid w:val="003943A9"/>
    <w:rsid w:val="00394B7B"/>
    <w:rsid w:val="00394C26"/>
    <w:rsid w:val="003958C8"/>
    <w:rsid w:val="00396531"/>
    <w:rsid w:val="0039660F"/>
    <w:rsid w:val="00396954"/>
    <w:rsid w:val="00396EAB"/>
    <w:rsid w:val="003975FA"/>
    <w:rsid w:val="00397A73"/>
    <w:rsid w:val="00397B90"/>
    <w:rsid w:val="003A0723"/>
    <w:rsid w:val="003A07B7"/>
    <w:rsid w:val="003A07F2"/>
    <w:rsid w:val="003A0AB1"/>
    <w:rsid w:val="003A0C16"/>
    <w:rsid w:val="003A0DB9"/>
    <w:rsid w:val="003A109B"/>
    <w:rsid w:val="003A1128"/>
    <w:rsid w:val="003A112F"/>
    <w:rsid w:val="003A1326"/>
    <w:rsid w:val="003A1418"/>
    <w:rsid w:val="003A14F8"/>
    <w:rsid w:val="003A1664"/>
    <w:rsid w:val="003A2287"/>
    <w:rsid w:val="003A2346"/>
    <w:rsid w:val="003A23BA"/>
    <w:rsid w:val="003A2BF4"/>
    <w:rsid w:val="003A2C8E"/>
    <w:rsid w:val="003A2ECA"/>
    <w:rsid w:val="003A37C5"/>
    <w:rsid w:val="003A384A"/>
    <w:rsid w:val="003A3A18"/>
    <w:rsid w:val="003A3B45"/>
    <w:rsid w:val="003A3C25"/>
    <w:rsid w:val="003A3CFA"/>
    <w:rsid w:val="003A3F11"/>
    <w:rsid w:val="003A4ACB"/>
    <w:rsid w:val="003A4B0A"/>
    <w:rsid w:val="003A4CF4"/>
    <w:rsid w:val="003A4DCA"/>
    <w:rsid w:val="003A4F4B"/>
    <w:rsid w:val="003A57B5"/>
    <w:rsid w:val="003A60E4"/>
    <w:rsid w:val="003A66A1"/>
    <w:rsid w:val="003A670A"/>
    <w:rsid w:val="003A6DA5"/>
    <w:rsid w:val="003B0039"/>
    <w:rsid w:val="003B0488"/>
    <w:rsid w:val="003B0523"/>
    <w:rsid w:val="003B127D"/>
    <w:rsid w:val="003B145E"/>
    <w:rsid w:val="003B1743"/>
    <w:rsid w:val="003B1750"/>
    <w:rsid w:val="003B194F"/>
    <w:rsid w:val="003B1D99"/>
    <w:rsid w:val="003B21C9"/>
    <w:rsid w:val="003B229C"/>
    <w:rsid w:val="003B2441"/>
    <w:rsid w:val="003B2A83"/>
    <w:rsid w:val="003B2BBA"/>
    <w:rsid w:val="003B3113"/>
    <w:rsid w:val="003B31D2"/>
    <w:rsid w:val="003B343C"/>
    <w:rsid w:val="003B35CF"/>
    <w:rsid w:val="003B3D88"/>
    <w:rsid w:val="003B41C5"/>
    <w:rsid w:val="003B42BA"/>
    <w:rsid w:val="003B42DF"/>
    <w:rsid w:val="003B487B"/>
    <w:rsid w:val="003B48E9"/>
    <w:rsid w:val="003B5137"/>
    <w:rsid w:val="003B5304"/>
    <w:rsid w:val="003B59F1"/>
    <w:rsid w:val="003B67BB"/>
    <w:rsid w:val="003B69C2"/>
    <w:rsid w:val="003B6D08"/>
    <w:rsid w:val="003B7167"/>
    <w:rsid w:val="003B74BF"/>
    <w:rsid w:val="003B74CC"/>
    <w:rsid w:val="003B7616"/>
    <w:rsid w:val="003B79B5"/>
    <w:rsid w:val="003B79F6"/>
    <w:rsid w:val="003B7B1D"/>
    <w:rsid w:val="003B7CE8"/>
    <w:rsid w:val="003B7D6A"/>
    <w:rsid w:val="003B7DBB"/>
    <w:rsid w:val="003B7F66"/>
    <w:rsid w:val="003C05B9"/>
    <w:rsid w:val="003C0621"/>
    <w:rsid w:val="003C0905"/>
    <w:rsid w:val="003C0B6F"/>
    <w:rsid w:val="003C0CCB"/>
    <w:rsid w:val="003C1BA5"/>
    <w:rsid w:val="003C1D36"/>
    <w:rsid w:val="003C2092"/>
    <w:rsid w:val="003C256C"/>
    <w:rsid w:val="003C2589"/>
    <w:rsid w:val="003C2C9E"/>
    <w:rsid w:val="003C376C"/>
    <w:rsid w:val="003C383A"/>
    <w:rsid w:val="003C38CD"/>
    <w:rsid w:val="003C39E3"/>
    <w:rsid w:val="003C39E6"/>
    <w:rsid w:val="003C3D1A"/>
    <w:rsid w:val="003C41A1"/>
    <w:rsid w:val="003C44EB"/>
    <w:rsid w:val="003C46E7"/>
    <w:rsid w:val="003C4B49"/>
    <w:rsid w:val="003C50C9"/>
    <w:rsid w:val="003C5484"/>
    <w:rsid w:val="003C569A"/>
    <w:rsid w:val="003C5853"/>
    <w:rsid w:val="003C589C"/>
    <w:rsid w:val="003C5E8A"/>
    <w:rsid w:val="003C5ED3"/>
    <w:rsid w:val="003C65F1"/>
    <w:rsid w:val="003C6C8D"/>
    <w:rsid w:val="003C70A0"/>
    <w:rsid w:val="003C7609"/>
    <w:rsid w:val="003C7B89"/>
    <w:rsid w:val="003D0110"/>
    <w:rsid w:val="003D0323"/>
    <w:rsid w:val="003D08BD"/>
    <w:rsid w:val="003D1290"/>
    <w:rsid w:val="003D12CB"/>
    <w:rsid w:val="003D152F"/>
    <w:rsid w:val="003D1820"/>
    <w:rsid w:val="003D1BCD"/>
    <w:rsid w:val="003D20C2"/>
    <w:rsid w:val="003D20F9"/>
    <w:rsid w:val="003D218E"/>
    <w:rsid w:val="003D3159"/>
    <w:rsid w:val="003D3481"/>
    <w:rsid w:val="003D3791"/>
    <w:rsid w:val="003D3AD5"/>
    <w:rsid w:val="003D3D1F"/>
    <w:rsid w:val="003D3F83"/>
    <w:rsid w:val="003D40D2"/>
    <w:rsid w:val="003D45CB"/>
    <w:rsid w:val="003D4868"/>
    <w:rsid w:val="003D4C9D"/>
    <w:rsid w:val="003D50BA"/>
    <w:rsid w:val="003D54C3"/>
    <w:rsid w:val="003D5535"/>
    <w:rsid w:val="003D588E"/>
    <w:rsid w:val="003D5BA1"/>
    <w:rsid w:val="003D61E0"/>
    <w:rsid w:val="003D6A8A"/>
    <w:rsid w:val="003D77D5"/>
    <w:rsid w:val="003D7867"/>
    <w:rsid w:val="003D7AB9"/>
    <w:rsid w:val="003D7B3A"/>
    <w:rsid w:val="003D7F91"/>
    <w:rsid w:val="003E01E7"/>
    <w:rsid w:val="003E02FD"/>
    <w:rsid w:val="003E0643"/>
    <w:rsid w:val="003E09D5"/>
    <w:rsid w:val="003E0A91"/>
    <w:rsid w:val="003E0A9B"/>
    <w:rsid w:val="003E0AF3"/>
    <w:rsid w:val="003E0F40"/>
    <w:rsid w:val="003E10F1"/>
    <w:rsid w:val="003E12F2"/>
    <w:rsid w:val="003E1AD8"/>
    <w:rsid w:val="003E2294"/>
    <w:rsid w:val="003E2752"/>
    <w:rsid w:val="003E30DC"/>
    <w:rsid w:val="003E3B21"/>
    <w:rsid w:val="003E3DF6"/>
    <w:rsid w:val="003E3FC1"/>
    <w:rsid w:val="003E476E"/>
    <w:rsid w:val="003E5167"/>
    <w:rsid w:val="003E51D5"/>
    <w:rsid w:val="003E58B3"/>
    <w:rsid w:val="003E5A1E"/>
    <w:rsid w:val="003E5A5E"/>
    <w:rsid w:val="003E609A"/>
    <w:rsid w:val="003E63B3"/>
    <w:rsid w:val="003E6876"/>
    <w:rsid w:val="003E6BEA"/>
    <w:rsid w:val="003E6D5E"/>
    <w:rsid w:val="003E7013"/>
    <w:rsid w:val="003E7273"/>
    <w:rsid w:val="003E72BE"/>
    <w:rsid w:val="003E7548"/>
    <w:rsid w:val="003E7609"/>
    <w:rsid w:val="003E76B2"/>
    <w:rsid w:val="003E7C23"/>
    <w:rsid w:val="003E7D20"/>
    <w:rsid w:val="003F0CE3"/>
    <w:rsid w:val="003F0D39"/>
    <w:rsid w:val="003F10CC"/>
    <w:rsid w:val="003F16E2"/>
    <w:rsid w:val="003F198E"/>
    <w:rsid w:val="003F1DE6"/>
    <w:rsid w:val="003F21B2"/>
    <w:rsid w:val="003F26CC"/>
    <w:rsid w:val="003F28E5"/>
    <w:rsid w:val="003F2B1C"/>
    <w:rsid w:val="003F330B"/>
    <w:rsid w:val="003F33D9"/>
    <w:rsid w:val="003F38F8"/>
    <w:rsid w:val="003F3C8B"/>
    <w:rsid w:val="003F402D"/>
    <w:rsid w:val="003F46C9"/>
    <w:rsid w:val="003F4714"/>
    <w:rsid w:val="003F4920"/>
    <w:rsid w:val="003F50B8"/>
    <w:rsid w:val="003F51FE"/>
    <w:rsid w:val="003F55A1"/>
    <w:rsid w:val="003F56AE"/>
    <w:rsid w:val="003F5713"/>
    <w:rsid w:val="003F60A6"/>
    <w:rsid w:val="003F61A1"/>
    <w:rsid w:val="003F64D3"/>
    <w:rsid w:val="003F66FB"/>
    <w:rsid w:val="003F6735"/>
    <w:rsid w:val="003F687B"/>
    <w:rsid w:val="003F6946"/>
    <w:rsid w:val="003F6A41"/>
    <w:rsid w:val="003F7067"/>
    <w:rsid w:val="003F760F"/>
    <w:rsid w:val="003F763F"/>
    <w:rsid w:val="003F7F0D"/>
    <w:rsid w:val="00400417"/>
    <w:rsid w:val="00400B30"/>
    <w:rsid w:val="0040173C"/>
    <w:rsid w:val="00401A55"/>
    <w:rsid w:val="00401DCF"/>
    <w:rsid w:val="00402ADD"/>
    <w:rsid w:val="00403473"/>
    <w:rsid w:val="00403824"/>
    <w:rsid w:val="00403B0B"/>
    <w:rsid w:val="00403BA1"/>
    <w:rsid w:val="0040417D"/>
    <w:rsid w:val="004042BB"/>
    <w:rsid w:val="004043EF"/>
    <w:rsid w:val="00404416"/>
    <w:rsid w:val="0040471A"/>
    <w:rsid w:val="0040482A"/>
    <w:rsid w:val="00404A61"/>
    <w:rsid w:val="00404BD1"/>
    <w:rsid w:val="00404FDF"/>
    <w:rsid w:val="00405101"/>
    <w:rsid w:val="00405177"/>
    <w:rsid w:val="004054E3"/>
    <w:rsid w:val="00405672"/>
    <w:rsid w:val="004056D1"/>
    <w:rsid w:val="00405AD3"/>
    <w:rsid w:val="00405DDB"/>
    <w:rsid w:val="00406037"/>
    <w:rsid w:val="00406F30"/>
    <w:rsid w:val="00406FFC"/>
    <w:rsid w:val="00407360"/>
    <w:rsid w:val="00407785"/>
    <w:rsid w:val="00407AC8"/>
    <w:rsid w:val="00407ED4"/>
    <w:rsid w:val="004101EE"/>
    <w:rsid w:val="004102D1"/>
    <w:rsid w:val="00410DCD"/>
    <w:rsid w:val="004112AA"/>
    <w:rsid w:val="00411DA9"/>
    <w:rsid w:val="00412087"/>
    <w:rsid w:val="00412255"/>
    <w:rsid w:val="00412405"/>
    <w:rsid w:val="00412696"/>
    <w:rsid w:val="004127F4"/>
    <w:rsid w:val="00412994"/>
    <w:rsid w:val="004129CD"/>
    <w:rsid w:val="00412B07"/>
    <w:rsid w:val="00412CAF"/>
    <w:rsid w:val="00412E9A"/>
    <w:rsid w:val="004130AD"/>
    <w:rsid w:val="0041325B"/>
    <w:rsid w:val="0041357E"/>
    <w:rsid w:val="00414046"/>
    <w:rsid w:val="00414333"/>
    <w:rsid w:val="00414436"/>
    <w:rsid w:val="00414614"/>
    <w:rsid w:val="00414B31"/>
    <w:rsid w:val="00414FB6"/>
    <w:rsid w:val="00416F6A"/>
    <w:rsid w:val="00417216"/>
    <w:rsid w:val="00417A94"/>
    <w:rsid w:val="00417CB7"/>
    <w:rsid w:val="00417CCA"/>
    <w:rsid w:val="00417D30"/>
    <w:rsid w:val="00417E7E"/>
    <w:rsid w:val="004202E9"/>
    <w:rsid w:val="00420FEC"/>
    <w:rsid w:val="00421325"/>
    <w:rsid w:val="00421678"/>
    <w:rsid w:val="00421887"/>
    <w:rsid w:val="00422973"/>
    <w:rsid w:val="004229E0"/>
    <w:rsid w:val="00422BD0"/>
    <w:rsid w:val="00422F6E"/>
    <w:rsid w:val="00423089"/>
    <w:rsid w:val="004230AF"/>
    <w:rsid w:val="004233A7"/>
    <w:rsid w:val="0042383E"/>
    <w:rsid w:val="00423A9D"/>
    <w:rsid w:val="004240AC"/>
    <w:rsid w:val="0042467F"/>
    <w:rsid w:val="004247B1"/>
    <w:rsid w:val="00424A01"/>
    <w:rsid w:val="00425B63"/>
    <w:rsid w:val="00425DCA"/>
    <w:rsid w:val="00426092"/>
    <w:rsid w:val="0042637D"/>
    <w:rsid w:val="004265A9"/>
    <w:rsid w:val="004267EF"/>
    <w:rsid w:val="00426851"/>
    <w:rsid w:val="00426BA3"/>
    <w:rsid w:val="00426E17"/>
    <w:rsid w:val="00426EF5"/>
    <w:rsid w:val="0042756D"/>
    <w:rsid w:val="0043092F"/>
    <w:rsid w:val="00430A5A"/>
    <w:rsid w:val="004312CD"/>
    <w:rsid w:val="0043139A"/>
    <w:rsid w:val="00431641"/>
    <w:rsid w:val="004316D3"/>
    <w:rsid w:val="00431883"/>
    <w:rsid w:val="00431DF8"/>
    <w:rsid w:val="00431EF8"/>
    <w:rsid w:val="004328C5"/>
    <w:rsid w:val="00432C2F"/>
    <w:rsid w:val="00432C44"/>
    <w:rsid w:val="004331BC"/>
    <w:rsid w:val="0043345F"/>
    <w:rsid w:val="00433878"/>
    <w:rsid w:val="00433C49"/>
    <w:rsid w:val="00433FAB"/>
    <w:rsid w:val="00434037"/>
    <w:rsid w:val="004347B5"/>
    <w:rsid w:val="004352EF"/>
    <w:rsid w:val="004353A2"/>
    <w:rsid w:val="004355A0"/>
    <w:rsid w:val="00435DB3"/>
    <w:rsid w:val="00435E3D"/>
    <w:rsid w:val="00436534"/>
    <w:rsid w:val="00436A93"/>
    <w:rsid w:val="00436D96"/>
    <w:rsid w:val="0043738A"/>
    <w:rsid w:val="0043738F"/>
    <w:rsid w:val="0043791E"/>
    <w:rsid w:val="00437CA0"/>
    <w:rsid w:val="0044004D"/>
    <w:rsid w:val="0044068A"/>
    <w:rsid w:val="0044072D"/>
    <w:rsid w:val="00440854"/>
    <w:rsid w:val="004409C7"/>
    <w:rsid w:val="00440C1E"/>
    <w:rsid w:val="004413D2"/>
    <w:rsid w:val="00441462"/>
    <w:rsid w:val="0044198E"/>
    <w:rsid w:val="004422E3"/>
    <w:rsid w:val="0044244E"/>
    <w:rsid w:val="004424C7"/>
    <w:rsid w:val="00442855"/>
    <w:rsid w:val="00442D44"/>
    <w:rsid w:val="00442FE0"/>
    <w:rsid w:val="00443021"/>
    <w:rsid w:val="00443130"/>
    <w:rsid w:val="004434C0"/>
    <w:rsid w:val="00443833"/>
    <w:rsid w:val="00443993"/>
    <w:rsid w:val="00443B85"/>
    <w:rsid w:val="00443C7E"/>
    <w:rsid w:val="00443F4B"/>
    <w:rsid w:val="0044422E"/>
    <w:rsid w:val="00444473"/>
    <w:rsid w:val="00444C09"/>
    <w:rsid w:val="00444C40"/>
    <w:rsid w:val="00445174"/>
    <w:rsid w:val="0044526D"/>
    <w:rsid w:val="004452F9"/>
    <w:rsid w:val="004453CF"/>
    <w:rsid w:val="00445639"/>
    <w:rsid w:val="00445772"/>
    <w:rsid w:val="004458D5"/>
    <w:rsid w:val="00445B99"/>
    <w:rsid w:val="00445DC8"/>
    <w:rsid w:val="00445E2C"/>
    <w:rsid w:val="00445E3F"/>
    <w:rsid w:val="00446616"/>
    <w:rsid w:val="004467AD"/>
    <w:rsid w:val="0044694E"/>
    <w:rsid w:val="00446BFE"/>
    <w:rsid w:val="00446FF0"/>
    <w:rsid w:val="00447037"/>
    <w:rsid w:val="00447747"/>
    <w:rsid w:val="00447B3F"/>
    <w:rsid w:val="00450084"/>
    <w:rsid w:val="00450209"/>
    <w:rsid w:val="00450771"/>
    <w:rsid w:val="00450875"/>
    <w:rsid w:val="00450BA3"/>
    <w:rsid w:val="00451206"/>
    <w:rsid w:val="004514E9"/>
    <w:rsid w:val="004519D6"/>
    <w:rsid w:val="00451A36"/>
    <w:rsid w:val="00452303"/>
    <w:rsid w:val="004529E5"/>
    <w:rsid w:val="00452AC4"/>
    <w:rsid w:val="00452BA0"/>
    <w:rsid w:val="00452D86"/>
    <w:rsid w:val="00452EFC"/>
    <w:rsid w:val="0045355A"/>
    <w:rsid w:val="00453C2F"/>
    <w:rsid w:val="004542F8"/>
    <w:rsid w:val="0045450D"/>
    <w:rsid w:val="00454676"/>
    <w:rsid w:val="0045467B"/>
    <w:rsid w:val="00454B42"/>
    <w:rsid w:val="00454CCD"/>
    <w:rsid w:val="0045515E"/>
    <w:rsid w:val="00455300"/>
    <w:rsid w:val="004559DE"/>
    <w:rsid w:val="00455A69"/>
    <w:rsid w:val="004564E4"/>
    <w:rsid w:val="00456A17"/>
    <w:rsid w:val="00456F08"/>
    <w:rsid w:val="00456F56"/>
    <w:rsid w:val="004570C1"/>
    <w:rsid w:val="004570DD"/>
    <w:rsid w:val="0045727E"/>
    <w:rsid w:val="00457488"/>
    <w:rsid w:val="00457895"/>
    <w:rsid w:val="00457E25"/>
    <w:rsid w:val="00460679"/>
    <w:rsid w:val="004607B4"/>
    <w:rsid w:val="004608EE"/>
    <w:rsid w:val="00460C1B"/>
    <w:rsid w:val="00461462"/>
    <w:rsid w:val="004616C3"/>
    <w:rsid w:val="00461D41"/>
    <w:rsid w:val="00461FDF"/>
    <w:rsid w:val="00462566"/>
    <w:rsid w:val="00462BDC"/>
    <w:rsid w:val="00462E67"/>
    <w:rsid w:val="00462F50"/>
    <w:rsid w:val="00463093"/>
    <w:rsid w:val="004631DA"/>
    <w:rsid w:val="004634BC"/>
    <w:rsid w:val="00463537"/>
    <w:rsid w:val="00463628"/>
    <w:rsid w:val="00463944"/>
    <w:rsid w:val="00463A20"/>
    <w:rsid w:val="00463BE1"/>
    <w:rsid w:val="00463C86"/>
    <w:rsid w:val="00463DCB"/>
    <w:rsid w:val="004643B8"/>
    <w:rsid w:val="004647E5"/>
    <w:rsid w:val="00464989"/>
    <w:rsid w:val="00464E5A"/>
    <w:rsid w:val="0046506E"/>
    <w:rsid w:val="00465572"/>
    <w:rsid w:val="00465983"/>
    <w:rsid w:val="00465A90"/>
    <w:rsid w:val="00465AC3"/>
    <w:rsid w:val="00466BDF"/>
    <w:rsid w:val="00466EB1"/>
    <w:rsid w:val="00466EDF"/>
    <w:rsid w:val="00467499"/>
    <w:rsid w:val="00467591"/>
    <w:rsid w:val="004677A9"/>
    <w:rsid w:val="004677FD"/>
    <w:rsid w:val="00467827"/>
    <w:rsid w:val="00467B3B"/>
    <w:rsid w:val="00467C9A"/>
    <w:rsid w:val="00467EEB"/>
    <w:rsid w:val="00470075"/>
    <w:rsid w:val="004701A2"/>
    <w:rsid w:val="004702AF"/>
    <w:rsid w:val="004709AC"/>
    <w:rsid w:val="00470C04"/>
    <w:rsid w:val="00470C3B"/>
    <w:rsid w:val="00470E49"/>
    <w:rsid w:val="00470EEF"/>
    <w:rsid w:val="00471572"/>
    <w:rsid w:val="00471B88"/>
    <w:rsid w:val="00471F51"/>
    <w:rsid w:val="00472499"/>
    <w:rsid w:val="00472BFE"/>
    <w:rsid w:val="00472CF8"/>
    <w:rsid w:val="00472DBA"/>
    <w:rsid w:val="00472DBC"/>
    <w:rsid w:val="00472FA5"/>
    <w:rsid w:val="00473311"/>
    <w:rsid w:val="004737EB"/>
    <w:rsid w:val="00473E61"/>
    <w:rsid w:val="0047421A"/>
    <w:rsid w:val="00474C08"/>
    <w:rsid w:val="00474D6B"/>
    <w:rsid w:val="004750AD"/>
    <w:rsid w:val="004752D8"/>
    <w:rsid w:val="004754A0"/>
    <w:rsid w:val="004759A0"/>
    <w:rsid w:val="004759D9"/>
    <w:rsid w:val="00475A23"/>
    <w:rsid w:val="00475B40"/>
    <w:rsid w:val="00475F90"/>
    <w:rsid w:val="0047700C"/>
    <w:rsid w:val="004771F1"/>
    <w:rsid w:val="0047740C"/>
    <w:rsid w:val="00477CCE"/>
    <w:rsid w:val="00477CD6"/>
    <w:rsid w:val="004804DC"/>
    <w:rsid w:val="004804FD"/>
    <w:rsid w:val="004806E5"/>
    <w:rsid w:val="00480889"/>
    <w:rsid w:val="00480A69"/>
    <w:rsid w:val="00480D4D"/>
    <w:rsid w:val="00480D5E"/>
    <w:rsid w:val="00481050"/>
    <w:rsid w:val="00481071"/>
    <w:rsid w:val="004814F8"/>
    <w:rsid w:val="0048161C"/>
    <w:rsid w:val="004816C3"/>
    <w:rsid w:val="00481866"/>
    <w:rsid w:val="00481C11"/>
    <w:rsid w:val="00481F23"/>
    <w:rsid w:val="004821DE"/>
    <w:rsid w:val="00482E6B"/>
    <w:rsid w:val="00482F2F"/>
    <w:rsid w:val="0048355E"/>
    <w:rsid w:val="00483A7E"/>
    <w:rsid w:val="00483C83"/>
    <w:rsid w:val="00483D25"/>
    <w:rsid w:val="004843BC"/>
    <w:rsid w:val="004844A0"/>
    <w:rsid w:val="0048532B"/>
    <w:rsid w:val="00485742"/>
    <w:rsid w:val="00485886"/>
    <w:rsid w:val="00485C27"/>
    <w:rsid w:val="004861CE"/>
    <w:rsid w:val="0048636B"/>
    <w:rsid w:val="0048692F"/>
    <w:rsid w:val="004869A6"/>
    <w:rsid w:val="00486E06"/>
    <w:rsid w:val="00487029"/>
    <w:rsid w:val="0048704E"/>
    <w:rsid w:val="00487167"/>
    <w:rsid w:val="004874C6"/>
    <w:rsid w:val="00487504"/>
    <w:rsid w:val="0048751D"/>
    <w:rsid w:val="00487A90"/>
    <w:rsid w:val="0049000D"/>
    <w:rsid w:val="00490354"/>
    <w:rsid w:val="0049081F"/>
    <w:rsid w:val="00490FC7"/>
    <w:rsid w:val="00491172"/>
    <w:rsid w:val="00491B63"/>
    <w:rsid w:val="00491DCB"/>
    <w:rsid w:val="0049263D"/>
    <w:rsid w:val="004929D1"/>
    <w:rsid w:val="00492BA0"/>
    <w:rsid w:val="00493041"/>
    <w:rsid w:val="0049304D"/>
    <w:rsid w:val="00493203"/>
    <w:rsid w:val="0049330E"/>
    <w:rsid w:val="004938D9"/>
    <w:rsid w:val="004939A3"/>
    <w:rsid w:val="00493C34"/>
    <w:rsid w:val="00494266"/>
    <w:rsid w:val="00494B77"/>
    <w:rsid w:val="0049588E"/>
    <w:rsid w:val="00495925"/>
    <w:rsid w:val="00495CCF"/>
    <w:rsid w:val="00495FB0"/>
    <w:rsid w:val="00495FF4"/>
    <w:rsid w:val="00496353"/>
    <w:rsid w:val="004963C4"/>
    <w:rsid w:val="0049644C"/>
    <w:rsid w:val="00496897"/>
    <w:rsid w:val="004968A2"/>
    <w:rsid w:val="00496A24"/>
    <w:rsid w:val="00496E2E"/>
    <w:rsid w:val="00497172"/>
    <w:rsid w:val="004977A0"/>
    <w:rsid w:val="00497BA9"/>
    <w:rsid w:val="004A0478"/>
    <w:rsid w:val="004A0668"/>
    <w:rsid w:val="004A0AF8"/>
    <w:rsid w:val="004A0F46"/>
    <w:rsid w:val="004A10DA"/>
    <w:rsid w:val="004A1818"/>
    <w:rsid w:val="004A192D"/>
    <w:rsid w:val="004A1AC5"/>
    <w:rsid w:val="004A1DAE"/>
    <w:rsid w:val="004A21FB"/>
    <w:rsid w:val="004A24E9"/>
    <w:rsid w:val="004A251E"/>
    <w:rsid w:val="004A2738"/>
    <w:rsid w:val="004A2AC1"/>
    <w:rsid w:val="004A2CCD"/>
    <w:rsid w:val="004A3A92"/>
    <w:rsid w:val="004A3C04"/>
    <w:rsid w:val="004A3C87"/>
    <w:rsid w:val="004A4DE6"/>
    <w:rsid w:val="004A5070"/>
    <w:rsid w:val="004A6685"/>
    <w:rsid w:val="004A66CB"/>
    <w:rsid w:val="004A6AF2"/>
    <w:rsid w:val="004A6DD3"/>
    <w:rsid w:val="004A6F62"/>
    <w:rsid w:val="004A723D"/>
    <w:rsid w:val="004A730F"/>
    <w:rsid w:val="004A795F"/>
    <w:rsid w:val="004A7D4B"/>
    <w:rsid w:val="004A7D7B"/>
    <w:rsid w:val="004A7F6E"/>
    <w:rsid w:val="004B0316"/>
    <w:rsid w:val="004B042F"/>
    <w:rsid w:val="004B06A3"/>
    <w:rsid w:val="004B08A5"/>
    <w:rsid w:val="004B0FA8"/>
    <w:rsid w:val="004B1154"/>
    <w:rsid w:val="004B11EF"/>
    <w:rsid w:val="004B130F"/>
    <w:rsid w:val="004B136C"/>
    <w:rsid w:val="004B142A"/>
    <w:rsid w:val="004B16C8"/>
    <w:rsid w:val="004B2026"/>
    <w:rsid w:val="004B20CB"/>
    <w:rsid w:val="004B24A9"/>
    <w:rsid w:val="004B357F"/>
    <w:rsid w:val="004B364B"/>
    <w:rsid w:val="004B3912"/>
    <w:rsid w:val="004B3D8B"/>
    <w:rsid w:val="004B3E13"/>
    <w:rsid w:val="004B3F09"/>
    <w:rsid w:val="004B43A1"/>
    <w:rsid w:val="004B4778"/>
    <w:rsid w:val="004B4BB6"/>
    <w:rsid w:val="004B57BB"/>
    <w:rsid w:val="004B5900"/>
    <w:rsid w:val="004B5CB7"/>
    <w:rsid w:val="004B615B"/>
    <w:rsid w:val="004B61AA"/>
    <w:rsid w:val="004B61B3"/>
    <w:rsid w:val="004B65BE"/>
    <w:rsid w:val="004B6694"/>
    <w:rsid w:val="004B6822"/>
    <w:rsid w:val="004B6A87"/>
    <w:rsid w:val="004B6E3F"/>
    <w:rsid w:val="004B723E"/>
    <w:rsid w:val="004B72C0"/>
    <w:rsid w:val="004B7AE1"/>
    <w:rsid w:val="004B7EF9"/>
    <w:rsid w:val="004B7F4D"/>
    <w:rsid w:val="004C016C"/>
    <w:rsid w:val="004C0363"/>
    <w:rsid w:val="004C0B28"/>
    <w:rsid w:val="004C0C4D"/>
    <w:rsid w:val="004C0DE0"/>
    <w:rsid w:val="004C0FBF"/>
    <w:rsid w:val="004C164D"/>
    <w:rsid w:val="004C176F"/>
    <w:rsid w:val="004C20E0"/>
    <w:rsid w:val="004C26B6"/>
    <w:rsid w:val="004C29C7"/>
    <w:rsid w:val="004C29DE"/>
    <w:rsid w:val="004C2B60"/>
    <w:rsid w:val="004C2CE6"/>
    <w:rsid w:val="004C2E33"/>
    <w:rsid w:val="004C310F"/>
    <w:rsid w:val="004C31DE"/>
    <w:rsid w:val="004C3295"/>
    <w:rsid w:val="004C3B3A"/>
    <w:rsid w:val="004C3BC8"/>
    <w:rsid w:val="004C42C8"/>
    <w:rsid w:val="004C4336"/>
    <w:rsid w:val="004C44A4"/>
    <w:rsid w:val="004C50B9"/>
    <w:rsid w:val="004C53D3"/>
    <w:rsid w:val="004C55F6"/>
    <w:rsid w:val="004C5680"/>
    <w:rsid w:val="004C5B70"/>
    <w:rsid w:val="004C5D97"/>
    <w:rsid w:val="004C5FCF"/>
    <w:rsid w:val="004C5FDC"/>
    <w:rsid w:val="004C6120"/>
    <w:rsid w:val="004C6137"/>
    <w:rsid w:val="004C637B"/>
    <w:rsid w:val="004C692E"/>
    <w:rsid w:val="004C6AB3"/>
    <w:rsid w:val="004C6BC6"/>
    <w:rsid w:val="004C70EE"/>
    <w:rsid w:val="004C7273"/>
    <w:rsid w:val="004C7595"/>
    <w:rsid w:val="004C75A0"/>
    <w:rsid w:val="004C75DC"/>
    <w:rsid w:val="004D06F9"/>
    <w:rsid w:val="004D105E"/>
    <w:rsid w:val="004D18F2"/>
    <w:rsid w:val="004D1F55"/>
    <w:rsid w:val="004D1FEF"/>
    <w:rsid w:val="004D2380"/>
    <w:rsid w:val="004D281F"/>
    <w:rsid w:val="004D2E58"/>
    <w:rsid w:val="004D3235"/>
    <w:rsid w:val="004D3592"/>
    <w:rsid w:val="004D3AB9"/>
    <w:rsid w:val="004D3EA6"/>
    <w:rsid w:val="004D3F7A"/>
    <w:rsid w:val="004D3FD8"/>
    <w:rsid w:val="004D4156"/>
    <w:rsid w:val="004D431A"/>
    <w:rsid w:val="004D47C9"/>
    <w:rsid w:val="004D4BC1"/>
    <w:rsid w:val="004D4E3D"/>
    <w:rsid w:val="004D5300"/>
    <w:rsid w:val="004D567A"/>
    <w:rsid w:val="004D5689"/>
    <w:rsid w:val="004D597A"/>
    <w:rsid w:val="004D626B"/>
    <w:rsid w:val="004D6367"/>
    <w:rsid w:val="004D6487"/>
    <w:rsid w:val="004D6747"/>
    <w:rsid w:val="004D6C3F"/>
    <w:rsid w:val="004D6FED"/>
    <w:rsid w:val="004D7043"/>
    <w:rsid w:val="004D732E"/>
    <w:rsid w:val="004D7599"/>
    <w:rsid w:val="004D7649"/>
    <w:rsid w:val="004D78FF"/>
    <w:rsid w:val="004D7A33"/>
    <w:rsid w:val="004D7AC7"/>
    <w:rsid w:val="004D7FBD"/>
    <w:rsid w:val="004E03EE"/>
    <w:rsid w:val="004E05CA"/>
    <w:rsid w:val="004E07DC"/>
    <w:rsid w:val="004E09D9"/>
    <w:rsid w:val="004E0A22"/>
    <w:rsid w:val="004E0C25"/>
    <w:rsid w:val="004E0D49"/>
    <w:rsid w:val="004E0D50"/>
    <w:rsid w:val="004E0DF6"/>
    <w:rsid w:val="004E1559"/>
    <w:rsid w:val="004E158C"/>
    <w:rsid w:val="004E1761"/>
    <w:rsid w:val="004E1D4E"/>
    <w:rsid w:val="004E1D91"/>
    <w:rsid w:val="004E23FD"/>
    <w:rsid w:val="004E2435"/>
    <w:rsid w:val="004E2A6E"/>
    <w:rsid w:val="004E2A92"/>
    <w:rsid w:val="004E2AC1"/>
    <w:rsid w:val="004E2CBE"/>
    <w:rsid w:val="004E2D18"/>
    <w:rsid w:val="004E344B"/>
    <w:rsid w:val="004E3AA7"/>
    <w:rsid w:val="004E3C8C"/>
    <w:rsid w:val="004E3EFF"/>
    <w:rsid w:val="004E421B"/>
    <w:rsid w:val="004E4870"/>
    <w:rsid w:val="004E542C"/>
    <w:rsid w:val="004E5861"/>
    <w:rsid w:val="004E589E"/>
    <w:rsid w:val="004E5949"/>
    <w:rsid w:val="004E5BDC"/>
    <w:rsid w:val="004E5CE4"/>
    <w:rsid w:val="004E5FA5"/>
    <w:rsid w:val="004E613E"/>
    <w:rsid w:val="004E630E"/>
    <w:rsid w:val="004E64CE"/>
    <w:rsid w:val="004E6654"/>
    <w:rsid w:val="004E6954"/>
    <w:rsid w:val="004E7351"/>
    <w:rsid w:val="004E753A"/>
    <w:rsid w:val="004E769B"/>
    <w:rsid w:val="004E79A0"/>
    <w:rsid w:val="004E7D36"/>
    <w:rsid w:val="004E7E5D"/>
    <w:rsid w:val="004E7F3B"/>
    <w:rsid w:val="004E7FCB"/>
    <w:rsid w:val="004F0F1C"/>
    <w:rsid w:val="004F1311"/>
    <w:rsid w:val="004F1399"/>
    <w:rsid w:val="004F1828"/>
    <w:rsid w:val="004F19C3"/>
    <w:rsid w:val="004F1EAE"/>
    <w:rsid w:val="004F2035"/>
    <w:rsid w:val="004F267E"/>
    <w:rsid w:val="004F2BB4"/>
    <w:rsid w:val="004F2D48"/>
    <w:rsid w:val="004F3F16"/>
    <w:rsid w:val="004F3F2B"/>
    <w:rsid w:val="004F4005"/>
    <w:rsid w:val="004F46A2"/>
    <w:rsid w:val="004F47DC"/>
    <w:rsid w:val="004F48D6"/>
    <w:rsid w:val="004F4955"/>
    <w:rsid w:val="004F4B8D"/>
    <w:rsid w:val="004F4CDE"/>
    <w:rsid w:val="004F50C8"/>
    <w:rsid w:val="004F5181"/>
    <w:rsid w:val="004F52AA"/>
    <w:rsid w:val="004F54EF"/>
    <w:rsid w:val="004F565C"/>
    <w:rsid w:val="004F5793"/>
    <w:rsid w:val="004F5D5A"/>
    <w:rsid w:val="004F5F87"/>
    <w:rsid w:val="004F68D7"/>
    <w:rsid w:val="004F6F9D"/>
    <w:rsid w:val="004F7327"/>
    <w:rsid w:val="004F7608"/>
    <w:rsid w:val="004F7853"/>
    <w:rsid w:val="004F78D5"/>
    <w:rsid w:val="004F79C8"/>
    <w:rsid w:val="004F7AEB"/>
    <w:rsid w:val="004F7CB3"/>
    <w:rsid w:val="00500318"/>
    <w:rsid w:val="00500411"/>
    <w:rsid w:val="00500464"/>
    <w:rsid w:val="0050093F"/>
    <w:rsid w:val="00500A66"/>
    <w:rsid w:val="00500DD8"/>
    <w:rsid w:val="0050258C"/>
    <w:rsid w:val="0050280E"/>
    <w:rsid w:val="0050285D"/>
    <w:rsid w:val="005031A3"/>
    <w:rsid w:val="00503F1C"/>
    <w:rsid w:val="005044B4"/>
    <w:rsid w:val="00504504"/>
    <w:rsid w:val="00504A1C"/>
    <w:rsid w:val="00504B75"/>
    <w:rsid w:val="0050513B"/>
    <w:rsid w:val="00505A06"/>
    <w:rsid w:val="00505C8E"/>
    <w:rsid w:val="00505F2E"/>
    <w:rsid w:val="00505FC8"/>
    <w:rsid w:val="00506130"/>
    <w:rsid w:val="005066D7"/>
    <w:rsid w:val="00506760"/>
    <w:rsid w:val="00507084"/>
    <w:rsid w:val="005070DA"/>
    <w:rsid w:val="0050768A"/>
    <w:rsid w:val="00507BA1"/>
    <w:rsid w:val="00507E0E"/>
    <w:rsid w:val="0051026E"/>
    <w:rsid w:val="00510591"/>
    <w:rsid w:val="00510D9C"/>
    <w:rsid w:val="005113FA"/>
    <w:rsid w:val="00511F62"/>
    <w:rsid w:val="0051206B"/>
    <w:rsid w:val="00512184"/>
    <w:rsid w:val="005122E8"/>
    <w:rsid w:val="0051257C"/>
    <w:rsid w:val="00512671"/>
    <w:rsid w:val="00512761"/>
    <w:rsid w:val="0051280A"/>
    <w:rsid w:val="00512AB5"/>
    <w:rsid w:val="00512B27"/>
    <w:rsid w:val="00512E43"/>
    <w:rsid w:val="00512E7A"/>
    <w:rsid w:val="00512F6D"/>
    <w:rsid w:val="005137A2"/>
    <w:rsid w:val="00513AE7"/>
    <w:rsid w:val="00513C84"/>
    <w:rsid w:val="00513F69"/>
    <w:rsid w:val="00514148"/>
    <w:rsid w:val="00514797"/>
    <w:rsid w:val="00514854"/>
    <w:rsid w:val="00514879"/>
    <w:rsid w:val="00514A67"/>
    <w:rsid w:val="00515015"/>
    <w:rsid w:val="0051524E"/>
    <w:rsid w:val="00515C18"/>
    <w:rsid w:val="00515C2F"/>
    <w:rsid w:val="00515E04"/>
    <w:rsid w:val="00516012"/>
    <w:rsid w:val="0051686F"/>
    <w:rsid w:val="00516C8D"/>
    <w:rsid w:val="005171B5"/>
    <w:rsid w:val="00517211"/>
    <w:rsid w:val="00517889"/>
    <w:rsid w:val="00517A8B"/>
    <w:rsid w:val="00517ADA"/>
    <w:rsid w:val="00517AF4"/>
    <w:rsid w:val="00517E91"/>
    <w:rsid w:val="005201B3"/>
    <w:rsid w:val="00520ECA"/>
    <w:rsid w:val="00521AE2"/>
    <w:rsid w:val="00521BF4"/>
    <w:rsid w:val="00521E89"/>
    <w:rsid w:val="00522168"/>
    <w:rsid w:val="005221C8"/>
    <w:rsid w:val="005228A4"/>
    <w:rsid w:val="0052326E"/>
    <w:rsid w:val="00523D7E"/>
    <w:rsid w:val="00523EDA"/>
    <w:rsid w:val="00523EDB"/>
    <w:rsid w:val="00523F2F"/>
    <w:rsid w:val="00524220"/>
    <w:rsid w:val="00524303"/>
    <w:rsid w:val="005248F1"/>
    <w:rsid w:val="0052497D"/>
    <w:rsid w:val="00524F5F"/>
    <w:rsid w:val="00524F61"/>
    <w:rsid w:val="005250CE"/>
    <w:rsid w:val="00525430"/>
    <w:rsid w:val="00525671"/>
    <w:rsid w:val="00525C4A"/>
    <w:rsid w:val="005260CD"/>
    <w:rsid w:val="0052639F"/>
    <w:rsid w:val="00526576"/>
    <w:rsid w:val="005267CA"/>
    <w:rsid w:val="0052681D"/>
    <w:rsid w:val="00526E6A"/>
    <w:rsid w:val="00527344"/>
    <w:rsid w:val="0052759F"/>
    <w:rsid w:val="0052771C"/>
    <w:rsid w:val="00527995"/>
    <w:rsid w:val="00527AF7"/>
    <w:rsid w:val="00527C0D"/>
    <w:rsid w:val="0053044F"/>
    <w:rsid w:val="00530574"/>
    <w:rsid w:val="005305B9"/>
    <w:rsid w:val="00530AFE"/>
    <w:rsid w:val="00530F0E"/>
    <w:rsid w:val="00530F23"/>
    <w:rsid w:val="00530F52"/>
    <w:rsid w:val="005311F6"/>
    <w:rsid w:val="005313EC"/>
    <w:rsid w:val="0053148C"/>
    <w:rsid w:val="005315B5"/>
    <w:rsid w:val="005316D2"/>
    <w:rsid w:val="00531C27"/>
    <w:rsid w:val="00531C36"/>
    <w:rsid w:val="00531DF0"/>
    <w:rsid w:val="00532414"/>
    <w:rsid w:val="00532CD9"/>
    <w:rsid w:val="00532EA4"/>
    <w:rsid w:val="005331B2"/>
    <w:rsid w:val="005332DB"/>
    <w:rsid w:val="00533816"/>
    <w:rsid w:val="00533D65"/>
    <w:rsid w:val="00534124"/>
    <w:rsid w:val="005342F7"/>
    <w:rsid w:val="005345B2"/>
    <w:rsid w:val="0053470D"/>
    <w:rsid w:val="00534C13"/>
    <w:rsid w:val="00534FE5"/>
    <w:rsid w:val="0053573E"/>
    <w:rsid w:val="00535912"/>
    <w:rsid w:val="00535CEA"/>
    <w:rsid w:val="00535F81"/>
    <w:rsid w:val="00536001"/>
    <w:rsid w:val="00536149"/>
    <w:rsid w:val="00536FE8"/>
    <w:rsid w:val="00537C90"/>
    <w:rsid w:val="00540358"/>
    <w:rsid w:val="00540407"/>
    <w:rsid w:val="005405F9"/>
    <w:rsid w:val="005409E3"/>
    <w:rsid w:val="0054186F"/>
    <w:rsid w:val="005418A4"/>
    <w:rsid w:val="00541A09"/>
    <w:rsid w:val="00542104"/>
    <w:rsid w:val="00542255"/>
    <w:rsid w:val="0054294B"/>
    <w:rsid w:val="00542C64"/>
    <w:rsid w:val="00543444"/>
    <w:rsid w:val="0054401F"/>
    <w:rsid w:val="00544280"/>
    <w:rsid w:val="00544609"/>
    <w:rsid w:val="00544A52"/>
    <w:rsid w:val="00544DBC"/>
    <w:rsid w:val="00544E1A"/>
    <w:rsid w:val="00544EE6"/>
    <w:rsid w:val="00545404"/>
    <w:rsid w:val="0054618F"/>
    <w:rsid w:val="00546266"/>
    <w:rsid w:val="0054655D"/>
    <w:rsid w:val="00546806"/>
    <w:rsid w:val="005469E8"/>
    <w:rsid w:val="00546F44"/>
    <w:rsid w:val="0054727E"/>
    <w:rsid w:val="00547692"/>
    <w:rsid w:val="00550183"/>
    <w:rsid w:val="00550295"/>
    <w:rsid w:val="0055034A"/>
    <w:rsid w:val="00550D38"/>
    <w:rsid w:val="00551B13"/>
    <w:rsid w:val="00551BBF"/>
    <w:rsid w:val="00552429"/>
    <w:rsid w:val="00552AC6"/>
    <w:rsid w:val="00552ACF"/>
    <w:rsid w:val="00552E25"/>
    <w:rsid w:val="00552F71"/>
    <w:rsid w:val="0055307A"/>
    <w:rsid w:val="00553A77"/>
    <w:rsid w:val="00553D77"/>
    <w:rsid w:val="005549C7"/>
    <w:rsid w:val="00554ACC"/>
    <w:rsid w:val="00554BA9"/>
    <w:rsid w:val="00554DD5"/>
    <w:rsid w:val="0055507D"/>
    <w:rsid w:val="0055509F"/>
    <w:rsid w:val="0055588F"/>
    <w:rsid w:val="005558DF"/>
    <w:rsid w:val="00555963"/>
    <w:rsid w:val="00555BE9"/>
    <w:rsid w:val="00555C44"/>
    <w:rsid w:val="005560CA"/>
    <w:rsid w:val="005562C5"/>
    <w:rsid w:val="00556B75"/>
    <w:rsid w:val="00556D99"/>
    <w:rsid w:val="00557044"/>
    <w:rsid w:val="0055727E"/>
    <w:rsid w:val="005572CE"/>
    <w:rsid w:val="005575E6"/>
    <w:rsid w:val="00557885"/>
    <w:rsid w:val="00557B42"/>
    <w:rsid w:val="00557BA0"/>
    <w:rsid w:val="00557D97"/>
    <w:rsid w:val="00557DAF"/>
    <w:rsid w:val="00557E0A"/>
    <w:rsid w:val="00560527"/>
    <w:rsid w:val="00560E04"/>
    <w:rsid w:val="00560E55"/>
    <w:rsid w:val="00561050"/>
    <w:rsid w:val="00561B47"/>
    <w:rsid w:val="00561F74"/>
    <w:rsid w:val="00562585"/>
    <w:rsid w:val="0056259A"/>
    <w:rsid w:val="00562BFA"/>
    <w:rsid w:val="00562EE0"/>
    <w:rsid w:val="00563330"/>
    <w:rsid w:val="00563435"/>
    <w:rsid w:val="00563761"/>
    <w:rsid w:val="00563F1E"/>
    <w:rsid w:val="00564803"/>
    <w:rsid w:val="0056499B"/>
    <w:rsid w:val="00564DB5"/>
    <w:rsid w:val="00564FE0"/>
    <w:rsid w:val="005650C8"/>
    <w:rsid w:val="00565C21"/>
    <w:rsid w:val="00565CE4"/>
    <w:rsid w:val="00565D09"/>
    <w:rsid w:val="005661BB"/>
    <w:rsid w:val="005663B7"/>
    <w:rsid w:val="00566449"/>
    <w:rsid w:val="00566570"/>
    <w:rsid w:val="005666A1"/>
    <w:rsid w:val="00566EF9"/>
    <w:rsid w:val="005671ED"/>
    <w:rsid w:val="005671F0"/>
    <w:rsid w:val="00567244"/>
    <w:rsid w:val="005677AE"/>
    <w:rsid w:val="00567E06"/>
    <w:rsid w:val="00570FC0"/>
    <w:rsid w:val="00571105"/>
    <w:rsid w:val="005719CE"/>
    <w:rsid w:val="00571F59"/>
    <w:rsid w:val="005727AA"/>
    <w:rsid w:val="00572C9C"/>
    <w:rsid w:val="00572FD8"/>
    <w:rsid w:val="0057325F"/>
    <w:rsid w:val="00573339"/>
    <w:rsid w:val="005733B9"/>
    <w:rsid w:val="005734F6"/>
    <w:rsid w:val="0057368A"/>
    <w:rsid w:val="00573795"/>
    <w:rsid w:val="00573C7E"/>
    <w:rsid w:val="00573CC0"/>
    <w:rsid w:val="00573CEF"/>
    <w:rsid w:val="005743FF"/>
    <w:rsid w:val="0057479E"/>
    <w:rsid w:val="005747E3"/>
    <w:rsid w:val="00574853"/>
    <w:rsid w:val="00574AA4"/>
    <w:rsid w:val="00575112"/>
    <w:rsid w:val="00575471"/>
    <w:rsid w:val="005755CB"/>
    <w:rsid w:val="005762B4"/>
    <w:rsid w:val="00576502"/>
    <w:rsid w:val="00576794"/>
    <w:rsid w:val="00576B66"/>
    <w:rsid w:val="00576C84"/>
    <w:rsid w:val="005773C7"/>
    <w:rsid w:val="0057756C"/>
    <w:rsid w:val="00577D67"/>
    <w:rsid w:val="00577E5E"/>
    <w:rsid w:val="005800F7"/>
    <w:rsid w:val="005801DF"/>
    <w:rsid w:val="00580280"/>
    <w:rsid w:val="0058050D"/>
    <w:rsid w:val="00580802"/>
    <w:rsid w:val="00580896"/>
    <w:rsid w:val="00580919"/>
    <w:rsid w:val="005810D4"/>
    <w:rsid w:val="0058112C"/>
    <w:rsid w:val="005825D4"/>
    <w:rsid w:val="005829D6"/>
    <w:rsid w:val="00582B54"/>
    <w:rsid w:val="00582F91"/>
    <w:rsid w:val="0058319A"/>
    <w:rsid w:val="00584036"/>
    <w:rsid w:val="00584359"/>
    <w:rsid w:val="0058437F"/>
    <w:rsid w:val="0058463E"/>
    <w:rsid w:val="00584E83"/>
    <w:rsid w:val="005850AF"/>
    <w:rsid w:val="00585F7F"/>
    <w:rsid w:val="00585FD8"/>
    <w:rsid w:val="00586656"/>
    <w:rsid w:val="0058693C"/>
    <w:rsid w:val="0058732C"/>
    <w:rsid w:val="0058735E"/>
    <w:rsid w:val="0058779F"/>
    <w:rsid w:val="005905B6"/>
    <w:rsid w:val="00590AA3"/>
    <w:rsid w:val="00590AC0"/>
    <w:rsid w:val="00590B32"/>
    <w:rsid w:val="00590FF8"/>
    <w:rsid w:val="00591537"/>
    <w:rsid w:val="005915E9"/>
    <w:rsid w:val="00591A0E"/>
    <w:rsid w:val="005921EF"/>
    <w:rsid w:val="0059238B"/>
    <w:rsid w:val="0059364D"/>
    <w:rsid w:val="005936BA"/>
    <w:rsid w:val="0059489B"/>
    <w:rsid w:val="00594E20"/>
    <w:rsid w:val="00595286"/>
    <w:rsid w:val="005957B4"/>
    <w:rsid w:val="00595B2B"/>
    <w:rsid w:val="00595C1D"/>
    <w:rsid w:val="00595F15"/>
    <w:rsid w:val="005961FC"/>
    <w:rsid w:val="0059621E"/>
    <w:rsid w:val="005965D8"/>
    <w:rsid w:val="00596D2A"/>
    <w:rsid w:val="0059733A"/>
    <w:rsid w:val="00597BDA"/>
    <w:rsid w:val="00597C41"/>
    <w:rsid w:val="00597C9E"/>
    <w:rsid w:val="005A03A9"/>
    <w:rsid w:val="005A04FF"/>
    <w:rsid w:val="005A05C6"/>
    <w:rsid w:val="005A1077"/>
    <w:rsid w:val="005A10F5"/>
    <w:rsid w:val="005A1142"/>
    <w:rsid w:val="005A153F"/>
    <w:rsid w:val="005A1547"/>
    <w:rsid w:val="005A171F"/>
    <w:rsid w:val="005A1755"/>
    <w:rsid w:val="005A1C06"/>
    <w:rsid w:val="005A1CAF"/>
    <w:rsid w:val="005A22D3"/>
    <w:rsid w:val="005A263F"/>
    <w:rsid w:val="005A269D"/>
    <w:rsid w:val="005A2A6C"/>
    <w:rsid w:val="005A313A"/>
    <w:rsid w:val="005A3392"/>
    <w:rsid w:val="005A343E"/>
    <w:rsid w:val="005A3875"/>
    <w:rsid w:val="005A3B0C"/>
    <w:rsid w:val="005A3D58"/>
    <w:rsid w:val="005A4128"/>
    <w:rsid w:val="005A4475"/>
    <w:rsid w:val="005A44B4"/>
    <w:rsid w:val="005A47BB"/>
    <w:rsid w:val="005A4A91"/>
    <w:rsid w:val="005A4B02"/>
    <w:rsid w:val="005A4D53"/>
    <w:rsid w:val="005A5031"/>
    <w:rsid w:val="005A5602"/>
    <w:rsid w:val="005A5719"/>
    <w:rsid w:val="005A5E59"/>
    <w:rsid w:val="005A5F0A"/>
    <w:rsid w:val="005A6164"/>
    <w:rsid w:val="005A64A3"/>
    <w:rsid w:val="005A68F6"/>
    <w:rsid w:val="005A6AB4"/>
    <w:rsid w:val="005A7C17"/>
    <w:rsid w:val="005B02F6"/>
    <w:rsid w:val="005B0344"/>
    <w:rsid w:val="005B06B0"/>
    <w:rsid w:val="005B09AF"/>
    <w:rsid w:val="005B09F3"/>
    <w:rsid w:val="005B0C22"/>
    <w:rsid w:val="005B0CC0"/>
    <w:rsid w:val="005B0D0B"/>
    <w:rsid w:val="005B0D37"/>
    <w:rsid w:val="005B0E4A"/>
    <w:rsid w:val="005B0E59"/>
    <w:rsid w:val="005B10AC"/>
    <w:rsid w:val="005B13DB"/>
    <w:rsid w:val="005B164C"/>
    <w:rsid w:val="005B1A56"/>
    <w:rsid w:val="005B20FA"/>
    <w:rsid w:val="005B26D1"/>
    <w:rsid w:val="005B2B22"/>
    <w:rsid w:val="005B2C5A"/>
    <w:rsid w:val="005B3396"/>
    <w:rsid w:val="005B37C5"/>
    <w:rsid w:val="005B3A03"/>
    <w:rsid w:val="005B3ADE"/>
    <w:rsid w:val="005B3BF9"/>
    <w:rsid w:val="005B3CD4"/>
    <w:rsid w:val="005B3DF2"/>
    <w:rsid w:val="005B3FFD"/>
    <w:rsid w:val="005B4021"/>
    <w:rsid w:val="005B4333"/>
    <w:rsid w:val="005B436B"/>
    <w:rsid w:val="005B438E"/>
    <w:rsid w:val="005B4AAC"/>
    <w:rsid w:val="005B5DFA"/>
    <w:rsid w:val="005B5E48"/>
    <w:rsid w:val="005B6240"/>
    <w:rsid w:val="005B6323"/>
    <w:rsid w:val="005B6591"/>
    <w:rsid w:val="005B672D"/>
    <w:rsid w:val="005B6B0B"/>
    <w:rsid w:val="005B7705"/>
    <w:rsid w:val="005B7EE5"/>
    <w:rsid w:val="005C017A"/>
    <w:rsid w:val="005C0326"/>
    <w:rsid w:val="005C0601"/>
    <w:rsid w:val="005C09BA"/>
    <w:rsid w:val="005C0C00"/>
    <w:rsid w:val="005C0D89"/>
    <w:rsid w:val="005C0FD5"/>
    <w:rsid w:val="005C14C0"/>
    <w:rsid w:val="005C1502"/>
    <w:rsid w:val="005C155B"/>
    <w:rsid w:val="005C1620"/>
    <w:rsid w:val="005C17B4"/>
    <w:rsid w:val="005C1CE7"/>
    <w:rsid w:val="005C1CF3"/>
    <w:rsid w:val="005C1D38"/>
    <w:rsid w:val="005C1E8D"/>
    <w:rsid w:val="005C1F3B"/>
    <w:rsid w:val="005C2198"/>
    <w:rsid w:val="005C2595"/>
    <w:rsid w:val="005C2869"/>
    <w:rsid w:val="005C2CBF"/>
    <w:rsid w:val="005C2CF1"/>
    <w:rsid w:val="005C2E1C"/>
    <w:rsid w:val="005C305A"/>
    <w:rsid w:val="005C3191"/>
    <w:rsid w:val="005C330C"/>
    <w:rsid w:val="005C331E"/>
    <w:rsid w:val="005C38D3"/>
    <w:rsid w:val="005C3D7E"/>
    <w:rsid w:val="005C3F83"/>
    <w:rsid w:val="005C4611"/>
    <w:rsid w:val="005C4712"/>
    <w:rsid w:val="005C4B61"/>
    <w:rsid w:val="005C4DCA"/>
    <w:rsid w:val="005C4EA0"/>
    <w:rsid w:val="005C5007"/>
    <w:rsid w:val="005C52BD"/>
    <w:rsid w:val="005C5469"/>
    <w:rsid w:val="005C54CB"/>
    <w:rsid w:val="005C56E3"/>
    <w:rsid w:val="005C5BE0"/>
    <w:rsid w:val="005C6751"/>
    <w:rsid w:val="005C67A4"/>
    <w:rsid w:val="005C6A6D"/>
    <w:rsid w:val="005C6ABC"/>
    <w:rsid w:val="005C6C54"/>
    <w:rsid w:val="005C6F34"/>
    <w:rsid w:val="005C7705"/>
    <w:rsid w:val="005D0165"/>
    <w:rsid w:val="005D058A"/>
    <w:rsid w:val="005D0768"/>
    <w:rsid w:val="005D0B26"/>
    <w:rsid w:val="005D128E"/>
    <w:rsid w:val="005D1695"/>
    <w:rsid w:val="005D1888"/>
    <w:rsid w:val="005D1C06"/>
    <w:rsid w:val="005D1FDE"/>
    <w:rsid w:val="005D22F5"/>
    <w:rsid w:val="005D23B4"/>
    <w:rsid w:val="005D24DF"/>
    <w:rsid w:val="005D2855"/>
    <w:rsid w:val="005D2866"/>
    <w:rsid w:val="005D2867"/>
    <w:rsid w:val="005D33F8"/>
    <w:rsid w:val="005D344A"/>
    <w:rsid w:val="005D3809"/>
    <w:rsid w:val="005D3CEE"/>
    <w:rsid w:val="005D3D15"/>
    <w:rsid w:val="005D3D38"/>
    <w:rsid w:val="005D4678"/>
    <w:rsid w:val="005D4C3F"/>
    <w:rsid w:val="005D52F3"/>
    <w:rsid w:val="005D54DB"/>
    <w:rsid w:val="005D5CEC"/>
    <w:rsid w:val="005D6079"/>
    <w:rsid w:val="005D6222"/>
    <w:rsid w:val="005D67B0"/>
    <w:rsid w:val="005D6B31"/>
    <w:rsid w:val="005D7558"/>
    <w:rsid w:val="005D763A"/>
    <w:rsid w:val="005D7AE0"/>
    <w:rsid w:val="005D7C44"/>
    <w:rsid w:val="005D7D40"/>
    <w:rsid w:val="005E0168"/>
    <w:rsid w:val="005E0571"/>
    <w:rsid w:val="005E0D66"/>
    <w:rsid w:val="005E0E2E"/>
    <w:rsid w:val="005E0F8C"/>
    <w:rsid w:val="005E130D"/>
    <w:rsid w:val="005E1412"/>
    <w:rsid w:val="005E1504"/>
    <w:rsid w:val="005E16DC"/>
    <w:rsid w:val="005E17FB"/>
    <w:rsid w:val="005E1E81"/>
    <w:rsid w:val="005E259D"/>
    <w:rsid w:val="005E2677"/>
    <w:rsid w:val="005E268C"/>
    <w:rsid w:val="005E2963"/>
    <w:rsid w:val="005E2D65"/>
    <w:rsid w:val="005E2F8F"/>
    <w:rsid w:val="005E32D4"/>
    <w:rsid w:val="005E363B"/>
    <w:rsid w:val="005E382E"/>
    <w:rsid w:val="005E3903"/>
    <w:rsid w:val="005E3991"/>
    <w:rsid w:val="005E3A8D"/>
    <w:rsid w:val="005E43E2"/>
    <w:rsid w:val="005E44F3"/>
    <w:rsid w:val="005E459D"/>
    <w:rsid w:val="005E45D3"/>
    <w:rsid w:val="005E4791"/>
    <w:rsid w:val="005E4876"/>
    <w:rsid w:val="005E49A7"/>
    <w:rsid w:val="005E4E66"/>
    <w:rsid w:val="005E4EA0"/>
    <w:rsid w:val="005E4EB1"/>
    <w:rsid w:val="005E5895"/>
    <w:rsid w:val="005E6969"/>
    <w:rsid w:val="005E69E3"/>
    <w:rsid w:val="005E704B"/>
    <w:rsid w:val="005E747D"/>
    <w:rsid w:val="005E76E9"/>
    <w:rsid w:val="005E77F6"/>
    <w:rsid w:val="005E7D21"/>
    <w:rsid w:val="005E7E90"/>
    <w:rsid w:val="005F0341"/>
    <w:rsid w:val="005F039F"/>
    <w:rsid w:val="005F0A67"/>
    <w:rsid w:val="005F0ABE"/>
    <w:rsid w:val="005F0FB9"/>
    <w:rsid w:val="005F1084"/>
    <w:rsid w:val="005F10BB"/>
    <w:rsid w:val="005F11AA"/>
    <w:rsid w:val="005F1324"/>
    <w:rsid w:val="005F1A3A"/>
    <w:rsid w:val="005F1A79"/>
    <w:rsid w:val="005F1D67"/>
    <w:rsid w:val="005F1E81"/>
    <w:rsid w:val="005F2D80"/>
    <w:rsid w:val="005F3752"/>
    <w:rsid w:val="005F3A51"/>
    <w:rsid w:val="005F3B05"/>
    <w:rsid w:val="005F4502"/>
    <w:rsid w:val="005F48DC"/>
    <w:rsid w:val="005F4E2B"/>
    <w:rsid w:val="005F5AE5"/>
    <w:rsid w:val="005F5B0E"/>
    <w:rsid w:val="005F5BB2"/>
    <w:rsid w:val="005F5C44"/>
    <w:rsid w:val="005F606F"/>
    <w:rsid w:val="005F6375"/>
    <w:rsid w:val="005F67FB"/>
    <w:rsid w:val="005F6BD7"/>
    <w:rsid w:val="005F6F5E"/>
    <w:rsid w:val="005F7143"/>
    <w:rsid w:val="005F71F2"/>
    <w:rsid w:val="005F732B"/>
    <w:rsid w:val="005F759C"/>
    <w:rsid w:val="005F7DBB"/>
    <w:rsid w:val="00600108"/>
    <w:rsid w:val="00600305"/>
    <w:rsid w:val="006005D4"/>
    <w:rsid w:val="006008F2"/>
    <w:rsid w:val="00600ACC"/>
    <w:rsid w:val="00600B85"/>
    <w:rsid w:val="0060108F"/>
    <w:rsid w:val="006018D1"/>
    <w:rsid w:val="00601D90"/>
    <w:rsid w:val="006021DC"/>
    <w:rsid w:val="00602631"/>
    <w:rsid w:val="0060314C"/>
    <w:rsid w:val="006039F4"/>
    <w:rsid w:val="00603C51"/>
    <w:rsid w:val="00603C69"/>
    <w:rsid w:val="00603C71"/>
    <w:rsid w:val="00604D40"/>
    <w:rsid w:val="00604D7B"/>
    <w:rsid w:val="00604E58"/>
    <w:rsid w:val="00605182"/>
    <w:rsid w:val="00605348"/>
    <w:rsid w:val="006055E5"/>
    <w:rsid w:val="006059A5"/>
    <w:rsid w:val="00605BC3"/>
    <w:rsid w:val="00605BFC"/>
    <w:rsid w:val="00606C25"/>
    <w:rsid w:val="006074BA"/>
    <w:rsid w:val="00607697"/>
    <w:rsid w:val="0060786F"/>
    <w:rsid w:val="0060788E"/>
    <w:rsid w:val="0061022B"/>
    <w:rsid w:val="00610244"/>
    <w:rsid w:val="0061029E"/>
    <w:rsid w:val="00610592"/>
    <w:rsid w:val="00610727"/>
    <w:rsid w:val="00610782"/>
    <w:rsid w:val="00611544"/>
    <w:rsid w:val="006118BB"/>
    <w:rsid w:val="00611A65"/>
    <w:rsid w:val="00612F79"/>
    <w:rsid w:val="00613194"/>
    <w:rsid w:val="00613321"/>
    <w:rsid w:val="006135C3"/>
    <w:rsid w:val="00613A19"/>
    <w:rsid w:val="00613A67"/>
    <w:rsid w:val="00613ECB"/>
    <w:rsid w:val="00613F34"/>
    <w:rsid w:val="00614543"/>
    <w:rsid w:val="006148C5"/>
    <w:rsid w:val="00614BB7"/>
    <w:rsid w:val="00614CB0"/>
    <w:rsid w:val="00614CC3"/>
    <w:rsid w:val="00614DEF"/>
    <w:rsid w:val="00614EF1"/>
    <w:rsid w:val="00614F47"/>
    <w:rsid w:val="00615005"/>
    <w:rsid w:val="0061511A"/>
    <w:rsid w:val="006154D2"/>
    <w:rsid w:val="00616153"/>
    <w:rsid w:val="00616270"/>
    <w:rsid w:val="0061695B"/>
    <w:rsid w:val="00616F61"/>
    <w:rsid w:val="00617020"/>
    <w:rsid w:val="00617184"/>
    <w:rsid w:val="006171B8"/>
    <w:rsid w:val="00617C99"/>
    <w:rsid w:val="00617D9E"/>
    <w:rsid w:val="00620BB1"/>
    <w:rsid w:val="00620C25"/>
    <w:rsid w:val="00621437"/>
    <w:rsid w:val="00621457"/>
    <w:rsid w:val="00621952"/>
    <w:rsid w:val="00621FB7"/>
    <w:rsid w:val="00622471"/>
    <w:rsid w:val="0062286A"/>
    <w:rsid w:val="00622B4E"/>
    <w:rsid w:val="006231E2"/>
    <w:rsid w:val="006236BE"/>
    <w:rsid w:val="00623EEB"/>
    <w:rsid w:val="00624B1E"/>
    <w:rsid w:val="00624B86"/>
    <w:rsid w:val="00624EC0"/>
    <w:rsid w:val="0062506B"/>
    <w:rsid w:val="006252E9"/>
    <w:rsid w:val="006253B5"/>
    <w:rsid w:val="006256EF"/>
    <w:rsid w:val="00625850"/>
    <w:rsid w:val="006258B8"/>
    <w:rsid w:val="006258CB"/>
    <w:rsid w:val="00625C61"/>
    <w:rsid w:val="00625D23"/>
    <w:rsid w:val="00625DEE"/>
    <w:rsid w:val="00625E74"/>
    <w:rsid w:val="00625F8A"/>
    <w:rsid w:val="006260F7"/>
    <w:rsid w:val="00626141"/>
    <w:rsid w:val="0062657B"/>
    <w:rsid w:val="0062661B"/>
    <w:rsid w:val="00626AEC"/>
    <w:rsid w:val="00626B35"/>
    <w:rsid w:val="00626F5E"/>
    <w:rsid w:val="00626FC3"/>
    <w:rsid w:val="006275DC"/>
    <w:rsid w:val="006276BB"/>
    <w:rsid w:val="00627BB2"/>
    <w:rsid w:val="00630755"/>
    <w:rsid w:val="00630D82"/>
    <w:rsid w:val="00631319"/>
    <w:rsid w:val="00631457"/>
    <w:rsid w:val="00631586"/>
    <w:rsid w:val="00631739"/>
    <w:rsid w:val="00631913"/>
    <w:rsid w:val="00631D8A"/>
    <w:rsid w:val="00631F01"/>
    <w:rsid w:val="006325DC"/>
    <w:rsid w:val="006330C3"/>
    <w:rsid w:val="00633480"/>
    <w:rsid w:val="006336D4"/>
    <w:rsid w:val="00633750"/>
    <w:rsid w:val="00633A0A"/>
    <w:rsid w:val="00633A2E"/>
    <w:rsid w:val="006340DB"/>
    <w:rsid w:val="00634E51"/>
    <w:rsid w:val="00634FD2"/>
    <w:rsid w:val="00635012"/>
    <w:rsid w:val="006351C9"/>
    <w:rsid w:val="006352DF"/>
    <w:rsid w:val="006353BF"/>
    <w:rsid w:val="00635728"/>
    <w:rsid w:val="00635868"/>
    <w:rsid w:val="00635AD8"/>
    <w:rsid w:val="00635CE6"/>
    <w:rsid w:val="0063613B"/>
    <w:rsid w:val="006361B8"/>
    <w:rsid w:val="006366B6"/>
    <w:rsid w:val="00636AC8"/>
    <w:rsid w:val="00636CC8"/>
    <w:rsid w:val="00636E37"/>
    <w:rsid w:val="00636F95"/>
    <w:rsid w:val="00637184"/>
    <w:rsid w:val="0063722A"/>
    <w:rsid w:val="00637765"/>
    <w:rsid w:val="00637CCA"/>
    <w:rsid w:val="0064017E"/>
    <w:rsid w:val="00640A7E"/>
    <w:rsid w:val="00640BBC"/>
    <w:rsid w:val="00640CEC"/>
    <w:rsid w:val="00640DC5"/>
    <w:rsid w:val="00641586"/>
    <w:rsid w:val="00641B6E"/>
    <w:rsid w:val="00641D89"/>
    <w:rsid w:val="00641DDC"/>
    <w:rsid w:val="0064241A"/>
    <w:rsid w:val="006428DE"/>
    <w:rsid w:val="00642C57"/>
    <w:rsid w:val="00642E79"/>
    <w:rsid w:val="00643931"/>
    <w:rsid w:val="00643D20"/>
    <w:rsid w:val="00643D7F"/>
    <w:rsid w:val="00643FBC"/>
    <w:rsid w:val="00644973"/>
    <w:rsid w:val="00644E48"/>
    <w:rsid w:val="00645300"/>
    <w:rsid w:val="006455B6"/>
    <w:rsid w:val="006455D3"/>
    <w:rsid w:val="00645CA1"/>
    <w:rsid w:val="00646399"/>
    <w:rsid w:val="00646B75"/>
    <w:rsid w:val="00647099"/>
    <w:rsid w:val="006475A0"/>
    <w:rsid w:val="0064777D"/>
    <w:rsid w:val="006500DA"/>
    <w:rsid w:val="006505D7"/>
    <w:rsid w:val="00650A0C"/>
    <w:rsid w:val="00650E17"/>
    <w:rsid w:val="006513B3"/>
    <w:rsid w:val="006518B9"/>
    <w:rsid w:val="00651DD1"/>
    <w:rsid w:val="00651E83"/>
    <w:rsid w:val="00652006"/>
    <w:rsid w:val="00652658"/>
    <w:rsid w:val="00653363"/>
    <w:rsid w:val="0065352C"/>
    <w:rsid w:val="00653570"/>
    <w:rsid w:val="0065388B"/>
    <w:rsid w:val="00653ABF"/>
    <w:rsid w:val="00653B6F"/>
    <w:rsid w:val="0065422C"/>
    <w:rsid w:val="006542F4"/>
    <w:rsid w:val="0065456A"/>
    <w:rsid w:val="006545FF"/>
    <w:rsid w:val="00654BEF"/>
    <w:rsid w:val="006552D2"/>
    <w:rsid w:val="0065580A"/>
    <w:rsid w:val="006559A1"/>
    <w:rsid w:val="00655B50"/>
    <w:rsid w:val="00655E3C"/>
    <w:rsid w:val="00656078"/>
    <w:rsid w:val="006560F1"/>
    <w:rsid w:val="0065631D"/>
    <w:rsid w:val="006563C2"/>
    <w:rsid w:val="00656423"/>
    <w:rsid w:val="006564D0"/>
    <w:rsid w:val="00656B64"/>
    <w:rsid w:val="00656C73"/>
    <w:rsid w:val="00657277"/>
    <w:rsid w:val="0065729A"/>
    <w:rsid w:val="006573D4"/>
    <w:rsid w:val="0065752E"/>
    <w:rsid w:val="00657975"/>
    <w:rsid w:val="00657AD0"/>
    <w:rsid w:val="00657F3E"/>
    <w:rsid w:val="00660106"/>
    <w:rsid w:val="00660682"/>
    <w:rsid w:val="00661159"/>
    <w:rsid w:val="0066127A"/>
    <w:rsid w:val="00661389"/>
    <w:rsid w:val="00661437"/>
    <w:rsid w:val="00661540"/>
    <w:rsid w:val="0066158C"/>
    <w:rsid w:val="006619D2"/>
    <w:rsid w:val="00661B02"/>
    <w:rsid w:val="00661B42"/>
    <w:rsid w:val="00662653"/>
    <w:rsid w:val="006627C5"/>
    <w:rsid w:val="006632C1"/>
    <w:rsid w:val="006637E8"/>
    <w:rsid w:val="00663813"/>
    <w:rsid w:val="006639B2"/>
    <w:rsid w:val="00663D01"/>
    <w:rsid w:val="00664189"/>
    <w:rsid w:val="0066426A"/>
    <w:rsid w:val="006645FE"/>
    <w:rsid w:val="00664648"/>
    <w:rsid w:val="0066477D"/>
    <w:rsid w:val="006648A9"/>
    <w:rsid w:val="00664983"/>
    <w:rsid w:val="006657C3"/>
    <w:rsid w:val="00665812"/>
    <w:rsid w:val="006659E1"/>
    <w:rsid w:val="00665AF8"/>
    <w:rsid w:val="00666103"/>
    <w:rsid w:val="00666144"/>
    <w:rsid w:val="0066625E"/>
    <w:rsid w:val="0066656B"/>
    <w:rsid w:val="00667163"/>
    <w:rsid w:val="00667385"/>
    <w:rsid w:val="00667476"/>
    <w:rsid w:val="006677BB"/>
    <w:rsid w:val="00667F23"/>
    <w:rsid w:val="00670E64"/>
    <w:rsid w:val="006715D6"/>
    <w:rsid w:val="00671818"/>
    <w:rsid w:val="00671B72"/>
    <w:rsid w:val="006720FA"/>
    <w:rsid w:val="006725FF"/>
    <w:rsid w:val="0067268F"/>
    <w:rsid w:val="00672E30"/>
    <w:rsid w:val="00672E4E"/>
    <w:rsid w:val="00672EE3"/>
    <w:rsid w:val="0067311D"/>
    <w:rsid w:val="006735CC"/>
    <w:rsid w:val="00673723"/>
    <w:rsid w:val="006737B3"/>
    <w:rsid w:val="00673AA2"/>
    <w:rsid w:val="00674002"/>
    <w:rsid w:val="00674796"/>
    <w:rsid w:val="00675122"/>
    <w:rsid w:val="00675680"/>
    <w:rsid w:val="00675A13"/>
    <w:rsid w:val="00675E54"/>
    <w:rsid w:val="00676B9F"/>
    <w:rsid w:val="006778E9"/>
    <w:rsid w:val="006778F7"/>
    <w:rsid w:val="006778F9"/>
    <w:rsid w:val="00677D7F"/>
    <w:rsid w:val="00680239"/>
    <w:rsid w:val="00680535"/>
    <w:rsid w:val="00680B22"/>
    <w:rsid w:val="00680E44"/>
    <w:rsid w:val="00680F94"/>
    <w:rsid w:val="00681A85"/>
    <w:rsid w:val="006820D4"/>
    <w:rsid w:val="006822B7"/>
    <w:rsid w:val="0068259F"/>
    <w:rsid w:val="00682A8C"/>
    <w:rsid w:val="00682B85"/>
    <w:rsid w:val="00682F32"/>
    <w:rsid w:val="006837AA"/>
    <w:rsid w:val="006838DA"/>
    <w:rsid w:val="00683BAE"/>
    <w:rsid w:val="00683C6C"/>
    <w:rsid w:val="00683CFE"/>
    <w:rsid w:val="00684171"/>
    <w:rsid w:val="0068489F"/>
    <w:rsid w:val="00684CD1"/>
    <w:rsid w:val="00685508"/>
    <w:rsid w:val="00685DB0"/>
    <w:rsid w:val="00685E88"/>
    <w:rsid w:val="006863B9"/>
    <w:rsid w:val="006875AD"/>
    <w:rsid w:val="0068778B"/>
    <w:rsid w:val="006904F3"/>
    <w:rsid w:val="00690E8E"/>
    <w:rsid w:val="00690ED3"/>
    <w:rsid w:val="006912A3"/>
    <w:rsid w:val="006912BD"/>
    <w:rsid w:val="00691837"/>
    <w:rsid w:val="00691AD1"/>
    <w:rsid w:val="0069204E"/>
    <w:rsid w:val="00692558"/>
    <w:rsid w:val="00692887"/>
    <w:rsid w:val="00693270"/>
    <w:rsid w:val="00693A00"/>
    <w:rsid w:val="006940C3"/>
    <w:rsid w:val="00694E11"/>
    <w:rsid w:val="0069560A"/>
    <w:rsid w:val="0069590D"/>
    <w:rsid w:val="00695FCF"/>
    <w:rsid w:val="00696158"/>
    <w:rsid w:val="0069638C"/>
    <w:rsid w:val="00696487"/>
    <w:rsid w:val="0069655F"/>
    <w:rsid w:val="00696BB2"/>
    <w:rsid w:val="00697874"/>
    <w:rsid w:val="00697ACB"/>
    <w:rsid w:val="00697B46"/>
    <w:rsid w:val="00697BF5"/>
    <w:rsid w:val="006A0847"/>
    <w:rsid w:val="006A0A60"/>
    <w:rsid w:val="006A0B34"/>
    <w:rsid w:val="006A0BEC"/>
    <w:rsid w:val="006A0DC9"/>
    <w:rsid w:val="006A0F7D"/>
    <w:rsid w:val="006A1A07"/>
    <w:rsid w:val="006A22F5"/>
    <w:rsid w:val="006A241D"/>
    <w:rsid w:val="006A2D86"/>
    <w:rsid w:val="006A30F7"/>
    <w:rsid w:val="006A3B11"/>
    <w:rsid w:val="006A3F0F"/>
    <w:rsid w:val="006A4655"/>
    <w:rsid w:val="006A5467"/>
    <w:rsid w:val="006A5947"/>
    <w:rsid w:val="006A5C27"/>
    <w:rsid w:val="006A5DC9"/>
    <w:rsid w:val="006A635D"/>
    <w:rsid w:val="006A63F7"/>
    <w:rsid w:val="006A6CDD"/>
    <w:rsid w:val="006A7838"/>
    <w:rsid w:val="006A791F"/>
    <w:rsid w:val="006A7E80"/>
    <w:rsid w:val="006B0061"/>
    <w:rsid w:val="006B0485"/>
    <w:rsid w:val="006B06CB"/>
    <w:rsid w:val="006B088C"/>
    <w:rsid w:val="006B08A8"/>
    <w:rsid w:val="006B0941"/>
    <w:rsid w:val="006B107F"/>
    <w:rsid w:val="006B1FB3"/>
    <w:rsid w:val="006B219D"/>
    <w:rsid w:val="006B25FE"/>
    <w:rsid w:val="006B2D48"/>
    <w:rsid w:val="006B2EDC"/>
    <w:rsid w:val="006B3060"/>
    <w:rsid w:val="006B31B9"/>
    <w:rsid w:val="006B3642"/>
    <w:rsid w:val="006B3D0F"/>
    <w:rsid w:val="006B3E6C"/>
    <w:rsid w:val="006B45F2"/>
    <w:rsid w:val="006B54A1"/>
    <w:rsid w:val="006B5538"/>
    <w:rsid w:val="006B56F3"/>
    <w:rsid w:val="006B5FEA"/>
    <w:rsid w:val="006B6535"/>
    <w:rsid w:val="006B685B"/>
    <w:rsid w:val="006B6895"/>
    <w:rsid w:val="006B73BF"/>
    <w:rsid w:val="006C013D"/>
    <w:rsid w:val="006C020F"/>
    <w:rsid w:val="006C0D17"/>
    <w:rsid w:val="006C0F72"/>
    <w:rsid w:val="006C15F0"/>
    <w:rsid w:val="006C1623"/>
    <w:rsid w:val="006C19B8"/>
    <w:rsid w:val="006C1A0D"/>
    <w:rsid w:val="006C1AD5"/>
    <w:rsid w:val="006C1C9A"/>
    <w:rsid w:val="006C1D30"/>
    <w:rsid w:val="006C1DA2"/>
    <w:rsid w:val="006C2071"/>
    <w:rsid w:val="006C2144"/>
    <w:rsid w:val="006C266E"/>
    <w:rsid w:val="006C2F05"/>
    <w:rsid w:val="006C3029"/>
    <w:rsid w:val="006C308E"/>
    <w:rsid w:val="006C38C3"/>
    <w:rsid w:val="006C38FA"/>
    <w:rsid w:val="006C3C78"/>
    <w:rsid w:val="006C3EE3"/>
    <w:rsid w:val="006C41D3"/>
    <w:rsid w:val="006C43BF"/>
    <w:rsid w:val="006C4492"/>
    <w:rsid w:val="006C4516"/>
    <w:rsid w:val="006C452C"/>
    <w:rsid w:val="006C467A"/>
    <w:rsid w:val="006C4EC0"/>
    <w:rsid w:val="006C501B"/>
    <w:rsid w:val="006C544F"/>
    <w:rsid w:val="006C59D0"/>
    <w:rsid w:val="006C624F"/>
    <w:rsid w:val="006C65DE"/>
    <w:rsid w:val="006C67E8"/>
    <w:rsid w:val="006C68B3"/>
    <w:rsid w:val="006C696E"/>
    <w:rsid w:val="006C6ED0"/>
    <w:rsid w:val="006C72B1"/>
    <w:rsid w:val="006D01A4"/>
    <w:rsid w:val="006D060C"/>
    <w:rsid w:val="006D08E3"/>
    <w:rsid w:val="006D0C0C"/>
    <w:rsid w:val="006D0C1B"/>
    <w:rsid w:val="006D1411"/>
    <w:rsid w:val="006D14AA"/>
    <w:rsid w:val="006D176A"/>
    <w:rsid w:val="006D18C2"/>
    <w:rsid w:val="006D1B55"/>
    <w:rsid w:val="006D1E0E"/>
    <w:rsid w:val="006D2398"/>
    <w:rsid w:val="006D2CCF"/>
    <w:rsid w:val="006D2D18"/>
    <w:rsid w:val="006D2F53"/>
    <w:rsid w:val="006D2F63"/>
    <w:rsid w:val="006D2F86"/>
    <w:rsid w:val="006D3EB9"/>
    <w:rsid w:val="006D4304"/>
    <w:rsid w:val="006D44AF"/>
    <w:rsid w:val="006D456B"/>
    <w:rsid w:val="006D4795"/>
    <w:rsid w:val="006D4867"/>
    <w:rsid w:val="006D4B01"/>
    <w:rsid w:val="006D501F"/>
    <w:rsid w:val="006D5397"/>
    <w:rsid w:val="006D53F0"/>
    <w:rsid w:val="006D5485"/>
    <w:rsid w:val="006D54FD"/>
    <w:rsid w:val="006D55B5"/>
    <w:rsid w:val="006D580D"/>
    <w:rsid w:val="006D592C"/>
    <w:rsid w:val="006D5972"/>
    <w:rsid w:val="006D5D1C"/>
    <w:rsid w:val="006D5D62"/>
    <w:rsid w:val="006D5EC6"/>
    <w:rsid w:val="006D613D"/>
    <w:rsid w:val="006D63A2"/>
    <w:rsid w:val="006D6A2F"/>
    <w:rsid w:val="006D72B1"/>
    <w:rsid w:val="006E0C3C"/>
    <w:rsid w:val="006E0F01"/>
    <w:rsid w:val="006E0F5C"/>
    <w:rsid w:val="006E10B3"/>
    <w:rsid w:val="006E12F8"/>
    <w:rsid w:val="006E1779"/>
    <w:rsid w:val="006E1CED"/>
    <w:rsid w:val="006E1F5A"/>
    <w:rsid w:val="006E20AB"/>
    <w:rsid w:val="006E2290"/>
    <w:rsid w:val="006E3FB1"/>
    <w:rsid w:val="006E40B3"/>
    <w:rsid w:val="006E4122"/>
    <w:rsid w:val="006E4A02"/>
    <w:rsid w:val="006E4EC3"/>
    <w:rsid w:val="006E52E1"/>
    <w:rsid w:val="006E54D7"/>
    <w:rsid w:val="006E5E9C"/>
    <w:rsid w:val="006E6428"/>
    <w:rsid w:val="006E692D"/>
    <w:rsid w:val="006E6E89"/>
    <w:rsid w:val="006E7157"/>
    <w:rsid w:val="006E74BA"/>
    <w:rsid w:val="006E74E2"/>
    <w:rsid w:val="006E764E"/>
    <w:rsid w:val="006E7BDC"/>
    <w:rsid w:val="006E7C1F"/>
    <w:rsid w:val="006E7EBF"/>
    <w:rsid w:val="006E7F7D"/>
    <w:rsid w:val="006E7FF8"/>
    <w:rsid w:val="006F009F"/>
    <w:rsid w:val="006F01A0"/>
    <w:rsid w:val="006F04AB"/>
    <w:rsid w:val="006F1378"/>
    <w:rsid w:val="006F144F"/>
    <w:rsid w:val="006F14C9"/>
    <w:rsid w:val="006F1BFB"/>
    <w:rsid w:val="006F29C4"/>
    <w:rsid w:val="006F2D1F"/>
    <w:rsid w:val="006F2EF0"/>
    <w:rsid w:val="006F3331"/>
    <w:rsid w:val="006F34FC"/>
    <w:rsid w:val="006F3D3B"/>
    <w:rsid w:val="006F3F43"/>
    <w:rsid w:val="006F451A"/>
    <w:rsid w:val="006F47F4"/>
    <w:rsid w:val="006F48AF"/>
    <w:rsid w:val="006F506B"/>
    <w:rsid w:val="006F5248"/>
    <w:rsid w:val="006F565C"/>
    <w:rsid w:val="006F5AA0"/>
    <w:rsid w:val="006F5E1F"/>
    <w:rsid w:val="006F6C40"/>
    <w:rsid w:val="006F6DF0"/>
    <w:rsid w:val="006F71BD"/>
    <w:rsid w:val="006F7C41"/>
    <w:rsid w:val="00700529"/>
    <w:rsid w:val="00700664"/>
    <w:rsid w:val="00700805"/>
    <w:rsid w:val="00700865"/>
    <w:rsid w:val="007008C7"/>
    <w:rsid w:val="00700BE2"/>
    <w:rsid w:val="00700C83"/>
    <w:rsid w:val="00700C9B"/>
    <w:rsid w:val="00700CF0"/>
    <w:rsid w:val="00700D0D"/>
    <w:rsid w:val="00700DDD"/>
    <w:rsid w:val="00701211"/>
    <w:rsid w:val="00701346"/>
    <w:rsid w:val="0070138C"/>
    <w:rsid w:val="007014A2"/>
    <w:rsid w:val="0070151B"/>
    <w:rsid w:val="007015A4"/>
    <w:rsid w:val="00701A23"/>
    <w:rsid w:val="00701BAB"/>
    <w:rsid w:val="0070208E"/>
    <w:rsid w:val="007025B9"/>
    <w:rsid w:val="00703281"/>
    <w:rsid w:val="00703551"/>
    <w:rsid w:val="00703776"/>
    <w:rsid w:val="00703C78"/>
    <w:rsid w:val="00704E17"/>
    <w:rsid w:val="00704E62"/>
    <w:rsid w:val="00705147"/>
    <w:rsid w:val="007054F3"/>
    <w:rsid w:val="007057FF"/>
    <w:rsid w:val="0070592A"/>
    <w:rsid w:val="00705C8B"/>
    <w:rsid w:val="00705EE8"/>
    <w:rsid w:val="00706017"/>
    <w:rsid w:val="00706184"/>
    <w:rsid w:val="0070625B"/>
    <w:rsid w:val="007064B1"/>
    <w:rsid w:val="00706644"/>
    <w:rsid w:val="0070686F"/>
    <w:rsid w:val="00706D3A"/>
    <w:rsid w:val="00706F42"/>
    <w:rsid w:val="00707125"/>
    <w:rsid w:val="007074C6"/>
    <w:rsid w:val="00707D8E"/>
    <w:rsid w:val="00710194"/>
    <w:rsid w:val="007103A3"/>
    <w:rsid w:val="00710806"/>
    <w:rsid w:val="0071085B"/>
    <w:rsid w:val="00710ADD"/>
    <w:rsid w:val="00710C7B"/>
    <w:rsid w:val="00710EAA"/>
    <w:rsid w:val="0071133F"/>
    <w:rsid w:val="00711356"/>
    <w:rsid w:val="007113C7"/>
    <w:rsid w:val="007116F3"/>
    <w:rsid w:val="00711B84"/>
    <w:rsid w:val="00711C7D"/>
    <w:rsid w:val="00711D99"/>
    <w:rsid w:val="00711E8A"/>
    <w:rsid w:val="00712200"/>
    <w:rsid w:val="00712768"/>
    <w:rsid w:val="007129D0"/>
    <w:rsid w:val="00712B58"/>
    <w:rsid w:val="00712B6F"/>
    <w:rsid w:val="00712D33"/>
    <w:rsid w:val="0071322D"/>
    <w:rsid w:val="00713387"/>
    <w:rsid w:val="00713491"/>
    <w:rsid w:val="00713536"/>
    <w:rsid w:val="007141B1"/>
    <w:rsid w:val="007148EB"/>
    <w:rsid w:val="00714D9B"/>
    <w:rsid w:val="00714FD4"/>
    <w:rsid w:val="007150B9"/>
    <w:rsid w:val="00715550"/>
    <w:rsid w:val="00715E90"/>
    <w:rsid w:val="00716198"/>
    <w:rsid w:val="00716B9C"/>
    <w:rsid w:val="00716FC0"/>
    <w:rsid w:val="007201E3"/>
    <w:rsid w:val="00720808"/>
    <w:rsid w:val="0072151A"/>
    <w:rsid w:val="0072152F"/>
    <w:rsid w:val="00721B82"/>
    <w:rsid w:val="00722735"/>
    <w:rsid w:val="0072300E"/>
    <w:rsid w:val="00723E26"/>
    <w:rsid w:val="00724069"/>
    <w:rsid w:val="00725553"/>
    <w:rsid w:val="00725852"/>
    <w:rsid w:val="00725B2A"/>
    <w:rsid w:val="00725BC6"/>
    <w:rsid w:val="00725CF2"/>
    <w:rsid w:val="00726211"/>
    <w:rsid w:val="007262BA"/>
    <w:rsid w:val="007263A3"/>
    <w:rsid w:val="00726D49"/>
    <w:rsid w:val="007273E6"/>
    <w:rsid w:val="00727601"/>
    <w:rsid w:val="00727B71"/>
    <w:rsid w:val="00727CAB"/>
    <w:rsid w:val="0073021B"/>
    <w:rsid w:val="007303AA"/>
    <w:rsid w:val="007303B2"/>
    <w:rsid w:val="0073129E"/>
    <w:rsid w:val="0073142D"/>
    <w:rsid w:val="007316B2"/>
    <w:rsid w:val="007319DE"/>
    <w:rsid w:val="00731A9B"/>
    <w:rsid w:val="00731C31"/>
    <w:rsid w:val="007323E1"/>
    <w:rsid w:val="007323FB"/>
    <w:rsid w:val="00732563"/>
    <w:rsid w:val="0073288B"/>
    <w:rsid w:val="00732A26"/>
    <w:rsid w:val="0073304F"/>
    <w:rsid w:val="00733186"/>
    <w:rsid w:val="00733772"/>
    <w:rsid w:val="007342CF"/>
    <w:rsid w:val="0073498E"/>
    <w:rsid w:val="00734D9F"/>
    <w:rsid w:val="00735A4E"/>
    <w:rsid w:val="00735D7E"/>
    <w:rsid w:val="00735D97"/>
    <w:rsid w:val="007360B5"/>
    <w:rsid w:val="00736576"/>
    <w:rsid w:val="007367C1"/>
    <w:rsid w:val="007369D6"/>
    <w:rsid w:val="00736CC1"/>
    <w:rsid w:val="00736D95"/>
    <w:rsid w:val="007372E9"/>
    <w:rsid w:val="007375A2"/>
    <w:rsid w:val="00737FB2"/>
    <w:rsid w:val="0074041B"/>
    <w:rsid w:val="0074047A"/>
    <w:rsid w:val="00740575"/>
    <w:rsid w:val="007409BB"/>
    <w:rsid w:val="00740FFD"/>
    <w:rsid w:val="00741202"/>
    <w:rsid w:val="007414FB"/>
    <w:rsid w:val="007415CB"/>
    <w:rsid w:val="00741874"/>
    <w:rsid w:val="00741AD3"/>
    <w:rsid w:val="00741CBC"/>
    <w:rsid w:val="00741DE6"/>
    <w:rsid w:val="00741E64"/>
    <w:rsid w:val="0074258C"/>
    <w:rsid w:val="00742CB6"/>
    <w:rsid w:val="00742E16"/>
    <w:rsid w:val="00742EA2"/>
    <w:rsid w:val="00743938"/>
    <w:rsid w:val="00743D5D"/>
    <w:rsid w:val="007440A2"/>
    <w:rsid w:val="00744D35"/>
    <w:rsid w:val="007450CB"/>
    <w:rsid w:val="00745248"/>
    <w:rsid w:val="0074528F"/>
    <w:rsid w:val="00745847"/>
    <w:rsid w:val="00745924"/>
    <w:rsid w:val="007465C1"/>
    <w:rsid w:val="007466FE"/>
    <w:rsid w:val="00746910"/>
    <w:rsid w:val="00746991"/>
    <w:rsid w:val="00746B60"/>
    <w:rsid w:val="00746C1C"/>
    <w:rsid w:val="00746E8E"/>
    <w:rsid w:val="0074714A"/>
    <w:rsid w:val="00747B40"/>
    <w:rsid w:val="00752031"/>
    <w:rsid w:val="007521E9"/>
    <w:rsid w:val="0075230D"/>
    <w:rsid w:val="00752A49"/>
    <w:rsid w:val="0075382B"/>
    <w:rsid w:val="00753B8C"/>
    <w:rsid w:val="00753DA5"/>
    <w:rsid w:val="00753FA5"/>
    <w:rsid w:val="00754F88"/>
    <w:rsid w:val="007559B4"/>
    <w:rsid w:val="00755B32"/>
    <w:rsid w:val="0075617A"/>
    <w:rsid w:val="00756B58"/>
    <w:rsid w:val="007575A3"/>
    <w:rsid w:val="00757DE4"/>
    <w:rsid w:val="00757E3D"/>
    <w:rsid w:val="00757E84"/>
    <w:rsid w:val="0076003A"/>
    <w:rsid w:val="007601B5"/>
    <w:rsid w:val="0076036B"/>
    <w:rsid w:val="00760F28"/>
    <w:rsid w:val="0076144D"/>
    <w:rsid w:val="00761602"/>
    <w:rsid w:val="00761686"/>
    <w:rsid w:val="00761C0C"/>
    <w:rsid w:val="00761EEF"/>
    <w:rsid w:val="00761F2B"/>
    <w:rsid w:val="00762358"/>
    <w:rsid w:val="00762728"/>
    <w:rsid w:val="00762848"/>
    <w:rsid w:val="00762B72"/>
    <w:rsid w:val="00762CB5"/>
    <w:rsid w:val="00762CD0"/>
    <w:rsid w:val="00762D6D"/>
    <w:rsid w:val="0076323D"/>
    <w:rsid w:val="0076338B"/>
    <w:rsid w:val="00763414"/>
    <w:rsid w:val="007635C6"/>
    <w:rsid w:val="00763718"/>
    <w:rsid w:val="00763C6D"/>
    <w:rsid w:val="00763F28"/>
    <w:rsid w:val="00764018"/>
    <w:rsid w:val="007640FC"/>
    <w:rsid w:val="00764BBF"/>
    <w:rsid w:val="007650B2"/>
    <w:rsid w:val="0076555E"/>
    <w:rsid w:val="007655A7"/>
    <w:rsid w:val="00765761"/>
    <w:rsid w:val="00765ECE"/>
    <w:rsid w:val="00766791"/>
    <w:rsid w:val="0076688B"/>
    <w:rsid w:val="00766AAD"/>
    <w:rsid w:val="00766C56"/>
    <w:rsid w:val="00767ADA"/>
    <w:rsid w:val="00767C3F"/>
    <w:rsid w:val="00767F29"/>
    <w:rsid w:val="007702C4"/>
    <w:rsid w:val="00770509"/>
    <w:rsid w:val="007706F1"/>
    <w:rsid w:val="007708A8"/>
    <w:rsid w:val="007709BF"/>
    <w:rsid w:val="00770DEC"/>
    <w:rsid w:val="00770F8D"/>
    <w:rsid w:val="0077100B"/>
    <w:rsid w:val="00771140"/>
    <w:rsid w:val="0077136F"/>
    <w:rsid w:val="007715CB"/>
    <w:rsid w:val="007718AB"/>
    <w:rsid w:val="00771CF8"/>
    <w:rsid w:val="00772747"/>
    <w:rsid w:val="00773054"/>
    <w:rsid w:val="00773237"/>
    <w:rsid w:val="0077327F"/>
    <w:rsid w:val="007732D1"/>
    <w:rsid w:val="00773455"/>
    <w:rsid w:val="00773F85"/>
    <w:rsid w:val="0077442D"/>
    <w:rsid w:val="0077548C"/>
    <w:rsid w:val="007759EA"/>
    <w:rsid w:val="00775B66"/>
    <w:rsid w:val="0077620B"/>
    <w:rsid w:val="00776493"/>
    <w:rsid w:val="007767C9"/>
    <w:rsid w:val="00776D5F"/>
    <w:rsid w:val="007773E7"/>
    <w:rsid w:val="007777B0"/>
    <w:rsid w:val="00777898"/>
    <w:rsid w:val="00777B01"/>
    <w:rsid w:val="007804DD"/>
    <w:rsid w:val="00780EBF"/>
    <w:rsid w:val="0078112E"/>
    <w:rsid w:val="00781803"/>
    <w:rsid w:val="00781955"/>
    <w:rsid w:val="00781B24"/>
    <w:rsid w:val="00781BE3"/>
    <w:rsid w:val="00781FAA"/>
    <w:rsid w:val="007820D2"/>
    <w:rsid w:val="007820DF"/>
    <w:rsid w:val="00782656"/>
    <w:rsid w:val="00782723"/>
    <w:rsid w:val="00782A57"/>
    <w:rsid w:val="00782C11"/>
    <w:rsid w:val="00782EAC"/>
    <w:rsid w:val="00783137"/>
    <w:rsid w:val="0078338E"/>
    <w:rsid w:val="00783628"/>
    <w:rsid w:val="00783985"/>
    <w:rsid w:val="00783E14"/>
    <w:rsid w:val="007842FB"/>
    <w:rsid w:val="00784375"/>
    <w:rsid w:val="007843CC"/>
    <w:rsid w:val="0078472F"/>
    <w:rsid w:val="00784B06"/>
    <w:rsid w:val="00785475"/>
    <w:rsid w:val="00785800"/>
    <w:rsid w:val="00785D73"/>
    <w:rsid w:val="00786254"/>
    <w:rsid w:val="007866B3"/>
    <w:rsid w:val="007867A6"/>
    <w:rsid w:val="00786D78"/>
    <w:rsid w:val="007873A9"/>
    <w:rsid w:val="00787496"/>
    <w:rsid w:val="00787B95"/>
    <w:rsid w:val="007900E6"/>
    <w:rsid w:val="00790690"/>
    <w:rsid w:val="0079099D"/>
    <w:rsid w:val="00790CD3"/>
    <w:rsid w:val="00790DC9"/>
    <w:rsid w:val="00790E46"/>
    <w:rsid w:val="0079123F"/>
    <w:rsid w:val="00791993"/>
    <w:rsid w:val="00791BAE"/>
    <w:rsid w:val="00791CCE"/>
    <w:rsid w:val="00791F56"/>
    <w:rsid w:val="0079254A"/>
    <w:rsid w:val="00792C14"/>
    <w:rsid w:val="0079303C"/>
    <w:rsid w:val="007930D0"/>
    <w:rsid w:val="00793F9A"/>
    <w:rsid w:val="00794041"/>
    <w:rsid w:val="0079551A"/>
    <w:rsid w:val="00795AB2"/>
    <w:rsid w:val="00795C3B"/>
    <w:rsid w:val="00795DA8"/>
    <w:rsid w:val="00796135"/>
    <w:rsid w:val="007963B1"/>
    <w:rsid w:val="007965EE"/>
    <w:rsid w:val="007969EA"/>
    <w:rsid w:val="00796AB8"/>
    <w:rsid w:val="00796EFB"/>
    <w:rsid w:val="0079708B"/>
    <w:rsid w:val="007974E6"/>
    <w:rsid w:val="00797A8F"/>
    <w:rsid w:val="00797C5B"/>
    <w:rsid w:val="007A0486"/>
    <w:rsid w:val="007A0673"/>
    <w:rsid w:val="007A0BE6"/>
    <w:rsid w:val="007A0CC4"/>
    <w:rsid w:val="007A0FE6"/>
    <w:rsid w:val="007A1851"/>
    <w:rsid w:val="007A188A"/>
    <w:rsid w:val="007A1A69"/>
    <w:rsid w:val="007A29AA"/>
    <w:rsid w:val="007A2A4D"/>
    <w:rsid w:val="007A2E91"/>
    <w:rsid w:val="007A301D"/>
    <w:rsid w:val="007A33BC"/>
    <w:rsid w:val="007A36E3"/>
    <w:rsid w:val="007A38BD"/>
    <w:rsid w:val="007A3CA1"/>
    <w:rsid w:val="007A3DDF"/>
    <w:rsid w:val="007A3E11"/>
    <w:rsid w:val="007A41AE"/>
    <w:rsid w:val="007A45E5"/>
    <w:rsid w:val="007A4E87"/>
    <w:rsid w:val="007A5829"/>
    <w:rsid w:val="007A583D"/>
    <w:rsid w:val="007A595B"/>
    <w:rsid w:val="007A5B83"/>
    <w:rsid w:val="007A6925"/>
    <w:rsid w:val="007A6AF2"/>
    <w:rsid w:val="007A6C87"/>
    <w:rsid w:val="007A6D82"/>
    <w:rsid w:val="007A7441"/>
    <w:rsid w:val="007A7D83"/>
    <w:rsid w:val="007B0130"/>
    <w:rsid w:val="007B02AF"/>
    <w:rsid w:val="007B0402"/>
    <w:rsid w:val="007B0A9C"/>
    <w:rsid w:val="007B1269"/>
    <w:rsid w:val="007B1558"/>
    <w:rsid w:val="007B16BA"/>
    <w:rsid w:val="007B186D"/>
    <w:rsid w:val="007B1921"/>
    <w:rsid w:val="007B1A6F"/>
    <w:rsid w:val="007B1B32"/>
    <w:rsid w:val="007B1C09"/>
    <w:rsid w:val="007B1E2B"/>
    <w:rsid w:val="007B2ED3"/>
    <w:rsid w:val="007B3517"/>
    <w:rsid w:val="007B3804"/>
    <w:rsid w:val="007B3C26"/>
    <w:rsid w:val="007B3E60"/>
    <w:rsid w:val="007B444B"/>
    <w:rsid w:val="007B44FD"/>
    <w:rsid w:val="007B487F"/>
    <w:rsid w:val="007B48BE"/>
    <w:rsid w:val="007B49DD"/>
    <w:rsid w:val="007B4DEC"/>
    <w:rsid w:val="007B4E40"/>
    <w:rsid w:val="007B55E4"/>
    <w:rsid w:val="007B56B8"/>
    <w:rsid w:val="007B5824"/>
    <w:rsid w:val="007B5AE0"/>
    <w:rsid w:val="007B5B42"/>
    <w:rsid w:val="007B5CE6"/>
    <w:rsid w:val="007B5E14"/>
    <w:rsid w:val="007B5EEF"/>
    <w:rsid w:val="007B6490"/>
    <w:rsid w:val="007B64C5"/>
    <w:rsid w:val="007B69CB"/>
    <w:rsid w:val="007B6A79"/>
    <w:rsid w:val="007B6DF6"/>
    <w:rsid w:val="007B6EC8"/>
    <w:rsid w:val="007B7892"/>
    <w:rsid w:val="007B796F"/>
    <w:rsid w:val="007B7CDD"/>
    <w:rsid w:val="007B7DC5"/>
    <w:rsid w:val="007B7E0A"/>
    <w:rsid w:val="007B7EEA"/>
    <w:rsid w:val="007BEAC1"/>
    <w:rsid w:val="007C01BB"/>
    <w:rsid w:val="007C06D1"/>
    <w:rsid w:val="007C072F"/>
    <w:rsid w:val="007C074D"/>
    <w:rsid w:val="007C10C3"/>
    <w:rsid w:val="007C1C69"/>
    <w:rsid w:val="007C332D"/>
    <w:rsid w:val="007C3945"/>
    <w:rsid w:val="007C3DAC"/>
    <w:rsid w:val="007C3F72"/>
    <w:rsid w:val="007C404D"/>
    <w:rsid w:val="007C4944"/>
    <w:rsid w:val="007C4B16"/>
    <w:rsid w:val="007C4C4E"/>
    <w:rsid w:val="007C4EC4"/>
    <w:rsid w:val="007C4F6E"/>
    <w:rsid w:val="007C537C"/>
    <w:rsid w:val="007C578B"/>
    <w:rsid w:val="007C6302"/>
    <w:rsid w:val="007C64F8"/>
    <w:rsid w:val="007C683B"/>
    <w:rsid w:val="007C6856"/>
    <w:rsid w:val="007C6A55"/>
    <w:rsid w:val="007C7882"/>
    <w:rsid w:val="007C78A3"/>
    <w:rsid w:val="007D0312"/>
    <w:rsid w:val="007D061F"/>
    <w:rsid w:val="007D1085"/>
    <w:rsid w:val="007D14DF"/>
    <w:rsid w:val="007D1614"/>
    <w:rsid w:val="007D198B"/>
    <w:rsid w:val="007D2947"/>
    <w:rsid w:val="007D2B3C"/>
    <w:rsid w:val="007D2C10"/>
    <w:rsid w:val="007D2D91"/>
    <w:rsid w:val="007D2E24"/>
    <w:rsid w:val="007D2E4E"/>
    <w:rsid w:val="007D30DC"/>
    <w:rsid w:val="007D370D"/>
    <w:rsid w:val="007D38E3"/>
    <w:rsid w:val="007D3C7B"/>
    <w:rsid w:val="007D40B1"/>
    <w:rsid w:val="007D424F"/>
    <w:rsid w:val="007D4566"/>
    <w:rsid w:val="007D4D21"/>
    <w:rsid w:val="007D50F5"/>
    <w:rsid w:val="007D580A"/>
    <w:rsid w:val="007D59A8"/>
    <w:rsid w:val="007D5A8E"/>
    <w:rsid w:val="007D620A"/>
    <w:rsid w:val="007D6253"/>
    <w:rsid w:val="007D6762"/>
    <w:rsid w:val="007D6807"/>
    <w:rsid w:val="007D69EB"/>
    <w:rsid w:val="007D6BF5"/>
    <w:rsid w:val="007D6CE2"/>
    <w:rsid w:val="007D7540"/>
    <w:rsid w:val="007D7CB1"/>
    <w:rsid w:val="007D7EAE"/>
    <w:rsid w:val="007E0055"/>
    <w:rsid w:val="007E0343"/>
    <w:rsid w:val="007E05F4"/>
    <w:rsid w:val="007E0AFF"/>
    <w:rsid w:val="007E0D75"/>
    <w:rsid w:val="007E0E1F"/>
    <w:rsid w:val="007E156E"/>
    <w:rsid w:val="007E1B5B"/>
    <w:rsid w:val="007E2462"/>
    <w:rsid w:val="007E2595"/>
    <w:rsid w:val="007E2741"/>
    <w:rsid w:val="007E2C34"/>
    <w:rsid w:val="007E33EF"/>
    <w:rsid w:val="007E3FF3"/>
    <w:rsid w:val="007E4981"/>
    <w:rsid w:val="007E4E26"/>
    <w:rsid w:val="007E547C"/>
    <w:rsid w:val="007E5AF3"/>
    <w:rsid w:val="007E5CF2"/>
    <w:rsid w:val="007E603B"/>
    <w:rsid w:val="007E611E"/>
    <w:rsid w:val="007E64B2"/>
    <w:rsid w:val="007E66CA"/>
    <w:rsid w:val="007E6A0B"/>
    <w:rsid w:val="007E6B47"/>
    <w:rsid w:val="007E72C1"/>
    <w:rsid w:val="007E745D"/>
    <w:rsid w:val="007E7A38"/>
    <w:rsid w:val="007E7DFC"/>
    <w:rsid w:val="007F00EB"/>
    <w:rsid w:val="007F07C5"/>
    <w:rsid w:val="007F0B7F"/>
    <w:rsid w:val="007F1047"/>
    <w:rsid w:val="007F1B44"/>
    <w:rsid w:val="007F1BB0"/>
    <w:rsid w:val="007F1CAD"/>
    <w:rsid w:val="007F1EE7"/>
    <w:rsid w:val="007F2151"/>
    <w:rsid w:val="007F2722"/>
    <w:rsid w:val="007F290A"/>
    <w:rsid w:val="007F2DB7"/>
    <w:rsid w:val="007F2EC3"/>
    <w:rsid w:val="007F31F1"/>
    <w:rsid w:val="007F35E2"/>
    <w:rsid w:val="007F394B"/>
    <w:rsid w:val="007F3A24"/>
    <w:rsid w:val="007F4569"/>
    <w:rsid w:val="007F4739"/>
    <w:rsid w:val="007F4865"/>
    <w:rsid w:val="007F492D"/>
    <w:rsid w:val="007F4DA4"/>
    <w:rsid w:val="007F5163"/>
    <w:rsid w:val="007F54FF"/>
    <w:rsid w:val="007F5DA0"/>
    <w:rsid w:val="007F6378"/>
    <w:rsid w:val="007F6390"/>
    <w:rsid w:val="007F6595"/>
    <w:rsid w:val="007F6F92"/>
    <w:rsid w:val="007F7903"/>
    <w:rsid w:val="007F79C4"/>
    <w:rsid w:val="007F7F1C"/>
    <w:rsid w:val="007F7FC5"/>
    <w:rsid w:val="00800513"/>
    <w:rsid w:val="00800F2B"/>
    <w:rsid w:val="0080152C"/>
    <w:rsid w:val="00801545"/>
    <w:rsid w:val="00802311"/>
    <w:rsid w:val="008027D2"/>
    <w:rsid w:val="00802AC6"/>
    <w:rsid w:val="00802BF5"/>
    <w:rsid w:val="008030D9"/>
    <w:rsid w:val="00803139"/>
    <w:rsid w:val="008034CD"/>
    <w:rsid w:val="008038F2"/>
    <w:rsid w:val="00803A4E"/>
    <w:rsid w:val="00803B4F"/>
    <w:rsid w:val="00803E6A"/>
    <w:rsid w:val="00803E8D"/>
    <w:rsid w:val="0080482F"/>
    <w:rsid w:val="008052D0"/>
    <w:rsid w:val="008053A4"/>
    <w:rsid w:val="00805A08"/>
    <w:rsid w:val="00805D07"/>
    <w:rsid w:val="0080627C"/>
    <w:rsid w:val="00806442"/>
    <w:rsid w:val="00806831"/>
    <w:rsid w:val="00806B32"/>
    <w:rsid w:val="00806BDF"/>
    <w:rsid w:val="00806CA6"/>
    <w:rsid w:val="00807151"/>
    <w:rsid w:val="0080791D"/>
    <w:rsid w:val="008079AD"/>
    <w:rsid w:val="00807A7C"/>
    <w:rsid w:val="00807EA6"/>
    <w:rsid w:val="008103C3"/>
    <w:rsid w:val="008105C0"/>
    <w:rsid w:val="00810A6C"/>
    <w:rsid w:val="00810FC7"/>
    <w:rsid w:val="00811240"/>
    <w:rsid w:val="00811AE8"/>
    <w:rsid w:val="00811B00"/>
    <w:rsid w:val="0081267A"/>
    <w:rsid w:val="00812848"/>
    <w:rsid w:val="00812B30"/>
    <w:rsid w:val="00812F49"/>
    <w:rsid w:val="00813163"/>
    <w:rsid w:val="00813403"/>
    <w:rsid w:val="00813E96"/>
    <w:rsid w:val="00814439"/>
    <w:rsid w:val="0081443B"/>
    <w:rsid w:val="008145A1"/>
    <w:rsid w:val="008148A6"/>
    <w:rsid w:val="00814F95"/>
    <w:rsid w:val="00814FC3"/>
    <w:rsid w:val="00815352"/>
    <w:rsid w:val="0081538A"/>
    <w:rsid w:val="0081543F"/>
    <w:rsid w:val="008156D0"/>
    <w:rsid w:val="00815868"/>
    <w:rsid w:val="00815A5F"/>
    <w:rsid w:val="00815AC1"/>
    <w:rsid w:val="0081619E"/>
    <w:rsid w:val="00816250"/>
    <w:rsid w:val="008163C5"/>
    <w:rsid w:val="008164E9"/>
    <w:rsid w:val="0081657F"/>
    <w:rsid w:val="00816B2F"/>
    <w:rsid w:val="00816CF5"/>
    <w:rsid w:val="00816E88"/>
    <w:rsid w:val="00817200"/>
    <w:rsid w:val="0081728D"/>
    <w:rsid w:val="00817A63"/>
    <w:rsid w:val="00817B63"/>
    <w:rsid w:val="008204B4"/>
    <w:rsid w:val="0082071A"/>
    <w:rsid w:val="00820804"/>
    <w:rsid w:val="0082090D"/>
    <w:rsid w:val="00820DFA"/>
    <w:rsid w:val="00820E32"/>
    <w:rsid w:val="00820FB4"/>
    <w:rsid w:val="00821367"/>
    <w:rsid w:val="008215AC"/>
    <w:rsid w:val="008217CE"/>
    <w:rsid w:val="00821CD2"/>
    <w:rsid w:val="00822531"/>
    <w:rsid w:val="00822BCB"/>
    <w:rsid w:val="00822CB1"/>
    <w:rsid w:val="00823696"/>
    <w:rsid w:val="00823B0B"/>
    <w:rsid w:val="0082444D"/>
    <w:rsid w:val="00824927"/>
    <w:rsid w:val="0082493F"/>
    <w:rsid w:val="00824A23"/>
    <w:rsid w:val="008251F8"/>
    <w:rsid w:val="00825226"/>
    <w:rsid w:val="00825588"/>
    <w:rsid w:val="00825CEA"/>
    <w:rsid w:val="00825EC8"/>
    <w:rsid w:val="008266A1"/>
    <w:rsid w:val="0082692C"/>
    <w:rsid w:val="00826CFE"/>
    <w:rsid w:val="00826DFC"/>
    <w:rsid w:val="00826EB1"/>
    <w:rsid w:val="00826ED0"/>
    <w:rsid w:val="00827153"/>
    <w:rsid w:val="00827370"/>
    <w:rsid w:val="0082748D"/>
    <w:rsid w:val="008274D5"/>
    <w:rsid w:val="00827CEE"/>
    <w:rsid w:val="00827ECC"/>
    <w:rsid w:val="008308F4"/>
    <w:rsid w:val="00831289"/>
    <w:rsid w:val="008313BE"/>
    <w:rsid w:val="00831D2B"/>
    <w:rsid w:val="00832BD2"/>
    <w:rsid w:val="0083427B"/>
    <w:rsid w:val="00834694"/>
    <w:rsid w:val="008348D8"/>
    <w:rsid w:val="008348DD"/>
    <w:rsid w:val="0083493E"/>
    <w:rsid w:val="00834A7B"/>
    <w:rsid w:val="00834D0B"/>
    <w:rsid w:val="00834DB2"/>
    <w:rsid w:val="00834FF6"/>
    <w:rsid w:val="00835249"/>
    <w:rsid w:val="0083539F"/>
    <w:rsid w:val="00835738"/>
    <w:rsid w:val="00836192"/>
    <w:rsid w:val="00836794"/>
    <w:rsid w:val="00836807"/>
    <w:rsid w:val="00836936"/>
    <w:rsid w:val="00836F15"/>
    <w:rsid w:val="0083705E"/>
    <w:rsid w:val="00837E47"/>
    <w:rsid w:val="008401D2"/>
    <w:rsid w:val="008406B5"/>
    <w:rsid w:val="00840751"/>
    <w:rsid w:val="008407B4"/>
    <w:rsid w:val="00840837"/>
    <w:rsid w:val="0084090B"/>
    <w:rsid w:val="00840961"/>
    <w:rsid w:val="0084100D"/>
    <w:rsid w:val="008411BE"/>
    <w:rsid w:val="0084137C"/>
    <w:rsid w:val="00841A2A"/>
    <w:rsid w:val="008421DE"/>
    <w:rsid w:val="00842363"/>
    <w:rsid w:val="008423BD"/>
    <w:rsid w:val="00842A1F"/>
    <w:rsid w:val="00842A76"/>
    <w:rsid w:val="00842B71"/>
    <w:rsid w:val="00842C05"/>
    <w:rsid w:val="00842F14"/>
    <w:rsid w:val="00842FC4"/>
    <w:rsid w:val="008432B8"/>
    <w:rsid w:val="00843780"/>
    <w:rsid w:val="00843F43"/>
    <w:rsid w:val="00843FB3"/>
    <w:rsid w:val="008441E8"/>
    <w:rsid w:val="00844D5D"/>
    <w:rsid w:val="0084509A"/>
    <w:rsid w:val="00845234"/>
    <w:rsid w:val="008458E2"/>
    <w:rsid w:val="00845CBD"/>
    <w:rsid w:val="00845FC9"/>
    <w:rsid w:val="00846180"/>
    <w:rsid w:val="00846508"/>
    <w:rsid w:val="00846812"/>
    <w:rsid w:val="008468FA"/>
    <w:rsid w:val="00846AE1"/>
    <w:rsid w:val="00846B1C"/>
    <w:rsid w:val="00846B67"/>
    <w:rsid w:val="00847B12"/>
    <w:rsid w:val="00847BE0"/>
    <w:rsid w:val="00847F2B"/>
    <w:rsid w:val="008501A7"/>
    <w:rsid w:val="00850246"/>
    <w:rsid w:val="00850318"/>
    <w:rsid w:val="0085070A"/>
    <w:rsid w:val="00850E34"/>
    <w:rsid w:val="008510EB"/>
    <w:rsid w:val="00851457"/>
    <w:rsid w:val="00851578"/>
    <w:rsid w:val="008517BE"/>
    <w:rsid w:val="00851961"/>
    <w:rsid w:val="00851AC3"/>
    <w:rsid w:val="00851E33"/>
    <w:rsid w:val="00852508"/>
    <w:rsid w:val="00852662"/>
    <w:rsid w:val="00852AAD"/>
    <w:rsid w:val="00852ABF"/>
    <w:rsid w:val="00852D4D"/>
    <w:rsid w:val="00852F73"/>
    <w:rsid w:val="008530FE"/>
    <w:rsid w:val="00853316"/>
    <w:rsid w:val="0085367F"/>
    <w:rsid w:val="00853842"/>
    <w:rsid w:val="00853B10"/>
    <w:rsid w:val="00853C18"/>
    <w:rsid w:val="0085407F"/>
    <w:rsid w:val="00854697"/>
    <w:rsid w:val="00854A08"/>
    <w:rsid w:val="00854BE3"/>
    <w:rsid w:val="00854D04"/>
    <w:rsid w:val="00854EDE"/>
    <w:rsid w:val="00855960"/>
    <w:rsid w:val="00855A1A"/>
    <w:rsid w:val="00855A7C"/>
    <w:rsid w:val="00856154"/>
    <w:rsid w:val="008561BF"/>
    <w:rsid w:val="00856488"/>
    <w:rsid w:val="00856E2C"/>
    <w:rsid w:val="00857111"/>
    <w:rsid w:val="00857202"/>
    <w:rsid w:val="0085792C"/>
    <w:rsid w:val="00857D62"/>
    <w:rsid w:val="008601AC"/>
    <w:rsid w:val="00860308"/>
    <w:rsid w:val="008606D2"/>
    <w:rsid w:val="00860E0B"/>
    <w:rsid w:val="00861800"/>
    <w:rsid w:val="0086187C"/>
    <w:rsid w:val="00861969"/>
    <w:rsid w:val="008619C8"/>
    <w:rsid w:val="008624E9"/>
    <w:rsid w:val="008626CB"/>
    <w:rsid w:val="008627B8"/>
    <w:rsid w:val="0086299D"/>
    <w:rsid w:val="008629D9"/>
    <w:rsid w:val="00862C64"/>
    <w:rsid w:val="00862DFE"/>
    <w:rsid w:val="00863557"/>
    <w:rsid w:val="00863928"/>
    <w:rsid w:val="00863C28"/>
    <w:rsid w:val="0086400A"/>
    <w:rsid w:val="00864047"/>
    <w:rsid w:val="008644FB"/>
    <w:rsid w:val="00864A2C"/>
    <w:rsid w:val="00864CB1"/>
    <w:rsid w:val="00864EC6"/>
    <w:rsid w:val="0086503E"/>
    <w:rsid w:val="008650C2"/>
    <w:rsid w:val="00865570"/>
    <w:rsid w:val="0086557F"/>
    <w:rsid w:val="008660FE"/>
    <w:rsid w:val="00866485"/>
    <w:rsid w:val="0086660A"/>
    <w:rsid w:val="00866669"/>
    <w:rsid w:val="0086668A"/>
    <w:rsid w:val="00866771"/>
    <w:rsid w:val="00867400"/>
    <w:rsid w:val="008674F3"/>
    <w:rsid w:val="00867BC8"/>
    <w:rsid w:val="00867F87"/>
    <w:rsid w:val="00870256"/>
    <w:rsid w:val="0087029A"/>
    <w:rsid w:val="008703DD"/>
    <w:rsid w:val="008704A0"/>
    <w:rsid w:val="008706F5"/>
    <w:rsid w:val="008707EF"/>
    <w:rsid w:val="00870CB8"/>
    <w:rsid w:val="00871067"/>
    <w:rsid w:val="00871216"/>
    <w:rsid w:val="008717A6"/>
    <w:rsid w:val="00871B12"/>
    <w:rsid w:val="00871CFA"/>
    <w:rsid w:val="00871F00"/>
    <w:rsid w:val="00872228"/>
    <w:rsid w:val="0087237C"/>
    <w:rsid w:val="00872492"/>
    <w:rsid w:val="0087259D"/>
    <w:rsid w:val="008727B0"/>
    <w:rsid w:val="008729EA"/>
    <w:rsid w:val="00872DAA"/>
    <w:rsid w:val="0087301A"/>
    <w:rsid w:val="008735D5"/>
    <w:rsid w:val="008736A8"/>
    <w:rsid w:val="008739C2"/>
    <w:rsid w:val="00873E90"/>
    <w:rsid w:val="00874607"/>
    <w:rsid w:val="008749F5"/>
    <w:rsid w:val="00874E78"/>
    <w:rsid w:val="0087547D"/>
    <w:rsid w:val="0087559B"/>
    <w:rsid w:val="0087571D"/>
    <w:rsid w:val="00875922"/>
    <w:rsid w:val="00875AB5"/>
    <w:rsid w:val="00875D75"/>
    <w:rsid w:val="00875D7A"/>
    <w:rsid w:val="00876220"/>
    <w:rsid w:val="00877230"/>
    <w:rsid w:val="00877435"/>
    <w:rsid w:val="008774E5"/>
    <w:rsid w:val="008775A3"/>
    <w:rsid w:val="00877BF4"/>
    <w:rsid w:val="00877FA4"/>
    <w:rsid w:val="0088023D"/>
    <w:rsid w:val="00880485"/>
    <w:rsid w:val="0088072F"/>
    <w:rsid w:val="0088074C"/>
    <w:rsid w:val="008807AE"/>
    <w:rsid w:val="00880991"/>
    <w:rsid w:val="00880DBE"/>
    <w:rsid w:val="00881AA2"/>
    <w:rsid w:val="00881BE1"/>
    <w:rsid w:val="008820B7"/>
    <w:rsid w:val="00882240"/>
    <w:rsid w:val="008823DD"/>
    <w:rsid w:val="00882532"/>
    <w:rsid w:val="008826C1"/>
    <w:rsid w:val="00882F75"/>
    <w:rsid w:val="00882FFE"/>
    <w:rsid w:val="008830A6"/>
    <w:rsid w:val="0088346E"/>
    <w:rsid w:val="0088354B"/>
    <w:rsid w:val="0088363C"/>
    <w:rsid w:val="00883739"/>
    <w:rsid w:val="0088373C"/>
    <w:rsid w:val="00883934"/>
    <w:rsid w:val="008842BD"/>
    <w:rsid w:val="0088430B"/>
    <w:rsid w:val="00884571"/>
    <w:rsid w:val="008849E0"/>
    <w:rsid w:val="00885174"/>
    <w:rsid w:val="00885B3A"/>
    <w:rsid w:val="00885BDB"/>
    <w:rsid w:val="008860F2"/>
    <w:rsid w:val="00886191"/>
    <w:rsid w:val="008865FB"/>
    <w:rsid w:val="008868ED"/>
    <w:rsid w:val="008869AF"/>
    <w:rsid w:val="00886B64"/>
    <w:rsid w:val="00886F73"/>
    <w:rsid w:val="00886FA5"/>
    <w:rsid w:val="00887330"/>
    <w:rsid w:val="008877B0"/>
    <w:rsid w:val="00887DD2"/>
    <w:rsid w:val="00887F55"/>
    <w:rsid w:val="0089031D"/>
    <w:rsid w:val="00890C38"/>
    <w:rsid w:val="00890E76"/>
    <w:rsid w:val="00890F86"/>
    <w:rsid w:val="00891420"/>
    <w:rsid w:val="00891740"/>
    <w:rsid w:val="00891786"/>
    <w:rsid w:val="00891B08"/>
    <w:rsid w:val="00891B14"/>
    <w:rsid w:val="00891DC7"/>
    <w:rsid w:val="00891F9B"/>
    <w:rsid w:val="008922D3"/>
    <w:rsid w:val="008923C7"/>
    <w:rsid w:val="008923E8"/>
    <w:rsid w:val="008928C1"/>
    <w:rsid w:val="008928D1"/>
    <w:rsid w:val="00892D72"/>
    <w:rsid w:val="00892FAB"/>
    <w:rsid w:val="00893044"/>
    <w:rsid w:val="0089310E"/>
    <w:rsid w:val="008932D8"/>
    <w:rsid w:val="008933F1"/>
    <w:rsid w:val="00893604"/>
    <w:rsid w:val="00893706"/>
    <w:rsid w:val="00893746"/>
    <w:rsid w:val="0089378D"/>
    <w:rsid w:val="008940A0"/>
    <w:rsid w:val="008942AB"/>
    <w:rsid w:val="00894430"/>
    <w:rsid w:val="008946AF"/>
    <w:rsid w:val="008947DE"/>
    <w:rsid w:val="00894806"/>
    <w:rsid w:val="0089520C"/>
    <w:rsid w:val="00895463"/>
    <w:rsid w:val="0089548D"/>
    <w:rsid w:val="00895812"/>
    <w:rsid w:val="00895B45"/>
    <w:rsid w:val="00895C5D"/>
    <w:rsid w:val="00895E9E"/>
    <w:rsid w:val="00896464"/>
    <w:rsid w:val="00896CF5"/>
    <w:rsid w:val="00897043"/>
    <w:rsid w:val="008972CC"/>
    <w:rsid w:val="008976AF"/>
    <w:rsid w:val="00897BFE"/>
    <w:rsid w:val="008A074A"/>
    <w:rsid w:val="008A0A19"/>
    <w:rsid w:val="008A0BDF"/>
    <w:rsid w:val="008A0F93"/>
    <w:rsid w:val="008A100E"/>
    <w:rsid w:val="008A10AD"/>
    <w:rsid w:val="008A15A0"/>
    <w:rsid w:val="008A19A2"/>
    <w:rsid w:val="008A21D5"/>
    <w:rsid w:val="008A24C0"/>
    <w:rsid w:val="008A283B"/>
    <w:rsid w:val="008A29B1"/>
    <w:rsid w:val="008A2B42"/>
    <w:rsid w:val="008A2CBE"/>
    <w:rsid w:val="008A2D50"/>
    <w:rsid w:val="008A2F8A"/>
    <w:rsid w:val="008A305A"/>
    <w:rsid w:val="008A32AC"/>
    <w:rsid w:val="008A3802"/>
    <w:rsid w:val="008A3F6E"/>
    <w:rsid w:val="008A44E4"/>
    <w:rsid w:val="008A474B"/>
    <w:rsid w:val="008A5100"/>
    <w:rsid w:val="008A51E0"/>
    <w:rsid w:val="008A54E6"/>
    <w:rsid w:val="008A5795"/>
    <w:rsid w:val="008A5889"/>
    <w:rsid w:val="008A6004"/>
    <w:rsid w:val="008A602D"/>
    <w:rsid w:val="008A65F9"/>
    <w:rsid w:val="008A66B2"/>
    <w:rsid w:val="008A6ACD"/>
    <w:rsid w:val="008A71F2"/>
    <w:rsid w:val="008A7202"/>
    <w:rsid w:val="008A73AD"/>
    <w:rsid w:val="008A7712"/>
    <w:rsid w:val="008A79C6"/>
    <w:rsid w:val="008B0080"/>
    <w:rsid w:val="008B0136"/>
    <w:rsid w:val="008B01BE"/>
    <w:rsid w:val="008B0B11"/>
    <w:rsid w:val="008B0F25"/>
    <w:rsid w:val="008B17F3"/>
    <w:rsid w:val="008B1A66"/>
    <w:rsid w:val="008B1C3E"/>
    <w:rsid w:val="008B1EBD"/>
    <w:rsid w:val="008B1FA6"/>
    <w:rsid w:val="008B202A"/>
    <w:rsid w:val="008B2522"/>
    <w:rsid w:val="008B3151"/>
    <w:rsid w:val="008B3333"/>
    <w:rsid w:val="008B33F6"/>
    <w:rsid w:val="008B38B7"/>
    <w:rsid w:val="008B3A00"/>
    <w:rsid w:val="008B3D2E"/>
    <w:rsid w:val="008B3F32"/>
    <w:rsid w:val="008B4040"/>
    <w:rsid w:val="008B40C9"/>
    <w:rsid w:val="008B4605"/>
    <w:rsid w:val="008B4DF5"/>
    <w:rsid w:val="008B56B6"/>
    <w:rsid w:val="008B57E4"/>
    <w:rsid w:val="008B5F8F"/>
    <w:rsid w:val="008B6201"/>
    <w:rsid w:val="008B65CF"/>
    <w:rsid w:val="008B6695"/>
    <w:rsid w:val="008B6A19"/>
    <w:rsid w:val="008B6AC2"/>
    <w:rsid w:val="008B6B36"/>
    <w:rsid w:val="008B6B4F"/>
    <w:rsid w:val="008B6D1C"/>
    <w:rsid w:val="008B712A"/>
    <w:rsid w:val="008B739E"/>
    <w:rsid w:val="008B74A6"/>
    <w:rsid w:val="008B76A7"/>
    <w:rsid w:val="008B7757"/>
    <w:rsid w:val="008B77A1"/>
    <w:rsid w:val="008B7C11"/>
    <w:rsid w:val="008B7CE0"/>
    <w:rsid w:val="008B7F8C"/>
    <w:rsid w:val="008B7FA4"/>
    <w:rsid w:val="008C00B9"/>
    <w:rsid w:val="008C03EE"/>
    <w:rsid w:val="008C045A"/>
    <w:rsid w:val="008C081A"/>
    <w:rsid w:val="008C0B9D"/>
    <w:rsid w:val="008C141C"/>
    <w:rsid w:val="008C1CF4"/>
    <w:rsid w:val="008C257E"/>
    <w:rsid w:val="008C2C0E"/>
    <w:rsid w:val="008C2CA1"/>
    <w:rsid w:val="008C2E57"/>
    <w:rsid w:val="008C2E9F"/>
    <w:rsid w:val="008C3325"/>
    <w:rsid w:val="008C3484"/>
    <w:rsid w:val="008C4067"/>
    <w:rsid w:val="008C4119"/>
    <w:rsid w:val="008C4871"/>
    <w:rsid w:val="008C50E0"/>
    <w:rsid w:val="008C52CA"/>
    <w:rsid w:val="008C5315"/>
    <w:rsid w:val="008C5758"/>
    <w:rsid w:val="008C575F"/>
    <w:rsid w:val="008C614A"/>
    <w:rsid w:val="008C6BB5"/>
    <w:rsid w:val="008C6DA2"/>
    <w:rsid w:val="008C70F9"/>
    <w:rsid w:val="008C773C"/>
    <w:rsid w:val="008C7A1A"/>
    <w:rsid w:val="008D06D3"/>
    <w:rsid w:val="008D0BF6"/>
    <w:rsid w:val="008D112F"/>
    <w:rsid w:val="008D11AE"/>
    <w:rsid w:val="008D143D"/>
    <w:rsid w:val="008D183D"/>
    <w:rsid w:val="008D2365"/>
    <w:rsid w:val="008D23D3"/>
    <w:rsid w:val="008D2599"/>
    <w:rsid w:val="008D2D83"/>
    <w:rsid w:val="008D2DA6"/>
    <w:rsid w:val="008D2E68"/>
    <w:rsid w:val="008D3267"/>
    <w:rsid w:val="008D334E"/>
    <w:rsid w:val="008D337F"/>
    <w:rsid w:val="008D3535"/>
    <w:rsid w:val="008D3863"/>
    <w:rsid w:val="008D3DBB"/>
    <w:rsid w:val="008D3DDF"/>
    <w:rsid w:val="008D3E42"/>
    <w:rsid w:val="008D4182"/>
    <w:rsid w:val="008D451B"/>
    <w:rsid w:val="008D45EE"/>
    <w:rsid w:val="008D48B7"/>
    <w:rsid w:val="008D5563"/>
    <w:rsid w:val="008D5BB7"/>
    <w:rsid w:val="008D5C45"/>
    <w:rsid w:val="008D6183"/>
    <w:rsid w:val="008D62F2"/>
    <w:rsid w:val="008D65AE"/>
    <w:rsid w:val="008D683E"/>
    <w:rsid w:val="008D6EAC"/>
    <w:rsid w:val="008D70EC"/>
    <w:rsid w:val="008D715C"/>
    <w:rsid w:val="008D72C0"/>
    <w:rsid w:val="008D79F5"/>
    <w:rsid w:val="008D7AD3"/>
    <w:rsid w:val="008D7DA0"/>
    <w:rsid w:val="008E056E"/>
    <w:rsid w:val="008E065B"/>
    <w:rsid w:val="008E0A3A"/>
    <w:rsid w:val="008E0BEF"/>
    <w:rsid w:val="008E0DF6"/>
    <w:rsid w:val="008E11F9"/>
    <w:rsid w:val="008E1303"/>
    <w:rsid w:val="008E172C"/>
    <w:rsid w:val="008E1ACE"/>
    <w:rsid w:val="008E1D08"/>
    <w:rsid w:val="008E2310"/>
    <w:rsid w:val="008E241D"/>
    <w:rsid w:val="008E27C7"/>
    <w:rsid w:val="008E294C"/>
    <w:rsid w:val="008E32ED"/>
    <w:rsid w:val="008E3540"/>
    <w:rsid w:val="008E4181"/>
    <w:rsid w:val="008E4487"/>
    <w:rsid w:val="008E493B"/>
    <w:rsid w:val="008E49E2"/>
    <w:rsid w:val="008E4C9A"/>
    <w:rsid w:val="008E5540"/>
    <w:rsid w:val="008E58A5"/>
    <w:rsid w:val="008E5A27"/>
    <w:rsid w:val="008E5C14"/>
    <w:rsid w:val="008E5C63"/>
    <w:rsid w:val="008E60C3"/>
    <w:rsid w:val="008E6104"/>
    <w:rsid w:val="008E61E9"/>
    <w:rsid w:val="008E643B"/>
    <w:rsid w:val="008E6563"/>
    <w:rsid w:val="008E659E"/>
    <w:rsid w:val="008E6DCD"/>
    <w:rsid w:val="008E725D"/>
    <w:rsid w:val="008E77FC"/>
    <w:rsid w:val="008E785B"/>
    <w:rsid w:val="008E7A2B"/>
    <w:rsid w:val="008E7A6E"/>
    <w:rsid w:val="008E7EC1"/>
    <w:rsid w:val="008F00CC"/>
    <w:rsid w:val="008F023E"/>
    <w:rsid w:val="008F033D"/>
    <w:rsid w:val="008F095C"/>
    <w:rsid w:val="008F0BA9"/>
    <w:rsid w:val="008F0CA7"/>
    <w:rsid w:val="008F0CFE"/>
    <w:rsid w:val="008F0EA6"/>
    <w:rsid w:val="008F0ECB"/>
    <w:rsid w:val="008F1074"/>
    <w:rsid w:val="008F1159"/>
    <w:rsid w:val="008F1223"/>
    <w:rsid w:val="008F1227"/>
    <w:rsid w:val="008F16B0"/>
    <w:rsid w:val="008F1784"/>
    <w:rsid w:val="008F17C1"/>
    <w:rsid w:val="008F18BB"/>
    <w:rsid w:val="008F2358"/>
    <w:rsid w:val="008F23B6"/>
    <w:rsid w:val="008F26B4"/>
    <w:rsid w:val="008F2D4A"/>
    <w:rsid w:val="008F2F93"/>
    <w:rsid w:val="008F3168"/>
    <w:rsid w:val="008F3385"/>
    <w:rsid w:val="008F3473"/>
    <w:rsid w:val="008F37EE"/>
    <w:rsid w:val="008F3B56"/>
    <w:rsid w:val="008F4259"/>
    <w:rsid w:val="008F47CA"/>
    <w:rsid w:val="008F4AA2"/>
    <w:rsid w:val="008F4D57"/>
    <w:rsid w:val="008F63CC"/>
    <w:rsid w:val="008F6901"/>
    <w:rsid w:val="008F6C01"/>
    <w:rsid w:val="008F6D90"/>
    <w:rsid w:val="008F738E"/>
    <w:rsid w:val="008F7895"/>
    <w:rsid w:val="008F7CA0"/>
    <w:rsid w:val="008F7D5B"/>
    <w:rsid w:val="008F7F99"/>
    <w:rsid w:val="0090015C"/>
    <w:rsid w:val="00900608"/>
    <w:rsid w:val="00900B1C"/>
    <w:rsid w:val="00900BA1"/>
    <w:rsid w:val="00900C3F"/>
    <w:rsid w:val="00900FC0"/>
    <w:rsid w:val="00901127"/>
    <w:rsid w:val="00901297"/>
    <w:rsid w:val="00901980"/>
    <w:rsid w:val="00901B0D"/>
    <w:rsid w:val="00902004"/>
    <w:rsid w:val="009021EF"/>
    <w:rsid w:val="0090234D"/>
    <w:rsid w:val="00902565"/>
    <w:rsid w:val="00902746"/>
    <w:rsid w:val="0090276A"/>
    <w:rsid w:val="00902E31"/>
    <w:rsid w:val="0090356B"/>
    <w:rsid w:val="009035A1"/>
    <w:rsid w:val="009036BB"/>
    <w:rsid w:val="00903C61"/>
    <w:rsid w:val="00903EF7"/>
    <w:rsid w:val="00904104"/>
    <w:rsid w:val="009043F2"/>
    <w:rsid w:val="00904BA2"/>
    <w:rsid w:val="00905041"/>
    <w:rsid w:val="009056A4"/>
    <w:rsid w:val="009059A5"/>
    <w:rsid w:val="00905AA9"/>
    <w:rsid w:val="009060F8"/>
    <w:rsid w:val="00906497"/>
    <w:rsid w:val="0090709B"/>
    <w:rsid w:val="00907147"/>
    <w:rsid w:val="009071C3"/>
    <w:rsid w:val="0090721E"/>
    <w:rsid w:val="00907399"/>
    <w:rsid w:val="00907BBA"/>
    <w:rsid w:val="00907CC6"/>
    <w:rsid w:val="00909C32"/>
    <w:rsid w:val="009104C9"/>
    <w:rsid w:val="00910533"/>
    <w:rsid w:val="00910611"/>
    <w:rsid w:val="009107FC"/>
    <w:rsid w:val="00910A66"/>
    <w:rsid w:val="00910F03"/>
    <w:rsid w:val="00911339"/>
    <w:rsid w:val="009114F1"/>
    <w:rsid w:val="0091196B"/>
    <w:rsid w:val="00911AEC"/>
    <w:rsid w:val="00911C6F"/>
    <w:rsid w:val="00911DC2"/>
    <w:rsid w:val="00911EDC"/>
    <w:rsid w:val="00911F46"/>
    <w:rsid w:val="00912A2F"/>
    <w:rsid w:val="00912B48"/>
    <w:rsid w:val="009134BB"/>
    <w:rsid w:val="00913631"/>
    <w:rsid w:val="00913EB9"/>
    <w:rsid w:val="009141BE"/>
    <w:rsid w:val="009142D9"/>
    <w:rsid w:val="0091467B"/>
    <w:rsid w:val="00915166"/>
    <w:rsid w:val="00915799"/>
    <w:rsid w:val="00916000"/>
    <w:rsid w:val="0091607C"/>
    <w:rsid w:val="009161A0"/>
    <w:rsid w:val="0091641B"/>
    <w:rsid w:val="009164F5"/>
    <w:rsid w:val="00916783"/>
    <w:rsid w:val="00916DA9"/>
    <w:rsid w:val="00916F2B"/>
    <w:rsid w:val="00917012"/>
    <w:rsid w:val="00917A40"/>
    <w:rsid w:val="00917C06"/>
    <w:rsid w:val="00917E12"/>
    <w:rsid w:val="0092033A"/>
    <w:rsid w:val="0092037A"/>
    <w:rsid w:val="009207BB"/>
    <w:rsid w:val="00920A2A"/>
    <w:rsid w:val="00920AD7"/>
    <w:rsid w:val="009212AC"/>
    <w:rsid w:val="00921303"/>
    <w:rsid w:val="0092153F"/>
    <w:rsid w:val="00921996"/>
    <w:rsid w:val="00921A88"/>
    <w:rsid w:val="00922049"/>
    <w:rsid w:val="009220F3"/>
    <w:rsid w:val="0092298B"/>
    <w:rsid w:val="009235D7"/>
    <w:rsid w:val="00923781"/>
    <w:rsid w:val="00923CF8"/>
    <w:rsid w:val="00924746"/>
    <w:rsid w:val="00924A13"/>
    <w:rsid w:val="00924A2E"/>
    <w:rsid w:val="00925983"/>
    <w:rsid w:val="00925E77"/>
    <w:rsid w:val="00925E98"/>
    <w:rsid w:val="00925F85"/>
    <w:rsid w:val="0092601B"/>
    <w:rsid w:val="0092621B"/>
    <w:rsid w:val="00926399"/>
    <w:rsid w:val="009276D5"/>
    <w:rsid w:val="00927812"/>
    <w:rsid w:val="00927B2C"/>
    <w:rsid w:val="00927F29"/>
    <w:rsid w:val="0092D0C0"/>
    <w:rsid w:val="00930004"/>
    <w:rsid w:val="009300AC"/>
    <w:rsid w:val="00930257"/>
    <w:rsid w:val="00930260"/>
    <w:rsid w:val="009303D3"/>
    <w:rsid w:val="00930A51"/>
    <w:rsid w:val="00930AEA"/>
    <w:rsid w:val="00930B07"/>
    <w:rsid w:val="00930F33"/>
    <w:rsid w:val="00930F60"/>
    <w:rsid w:val="009312D1"/>
    <w:rsid w:val="009313D1"/>
    <w:rsid w:val="00931982"/>
    <w:rsid w:val="00931A0C"/>
    <w:rsid w:val="00931F9C"/>
    <w:rsid w:val="009321DA"/>
    <w:rsid w:val="00932393"/>
    <w:rsid w:val="009323B4"/>
    <w:rsid w:val="00932609"/>
    <w:rsid w:val="00932B6C"/>
    <w:rsid w:val="009334D9"/>
    <w:rsid w:val="00933C64"/>
    <w:rsid w:val="009340D9"/>
    <w:rsid w:val="00934648"/>
    <w:rsid w:val="00934809"/>
    <w:rsid w:val="009348DB"/>
    <w:rsid w:val="00934ACA"/>
    <w:rsid w:val="00934F44"/>
    <w:rsid w:val="00935186"/>
    <w:rsid w:val="009358A3"/>
    <w:rsid w:val="0093590F"/>
    <w:rsid w:val="00935D30"/>
    <w:rsid w:val="0093669D"/>
    <w:rsid w:val="00936D47"/>
    <w:rsid w:val="00936E64"/>
    <w:rsid w:val="0093716A"/>
    <w:rsid w:val="009379D5"/>
    <w:rsid w:val="00937A9E"/>
    <w:rsid w:val="00937B61"/>
    <w:rsid w:val="00937F01"/>
    <w:rsid w:val="009400EA"/>
    <w:rsid w:val="00940719"/>
    <w:rsid w:val="009407FE"/>
    <w:rsid w:val="00940981"/>
    <w:rsid w:val="00940B8C"/>
    <w:rsid w:val="00940CD7"/>
    <w:rsid w:val="009412E1"/>
    <w:rsid w:val="009414CA"/>
    <w:rsid w:val="00941EB1"/>
    <w:rsid w:val="0094241C"/>
    <w:rsid w:val="00942525"/>
    <w:rsid w:val="00942C39"/>
    <w:rsid w:val="00943302"/>
    <w:rsid w:val="009437C6"/>
    <w:rsid w:val="009438AE"/>
    <w:rsid w:val="00943BCF"/>
    <w:rsid w:val="00943CF4"/>
    <w:rsid w:val="00943E11"/>
    <w:rsid w:val="0094407E"/>
    <w:rsid w:val="00944082"/>
    <w:rsid w:val="00944A8F"/>
    <w:rsid w:val="00944CAC"/>
    <w:rsid w:val="00944EFF"/>
    <w:rsid w:val="00944FF4"/>
    <w:rsid w:val="00945552"/>
    <w:rsid w:val="009467E7"/>
    <w:rsid w:val="009469C4"/>
    <w:rsid w:val="00946C4D"/>
    <w:rsid w:val="00946D36"/>
    <w:rsid w:val="00946E10"/>
    <w:rsid w:val="00947205"/>
    <w:rsid w:val="009500CD"/>
    <w:rsid w:val="009503B8"/>
    <w:rsid w:val="0095043A"/>
    <w:rsid w:val="009506EE"/>
    <w:rsid w:val="00951321"/>
    <w:rsid w:val="00951AF0"/>
    <w:rsid w:val="00951BE3"/>
    <w:rsid w:val="009520C9"/>
    <w:rsid w:val="00952329"/>
    <w:rsid w:val="00952722"/>
    <w:rsid w:val="00952D09"/>
    <w:rsid w:val="00952F4B"/>
    <w:rsid w:val="00953961"/>
    <w:rsid w:val="009539F4"/>
    <w:rsid w:val="0095453E"/>
    <w:rsid w:val="0095470C"/>
    <w:rsid w:val="00954C72"/>
    <w:rsid w:val="00954F1A"/>
    <w:rsid w:val="0095569F"/>
    <w:rsid w:val="00955D6D"/>
    <w:rsid w:val="0095652A"/>
    <w:rsid w:val="0095669E"/>
    <w:rsid w:val="00956D35"/>
    <w:rsid w:val="00956D56"/>
    <w:rsid w:val="00957364"/>
    <w:rsid w:val="0095736A"/>
    <w:rsid w:val="009574B5"/>
    <w:rsid w:val="009576BE"/>
    <w:rsid w:val="00957FDA"/>
    <w:rsid w:val="0096002B"/>
    <w:rsid w:val="009600E2"/>
    <w:rsid w:val="0096044B"/>
    <w:rsid w:val="009608D7"/>
    <w:rsid w:val="00960917"/>
    <w:rsid w:val="00960ED6"/>
    <w:rsid w:val="009610B2"/>
    <w:rsid w:val="009611C0"/>
    <w:rsid w:val="00961964"/>
    <w:rsid w:val="00961985"/>
    <w:rsid w:val="00961C5B"/>
    <w:rsid w:val="00962102"/>
    <w:rsid w:val="00962A69"/>
    <w:rsid w:val="00962E9B"/>
    <w:rsid w:val="00963040"/>
    <w:rsid w:val="00963E1F"/>
    <w:rsid w:val="00963ED6"/>
    <w:rsid w:val="00964109"/>
    <w:rsid w:val="0096437D"/>
    <w:rsid w:val="00964EFF"/>
    <w:rsid w:val="00965621"/>
    <w:rsid w:val="0096587B"/>
    <w:rsid w:val="00965937"/>
    <w:rsid w:val="00965CA0"/>
    <w:rsid w:val="0096644A"/>
    <w:rsid w:val="009664FC"/>
    <w:rsid w:val="009666A5"/>
    <w:rsid w:val="009667B8"/>
    <w:rsid w:val="00966914"/>
    <w:rsid w:val="00966A5A"/>
    <w:rsid w:val="00966AD6"/>
    <w:rsid w:val="00966C1F"/>
    <w:rsid w:val="00966D07"/>
    <w:rsid w:val="00966FAE"/>
    <w:rsid w:val="00966FC9"/>
    <w:rsid w:val="009672F2"/>
    <w:rsid w:val="00967C3A"/>
    <w:rsid w:val="00967D1D"/>
    <w:rsid w:val="00967FDE"/>
    <w:rsid w:val="0097010E"/>
    <w:rsid w:val="009702EC"/>
    <w:rsid w:val="00970BE6"/>
    <w:rsid w:val="0097108A"/>
    <w:rsid w:val="0097115E"/>
    <w:rsid w:val="009712AD"/>
    <w:rsid w:val="009713F7"/>
    <w:rsid w:val="00971440"/>
    <w:rsid w:val="00971573"/>
    <w:rsid w:val="0097182B"/>
    <w:rsid w:val="00971891"/>
    <w:rsid w:val="00972890"/>
    <w:rsid w:val="00972DD9"/>
    <w:rsid w:val="00972EDC"/>
    <w:rsid w:val="0097312B"/>
    <w:rsid w:val="00973248"/>
    <w:rsid w:val="00973294"/>
    <w:rsid w:val="0097344A"/>
    <w:rsid w:val="00973465"/>
    <w:rsid w:val="0097379C"/>
    <w:rsid w:val="00973EE2"/>
    <w:rsid w:val="00973EFC"/>
    <w:rsid w:val="009740B7"/>
    <w:rsid w:val="009742E6"/>
    <w:rsid w:val="00974762"/>
    <w:rsid w:val="00974D47"/>
    <w:rsid w:val="009758C2"/>
    <w:rsid w:val="00975B7D"/>
    <w:rsid w:val="0097619D"/>
    <w:rsid w:val="0097643C"/>
    <w:rsid w:val="00976D1F"/>
    <w:rsid w:val="0097717B"/>
    <w:rsid w:val="009772B8"/>
    <w:rsid w:val="009773EF"/>
    <w:rsid w:val="00977830"/>
    <w:rsid w:val="00977F3E"/>
    <w:rsid w:val="009801BF"/>
    <w:rsid w:val="00980425"/>
    <w:rsid w:val="0098044F"/>
    <w:rsid w:val="00980544"/>
    <w:rsid w:val="009806FE"/>
    <w:rsid w:val="00980906"/>
    <w:rsid w:val="00980ACB"/>
    <w:rsid w:val="00981339"/>
    <w:rsid w:val="00981A07"/>
    <w:rsid w:val="00981BFC"/>
    <w:rsid w:val="00982123"/>
    <w:rsid w:val="009821F1"/>
    <w:rsid w:val="009825BD"/>
    <w:rsid w:val="009826CE"/>
    <w:rsid w:val="009827ED"/>
    <w:rsid w:val="009829C1"/>
    <w:rsid w:val="00982D9A"/>
    <w:rsid w:val="00982F18"/>
    <w:rsid w:val="00983105"/>
    <w:rsid w:val="009834F2"/>
    <w:rsid w:val="00983820"/>
    <w:rsid w:val="009838B0"/>
    <w:rsid w:val="0098398F"/>
    <w:rsid w:val="00983A04"/>
    <w:rsid w:val="00983BEC"/>
    <w:rsid w:val="00984054"/>
    <w:rsid w:val="009840C0"/>
    <w:rsid w:val="00984382"/>
    <w:rsid w:val="009843B5"/>
    <w:rsid w:val="0098474F"/>
    <w:rsid w:val="009847F9"/>
    <w:rsid w:val="00984BE8"/>
    <w:rsid w:val="00984EC2"/>
    <w:rsid w:val="00984EDE"/>
    <w:rsid w:val="00985062"/>
    <w:rsid w:val="0098539B"/>
    <w:rsid w:val="00985A75"/>
    <w:rsid w:val="00986067"/>
    <w:rsid w:val="009861CF"/>
    <w:rsid w:val="009861D9"/>
    <w:rsid w:val="009867D8"/>
    <w:rsid w:val="00986A1C"/>
    <w:rsid w:val="00986E24"/>
    <w:rsid w:val="009876E4"/>
    <w:rsid w:val="0098786E"/>
    <w:rsid w:val="00990692"/>
    <w:rsid w:val="009908C7"/>
    <w:rsid w:val="00990C8C"/>
    <w:rsid w:val="00990F63"/>
    <w:rsid w:val="009913F0"/>
    <w:rsid w:val="00991471"/>
    <w:rsid w:val="00991843"/>
    <w:rsid w:val="0099184B"/>
    <w:rsid w:val="00991F50"/>
    <w:rsid w:val="00991FB0"/>
    <w:rsid w:val="009921F9"/>
    <w:rsid w:val="009927D1"/>
    <w:rsid w:val="009931BA"/>
    <w:rsid w:val="00993565"/>
    <w:rsid w:val="00993655"/>
    <w:rsid w:val="00993783"/>
    <w:rsid w:val="00993A51"/>
    <w:rsid w:val="00993F75"/>
    <w:rsid w:val="00994464"/>
    <w:rsid w:val="00995224"/>
    <w:rsid w:val="00995407"/>
    <w:rsid w:val="00996464"/>
    <w:rsid w:val="00996BBB"/>
    <w:rsid w:val="0099753C"/>
    <w:rsid w:val="00997624"/>
    <w:rsid w:val="00997739"/>
    <w:rsid w:val="009A0325"/>
    <w:rsid w:val="009A0F6F"/>
    <w:rsid w:val="009A16C7"/>
    <w:rsid w:val="009A16D3"/>
    <w:rsid w:val="009A19AF"/>
    <w:rsid w:val="009A2389"/>
    <w:rsid w:val="009A24CC"/>
    <w:rsid w:val="009A258C"/>
    <w:rsid w:val="009A2885"/>
    <w:rsid w:val="009A2901"/>
    <w:rsid w:val="009A2ADE"/>
    <w:rsid w:val="009A38DB"/>
    <w:rsid w:val="009A3D73"/>
    <w:rsid w:val="009A3E7C"/>
    <w:rsid w:val="009A40FC"/>
    <w:rsid w:val="009A42E5"/>
    <w:rsid w:val="009A450A"/>
    <w:rsid w:val="009A4594"/>
    <w:rsid w:val="009A45BF"/>
    <w:rsid w:val="009A4651"/>
    <w:rsid w:val="009A4CDE"/>
    <w:rsid w:val="009A5119"/>
    <w:rsid w:val="009A5852"/>
    <w:rsid w:val="009A6483"/>
    <w:rsid w:val="009A652B"/>
    <w:rsid w:val="009A6891"/>
    <w:rsid w:val="009A6C12"/>
    <w:rsid w:val="009A7190"/>
    <w:rsid w:val="009A7309"/>
    <w:rsid w:val="009A7F47"/>
    <w:rsid w:val="009B01C5"/>
    <w:rsid w:val="009B03E4"/>
    <w:rsid w:val="009B051C"/>
    <w:rsid w:val="009B08E2"/>
    <w:rsid w:val="009B0F75"/>
    <w:rsid w:val="009B1DA6"/>
    <w:rsid w:val="009B1E9A"/>
    <w:rsid w:val="009B2777"/>
    <w:rsid w:val="009B285E"/>
    <w:rsid w:val="009B2881"/>
    <w:rsid w:val="009B37BD"/>
    <w:rsid w:val="009B3924"/>
    <w:rsid w:val="009B455A"/>
    <w:rsid w:val="009B458E"/>
    <w:rsid w:val="009B49E8"/>
    <w:rsid w:val="009B4BAF"/>
    <w:rsid w:val="009B567C"/>
    <w:rsid w:val="009B5707"/>
    <w:rsid w:val="009B5E88"/>
    <w:rsid w:val="009B6628"/>
    <w:rsid w:val="009B6EFF"/>
    <w:rsid w:val="009B7177"/>
    <w:rsid w:val="009B745D"/>
    <w:rsid w:val="009B77CA"/>
    <w:rsid w:val="009B7ADF"/>
    <w:rsid w:val="009B7BA4"/>
    <w:rsid w:val="009B7BFA"/>
    <w:rsid w:val="009B7D8C"/>
    <w:rsid w:val="009B7EB7"/>
    <w:rsid w:val="009C0019"/>
    <w:rsid w:val="009C0755"/>
    <w:rsid w:val="009C089D"/>
    <w:rsid w:val="009C10FC"/>
    <w:rsid w:val="009C1275"/>
    <w:rsid w:val="009C1350"/>
    <w:rsid w:val="009C1474"/>
    <w:rsid w:val="009C1678"/>
    <w:rsid w:val="009C1B26"/>
    <w:rsid w:val="009C1B6C"/>
    <w:rsid w:val="009C21DE"/>
    <w:rsid w:val="009C229F"/>
    <w:rsid w:val="009C2392"/>
    <w:rsid w:val="009C2659"/>
    <w:rsid w:val="009C2969"/>
    <w:rsid w:val="009C2A86"/>
    <w:rsid w:val="009C2C04"/>
    <w:rsid w:val="009C327C"/>
    <w:rsid w:val="009C332D"/>
    <w:rsid w:val="009C3779"/>
    <w:rsid w:val="009C410A"/>
    <w:rsid w:val="009C41C2"/>
    <w:rsid w:val="009C47FC"/>
    <w:rsid w:val="009C508F"/>
    <w:rsid w:val="009C567A"/>
    <w:rsid w:val="009C5977"/>
    <w:rsid w:val="009C5B0E"/>
    <w:rsid w:val="009C5E00"/>
    <w:rsid w:val="009C60BD"/>
    <w:rsid w:val="009C671D"/>
    <w:rsid w:val="009C7172"/>
    <w:rsid w:val="009C748B"/>
    <w:rsid w:val="009C75FB"/>
    <w:rsid w:val="009C76AD"/>
    <w:rsid w:val="009C7E3E"/>
    <w:rsid w:val="009D0512"/>
    <w:rsid w:val="009D0988"/>
    <w:rsid w:val="009D0C2C"/>
    <w:rsid w:val="009D10B7"/>
    <w:rsid w:val="009D1166"/>
    <w:rsid w:val="009D174B"/>
    <w:rsid w:val="009D188D"/>
    <w:rsid w:val="009D1F8B"/>
    <w:rsid w:val="009D20C9"/>
    <w:rsid w:val="009D22FF"/>
    <w:rsid w:val="009D23BF"/>
    <w:rsid w:val="009D266F"/>
    <w:rsid w:val="009D3428"/>
    <w:rsid w:val="009D3DB2"/>
    <w:rsid w:val="009D3F71"/>
    <w:rsid w:val="009D4094"/>
    <w:rsid w:val="009D53DE"/>
    <w:rsid w:val="009D5C8E"/>
    <w:rsid w:val="009D66FF"/>
    <w:rsid w:val="009D70CA"/>
    <w:rsid w:val="009D7107"/>
    <w:rsid w:val="009D7326"/>
    <w:rsid w:val="009D7783"/>
    <w:rsid w:val="009D7944"/>
    <w:rsid w:val="009D7A58"/>
    <w:rsid w:val="009D7CC2"/>
    <w:rsid w:val="009D7E17"/>
    <w:rsid w:val="009E0C1A"/>
    <w:rsid w:val="009E125A"/>
    <w:rsid w:val="009E17FF"/>
    <w:rsid w:val="009E1F5E"/>
    <w:rsid w:val="009E24AE"/>
    <w:rsid w:val="009E2A92"/>
    <w:rsid w:val="009E2C1B"/>
    <w:rsid w:val="009E2CFF"/>
    <w:rsid w:val="009E2F85"/>
    <w:rsid w:val="009E2FD4"/>
    <w:rsid w:val="009E30B2"/>
    <w:rsid w:val="009E35A1"/>
    <w:rsid w:val="009E3C87"/>
    <w:rsid w:val="009E3D1D"/>
    <w:rsid w:val="009E3E00"/>
    <w:rsid w:val="009E3E92"/>
    <w:rsid w:val="009E4014"/>
    <w:rsid w:val="009E4220"/>
    <w:rsid w:val="009E42FC"/>
    <w:rsid w:val="009E4A80"/>
    <w:rsid w:val="009E4C9C"/>
    <w:rsid w:val="009E5013"/>
    <w:rsid w:val="009E5590"/>
    <w:rsid w:val="009E58A6"/>
    <w:rsid w:val="009E6BFD"/>
    <w:rsid w:val="009E6E51"/>
    <w:rsid w:val="009E7522"/>
    <w:rsid w:val="009E7AA8"/>
    <w:rsid w:val="009E7AD6"/>
    <w:rsid w:val="009E7C90"/>
    <w:rsid w:val="009F005D"/>
    <w:rsid w:val="009F0164"/>
    <w:rsid w:val="009F08D4"/>
    <w:rsid w:val="009F0B8C"/>
    <w:rsid w:val="009F0C57"/>
    <w:rsid w:val="009F0C7B"/>
    <w:rsid w:val="009F1BF1"/>
    <w:rsid w:val="009F1C04"/>
    <w:rsid w:val="009F2218"/>
    <w:rsid w:val="009F29F2"/>
    <w:rsid w:val="009F2A93"/>
    <w:rsid w:val="009F2C7B"/>
    <w:rsid w:val="009F2D22"/>
    <w:rsid w:val="009F2EA0"/>
    <w:rsid w:val="009F3296"/>
    <w:rsid w:val="009F357D"/>
    <w:rsid w:val="009F372B"/>
    <w:rsid w:val="009F3894"/>
    <w:rsid w:val="009F397D"/>
    <w:rsid w:val="009F3C95"/>
    <w:rsid w:val="009F456D"/>
    <w:rsid w:val="009F4929"/>
    <w:rsid w:val="009F4BEF"/>
    <w:rsid w:val="009F4E54"/>
    <w:rsid w:val="009F4F92"/>
    <w:rsid w:val="009F5FAF"/>
    <w:rsid w:val="009F634E"/>
    <w:rsid w:val="009F653E"/>
    <w:rsid w:val="009F6567"/>
    <w:rsid w:val="009F67A4"/>
    <w:rsid w:val="009F6A4B"/>
    <w:rsid w:val="009F6C82"/>
    <w:rsid w:val="009F6CF3"/>
    <w:rsid w:val="009F6F3C"/>
    <w:rsid w:val="009F6FAE"/>
    <w:rsid w:val="009F70BE"/>
    <w:rsid w:val="009F70F4"/>
    <w:rsid w:val="009F712F"/>
    <w:rsid w:val="009F72C7"/>
    <w:rsid w:val="009F7580"/>
    <w:rsid w:val="009F78FF"/>
    <w:rsid w:val="009F7B80"/>
    <w:rsid w:val="009F7F70"/>
    <w:rsid w:val="00A00019"/>
    <w:rsid w:val="00A0026B"/>
    <w:rsid w:val="00A00387"/>
    <w:rsid w:val="00A00DB6"/>
    <w:rsid w:val="00A01A43"/>
    <w:rsid w:val="00A01C51"/>
    <w:rsid w:val="00A01CB5"/>
    <w:rsid w:val="00A0250B"/>
    <w:rsid w:val="00A027E6"/>
    <w:rsid w:val="00A02A8D"/>
    <w:rsid w:val="00A02BC9"/>
    <w:rsid w:val="00A035BD"/>
    <w:rsid w:val="00A035CB"/>
    <w:rsid w:val="00A03C93"/>
    <w:rsid w:val="00A03FC5"/>
    <w:rsid w:val="00A04097"/>
    <w:rsid w:val="00A048E2"/>
    <w:rsid w:val="00A051E9"/>
    <w:rsid w:val="00A054B6"/>
    <w:rsid w:val="00A05DC0"/>
    <w:rsid w:val="00A05F10"/>
    <w:rsid w:val="00A06962"/>
    <w:rsid w:val="00A06B4D"/>
    <w:rsid w:val="00A06BFF"/>
    <w:rsid w:val="00A06D64"/>
    <w:rsid w:val="00A07136"/>
    <w:rsid w:val="00A071A4"/>
    <w:rsid w:val="00A07705"/>
    <w:rsid w:val="00A07748"/>
    <w:rsid w:val="00A0778E"/>
    <w:rsid w:val="00A07D76"/>
    <w:rsid w:val="00A106E1"/>
    <w:rsid w:val="00A10EB4"/>
    <w:rsid w:val="00A10ED9"/>
    <w:rsid w:val="00A11711"/>
    <w:rsid w:val="00A1218D"/>
    <w:rsid w:val="00A126E5"/>
    <w:rsid w:val="00A1275D"/>
    <w:rsid w:val="00A1294F"/>
    <w:rsid w:val="00A12A52"/>
    <w:rsid w:val="00A12B56"/>
    <w:rsid w:val="00A12D56"/>
    <w:rsid w:val="00A12FF1"/>
    <w:rsid w:val="00A134D0"/>
    <w:rsid w:val="00A13990"/>
    <w:rsid w:val="00A1417D"/>
    <w:rsid w:val="00A14625"/>
    <w:rsid w:val="00A149A1"/>
    <w:rsid w:val="00A14E90"/>
    <w:rsid w:val="00A14F05"/>
    <w:rsid w:val="00A1503E"/>
    <w:rsid w:val="00A152CC"/>
    <w:rsid w:val="00A152F9"/>
    <w:rsid w:val="00A153C6"/>
    <w:rsid w:val="00A159F3"/>
    <w:rsid w:val="00A15E7F"/>
    <w:rsid w:val="00A161CC"/>
    <w:rsid w:val="00A16AE6"/>
    <w:rsid w:val="00A16D6B"/>
    <w:rsid w:val="00A1729C"/>
    <w:rsid w:val="00A174B8"/>
    <w:rsid w:val="00A178C1"/>
    <w:rsid w:val="00A17A67"/>
    <w:rsid w:val="00A17DE5"/>
    <w:rsid w:val="00A17FFB"/>
    <w:rsid w:val="00A200C3"/>
    <w:rsid w:val="00A20551"/>
    <w:rsid w:val="00A20570"/>
    <w:rsid w:val="00A218DC"/>
    <w:rsid w:val="00A21C92"/>
    <w:rsid w:val="00A21E34"/>
    <w:rsid w:val="00A223C9"/>
    <w:rsid w:val="00A2258D"/>
    <w:rsid w:val="00A22862"/>
    <w:rsid w:val="00A22C78"/>
    <w:rsid w:val="00A23823"/>
    <w:rsid w:val="00A239A3"/>
    <w:rsid w:val="00A23D4C"/>
    <w:rsid w:val="00A23FB1"/>
    <w:rsid w:val="00A23FB5"/>
    <w:rsid w:val="00A241BD"/>
    <w:rsid w:val="00A24248"/>
    <w:rsid w:val="00A24978"/>
    <w:rsid w:val="00A24BCC"/>
    <w:rsid w:val="00A24CC3"/>
    <w:rsid w:val="00A2548F"/>
    <w:rsid w:val="00A255A0"/>
    <w:rsid w:val="00A25840"/>
    <w:rsid w:val="00A26006"/>
    <w:rsid w:val="00A26145"/>
    <w:rsid w:val="00A261FF"/>
    <w:rsid w:val="00A26385"/>
    <w:rsid w:val="00A26533"/>
    <w:rsid w:val="00A26DC4"/>
    <w:rsid w:val="00A26E50"/>
    <w:rsid w:val="00A2757B"/>
    <w:rsid w:val="00A2773F"/>
    <w:rsid w:val="00A3030D"/>
    <w:rsid w:val="00A30875"/>
    <w:rsid w:val="00A30A8E"/>
    <w:rsid w:val="00A31008"/>
    <w:rsid w:val="00A31010"/>
    <w:rsid w:val="00A311B1"/>
    <w:rsid w:val="00A3132B"/>
    <w:rsid w:val="00A31379"/>
    <w:rsid w:val="00A3147B"/>
    <w:rsid w:val="00A31752"/>
    <w:rsid w:val="00A31B05"/>
    <w:rsid w:val="00A31D4E"/>
    <w:rsid w:val="00A31DA0"/>
    <w:rsid w:val="00A325DC"/>
    <w:rsid w:val="00A3382F"/>
    <w:rsid w:val="00A339B9"/>
    <w:rsid w:val="00A33E11"/>
    <w:rsid w:val="00A33E6C"/>
    <w:rsid w:val="00A34343"/>
    <w:rsid w:val="00A3452A"/>
    <w:rsid w:val="00A3498E"/>
    <w:rsid w:val="00A35165"/>
    <w:rsid w:val="00A351C3"/>
    <w:rsid w:val="00A353B4"/>
    <w:rsid w:val="00A3547E"/>
    <w:rsid w:val="00A35C58"/>
    <w:rsid w:val="00A363A6"/>
    <w:rsid w:val="00A36DFF"/>
    <w:rsid w:val="00A370C6"/>
    <w:rsid w:val="00A37491"/>
    <w:rsid w:val="00A4049F"/>
    <w:rsid w:val="00A40CE9"/>
    <w:rsid w:val="00A40F9D"/>
    <w:rsid w:val="00A41079"/>
    <w:rsid w:val="00A41229"/>
    <w:rsid w:val="00A41361"/>
    <w:rsid w:val="00A41CF5"/>
    <w:rsid w:val="00A41D62"/>
    <w:rsid w:val="00A42198"/>
    <w:rsid w:val="00A421EB"/>
    <w:rsid w:val="00A42840"/>
    <w:rsid w:val="00A42D2E"/>
    <w:rsid w:val="00A42D6A"/>
    <w:rsid w:val="00A42DB0"/>
    <w:rsid w:val="00A43002"/>
    <w:rsid w:val="00A43545"/>
    <w:rsid w:val="00A437C4"/>
    <w:rsid w:val="00A43B5A"/>
    <w:rsid w:val="00A43D0A"/>
    <w:rsid w:val="00A44114"/>
    <w:rsid w:val="00A442EB"/>
    <w:rsid w:val="00A44474"/>
    <w:rsid w:val="00A44554"/>
    <w:rsid w:val="00A44BE0"/>
    <w:rsid w:val="00A44D30"/>
    <w:rsid w:val="00A451F9"/>
    <w:rsid w:val="00A4536E"/>
    <w:rsid w:val="00A453B9"/>
    <w:rsid w:val="00A457D1"/>
    <w:rsid w:val="00A4585E"/>
    <w:rsid w:val="00A4594F"/>
    <w:rsid w:val="00A45C69"/>
    <w:rsid w:val="00A45CFD"/>
    <w:rsid w:val="00A45D96"/>
    <w:rsid w:val="00A45EB3"/>
    <w:rsid w:val="00A46653"/>
    <w:rsid w:val="00A46869"/>
    <w:rsid w:val="00A46D03"/>
    <w:rsid w:val="00A46ED9"/>
    <w:rsid w:val="00A471EB"/>
    <w:rsid w:val="00A47515"/>
    <w:rsid w:val="00A4760E"/>
    <w:rsid w:val="00A476CA"/>
    <w:rsid w:val="00A47FCC"/>
    <w:rsid w:val="00A500CA"/>
    <w:rsid w:val="00A50C95"/>
    <w:rsid w:val="00A50EDA"/>
    <w:rsid w:val="00A50EE6"/>
    <w:rsid w:val="00A51E01"/>
    <w:rsid w:val="00A52959"/>
    <w:rsid w:val="00A529C6"/>
    <w:rsid w:val="00A52AB4"/>
    <w:rsid w:val="00A52B8E"/>
    <w:rsid w:val="00A52D29"/>
    <w:rsid w:val="00A52FE3"/>
    <w:rsid w:val="00A536D4"/>
    <w:rsid w:val="00A53D6E"/>
    <w:rsid w:val="00A540DD"/>
    <w:rsid w:val="00A541F1"/>
    <w:rsid w:val="00A5438C"/>
    <w:rsid w:val="00A549D5"/>
    <w:rsid w:val="00A54A0B"/>
    <w:rsid w:val="00A54A29"/>
    <w:rsid w:val="00A55168"/>
    <w:rsid w:val="00A55273"/>
    <w:rsid w:val="00A5565D"/>
    <w:rsid w:val="00A5618E"/>
    <w:rsid w:val="00A563C8"/>
    <w:rsid w:val="00A56406"/>
    <w:rsid w:val="00A564C6"/>
    <w:rsid w:val="00A567BA"/>
    <w:rsid w:val="00A567D1"/>
    <w:rsid w:val="00A56A23"/>
    <w:rsid w:val="00A570D5"/>
    <w:rsid w:val="00A5727B"/>
    <w:rsid w:val="00A5729E"/>
    <w:rsid w:val="00A57383"/>
    <w:rsid w:val="00A5775B"/>
    <w:rsid w:val="00A579EE"/>
    <w:rsid w:val="00A57B81"/>
    <w:rsid w:val="00A57D64"/>
    <w:rsid w:val="00A57DB7"/>
    <w:rsid w:val="00A57ECA"/>
    <w:rsid w:val="00A57FF4"/>
    <w:rsid w:val="00A608FE"/>
    <w:rsid w:val="00A609C3"/>
    <w:rsid w:val="00A60B4F"/>
    <w:rsid w:val="00A60CA1"/>
    <w:rsid w:val="00A6164D"/>
    <w:rsid w:val="00A62535"/>
    <w:rsid w:val="00A6283F"/>
    <w:rsid w:val="00A62A31"/>
    <w:rsid w:val="00A62AEF"/>
    <w:rsid w:val="00A63224"/>
    <w:rsid w:val="00A6322B"/>
    <w:rsid w:val="00A634A4"/>
    <w:rsid w:val="00A63DF9"/>
    <w:rsid w:val="00A6412B"/>
    <w:rsid w:val="00A64211"/>
    <w:rsid w:val="00A64552"/>
    <w:rsid w:val="00A6456C"/>
    <w:rsid w:val="00A64864"/>
    <w:rsid w:val="00A650D4"/>
    <w:rsid w:val="00A65208"/>
    <w:rsid w:val="00A65459"/>
    <w:rsid w:val="00A66062"/>
    <w:rsid w:val="00A66830"/>
    <w:rsid w:val="00A66CDF"/>
    <w:rsid w:val="00A66ED2"/>
    <w:rsid w:val="00A671D9"/>
    <w:rsid w:val="00A67622"/>
    <w:rsid w:val="00A6794B"/>
    <w:rsid w:val="00A67B56"/>
    <w:rsid w:val="00A67C03"/>
    <w:rsid w:val="00A7020B"/>
    <w:rsid w:val="00A702E3"/>
    <w:rsid w:val="00A703B7"/>
    <w:rsid w:val="00A71965"/>
    <w:rsid w:val="00A71D4C"/>
    <w:rsid w:val="00A71DAF"/>
    <w:rsid w:val="00A71F01"/>
    <w:rsid w:val="00A72209"/>
    <w:rsid w:val="00A722D5"/>
    <w:rsid w:val="00A72853"/>
    <w:rsid w:val="00A72C55"/>
    <w:rsid w:val="00A72FBA"/>
    <w:rsid w:val="00A73E04"/>
    <w:rsid w:val="00A740DF"/>
    <w:rsid w:val="00A74422"/>
    <w:rsid w:val="00A7444A"/>
    <w:rsid w:val="00A7481B"/>
    <w:rsid w:val="00A74A78"/>
    <w:rsid w:val="00A74CC7"/>
    <w:rsid w:val="00A74D15"/>
    <w:rsid w:val="00A74DDC"/>
    <w:rsid w:val="00A74EA9"/>
    <w:rsid w:val="00A75600"/>
    <w:rsid w:val="00A75BE6"/>
    <w:rsid w:val="00A75C21"/>
    <w:rsid w:val="00A76655"/>
    <w:rsid w:val="00A766DE"/>
    <w:rsid w:val="00A768F3"/>
    <w:rsid w:val="00A769AD"/>
    <w:rsid w:val="00A76B2B"/>
    <w:rsid w:val="00A76CFD"/>
    <w:rsid w:val="00A76D14"/>
    <w:rsid w:val="00A774A2"/>
    <w:rsid w:val="00A778DF"/>
    <w:rsid w:val="00A77B17"/>
    <w:rsid w:val="00A77FB5"/>
    <w:rsid w:val="00A803C6"/>
    <w:rsid w:val="00A804EA"/>
    <w:rsid w:val="00A80602"/>
    <w:rsid w:val="00A8081E"/>
    <w:rsid w:val="00A81739"/>
    <w:rsid w:val="00A8198C"/>
    <w:rsid w:val="00A819C8"/>
    <w:rsid w:val="00A819CC"/>
    <w:rsid w:val="00A81ED4"/>
    <w:rsid w:val="00A81F5E"/>
    <w:rsid w:val="00A82143"/>
    <w:rsid w:val="00A8235D"/>
    <w:rsid w:val="00A82B9C"/>
    <w:rsid w:val="00A82C2B"/>
    <w:rsid w:val="00A83E6E"/>
    <w:rsid w:val="00A83FDC"/>
    <w:rsid w:val="00A8422A"/>
    <w:rsid w:val="00A84842"/>
    <w:rsid w:val="00A851D1"/>
    <w:rsid w:val="00A8528F"/>
    <w:rsid w:val="00A854E7"/>
    <w:rsid w:val="00A859E4"/>
    <w:rsid w:val="00A85A3E"/>
    <w:rsid w:val="00A85DC3"/>
    <w:rsid w:val="00A86347"/>
    <w:rsid w:val="00A86D3E"/>
    <w:rsid w:val="00A87168"/>
    <w:rsid w:val="00A87E85"/>
    <w:rsid w:val="00A90BF9"/>
    <w:rsid w:val="00A90C95"/>
    <w:rsid w:val="00A90EEE"/>
    <w:rsid w:val="00A9115E"/>
    <w:rsid w:val="00A91192"/>
    <w:rsid w:val="00A91232"/>
    <w:rsid w:val="00A913D6"/>
    <w:rsid w:val="00A91660"/>
    <w:rsid w:val="00A91954"/>
    <w:rsid w:val="00A919E7"/>
    <w:rsid w:val="00A91B2D"/>
    <w:rsid w:val="00A92729"/>
    <w:rsid w:val="00A92BF7"/>
    <w:rsid w:val="00A93037"/>
    <w:rsid w:val="00A935B6"/>
    <w:rsid w:val="00A937F2"/>
    <w:rsid w:val="00A93AEE"/>
    <w:rsid w:val="00A93E09"/>
    <w:rsid w:val="00A942F0"/>
    <w:rsid w:val="00A944D7"/>
    <w:rsid w:val="00A94C61"/>
    <w:rsid w:val="00A95342"/>
    <w:rsid w:val="00A95545"/>
    <w:rsid w:val="00A95DC5"/>
    <w:rsid w:val="00A960B4"/>
    <w:rsid w:val="00A96335"/>
    <w:rsid w:val="00A96D41"/>
    <w:rsid w:val="00A96E95"/>
    <w:rsid w:val="00A973C7"/>
    <w:rsid w:val="00A976B4"/>
    <w:rsid w:val="00AA02A1"/>
    <w:rsid w:val="00AA0384"/>
    <w:rsid w:val="00AA05AC"/>
    <w:rsid w:val="00AA0646"/>
    <w:rsid w:val="00AA07D6"/>
    <w:rsid w:val="00AA0BF6"/>
    <w:rsid w:val="00AA113D"/>
    <w:rsid w:val="00AA13F7"/>
    <w:rsid w:val="00AA1791"/>
    <w:rsid w:val="00AA1BE0"/>
    <w:rsid w:val="00AA1C58"/>
    <w:rsid w:val="00AA1FF9"/>
    <w:rsid w:val="00AA2301"/>
    <w:rsid w:val="00AA258E"/>
    <w:rsid w:val="00AA274C"/>
    <w:rsid w:val="00AA2AB3"/>
    <w:rsid w:val="00AA2B29"/>
    <w:rsid w:val="00AA2B53"/>
    <w:rsid w:val="00AA2F6E"/>
    <w:rsid w:val="00AA2F8D"/>
    <w:rsid w:val="00AA3264"/>
    <w:rsid w:val="00AA3507"/>
    <w:rsid w:val="00AA36D5"/>
    <w:rsid w:val="00AA3910"/>
    <w:rsid w:val="00AA3920"/>
    <w:rsid w:val="00AA3A2F"/>
    <w:rsid w:val="00AA3CE8"/>
    <w:rsid w:val="00AA4073"/>
    <w:rsid w:val="00AA440E"/>
    <w:rsid w:val="00AA4852"/>
    <w:rsid w:val="00AA48CF"/>
    <w:rsid w:val="00AA4CE3"/>
    <w:rsid w:val="00AA4E03"/>
    <w:rsid w:val="00AA5260"/>
    <w:rsid w:val="00AA58D2"/>
    <w:rsid w:val="00AA5C95"/>
    <w:rsid w:val="00AA5F28"/>
    <w:rsid w:val="00AA61B8"/>
    <w:rsid w:val="00AA658A"/>
    <w:rsid w:val="00AA69E9"/>
    <w:rsid w:val="00AA6E5B"/>
    <w:rsid w:val="00AA6FA1"/>
    <w:rsid w:val="00AA7386"/>
    <w:rsid w:val="00AA7470"/>
    <w:rsid w:val="00AA758C"/>
    <w:rsid w:val="00AA7E68"/>
    <w:rsid w:val="00AA7EDF"/>
    <w:rsid w:val="00AB03DD"/>
    <w:rsid w:val="00AB046D"/>
    <w:rsid w:val="00AB078A"/>
    <w:rsid w:val="00AB0808"/>
    <w:rsid w:val="00AB128C"/>
    <w:rsid w:val="00AB1745"/>
    <w:rsid w:val="00AB1B38"/>
    <w:rsid w:val="00AB1D7E"/>
    <w:rsid w:val="00AB1ED0"/>
    <w:rsid w:val="00AB1F53"/>
    <w:rsid w:val="00AB2006"/>
    <w:rsid w:val="00AB209F"/>
    <w:rsid w:val="00AB21C2"/>
    <w:rsid w:val="00AB2248"/>
    <w:rsid w:val="00AB2447"/>
    <w:rsid w:val="00AB29B4"/>
    <w:rsid w:val="00AB2A2E"/>
    <w:rsid w:val="00AB2AA5"/>
    <w:rsid w:val="00AB2B3C"/>
    <w:rsid w:val="00AB3038"/>
    <w:rsid w:val="00AB35D4"/>
    <w:rsid w:val="00AB378E"/>
    <w:rsid w:val="00AB3B6E"/>
    <w:rsid w:val="00AB3D4E"/>
    <w:rsid w:val="00AB46D4"/>
    <w:rsid w:val="00AB4BD7"/>
    <w:rsid w:val="00AB4C80"/>
    <w:rsid w:val="00AB540A"/>
    <w:rsid w:val="00AB5438"/>
    <w:rsid w:val="00AB54AA"/>
    <w:rsid w:val="00AB5763"/>
    <w:rsid w:val="00AB5EF7"/>
    <w:rsid w:val="00AB61E5"/>
    <w:rsid w:val="00AB63F3"/>
    <w:rsid w:val="00AB657E"/>
    <w:rsid w:val="00AB684C"/>
    <w:rsid w:val="00AB6989"/>
    <w:rsid w:val="00AB6F8F"/>
    <w:rsid w:val="00AB7228"/>
    <w:rsid w:val="00AB7298"/>
    <w:rsid w:val="00AB72DD"/>
    <w:rsid w:val="00AB7398"/>
    <w:rsid w:val="00AB788C"/>
    <w:rsid w:val="00AC0328"/>
    <w:rsid w:val="00AC0427"/>
    <w:rsid w:val="00AC0994"/>
    <w:rsid w:val="00AC0E55"/>
    <w:rsid w:val="00AC1099"/>
    <w:rsid w:val="00AC14EC"/>
    <w:rsid w:val="00AC1B68"/>
    <w:rsid w:val="00AC1F36"/>
    <w:rsid w:val="00AC2223"/>
    <w:rsid w:val="00AC2B4A"/>
    <w:rsid w:val="00AC2CB0"/>
    <w:rsid w:val="00AC2FB0"/>
    <w:rsid w:val="00AC4410"/>
    <w:rsid w:val="00AC45D1"/>
    <w:rsid w:val="00AC4617"/>
    <w:rsid w:val="00AC47CA"/>
    <w:rsid w:val="00AC5385"/>
    <w:rsid w:val="00AC5435"/>
    <w:rsid w:val="00AC5D34"/>
    <w:rsid w:val="00AC69DA"/>
    <w:rsid w:val="00AC69F5"/>
    <w:rsid w:val="00AC6AA1"/>
    <w:rsid w:val="00AC6AC3"/>
    <w:rsid w:val="00AC73FC"/>
    <w:rsid w:val="00AC7638"/>
    <w:rsid w:val="00AC7F2C"/>
    <w:rsid w:val="00AC7FDA"/>
    <w:rsid w:val="00AD0565"/>
    <w:rsid w:val="00AD0599"/>
    <w:rsid w:val="00AD070F"/>
    <w:rsid w:val="00AD0DD8"/>
    <w:rsid w:val="00AD10ED"/>
    <w:rsid w:val="00AD11CE"/>
    <w:rsid w:val="00AD1231"/>
    <w:rsid w:val="00AD12C3"/>
    <w:rsid w:val="00AD1EE4"/>
    <w:rsid w:val="00AD25FC"/>
    <w:rsid w:val="00AD26F9"/>
    <w:rsid w:val="00AD2E1D"/>
    <w:rsid w:val="00AD321D"/>
    <w:rsid w:val="00AD35B5"/>
    <w:rsid w:val="00AD361B"/>
    <w:rsid w:val="00AD373C"/>
    <w:rsid w:val="00AD38D2"/>
    <w:rsid w:val="00AD3F16"/>
    <w:rsid w:val="00AD3FC9"/>
    <w:rsid w:val="00AD4067"/>
    <w:rsid w:val="00AD4280"/>
    <w:rsid w:val="00AD4283"/>
    <w:rsid w:val="00AD50CD"/>
    <w:rsid w:val="00AD588D"/>
    <w:rsid w:val="00AD5FAC"/>
    <w:rsid w:val="00AD6050"/>
    <w:rsid w:val="00AD6084"/>
    <w:rsid w:val="00AD6276"/>
    <w:rsid w:val="00AD65B1"/>
    <w:rsid w:val="00AD69CD"/>
    <w:rsid w:val="00AD714B"/>
    <w:rsid w:val="00AD772C"/>
    <w:rsid w:val="00AD79E3"/>
    <w:rsid w:val="00AD7A0F"/>
    <w:rsid w:val="00AE0368"/>
    <w:rsid w:val="00AE0774"/>
    <w:rsid w:val="00AE12B5"/>
    <w:rsid w:val="00AE20A4"/>
    <w:rsid w:val="00AE286B"/>
    <w:rsid w:val="00AE2A16"/>
    <w:rsid w:val="00AE2AFE"/>
    <w:rsid w:val="00AE2B32"/>
    <w:rsid w:val="00AE2B9D"/>
    <w:rsid w:val="00AE2C1A"/>
    <w:rsid w:val="00AE31B9"/>
    <w:rsid w:val="00AE3BA2"/>
    <w:rsid w:val="00AE3BFC"/>
    <w:rsid w:val="00AE3C39"/>
    <w:rsid w:val="00AE3F63"/>
    <w:rsid w:val="00AE43C5"/>
    <w:rsid w:val="00AE44DB"/>
    <w:rsid w:val="00AE4ACC"/>
    <w:rsid w:val="00AE4C5C"/>
    <w:rsid w:val="00AE4F1B"/>
    <w:rsid w:val="00AE4FF9"/>
    <w:rsid w:val="00AE5080"/>
    <w:rsid w:val="00AE5441"/>
    <w:rsid w:val="00AE56C1"/>
    <w:rsid w:val="00AE5813"/>
    <w:rsid w:val="00AE5856"/>
    <w:rsid w:val="00AE74AF"/>
    <w:rsid w:val="00AE7805"/>
    <w:rsid w:val="00AE7BCD"/>
    <w:rsid w:val="00AF0211"/>
    <w:rsid w:val="00AF05BC"/>
    <w:rsid w:val="00AF0740"/>
    <w:rsid w:val="00AF0A6B"/>
    <w:rsid w:val="00AF0CF6"/>
    <w:rsid w:val="00AF1666"/>
    <w:rsid w:val="00AF18FE"/>
    <w:rsid w:val="00AF2111"/>
    <w:rsid w:val="00AF2291"/>
    <w:rsid w:val="00AF27A3"/>
    <w:rsid w:val="00AF2B1A"/>
    <w:rsid w:val="00AF332B"/>
    <w:rsid w:val="00AF34F4"/>
    <w:rsid w:val="00AF3AEF"/>
    <w:rsid w:val="00AF3B6B"/>
    <w:rsid w:val="00AF3BD9"/>
    <w:rsid w:val="00AF3C46"/>
    <w:rsid w:val="00AF3EF2"/>
    <w:rsid w:val="00AF441D"/>
    <w:rsid w:val="00AF45CC"/>
    <w:rsid w:val="00AF4C25"/>
    <w:rsid w:val="00AF4D9A"/>
    <w:rsid w:val="00AF5211"/>
    <w:rsid w:val="00AF55C3"/>
    <w:rsid w:val="00AF55F4"/>
    <w:rsid w:val="00AF5A1D"/>
    <w:rsid w:val="00AF6034"/>
    <w:rsid w:val="00AF63C9"/>
    <w:rsid w:val="00AF6541"/>
    <w:rsid w:val="00AF699C"/>
    <w:rsid w:val="00AF6E73"/>
    <w:rsid w:val="00AF709C"/>
    <w:rsid w:val="00AF762B"/>
    <w:rsid w:val="00AF7AA5"/>
    <w:rsid w:val="00B00259"/>
    <w:rsid w:val="00B004DC"/>
    <w:rsid w:val="00B0058F"/>
    <w:rsid w:val="00B00792"/>
    <w:rsid w:val="00B00A02"/>
    <w:rsid w:val="00B00B16"/>
    <w:rsid w:val="00B00CF9"/>
    <w:rsid w:val="00B01052"/>
    <w:rsid w:val="00B0116A"/>
    <w:rsid w:val="00B0168B"/>
    <w:rsid w:val="00B01C64"/>
    <w:rsid w:val="00B02A6D"/>
    <w:rsid w:val="00B02BA7"/>
    <w:rsid w:val="00B02CCB"/>
    <w:rsid w:val="00B0347B"/>
    <w:rsid w:val="00B03607"/>
    <w:rsid w:val="00B03752"/>
    <w:rsid w:val="00B0385F"/>
    <w:rsid w:val="00B03D15"/>
    <w:rsid w:val="00B043FD"/>
    <w:rsid w:val="00B0457C"/>
    <w:rsid w:val="00B049A5"/>
    <w:rsid w:val="00B04A82"/>
    <w:rsid w:val="00B04ACB"/>
    <w:rsid w:val="00B056BD"/>
    <w:rsid w:val="00B06484"/>
    <w:rsid w:val="00B06B0C"/>
    <w:rsid w:val="00B06E2C"/>
    <w:rsid w:val="00B0701F"/>
    <w:rsid w:val="00B0703E"/>
    <w:rsid w:val="00B1062E"/>
    <w:rsid w:val="00B1066B"/>
    <w:rsid w:val="00B10A5B"/>
    <w:rsid w:val="00B10EF9"/>
    <w:rsid w:val="00B11162"/>
    <w:rsid w:val="00B11296"/>
    <w:rsid w:val="00B11837"/>
    <w:rsid w:val="00B120BF"/>
    <w:rsid w:val="00B12448"/>
    <w:rsid w:val="00B12B28"/>
    <w:rsid w:val="00B12B4B"/>
    <w:rsid w:val="00B12CB0"/>
    <w:rsid w:val="00B12D53"/>
    <w:rsid w:val="00B12D96"/>
    <w:rsid w:val="00B1309B"/>
    <w:rsid w:val="00B13130"/>
    <w:rsid w:val="00B13744"/>
    <w:rsid w:val="00B13BE5"/>
    <w:rsid w:val="00B13E8B"/>
    <w:rsid w:val="00B1438D"/>
    <w:rsid w:val="00B144A3"/>
    <w:rsid w:val="00B14587"/>
    <w:rsid w:val="00B146E6"/>
    <w:rsid w:val="00B14A29"/>
    <w:rsid w:val="00B14BEE"/>
    <w:rsid w:val="00B14D04"/>
    <w:rsid w:val="00B14FA4"/>
    <w:rsid w:val="00B153CA"/>
    <w:rsid w:val="00B15A17"/>
    <w:rsid w:val="00B15A22"/>
    <w:rsid w:val="00B166CD"/>
    <w:rsid w:val="00B16F25"/>
    <w:rsid w:val="00B170B2"/>
    <w:rsid w:val="00B17197"/>
    <w:rsid w:val="00B1726B"/>
    <w:rsid w:val="00B1793C"/>
    <w:rsid w:val="00B17975"/>
    <w:rsid w:val="00B17A65"/>
    <w:rsid w:val="00B20246"/>
    <w:rsid w:val="00B2034D"/>
    <w:rsid w:val="00B203C8"/>
    <w:rsid w:val="00B20663"/>
    <w:rsid w:val="00B20936"/>
    <w:rsid w:val="00B20FB5"/>
    <w:rsid w:val="00B2126A"/>
    <w:rsid w:val="00B2147A"/>
    <w:rsid w:val="00B21EAC"/>
    <w:rsid w:val="00B222F1"/>
    <w:rsid w:val="00B22605"/>
    <w:rsid w:val="00B22750"/>
    <w:rsid w:val="00B22B1E"/>
    <w:rsid w:val="00B22FD6"/>
    <w:rsid w:val="00B22FE9"/>
    <w:rsid w:val="00B2322E"/>
    <w:rsid w:val="00B23483"/>
    <w:rsid w:val="00B236EC"/>
    <w:rsid w:val="00B237DB"/>
    <w:rsid w:val="00B23AC1"/>
    <w:rsid w:val="00B23B78"/>
    <w:rsid w:val="00B23F36"/>
    <w:rsid w:val="00B24604"/>
    <w:rsid w:val="00B24861"/>
    <w:rsid w:val="00B24DF7"/>
    <w:rsid w:val="00B2579C"/>
    <w:rsid w:val="00B257CC"/>
    <w:rsid w:val="00B25BDC"/>
    <w:rsid w:val="00B25CED"/>
    <w:rsid w:val="00B25D96"/>
    <w:rsid w:val="00B26749"/>
    <w:rsid w:val="00B26A25"/>
    <w:rsid w:val="00B276B7"/>
    <w:rsid w:val="00B277F2"/>
    <w:rsid w:val="00B30765"/>
    <w:rsid w:val="00B3098A"/>
    <w:rsid w:val="00B31018"/>
    <w:rsid w:val="00B310C4"/>
    <w:rsid w:val="00B31125"/>
    <w:rsid w:val="00B31315"/>
    <w:rsid w:val="00B316CD"/>
    <w:rsid w:val="00B31747"/>
    <w:rsid w:val="00B31875"/>
    <w:rsid w:val="00B32109"/>
    <w:rsid w:val="00B323D0"/>
    <w:rsid w:val="00B3298F"/>
    <w:rsid w:val="00B32B0E"/>
    <w:rsid w:val="00B32BE4"/>
    <w:rsid w:val="00B32C07"/>
    <w:rsid w:val="00B3330A"/>
    <w:rsid w:val="00B336DE"/>
    <w:rsid w:val="00B34411"/>
    <w:rsid w:val="00B345A7"/>
    <w:rsid w:val="00B3495B"/>
    <w:rsid w:val="00B35563"/>
    <w:rsid w:val="00B35766"/>
    <w:rsid w:val="00B35AA6"/>
    <w:rsid w:val="00B35E40"/>
    <w:rsid w:val="00B36087"/>
    <w:rsid w:val="00B36119"/>
    <w:rsid w:val="00B36E30"/>
    <w:rsid w:val="00B36EA7"/>
    <w:rsid w:val="00B36F06"/>
    <w:rsid w:val="00B3722B"/>
    <w:rsid w:val="00B3744D"/>
    <w:rsid w:val="00B374D0"/>
    <w:rsid w:val="00B376EE"/>
    <w:rsid w:val="00B37D5F"/>
    <w:rsid w:val="00B4018F"/>
    <w:rsid w:val="00B403C0"/>
    <w:rsid w:val="00B405D8"/>
    <w:rsid w:val="00B40B13"/>
    <w:rsid w:val="00B40DD2"/>
    <w:rsid w:val="00B41051"/>
    <w:rsid w:val="00B41361"/>
    <w:rsid w:val="00B413C1"/>
    <w:rsid w:val="00B416A0"/>
    <w:rsid w:val="00B417E8"/>
    <w:rsid w:val="00B41CA1"/>
    <w:rsid w:val="00B4266B"/>
    <w:rsid w:val="00B42EC7"/>
    <w:rsid w:val="00B42EE6"/>
    <w:rsid w:val="00B4308D"/>
    <w:rsid w:val="00B434C6"/>
    <w:rsid w:val="00B434DF"/>
    <w:rsid w:val="00B43757"/>
    <w:rsid w:val="00B43F53"/>
    <w:rsid w:val="00B44106"/>
    <w:rsid w:val="00B44444"/>
    <w:rsid w:val="00B44710"/>
    <w:rsid w:val="00B44A3C"/>
    <w:rsid w:val="00B451C9"/>
    <w:rsid w:val="00B4590F"/>
    <w:rsid w:val="00B45E11"/>
    <w:rsid w:val="00B460E4"/>
    <w:rsid w:val="00B46409"/>
    <w:rsid w:val="00B46878"/>
    <w:rsid w:val="00B4688C"/>
    <w:rsid w:val="00B46B88"/>
    <w:rsid w:val="00B475AB"/>
    <w:rsid w:val="00B476F3"/>
    <w:rsid w:val="00B47B76"/>
    <w:rsid w:val="00B47C57"/>
    <w:rsid w:val="00B47F4A"/>
    <w:rsid w:val="00B505E3"/>
    <w:rsid w:val="00B50FB1"/>
    <w:rsid w:val="00B51148"/>
    <w:rsid w:val="00B512BB"/>
    <w:rsid w:val="00B51B76"/>
    <w:rsid w:val="00B51E20"/>
    <w:rsid w:val="00B522B3"/>
    <w:rsid w:val="00B52416"/>
    <w:rsid w:val="00B52722"/>
    <w:rsid w:val="00B52847"/>
    <w:rsid w:val="00B52C06"/>
    <w:rsid w:val="00B52F64"/>
    <w:rsid w:val="00B531E8"/>
    <w:rsid w:val="00B536BC"/>
    <w:rsid w:val="00B536F1"/>
    <w:rsid w:val="00B539BD"/>
    <w:rsid w:val="00B53CF5"/>
    <w:rsid w:val="00B54455"/>
    <w:rsid w:val="00B544FE"/>
    <w:rsid w:val="00B5483F"/>
    <w:rsid w:val="00B54BAF"/>
    <w:rsid w:val="00B54FBB"/>
    <w:rsid w:val="00B55D9E"/>
    <w:rsid w:val="00B564C4"/>
    <w:rsid w:val="00B56785"/>
    <w:rsid w:val="00B56BF5"/>
    <w:rsid w:val="00B56C44"/>
    <w:rsid w:val="00B57E88"/>
    <w:rsid w:val="00B604CE"/>
    <w:rsid w:val="00B609B9"/>
    <w:rsid w:val="00B60A3F"/>
    <w:rsid w:val="00B60AC5"/>
    <w:rsid w:val="00B60C03"/>
    <w:rsid w:val="00B6131F"/>
    <w:rsid w:val="00B618F5"/>
    <w:rsid w:val="00B61BF6"/>
    <w:rsid w:val="00B61D9A"/>
    <w:rsid w:val="00B61DED"/>
    <w:rsid w:val="00B624BA"/>
    <w:rsid w:val="00B627D4"/>
    <w:rsid w:val="00B62D83"/>
    <w:rsid w:val="00B62F16"/>
    <w:rsid w:val="00B63074"/>
    <w:rsid w:val="00B6310E"/>
    <w:rsid w:val="00B6346A"/>
    <w:rsid w:val="00B63583"/>
    <w:rsid w:val="00B63BD9"/>
    <w:rsid w:val="00B63E23"/>
    <w:rsid w:val="00B640A3"/>
    <w:rsid w:val="00B64435"/>
    <w:rsid w:val="00B64ACA"/>
    <w:rsid w:val="00B64CD1"/>
    <w:rsid w:val="00B65411"/>
    <w:rsid w:val="00B6578C"/>
    <w:rsid w:val="00B65815"/>
    <w:rsid w:val="00B660BB"/>
    <w:rsid w:val="00B66C9E"/>
    <w:rsid w:val="00B66D59"/>
    <w:rsid w:val="00B6702D"/>
    <w:rsid w:val="00B6702E"/>
    <w:rsid w:val="00B67176"/>
    <w:rsid w:val="00B67A11"/>
    <w:rsid w:val="00B67F53"/>
    <w:rsid w:val="00B6E49C"/>
    <w:rsid w:val="00B705C9"/>
    <w:rsid w:val="00B70B01"/>
    <w:rsid w:val="00B70DCB"/>
    <w:rsid w:val="00B7111D"/>
    <w:rsid w:val="00B712F7"/>
    <w:rsid w:val="00B71404"/>
    <w:rsid w:val="00B714A4"/>
    <w:rsid w:val="00B71825"/>
    <w:rsid w:val="00B71A36"/>
    <w:rsid w:val="00B71D72"/>
    <w:rsid w:val="00B71DF5"/>
    <w:rsid w:val="00B71EA7"/>
    <w:rsid w:val="00B72131"/>
    <w:rsid w:val="00B7285E"/>
    <w:rsid w:val="00B72AFA"/>
    <w:rsid w:val="00B72EB0"/>
    <w:rsid w:val="00B73297"/>
    <w:rsid w:val="00B73578"/>
    <w:rsid w:val="00B74327"/>
    <w:rsid w:val="00B74583"/>
    <w:rsid w:val="00B749D1"/>
    <w:rsid w:val="00B74AD7"/>
    <w:rsid w:val="00B74C4E"/>
    <w:rsid w:val="00B74EF3"/>
    <w:rsid w:val="00B74F22"/>
    <w:rsid w:val="00B7518B"/>
    <w:rsid w:val="00B752C0"/>
    <w:rsid w:val="00B7617D"/>
    <w:rsid w:val="00B769AA"/>
    <w:rsid w:val="00B77053"/>
    <w:rsid w:val="00B775C6"/>
    <w:rsid w:val="00B77AB1"/>
    <w:rsid w:val="00B77B86"/>
    <w:rsid w:val="00B77C04"/>
    <w:rsid w:val="00B77D52"/>
    <w:rsid w:val="00B77E81"/>
    <w:rsid w:val="00B802E9"/>
    <w:rsid w:val="00B8077D"/>
    <w:rsid w:val="00B80C5C"/>
    <w:rsid w:val="00B80EE7"/>
    <w:rsid w:val="00B813CA"/>
    <w:rsid w:val="00B81B87"/>
    <w:rsid w:val="00B81BEC"/>
    <w:rsid w:val="00B81ED6"/>
    <w:rsid w:val="00B82107"/>
    <w:rsid w:val="00B821DA"/>
    <w:rsid w:val="00B82604"/>
    <w:rsid w:val="00B82679"/>
    <w:rsid w:val="00B82C17"/>
    <w:rsid w:val="00B82D81"/>
    <w:rsid w:val="00B82DCE"/>
    <w:rsid w:val="00B82E24"/>
    <w:rsid w:val="00B82EEE"/>
    <w:rsid w:val="00B8325D"/>
    <w:rsid w:val="00B833E9"/>
    <w:rsid w:val="00B8355F"/>
    <w:rsid w:val="00B836A4"/>
    <w:rsid w:val="00B83FBE"/>
    <w:rsid w:val="00B8477A"/>
    <w:rsid w:val="00B84900"/>
    <w:rsid w:val="00B84A60"/>
    <w:rsid w:val="00B85277"/>
    <w:rsid w:val="00B85542"/>
    <w:rsid w:val="00B858D5"/>
    <w:rsid w:val="00B85D1C"/>
    <w:rsid w:val="00B85E8A"/>
    <w:rsid w:val="00B8625A"/>
    <w:rsid w:val="00B86594"/>
    <w:rsid w:val="00B86C93"/>
    <w:rsid w:val="00B87BB0"/>
    <w:rsid w:val="00B87CD1"/>
    <w:rsid w:val="00B87EA8"/>
    <w:rsid w:val="00B9059B"/>
    <w:rsid w:val="00B90645"/>
    <w:rsid w:val="00B90706"/>
    <w:rsid w:val="00B907BF"/>
    <w:rsid w:val="00B9152F"/>
    <w:rsid w:val="00B91734"/>
    <w:rsid w:val="00B91972"/>
    <w:rsid w:val="00B91D59"/>
    <w:rsid w:val="00B91EE7"/>
    <w:rsid w:val="00B92623"/>
    <w:rsid w:val="00B92B88"/>
    <w:rsid w:val="00B92D95"/>
    <w:rsid w:val="00B92DEC"/>
    <w:rsid w:val="00B92E90"/>
    <w:rsid w:val="00B9344C"/>
    <w:rsid w:val="00B934ED"/>
    <w:rsid w:val="00B93738"/>
    <w:rsid w:val="00B93AE6"/>
    <w:rsid w:val="00B93CB0"/>
    <w:rsid w:val="00B93CF3"/>
    <w:rsid w:val="00B944C3"/>
    <w:rsid w:val="00B94DD6"/>
    <w:rsid w:val="00B94EAF"/>
    <w:rsid w:val="00B9507A"/>
    <w:rsid w:val="00B95730"/>
    <w:rsid w:val="00B962F6"/>
    <w:rsid w:val="00B96538"/>
    <w:rsid w:val="00B97003"/>
    <w:rsid w:val="00B97149"/>
    <w:rsid w:val="00B97190"/>
    <w:rsid w:val="00B97195"/>
    <w:rsid w:val="00B974AE"/>
    <w:rsid w:val="00B97785"/>
    <w:rsid w:val="00B977CD"/>
    <w:rsid w:val="00B97AE2"/>
    <w:rsid w:val="00B97D57"/>
    <w:rsid w:val="00B97D65"/>
    <w:rsid w:val="00BA01F3"/>
    <w:rsid w:val="00BA0373"/>
    <w:rsid w:val="00BA0FAE"/>
    <w:rsid w:val="00BA136D"/>
    <w:rsid w:val="00BA1B37"/>
    <w:rsid w:val="00BA1CEC"/>
    <w:rsid w:val="00BA1EAA"/>
    <w:rsid w:val="00BA21C6"/>
    <w:rsid w:val="00BA2760"/>
    <w:rsid w:val="00BA2A15"/>
    <w:rsid w:val="00BA2B0E"/>
    <w:rsid w:val="00BA3090"/>
    <w:rsid w:val="00BA3B07"/>
    <w:rsid w:val="00BA3C5C"/>
    <w:rsid w:val="00BA3D70"/>
    <w:rsid w:val="00BA3E0C"/>
    <w:rsid w:val="00BA3EB5"/>
    <w:rsid w:val="00BA43C7"/>
    <w:rsid w:val="00BA4DD1"/>
    <w:rsid w:val="00BA50E5"/>
    <w:rsid w:val="00BA512D"/>
    <w:rsid w:val="00BA5134"/>
    <w:rsid w:val="00BA5565"/>
    <w:rsid w:val="00BA5628"/>
    <w:rsid w:val="00BA593A"/>
    <w:rsid w:val="00BA6122"/>
    <w:rsid w:val="00BA620B"/>
    <w:rsid w:val="00BA6368"/>
    <w:rsid w:val="00BA67EB"/>
    <w:rsid w:val="00BA6A2A"/>
    <w:rsid w:val="00BA6B58"/>
    <w:rsid w:val="00BA6C06"/>
    <w:rsid w:val="00BA6C1B"/>
    <w:rsid w:val="00BA6F63"/>
    <w:rsid w:val="00BA7CFC"/>
    <w:rsid w:val="00BB048E"/>
    <w:rsid w:val="00BB0755"/>
    <w:rsid w:val="00BB09D5"/>
    <w:rsid w:val="00BB11FB"/>
    <w:rsid w:val="00BB1414"/>
    <w:rsid w:val="00BB171A"/>
    <w:rsid w:val="00BB1B64"/>
    <w:rsid w:val="00BB1C0E"/>
    <w:rsid w:val="00BB1D0A"/>
    <w:rsid w:val="00BB21DA"/>
    <w:rsid w:val="00BB233B"/>
    <w:rsid w:val="00BB2411"/>
    <w:rsid w:val="00BB294B"/>
    <w:rsid w:val="00BB2EBF"/>
    <w:rsid w:val="00BB2EDB"/>
    <w:rsid w:val="00BB2F8F"/>
    <w:rsid w:val="00BB3388"/>
    <w:rsid w:val="00BB3701"/>
    <w:rsid w:val="00BB38ED"/>
    <w:rsid w:val="00BB3AE3"/>
    <w:rsid w:val="00BB46C3"/>
    <w:rsid w:val="00BB569E"/>
    <w:rsid w:val="00BB5815"/>
    <w:rsid w:val="00BB5ADE"/>
    <w:rsid w:val="00BB5D09"/>
    <w:rsid w:val="00BB6742"/>
    <w:rsid w:val="00BB6C88"/>
    <w:rsid w:val="00BB6D4B"/>
    <w:rsid w:val="00BB704A"/>
    <w:rsid w:val="00BB72BD"/>
    <w:rsid w:val="00BB7533"/>
    <w:rsid w:val="00BB7591"/>
    <w:rsid w:val="00BB768F"/>
    <w:rsid w:val="00BB793F"/>
    <w:rsid w:val="00BB7AFA"/>
    <w:rsid w:val="00BB7C9E"/>
    <w:rsid w:val="00BC0109"/>
    <w:rsid w:val="00BC0215"/>
    <w:rsid w:val="00BC0245"/>
    <w:rsid w:val="00BC03DD"/>
    <w:rsid w:val="00BC074D"/>
    <w:rsid w:val="00BC0891"/>
    <w:rsid w:val="00BC10E0"/>
    <w:rsid w:val="00BC1297"/>
    <w:rsid w:val="00BC12FB"/>
    <w:rsid w:val="00BC1352"/>
    <w:rsid w:val="00BC174A"/>
    <w:rsid w:val="00BC1D48"/>
    <w:rsid w:val="00BC1E90"/>
    <w:rsid w:val="00BC27A6"/>
    <w:rsid w:val="00BC2E72"/>
    <w:rsid w:val="00BC2F21"/>
    <w:rsid w:val="00BC3074"/>
    <w:rsid w:val="00BC3360"/>
    <w:rsid w:val="00BC3502"/>
    <w:rsid w:val="00BC351D"/>
    <w:rsid w:val="00BC35AB"/>
    <w:rsid w:val="00BC38BF"/>
    <w:rsid w:val="00BC3A45"/>
    <w:rsid w:val="00BC3E76"/>
    <w:rsid w:val="00BC43DD"/>
    <w:rsid w:val="00BC4816"/>
    <w:rsid w:val="00BC4822"/>
    <w:rsid w:val="00BC48AB"/>
    <w:rsid w:val="00BC4CF9"/>
    <w:rsid w:val="00BC5044"/>
    <w:rsid w:val="00BC5136"/>
    <w:rsid w:val="00BC5151"/>
    <w:rsid w:val="00BC5457"/>
    <w:rsid w:val="00BC596D"/>
    <w:rsid w:val="00BC5D06"/>
    <w:rsid w:val="00BC5F93"/>
    <w:rsid w:val="00BC71BD"/>
    <w:rsid w:val="00BC72ED"/>
    <w:rsid w:val="00BC73A5"/>
    <w:rsid w:val="00BC742D"/>
    <w:rsid w:val="00BC7823"/>
    <w:rsid w:val="00BC795B"/>
    <w:rsid w:val="00BC7981"/>
    <w:rsid w:val="00BC79E0"/>
    <w:rsid w:val="00BC7B00"/>
    <w:rsid w:val="00BC7C18"/>
    <w:rsid w:val="00BC7FBA"/>
    <w:rsid w:val="00BD056D"/>
    <w:rsid w:val="00BD086D"/>
    <w:rsid w:val="00BD0D5A"/>
    <w:rsid w:val="00BD14B2"/>
    <w:rsid w:val="00BD1779"/>
    <w:rsid w:val="00BD1D18"/>
    <w:rsid w:val="00BD21D5"/>
    <w:rsid w:val="00BD22A5"/>
    <w:rsid w:val="00BD23F4"/>
    <w:rsid w:val="00BD262C"/>
    <w:rsid w:val="00BD29EB"/>
    <w:rsid w:val="00BD33A3"/>
    <w:rsid w:val="00BD403F"/>
    <w:rsid w:val="00BD4081"/>
    <w:rsid w:val="00BD4193"/>
    <w:rsid w:val="00BD469B"/>
    <w:rsid w:val="00BD4DE5"/>
    <w:rsid w:val="00BD5B0B"/>
    <w:rsid w:val="00BD5FA9"/>
    <w:rsid w:val="00BD6635"/>
    <w:rsid w:val="00BD6913"/>
    <w:rsid w:val="00BD7889"/>
    <w:rsid w:val="00BD7C39"/>
    <w:rsid w:val="00BD7FDA"/>
    <w:rsid w:val="00BE09B2"/>
    <w:rsid w:val="00BE0B86"/>
    <w:rsid w:val="00BE0E76"/>
    <w:rsid w:val="00BE12A4"/>
    <w:rsid w:val="00BE130E"/>
    <w:rsid w:val="00BE209F"/>
    <w:rsid w:val="00BE272F"/>
    <w:rsid w:val="00BE2A35"/>
    <w:rsid w:val="00BE2DFB"/>
    <w:rsid w:val="00BE3280"/>
    <w:rsid w:val="00BE3602"/>
    <w:rsid w:val="00BE3841"/>
    <w:rsid w:val="00BE3C11"/>
    <w:rsid w:val="00BE3FF9"/>
    <w:rsid w:val="00BE44D8"/>
    <w:rsid w:val="00BE44EB"/>
    <w:rsid w:val="00BE4705"/>
    <w:rsid w:val="00BE47E6"/>
    <w:rsid w:val="00BE520C"/>
    <w:rsid w:val="00BE58F0"/>
    <w:rsid w:val="00BE5ACC"/>
    <w:rsid w:val="00BE5EA0"/>
    <w:rsid w:val="00BE6950"/>
    <w:rsid w:val="00BE6E79"/>
    <w:rsid w:val="00BE726C"/>
    <w:rsid w:val="00BE7619"/>
    <w:rsid w:val="00BE77E1"/>
    <w:rsid w:val="00BE791A"/>
    <w:rsid w:val="00BF0380"/>
    <w:rsid w:val="00BF0575"/>
    <w:rsid w:val="00BF08EA"/>
    <w:rsid w:val="00BF0F0C"/>
    <w:rsid w:val="00BF1425"/>
    <w:rsid w:val="00BF1892"/>
    <w:rsid w:val="00BF1AA9"/>
    <w:rsid w:val="00BF1FE6"/>
    <w:rsid w:val="00BF203A"/>
    <w:rsid w:val="00BF2146"/>
    <w:rsid w:val="00BF2AB4"/>
    <w:rsid w:val="00BF2C12"/>
    <w:rsid w:val="00BF2D19"/>
    <w:rsid w:val="00BF3159"/>
    <w:rsid w:val="00BF32DB"/>
    <w:rsid w:val="00BF3A23"/>
    <w:rsid w:val="00BF3FAF"/>
    <w:rsid w:val="00BF410A"/>
    <w:rsid w:val="00BF4502"/>
    <w:rsid w:val="00BF49FC"/>
    <w:rsid w:val="00BF4BE0"/>
    <w:rsid w:val="00BF4DB0"/>
    <w:rsid w:val="00BF4EC6"/>
    <w:rsid w:val="00BF5189"/>
    <w:rsid w:val="00BF55C1"/>
    <w:rsid w:val="00BF5A7D"/>
    <w:rsid w:val="00BF5C70"/>
    <w:rsid w:val="00BF6162"/>
    <w:rsid w:val="00BF61FA"/>
    <w:rsid w:val="00BF64F2"/>
    <w:rsid w:val="00BF6940"/>
    <w:rsid w:val="00BF6E4F"/>
    <w:rsid w:val="00BF6EB5"/>
    <w:rsid w:val="00BF7014"/>
    <w:rsid w:val="00BF717C"/>
    <w:rsid w:val="00BF7C78"/>
    <w:rsid w:val="00C01098"/>
    <w:rsid w:val="00C0134C"/>
    <w:rsid w:val="00C01478"/>
    <w:rsid w:val="00C01B4E"/>
    <w:rsid w:val="00C01C09"/>
    <w:rsid w:val="00C01E0A"/>
    <w:rsid w:val="00C01F91"/>
    <w:rsid w:val="00C02039"/>
    <w:rsid w:val="00C021C2"/>
    <w:rsid w:val="00C02652"/>
    <w:rsid w:val="00C02713"/>
    <w:rsid w:val="00C028FC"/>
    <w:rsid w:val="00C029AA"/>
    <w:rsid w:val="00C02E44"/>
    <w:rsid w:val="00C0305D"/>
    <w:rsid w:val="00C035C1"/>
    <w:rsid w:val="00C03C48"/>
    <w:rsid w:val="00C03EA3"/>
    <w:rsid w:val="00C0418C"/>
    <w:rsid w:val="00C0484E"/>
    <w:rsid w:val="00C049E8"/>
    <w:rsid w:val="00C04FC1"/>
    <w:rsid w:val="00C0549C"/>
    <w:rsid w:val="00C05A30"/>
    <w:rsid w:val="00C06047"/>
    <w:rsid w:val="00C065D7"/>
    <w:rsid w:val="00C06AD0"/>
    <w:rsid w:val="00C076A9"/>
    <w:rsid w:val="00C076C8"/>
    <w:rsid w:val="00C07829"/>
    <w:rsid w:val="00C07AD1"/>
    <w:rsid w:val="00C07AF2"/>
    <w:rsid w:val="00C07E0C"/>
    <w:rsid w:val="00C07E43"/>
    <w:rsid w:val="00C10231"/>
    <w:rsid w:val="00C102FD"/>
    <w:rsid w:val="00C10707"/>
    <w:rsid w:val="00C10D92"/>
    <w:rsid w:val="00C115E0"/>
    <w:rsid w:val="00C11937"/>
    <w:rsid w:val="00C11EEC"/>
    <w:rsid w:val="00C125C3"/>
    <w:rsid w:val="00C13B70"/>
    <w:rsid w:val="00C1425D"/>
    <w:rsid w:val="00C144DC"/>
    <w:rsid w:val="00C1486D"/>
    <w:rsid w:val="00C14A38"/>
    <w:rsid w:val="00C14D49"/>
    <w:rsid w:val="00C14D73"/>
    <w:rsid w:val="00C15179"/>
    <w:rsid w:val="00C1564A"/>
    <w:rsid w:val="00C159DA"/>
    <w:rsid w:val="00C15AAA"/>
    <w:rsid w:val="00C15AF3"/>
    <w:rsid w:val="00C15B3B"/>
    <w:rsid w:val="00C1655E"/>
    <w:rsid w:val="00C165C1"/>
    <w:rsid w:val="00C166ED"/>
    <w:rsid w:val="00C16AF6"/>
    <w:rsid w:val="00C17E14"/>
    <w:rsid w:val="00C17E9E"/>
    <w:rsid w:val="00C17EDA"/>
    <w:rsid w:val="00C20052"/>
    <w:rsid w:val="00C20185"/>
    <w:rsid w:val="00C20357"/>
    <w:rsid w:val="00C20432"/>
    <w:rsid w:val="00C207A3"/>
    <w:rsid w:val="00C20D9C"/>
    <w:rsid w:val="00C20E80"/>
    <w:rsid w:val="00C2141A"/>
    <w:rsid w:val="00C21DFE"/>
    <w:rsid w:val="00C221E2"/>
    <w:rsid w:val="00C224D2"/>
    <w:rsid w:val="00C224FB"/>
    <w:rsid w:val="00C226F6"/>
    <w:rsid w:val="00C22AA4"/>
    <w:rsid w:val="00C22DFF"/>
    <w:rsid w:val="00C22F30"/>
    <w:rsid w:val="00C23801"/>
    <w:rsid w:val="00C23B6C"/>
    <w:rsid w:val="00C24096"/>
    <w:rsid w:val="00C240B9"/>
    <w:rsid w:val="00C24602"/>
    <w:rsid w:val="00C24B6A"/>
    <w:rsid w:val="00C24C69"/>
    <w:rsid w:val="00C24D62"/>
    <w:rsid w:val="00C256B8"/>
    <w:rsid w:val="00C25A44"/>
    <w:rsid w:val="00C25F5E"/>
    <w:rsid w:val="00C2622E"/>
    <w:rsid w:val="00C2642C"/>
    <w:rsid w:val="00C26992"/>
    <w:rsid w:val="00C26AA2"/>
    <w:rsid w:val="00C26DD5"/>
    <w:rsid w:val="00C2772F"/>
    <w:rsid w:val="00C27B1B"/>
    <w:rsid w:val="00C27E45"/>
    <w:rsid w:val="00C27F79"/>
    <w:rsid w:val="00C30609"/>
    <w:rsid w:val="00C30848"/>
    <w:rsid w:val="00C30CF2"/>
    <w:rsid w:val="00C314C9"/>
    <w:rsid w:val="00C3155C"/>
    <w:rsid w:val="00C31BF2"/>
    <w:rsid w:val="00C320FA"/>
    <w:rsid w:val="00C32136"/>
    <w:rsid w:val="00C32264"/>
    <w:rsid w:val="00C32293"/>
    <w:rsid w:val="00C32952"/>
    <w:rsid w:val="00C32A2F"/>
    <w:rsid w:val="00C32EB9"/>
    <w:rsid w:val="00C32ECA"/>
    <w:rsid w:val="00C32F47"/>
    <w:rsid w:val="00C332EB"/>
    <w:rsid w:val="00C332F1"/>
    <w:rsid w:val="00C336FB"/>
    <w:rsid w:val="00C337AB"/>
    <w:rsid w:val="00C337DA"/>
    <w:rsid w:val="00C33E24"/>
    <w:rsid w:val="00C33FFE"/>
    <w:rsid w:val="00C3406E"/>
    <w:rsid w:val="00C34138"/>
    <w:rsid w:val="00C346EF"/>
    <w:rsid w:val="00C34AB9"/>
    <w:rsid w:val="00C35017"/>
    <w:rsid w:val="00C3507C"/>
    <w:rsid w:val="00C350F3"/>
    <w:rsid w:val="00C35310"/>
    <w:rsid w:val="00C3575A"/>
    <w:rsid w:val="00C3580A"/>
    <w:rsid w:val="00C35C30"/>
    <w:rsid w:val="00C36379"/>
    <w:rsid w:val="00C36963"/>
    <w:rsid w:val="00C36CE4"/>
    <w:rsid w:val="00C3710D"/>
    <w:rsid w:val="00C377FE"/>
    <w:rsid w:val="00C3789C"/>
    <w:rsid w:val="00C408C5"/>
    <w:rsid w:val="00C40916"/>
    <w:rsid w:val="00C41DED"/>
    <w:rsid w:val="00C41E2B"/>
    <w:rsid w:val="00C4240A"/>
    <w:rsid w:val="00C4272B"/>
    <w:rsid w:val="00C42A78"/>
    <w:rsid w:val="00C42B00"/>
    <w:rsid w:val="00C42CD0"/>
    <w:rsid w:val="00C431A7"/>
    <w:rsid w:val="00C4325D"/>
    <w:rsid w:val="00C4351C"/>
    <w:rsid w:val="00C43DAE"/>
    <w:rsid w:val="00C43E17"/>
    <w:rsid w:val="00C43F33"/>
    <w:rsid w:val="00C441F4"/>
    <w:rsid w:val="00C44348"/>
    <w:rsid w:val="00C447EE"/>
    <w:rsid w:val="00C4483D"/>
    <w:rsid w:val="00C44A5B"/>
    <w:rsid w:val="00C45FD8"/>
    <w:rsid w:val="00C465B9"/>
    <w:rsid w:val="00C46785"/>
    <w:rsid w:val="00C467CD"/>
    <w:rsid w:val="00C4683D"/>
    <w:rsid w:val="00C468A5"/>
    <w:rsid w:val="00C468AE"/>
    <w:rsid w:val="00C46CC3"/>
    <w:rsid w:val="00C46DCC"/>
    <w:rsid w:val="00C46FA2"/>
    <w:rsid w:val="00C47163"/>
    <w:rsid w:val="00C4734D"/>
    <w:rsid w:val="00C476E7"/>
    <w:rsid w:val="00C476F3"/>
    <w:rsid w:val="00C477D4"/>
    <w:rsid w:val="00C47808"/>
    <w:rsid w:val="00C47EDA"/>
    <w:rsid w:val="00C501D8"/>
    <w:rsid w:val="00C501EB"/>
    <w:rsid w:val="00C5067B"/>
    <w:rsid w:val="00C50C77"/>
    <w:rsid w:val="00C50DAC"/>
    <w:rsid w:val="00C510B9"/>
    <w:rsid w:val="00C512E6"/>
    <w:rsid w:val="00C51BC4"/>
    <w:rsid w:val="00C52372"/>
    <w:rsid w:val="00C523F5"/>
    <w:rsid w:val="00C52939"/>
    <w:rsid w:val="00C52952"/>
    <w:rsid w:val="00C529C6"/>
    <w:rsid w:val="00C53050"/>
    <w:rsid w:val="00C53352"/>
    <w:rsid w:val="00C53574"/>
    <w:rsid w:val="00C5375C"/>
    <w:rsid w:val="00C53970"/>
    <w:rsid w:val="00C53EC4"/>
    <w:rsid w:val="00C54294"/>
    <w:rsid w:val="00C54850"/>
    <w:rsid w:val="00C54BF6"/>
    <w:rsid w:val="00C54C42"/>
    <w:rsid w:val="00C54ED6"/>
    <w:rsid w:val="00C55291"/>
    <w:rsid w:val="00C55455"/>
    <w:rsid w:val="00C5582A"/>
    <w:rsid w:val="00C55992"/>
    <w:rsid w:val="00C56366"/>
    <w:rsid w:val="00C56540"/>
    <w:rsid w:val="00C565B6"/>
    <w:rsid w:val="00C566C9"/>
    <w:rsid w:val="00C56733"/>
    <w:rsid w:val="00C56B86"/>
    <w:rsid w:val="00C57705"/>
    <w:rsid w:val="00C577EC"/>
    <w:rsid w:val="00C57B59"/>
    <w:rsid w:val="00C57E9E"/>
    <w:rsid w:val="00C57F5F"/>
    <w:rsid w:val="00C6042F"/>
    <w:rsid w:val="00C606F3"/>
    <w:rsid w:val="00C60B61"/>
    <w:rsid w:val="00C60EF0"/>
    <w:rsid w:val="00C612EF"/>
    <w:rsid w:val="00C6183F"/>
    <w:rsid w:val="00C61A24"/>
    <w:rsid w:val="00C61DFF"/>
    <w:rsid w:val="00C61EF0"/>
    <w:rsid w:val="00C62B01"/>
    <w:rsid w:val="00C63672"/>
    <w:rsid w:val="00C639B0"/>
    <w:rsid w:val="00C63CA3"/>
    <w:rsid w:val="00C63D64"/>
    <w:rsid w:val="00C6404A"/>
    <w:rsid w:val="00C64159"/>
    <w:rsid w:val="00C641BA"/>
    <w:rsid w:val="00C642C4"/>
    <w:rsid w:val="00C644BC"/>
    <w:rsid w:val="00C645FC"/>
    <w:rsid w:val="00C6468F"/>
    <w:rsid w:val="00C6483F"/>
    <w:rsid w:val="00C64934"/>
    <w:rsid w:val="00C64E61"/>
    <w:rsid w:val="00C65617"/>
    <w:rsid w:val="00C65737"/>
    <w:rsid w:val="00C6597B"/>
    <w:rsid w:val="00C65EE5"/>
    <w:rsid w:val="00C65FD6"/>
    <w:rsid w:val="00C6606D"/>
    <w:rsid w:val="00C6660E"/>
    <w:rsid w:val="00C66E07"/>
    <w:rsid w:val="00C67160"/>
    <w:rsid w:val="00C67309"/>
    <w:rsid w:val="00C677D3"/>
    <w:rsid w:val="00C679FB"/>
    <w:rsid w:val="00C67B42"/>
    <w:rsid w:val="00C67D86"/>
    <w:rsid w:val="00C67E4B"/>
    <w:rsid w:val="00C7098D"/>
    <w:rsid w:val="00C70A80"/>
    <w:rsid w:val="00C70EAF"/>
    <w:rsid w:val="00C70EC6"/>
    <w:rsid w:val="00C71A58"/>
    <w:rsid w:val="00C71B58"/>
    <w:rsid w:val="00C71F73"/>
    <w:rsid w:val="00C720C2"/>
    <w:rsid w:val="00C724A1"/>
    <w:rsid w:val="00C72577"/>
    <w:rsid w:val="00C728C7"/>
    <w:rsid w:val="00C72D2A"/>
    <w:rsid w:val="00C73443"/>
    <w:rsid w:val="00C73B37"/>
    <w:rsid w:val="00C74303"/>
    <w:rsid w:val="00C74664"/>
    <w:rsid w:val="00C74C06"/>
    <w:rsid w:val="00C74C0A"/>
    <w:rsid w:val="00C74E4E"/>
    <w:rsid w:val="00C757B1"/>
    <w:rsid w:val="00C763A2"/>
    <w:rsid w:val="00C76495"/>
    <w:rsid w:val="00C7663D"/>
    <w:rsid w:val="00C766AE"/>
    <w:rsid w:val="00C767A3"/>
    <w:rsid w:val="00C76D73"/>
    <w:rsid w:val="00C76F7D"/>
    <w:rsid w:val="00C7793A"/>
    <w:rsid w:val="00C77C92"/>
    <w:rsid w:val="00C77DD4"/>
    <w:rsid w:val="00C80379"/>
    <w:rsid w:val="00C80937"/>
    <w:rsid w:val="00C80C60"/>
    <w:rsid w:val="00C80EAD"/>
    <w:rsid w:val="00C80EF2"/>
    <w:rsid w:val="00C81B00"/>
    <w:rsid w:val="00C81B33"/>
    <w:rsid w:val="00C81F46"/>
    <w:rsid w:val="00C81F71"/>
    <w:rsid w:val="00C81FF5"/>
    <w:rsid w:val="00C822C6"/>
    <w:rsid w:val="00C82642"/>
    <w:rsid w:val="00C827AA"/>
    <w:rsid w:val="00C82B45"/>
    <w:rsid w:val="00C82D35"/>
    <w:rsid w:val="00C82D72"/>
    <w:rsid w:val="00C83535"/>
    <w:rsid w:val="00C835C3"/>
    <w:rsid w:val="00C83B78"/>
    <w:rsid w:val="00C83D95"/>
    <w:rsid w:val="00C84553"/>
    <w:rsid w:val="00C845E5"/>
    <w:rsid w:val="00C84940"/>
    <w:rsid w:val="00C84994"/>
    <w:rsid w:val="00C84A8F"/>
    <w:rsid w:val="00C84AE6"/>
    <w:rsid w:val="00C84AF2"/>
    <w:rsid w:val="00C853E5"/>
    <w:rsid w:val="00C85449"/>
    <w:rsid w:val="00C856A1"/>
    <w:rsid w:val="00C86BD4"/>
    <w:rsid w:val="00C86F2F"/>
    <w:rsid w:val="00C86FD0"/>
    <w:rsid w:val="00C87053"/>
    <w:rsid w:val="00C874DC"/>
    <w:rsid w:val="00C900F5"/>
    <w:rsid w:val="00C9078F"/>
    <w:rsid w:val="00C90B75"/>
    <w:rsid w:val="00C90E65"/>
    <w:rsid w:val="00C9164D"/>
    <w:rsid w:val="00C91DA2"/>
    <w:rsid w:val="00C91EF8"/>
    <w:rsid w:val="00C921CC"/>
    <w:rsid w:val="00C92BB7"/>
    <w:rsid w:val="00C92E79"/>
    <w:rsid w:val="00C93089"/>
    <w:rsid w:val="00C93287"/>
    <w:rsid w:val="00C93D21"/>
    <w:rsid w:val="00C93D7C"/>
    <w:rsid w:val="00C93F58"/>
    <w:rsid w:val="00C9467F"/>
    <w:rsid w:val="00C94761"/>
    <w:rsid w:val="00C948F1"/>
    <w:rsid w:val="00C9515C"/>
    <w:rsid w:val="00C9579E"/>
    <w:rsid w:val="00C9590A"/>
    <w:rsid w:val="00C96732"/>
    <w:rsid w:val="00C9684E"/>
    <w:rsid w:val="00C96E49"/>
    <w:rsid w:val="00C96F8D"/>
    <w:rsid w:val="00C96FDD"/>
    <w:rsid w:val="00C975B9"/>
    <w:rsid w:val="00C977C6"/>
    <w:rsid w:val="00C97BF1"/>
    <w:rsid w:val="00CA033C"/>
    <w:rsid w:val="00CA0644"/>
    <w:rsid w:val="00CA1078"/>
    <w:rsid w:val="00CA12D5"/>
    <w:rsid w:val="00CA136B"/>
    <w:rsid w:val="00CA14FC"/>
    <w:rsid w:val="00CA22A6"/>
    <w:rsid w:val="00CA23E5"/>
    <w:rsid w:val="00CA2878"/>
    <w:rsid w:val="00CA3182"/>
    <w:rsid w:val="00CA3442"/>
    <w:rsid w:val="00CA3946"/>
    <w:rsid w:val="00CA3A6E"/>
    <w:rsid w:val="00CA3B21"/>
    <w:rsid w:val="00CA3B2F"/>
    <w:rsid w:val="00CA4400"/>
    <w:rsid w:val="00CA4867"/>
    <w:rsid w:val="00CA4A01"/>
    <w:rsid w:val="00CA54D6"/>
    <w:rsid w:val="00CA578D"/>
    <w:rsid w:val="00CA599F"/>
    <w:rsid w:val="00CA5A56"/>
    <w:rsid w:val="00CA5B43"/>
    <w:rsid w:val="00CA5BA7"/>
    <w:rsid w:val="00CA647D"/>
    <w:rsid w:val="00CA66EE"/>
    <w:rsid w:val="00CA685C"/>
    <w:rsid w:val="00CA6CF3"/>
    <w:rsid w:val="00CA6D9F"/>
    <w:rsid w:val="00CA71D0"/>
    <w:rsid w:val="00CA73C1"/>
    <w:rsid w:val="00CA7656"/>
    <w:rsid w:val="00CA7AD4"/>
    <w:rsid w:val="00CA7B2F"/>
    <w:rsid w:val="00CA7EDD"/>
    <w:rsid w:val="00CA7FAA"/>
    <w:rsid w:val="00CB05C7"/>
    <w:rsid w:val="00CB0717"/>
    <w:rsid w:val="00CB0728"/>
    <w:rsid w:val="00CB081E"/>
    <w:rsid w:val="00CB0F38"/>
    <w:rsid w:val="00CB11BA"/>
    <w:rsid w:val="00CB224E"/>
    <w:rsid w:val="00CB2E9F"/>
    <w:rsid w:val="00CB3D14"/>
    <w:rsid w:val="00CB3DA0"/>
    <w:rsid w:val="00CB3FA5"/>
    <w:rsid w:val="00CB3FD9"/>
    <w:rsid w:val="00CB4864"/>
    <w:rsid w:val="00CB490F"/>
    <w:rsid w:val="00CB49B8"/>
    <w:rsid w:val="00CB4D9D"/>
    <w:rsid w:val="00CB53DB"/>
    <w:rsid w:val="00CB59E7"/>
    <w:rsid w:val="00CB6120"/>
    <w:rsid w:val="00CB659C"/>
    <w:rsid w:val="00CB6864"/>
    <w:rsid w:val="00CB6D94"/>
    <w:rsid w:val="00CB7415"/>
    <w:rsid w:val="00CB7C28"/>
    <w:rsid w:val="00CB7C70"/>
    <w:rsid w:val="00CB7D41"/>
    <w:rsid w:val="00CB7DCC"/>
    <w:rsid w:val="00CC005C"/>
    <w:rsid w:val="00CC0304"/>
    <w:rsid w:val="00CC0742"/>
    <w:rsid w:val="00CC0D88"/>
    <w:rsid w:val="00CC101C"/>
    <w:rsid w:val="00CC11FC"/>
    <w:rsid w:val="00CC125D"/>
    <w:rsid w:val="00CC13B7"/>
    <w:rsid w:val="00CC170B"/>
    <w:rsid w:val="00CC199D"/>
    <w:rsid w:val="00CC1D3E"/>
    <w:rsid w:val="00CC2238"/>
    <w:rsid w:val="00CC2749"/>
    <w:rsid w:val="00CC2D00"/>
    <w:rsid w:val="00CC30A2"/>
    <w:rsid w:val="00CC3A3F"/>
    <w:rsid w:val="00CC3A87"/>
    <w:rsid w:val="00CC40C8"/>
    <w:rsid w:val="00CC4114"/>
    <w:rsid w:val="00CC4DBD"/>
    <w:rsid w:val="00CC5366"/>
    <w:rsid w:val="00CC552E"/>
    <w:rsid w:val="00CC5659"/>
    <w:rsid w:val="00CC5734"/>
    <w:rsid w:val="00CC58A9"/>
    <w:rsid w:val="00CC5C3D"/>
    <w:rsid w:val="00CC5E86"/>
    <w:rsid w:val="00CC5F9F"/>
    <w:rsid w:val="00CC6117"/>
    <w:rsid w:val="00CC64FF"/>
    <w:rsid w:val="00CC731A"/>
    <w:rsid w:val="00CC7717"/>
    <w:rsid w:val="00CD00DB"/>
    <w:rsid w:val="00CD05FD"/>
    <w:rsid w:val="00CD09AA"/>
    <w:rsid w:val="00CD0CF1"/>
    <w:rsid w:val="00CD11CE"/>
    <w:rsid w:val="00CD138D"/>
    <w:rsid w:val="00CD142B"/>
    <w:rsid w:val="00CD1A8C"/>
    <w:rsid w:val="00CD1BBA"/>
    <w:rsid w:val="00CD1DBD"/>
    <w:rsid w:val="00CD22AA"/>
    <w:rsid w:val="00CD248F"/>
    <w:rsid w:val="00CD24C0"/>
    <w:rsid w:val="00CD29FB"/>
    <w:rsid w:val="00CD2A16"/>
    <w:rsid w:val="00CD2C7A"/>
    <w:rsid w:val="00CD2E0F"/>
    <w:rsid w:val="00CD2F40"/>
    <w:rsid w:val="00CD3388"/>
    <w:rsid w:val="00CD3519"/>
    <w:rsid w:val="00CD35FF"/>
    <w:rsid w:val="00CD370D"/>
    <w:rsid w:val="00CD37E9"/>
    <w:rsid w:val="00CD3B6D"/>
    <w:rsid w:val="00CD3C5B"/>
    <w:rsid w:val="00CD3CA7"/>
    <w:rsid w:val="00CD3D8E"/>
    <w:rsid w:val="00CD42B1"/>
    <w:rsid w:val="00CD4373"/>
    <w:rsid w:val="00CD4375"/>
    <w:rsid w:val="00CD4489"/>
    <w:rsid w:val="00CD4751"/>
    <w:rsid w:val="00CD4A08"/>
    <w:rsid w:val="00CD4DBA"/>
    <w:rsid w:val="00CD4E21"/>
    <w:rsid w:val="00CD50DA"/>
    <w:rsid w:val="00CD50E4"/>
    <w:rsid w:val="00CD537C"/>
    <w:rsid w:val="00CD5E57"/>
    <w:rsid w:val="00CD644E"/>
    <w:rsid w:val="00CD6F25"/>
    <w:rsid w:val="00CD7365"/>
    <w:rsid w:val="00CD7578"/>
    <w:rsid w:val="00CD7D1A"/>
    <w:rsid w:val="00CD7E5B"/>
    <w:rsid w:val="00CE10BF"/>
    <w:rsid w:val="00CE15ED"/>
    <w:rsid w:val="00CE1719"/>
    <w:rsid w:val="00CE1F6D"/>
    <w:rsid w:val="00CE2015"/>
    <w:rsid w:val="00CE220B"/>
    <w:rsid w:val="00CE22B0"/>
    <w:rsid w:val="00CE22C1"/>
    <w:rsid w:val="00CE23AD"/>
    <w:rsid w:val="00CE2502"/>
    <w:rsid w:val="00CE254E"/>
    <w:rsid w:val="00CE2605"/>
    <w:rsid w:val="00CE2C2C"/>
    <w:rsid w:val="00CE332D"/>
    <w:rsid w:val="00CE340C"/>
    <w:rsid w:val="00CE35C1"/>
    <w:rsid w:val="00CE3773"/>
    <w:rsid w:val="00CE3CA7"/>
    <w:rsid w:val="00CE3D6B"/>
    <w:rsid w:val="00CE5110"/>
    <w:rsid w:val="00CE52DB"/>
    <w:rsid w:val="00CE53A9"/>
    <w:rsid w:val="00CE5ACD"/>
    <w:rsid w:val="00CE5B95"/>
    <w:rsid w:val="00CE6045"/>
    <w:rsid w:val="00CE6495"/>
    <w:rsid w:val="00CE66D0"/>
    <w:rsid w:val="00CE6749"/>
    <w:rsid w:val="00CE6789"/>
    <w:rsid w:val="00CE67D8"/>
    <w:rsid w:val="00CE6905"/>
    <w:rsid w:val="00CE69D9"/>
    <w:rsid w:val="00CE6B64"/>
    <w:rsid w:val="00CE76B7"/>
    <w:rsid w:val="00CE79F0"/>
    <w:rsid w:val="00CE7B01"/>
    <w:rsid w:val="00CF05A5"/>
    <w:rsid w:val="00CF0BF5"/>
    <w:rsid w:val="00CF0DDF"/>
    <w:rsid w:val="00CF12F8"/>
    <w:rsid w:val="00CF1F25"/>
    <w:rsid w:val="00CF23D8"/>
    <w:rsid w:val="00CF2750"/>
    <w:rsid w:val="00CF312E"/>
    <w:rsid w:val="00CF3465"/>
    <w:rsid w:val="00CF37C9"/>
    <w:rsid w:val="00CF3901"/>
    <w:rsid w:val="00CF3A8A"/>
    <w:rsid w:val="00CF42B5"/>
    <w:rsid w:val="00CF44F4"/>
    <w:rsid w:val="00CF459E"/>
    <w:rsid w:val="00CF4968"/>
    <w:rsid w:val="00CF4B0C"/>
    <w:rsid w:val="00CF4B17"/>
    <w:rsid w:val="00CF5A0D"/>
    <w:rsid w:val="00CF5F0C"/>
    <w:rsid w:val="00CF5F59"/>
    <w:rsid w:val="00CF60FE"/>
    <w:rsid w:val="00CF6A57"/>
    <w:rsid w:val="00CF6C37"/>
    <w:rsid w:val="00CF6F95"/>
    <w:rsid w:val="00CF7709"/>
    <w:rsid w:val="00CF7795"/>
    <w:rsid w:val="00D00AE5"/>
    <w:rsid w:val="00D00BF1"/>
    <w:rsid w:val="00D011B0"/>
    <w:rsid w:val="00D013FB"/>
    <w:rsid w:val="00D0195C"/>
    <w:rsid w:val="00D0196F"/>
    <w:rsid w:val="00D01A86"/>
    <w:rsid w:val="00D01B11"/>
    <w:rsid w:val="00D01D22"/>
    <w:rsid w:val="00D01F7A"/>
    <w:rsid w:val="00D02369"/>
    <w:rsid w:val="00D029B2"/>
    <w:rsid w:val="00D02C5C"/>
    <w:rsid w:val="00D02CF4"/>
    <w:rsid w:val="00D02E17"/>
    <w:rsid w:val="00D02F26"/>
    <w:rsid w:val="00D02FED"/>
    <w:rsid w:val="00D0311E"/>
    <w:rsid w:val="00D0347C"/>
    <w:rsid w:val="00D036C4"/>
    <w:rsid w:val="00D038FD"/>
    <w:rsid w:val="00D03A5D"/>
    <w:rsid w:val="00D03BA7"/>
    <w:rsid w:val="00D03CF1"/>
    <w:rsid w:val="00D03D7C"/>
    <w:rsid w:val="00D04107"/>
    <w:rsid w:val="00D0441B"/>
    <w:rsid w:val="00D0481C"/>
    <w:rsid w:val="00D04843"/>
    <w:rsid w:val="00D04D9D"/>
    <w:rsid w:val="00D05000"/>
    <w:rsid w:val="00D05080"/>
    <w:rsid w:val="00D0536C"/>
    <w:rsid w:val="00D057E1"/>
    <w:rsid w:val="00D060D5"/>
    <w:rsid w:val="00D068A5"/>
    <w:rsid w:val="00D0695D"/>
    <w:rsid w:val="00D06B2A"/>
    <w:rsid w:val="00D06B92"/>
    <w:rsid w:val="00D06C13"/>
    <w:rsid w:val="00D06E5C"/>
    <w:rsid w:val="00D0705D"/>
    <w:rsid w:val="00D0748C"/>
    <w:rsid w:val="00D079B2"/>
    <w:rsid w:val="00D07DBE"/>
    <w:rsid w:val="00D10715"/>
    <w:rsid w:val="00D108F0"/>
    <w:rsid w:val="00D10A42"/>
    <w:rsid w:val="00D10B59"/>
    <w:rsid w:val="00D11106"/>
    <w:rsid w:val="00D11292"/>
    <w:rsid w:val="00D113FA"/>
    <w:rsid w:val="00D11DFE"/>
    <w:rsid w:val="00D12058"/>
    <w:rsid w:val="00D122C9"/>
    <w:rsid w:val="00D1267C"/>
    <w:rsid w:val="00D12741"/>
    <w:rsid w:val="00D130FB"/>
    <w:rsid w:val="00D13121"/>
    <w:rsid w:val="00D1322F"/>
    <w:rsid w:val="00D13448"/>
    <w:rsid w:val="00D13875"/>
    <w:rsid w:val="00D143ED"/>
    <w:rsid w:val="00D14458"/>
    <w:rsid w:val="00D14EB0"/>
    <w:rsid w:val="00D15214"/>
    <w:rsid w:val="00D1598E"/>
    <w:rsid w:val="00D15EA3"/>
    <w:rsid w:val="00D15EB5"/>
    <w:rsid w:val="00D16188"/>
    <w:rsid w:val="00D16319"/>
    <w:rsid w:val="00D16372"/>
    <w:rsid w:val="00D1638E"/>
    <w:rsid w:val="00D16622"/>
    <w:rsid w:val="00D166C4"/>
    <w:rsid w:val="00D16711"/>
    <w:rsid w:val="00D168F3"/>
    <w:rsid w:val="00D16BAA"/>
    <w:rsid w:val="00D17136"/>
    <w:rsid w:val="00D1732F"/>
    <w:rsid w:val="00D173F9"/>
    <w:rsid w:val="00D17668"/>
    <w:rsid w:val="00D178F4"/>
    <w:rsid w:val="00D179A4"/>
    <w:rsid w:val="00D17C7D"/>
    <w:rsid w:val="00D17F29"/>
    <w:rsid w:val="00D200AF"/>
    <w:rsid w:val="00D20613"/>
    <w:rsid w:val="00D209F7"/>
    <w:rsid w:val="00D20B3B"/>
    <w:rsid w:val="00D20C9D"/>
    <w:rsid w:val="00D213C4"/>
    <w:rsid w:val="00D21BFF"/>
    <w:rsid w:val="00D223C9"/>
    <w:rsid w:val="00D2260A"/>
    <w:rsid w:val="00D226C4"/>
    <w:rsid w:val="00D22C41"/>
    <w:rsid w:val="00D23AF8"/>
    <w:rsid w:val="00D23CAE"/>
    <w:rsid w:val="00D23CF8"/>
    <w:rsid w:val="00D24516"/>
    <w:rsid w:val="00D24F5F"/>
    <w:rsid w:val="00D24FBF"/>
    <w:rsid w:val="00D2544C"/>
    <w:rsid w:val="00D2561C"/>
    <w:rsid w:val="00D25D86"/>
    <w:rsid w:val="00D26833"/>
    <w:rsid w:val="00D26E54"/>
    <w:rsid w:val="00D27186"/>
    <w:rsid w:val="00D279BA"/>
    <w:rsid w:val="00D27B26"/>
    <w:rsid w:val="00D27CC4"/>
    <w:rsid w:val="00D27ED2"/>
    <w:rsid w:val="00D30B11"/>
    <w:rsid w:val="00D31439"/>
    <w:rsid w:val="00D31440"/>
    <w:rsid w:val="00D31B94"/>
    <w:rsid w:val="00D31CE2"/>
    <w:rsid w:val="00D31F36"/>
    <w:rsid w:val="00D32615"/>
    <w:rsid w:val="00D327B0"/>
    <w:rsid w:val="00D32C20"/>
    <w:rsid w:val="00D32D80"/>
    <w:rsid w:val="00D32F76"/>
    <w:rsid w:val="00D32FB1"/>
    <w:rsid w:val="00D334AF"/>
    <w:rsid w:val="00D334CA"/>
    <w:rsid w:val="00D33D34"/>
    <w:rsid w:val="00D33F2C"/>
    <w:rsid w:val="00D34B79"/>
    <w:rsid w:val="00D34C54"/>
    <w:rsid w:val="00D354E4"/>
    <w:rsid w:val="00D35B6D"/>
    <w:rsid w:val="00D35C3A"/>
    <w:rsid w:val="00D35DBD"/>
    <w:rsid w:val="00D36195"/>
    <w:rsid w:val="00D364BB"/>
    <w:rsid w:val="00D36C53"/>
    <w:rsid w:val="00D36D6B"/>
    <w:rsid w:val="00D370FE"/>
    <w:rsid w:val="00D372E0"/>
    <w:rsid w:val="00D37424"/>
    <w:rsid w:val="00D37D6C"/>
    <w:rsid w:val="00D405B6"/>
    <w:rsid w:val="00D40928"/>
    <w:rsid w:val="00D40B4D"/>
    <w:rsid w:val="00D412DC"/>
    <w:rsid w:val="00D41381"/>
    <w:rsid w:val="00D4195B"/>
    <w:rsid w:val="00D4205C"/>
    <w:rsid w:val="00D42903"/>
    <w:rsid w:val="00D42A23"/>
    <w:rsid w:val="00D42A45"/>
    <w:rsid w:val="00D42F32"/>
    <w:rsid w:val="00D42F9A"/>
    <w:rsid w:val="00D43163"/>
    <w:rsid w:val="00D4323F"/>
    <w:rsid w:val="00D435A9"/>
    <w:rsid w:val="00D436D9"/>
    <w:rsid w:val="00D44089"/>
    <w:rsid w:val="00D44582"/>
    <w:rsid w:val="00D446C4"/>
    <w:rsid w:val="00D4481E"/>
    <w:rsid w:val="00D44C9D"/>
    <w:rsid w:val="00D45EFB"/>
    <w:rsid w:val="00D46204"/>
    <w:rsid w:val="00D46355"/>
    <w:rsid w:val="00D4665B"/>
    <w:rsid w:val="00D4675A"/>
    <w:rsid w:val="00D46770"/>
    <w:rsid w:val="00D46916"/>
    <w:rsid w:val="00D46F1C"/>
    <w:rsid w:val="00D4702E"/>
    <w:rsid w:val="00D47329"/>
    <w:rsid w:val="00D473B0"/>
    <w:rsid w:val="00D47869"/>
    <w:rsid w:val="00D478E2"/>
    <w:rsid w:val="00D5003F"/>
    <w:rsid w:val="00D502BB"/>
    <w:rsid w:val="00D50383"/>
    <w:rsid w:val="00D505ED"/>
    <w:rsid w:val="00D506DA"/>
    <w:rsid w:val="00D50AE2"/>
    <w:rsid w:val="00D50CD4"/>
    <w:rsid w:val="00D50D15"/>
    <w:rsid w:val="00D51241"/>
    <w:rsid w:val="00D513C0"/>
    <w:rsid w:val="00D5145E"/>
    <w:rsid w:val="00D51723"/>
    <w:rsid w:val="00D51C0A"/>
    <w:rsid w:val="00D520BC"/>
    <w:rsid w:val="00D52237"/>
    <w:rsid w:val="00D5232E"/>
    <w:rsid w:val="00D52AA4"/>
    <w:rsid w:val="00D52E98"/>
    <w:rsid w:val="00D530C3"/>
    <w:rsid w:val="00D533B8"/>
    <w:rsid w:val="00D539A8"/>
    <w:rsid w:val="00D53BC0"/>
    <w:rsid w:val="00D53C00"/>
    <w:rsid w:val="00D53E3A"/>
    <w:rsid w:val="00D541F6"/>
    <w:rsid w:val="00D54293"/>
    <w:rsid w:val="00D54A14"/>
    <w:rsid w:val="00D54AAB"/>
    <w:rsid w:val="00D54B0F"/>
    <w:rsid w:val="00D54B4D"/>
    <w:rsid w:val="00D54E85"/>
    <w:rsid w:val="00D551B4"/>
    <w:rsid w:val="00D55859"/>
    <w:rsid w:val="00D55CD7"/>
    <w:rsid w:val="00D55E13"/>
    <w:rsid w:val="00D56650"/>
    <w:rsid w:val="00D56842"/>
    <w:rsid w:val="00D569D2"/>
    <w:rsid w:val="00D56CF0"/>
    <w:rsid w:val="00D57501"/>
    <w:rsid w:val="00D57547"/>
    <w:rsid w:val="00D57A13"/>
    <w:rsid w:val="00D57E15"/>
    <w:rsid w:val="00D600A9"/>
    <w:rsid w:val="00D60815"/>
    <w:rsid w:val="00D60B68"/>
    <w:rsid w:val="00D60D39"/>
    <w:rsid w:val="00D61226"/>
    <w:rsid w:val="00D61299"/>
    <w:rsid w:val="00D612DF"/>
    <w:rsid w:val="00D614B9"/>
    <w:rsid w:val="00D618F2"/>
    <w:rsid w:val="00D61967"/>
    <w:rsid w:val="00D6201B"/>
    <w:rsid w:val="00D623AA"/>
    <w:rsid w:val="00D62E3F"/>
    <w:rsid w:val="00D6300C"/>
    <w:rsid w:val="00D6312D"/>
    <w:rsid w:val="00D63853"/>
    <w:rsid w:val="00D63944"/>
    <w:rsid w:val="00D63C88"/>
    <w:rsid w:val="00D63FD1"/>
    <w:rsid w:val="00D64304"/>
    <w:rsid w:val="00D6439B"/>
    <w:rsid w:val="00D6445B"/>
    <w:rsid w:val="00D64991"/>
    <w:rsid w:val="00D64ADB"/>
    <w:rsid w:val="00D64AF9"/>
    <w:rsid w:val="00D6505E"/>
    <w:rsid w:val="00D66077"/>
    <w:rsid w:val="00D6613E"/>
    <w:rsid w:val="00D66638"/>
    <w:rsid w:val="00D667CE"/>
    <w:rsid w:val="00D670CB"/>
    <w:rsid w:val="00D67141"/>
    <w:rsid w:val="00D6730A"/>
    <w:rsid w:val="00D673A9"/>
    <w:rsid w:val="00D67683"/>
    <w:rsid w:val="00D676A7"/>
    <w:rsid w:val="00D677AB"/>
    <w:rsid w:val="00D67AF4"/>
    <w:rsid w:val="00D67C97"/>
    <w:rsid w:val="00D67CEA"/>
    <w:rsid w:val="00D67D89"/>
    <w:rsid w:val="00D706E3"/>
    <w:rsid w:val="00D70FA7"/>
    <w:rsid w:val="00D710A8"/>
    <w:rsid w:val="00D71267"/>
    <w:rsid w:val="00D71595"/>
    <w:rsid w:val="00D71B48"/>
    <w:rsid w:val="00D71C24"/>
    <w:rsid w:val="00D7201D"/>
    <w:rsid w:val="00D72089"/>
    <w:rsid w:val="00D725D0"/>
    <w:rsid w:val="00D7296E"/>
    <w:rsid w:val="00D72CCA"/>
    <w:rsid w:val="00D72D6C"/>
    <w:rsid w:val="00D73164"/>
    <w:rsid w:val="00D73412"/>
    <w:rsid w:val="00D742AF"/>
    <w:rsid w:val="00D7439F"/>
    <w:rsid w:val="00D748CC"/>
    <w:rsid w:val="00D74B29"/>
    <w:rsid w:val="00D74B80"/>
    <w:rsid w:val="00D74F2A"/>
    <w:rsid w:val="00D75432"/>
    <w:rsid w:val="00D756BF"/>
    <w:rsid w:val="00D7583F"/>
    <w:rsid w:val="00D75928"/>
    <w:rsid w:val="00D75A8D"/>
    <w:rsid w:val="00D764C5"/>
    <w:rsid w:val="00D765AD"/>
    <w:rsid w:val="00D76DEE"/>
    <w:rsid w:val="00D77275"/>
    <w:rsid w:val="00D772CD"/>
    <w:rsid w:val="00D77F36"/>
    <w:rsid w:val="00D81061"/>
    <w:rsid w:val="00D810E9"/>
    <w:rsid w:val="00D816B3"/>
    <w:rsid w:val="00D8184A"/>
    <w:rsid w:val="00D81AA4"/>
    <w:rsid w:val="00D81C1E"/>
    <w:rsid w:val="00D81D1E"/>
    <w:rsid w:val="00D81EE9"/>
    <w:rsid w:val="00D81F3F"/>
    <w:rsid w:val="00D82282"/>
    <w:rsid w:val="00D828DD"/>
    <w:rsid w:val="00D8305F"/>
    <w:rsid w:val="00D83B48"/>
    <w:rsid w:val="00D83BEC"/>
    <w:rsid w:val="00D83E65"/>
    <w:rsid w:val="00D84869"/>
    <w:rsid w:val="00D84A26"/>
    <w:rsid w:val="00D851D9"/>
    <w:rsid w:val="00D85805"/>
    <w:rsid w:val="00D85827"/>
    <w:rsid w:val="00D862AD"/>
    <w:rsid w:val="00D8632E"/>
    <w:rsid w:val="00D86535"/>
    <w:rsid w:val="00D86979"/>
    <w:rsid w:val="00D869AD"/>
    <w:rsid w:val="00D870CE"/>
    <w:rsid w:val="00D879E9"/>
    <w:rsid w:val="00D87AC9"/>
    <w:rsid w:val="00D87ED7"/>
    <w:rsid w:val="00D901FD"/>
    <w:rsid w:val="00D9036C"/>
    <w:rsid w:val="00D905B1"/>
    <w:rsid w:val="00D90652"/>
    <w:rsid w:val="00D90861"/>
    <w:rsid w:val="00D914E5"/>
    <w:rsid w:val="00D91DAA"/>
    <w:rsid w:val="00D91EAB"/>
    <w:rsid w:val="00D92270"/>
    <w:rsid w:val="00D92708"/>
    <w:rsid w:val="00D92BFF"/>
    <w:rsid w:val="00D92CEE"/>
    <w:rsid w:val="00D92D96"/>
    <w:rsid w:val="00D92DDC"/>
    <w:rsid w:val="00D92E07"/>
    <w:rsid w:val="00D93599"/>
    <w:rsid w:val="00D93CC9"/>
    <w:rsid w:val="00D94060"/>
    <w:rsid w:val="00D94407"/>
    <w:rsid w:val="00D94643"/>
    <w:rsid w:val="00D95C22"/>
    <w:rsid w:val="00D95E11"/>
    <w:rsid w:val="00D95F7F"/>
    <w:rsid w:val="00D96C3A"/>
    <w:rsid w:val="00D96C4E"/>
    <w:rsid w:val="00D96D45"/>
    <w:rsid w:val="00D96F3E"/>
    <w:rsid w:val="00D96F41"/>
    <w:rsid w:val="00D9730E"/>
    <w:rsid w:val="00D97434"/>
    <w:rsid w:val="00D974C9"/>
    <w:rsid w:val="00D976B5"/>
    <w:rsid w:val="00D97C6F"/>
    <w:rsid w:val="00D97C9C"/>
    <w:rsid w:val="00DA00A9"/>
    <w:rsid w:val="00DA03E1"/>
    <w:rsid w:val="00DA0AE8"/>
    <w:rsid w:val="00DA0BFA"/>
    <w:rsid w:val="00DA1144"/>
    <w:rsid w:val="00DA122B"/>
    <w:rsid w:val="00DA17A0"/>
    <w:rsid w:val="00DA1880"/>
    <w:rsid w:val="00DA18B6"/>
    <w:rsid w:val="00DA1BC6"/>
    <w:rsid w:val="00DA1D87"/>
    <w:rsid w:val="00DA1E24"/>
    <w:rsid w:val="00DA1E48"/>
    <w:rsid w:val="00DA22C4"/>
    <w:rsid w:val="00DA239A"/>
    <w:rsid w:val="00DA25A5"/>
    <w:rsid w:val="00DA272F"/>
    <w:rsid w:val="00DA2E56"/>
    <w:rsid w:val="00DA2EEA"/>
    <w:rsid w:val="00DA36AE"/>
    <w:rsid w:val="00DA36C5"/>
    <w:rsid w:val="00DA3940"/>
    <w:rsid w:val="00DA4140"/>
    <w:rsid w:val="00DA42B9"/>
    <w:rsid w:val="00DA4B9F"/>
    <w:rsid w:val="00DA51E7"/>
    <w:rsid w:val="00DA5281"/>
    <w:rsid w:val="00DA544B"/>
    <w:rsid w:val="00DA5562"/>
    <w:rsid w:val="00DA573C"/>
    <w:rsid w:val="00DA5826"/>
    <w:rsid w:val="00DA5C13"/>
    <w:rsid w:val="00DA5F67"/>
    <w:rsid w:val="00DA6180"/>
    <w:rsid w:val="00DA6449"/>
    <w:rsid w:val="00DA6B83"/>
    <w:rsid w:val="00DA6F16"/>
    <w:rsid w:val="00DA70C4"/>
    <w:rsid w:val="00DA7260"/>
    <w:rsid w:val="00DA735C"/>
    <w:rsid w:val="00DA7AE5"/>
    <w:rsid w:val="00DA7F8B"/>
    <w:rsid w:val="00DB08B2"/>
    <w:rsid w:val="00DB112F"/>
    <w:rsid w:val="00DB143C"/>
    <w:rsid w:val="00DB15FB"/>
    <w:rsid w:val="00DB199A"/>
    <w:rsid w:val="00DB1D4E"/>
    <w:rsid w:val="00DB1EB2"/>
    <w:rsid w:val="00DB1FFD"/>
    <w:rsid w:val="00DB2038"/>
    <w:rsid w:val="00DB2374"/>
    <w:rsid w:val="00DB257B"/>
    <w:rsid w:val="00DB2D36"/>
    <w:rsid w:val="00DB3118"/>
    <w:rsid w:val="00DB32B5"/>
    <w:rsid w:val="00DB3346"/>
    <w:rsid w:val="00DB36B0"/>
    <w:rsid w:val="00DB372F"/>
    <w:rsid w:val="00DB3D92"/>
    <w:rsid w:val="00DB3FD0"/>
    <w:rsid w:val="00DB3FE2"/>
    <w:rsid w:val="00DB41F1"/>
    <w:rsid w:val="00DB4246"/>
    <w:rsid w:val="00DB4291"/>
    <w:rsid w:val="00DB445C"/>
    <w:rsid w:val="00DB461B"/>
    <w:rsid w:val="00DB47C8"/>
    <w:rsid w:val="00DB494D"/>
    <w:rsid w:val="00DB4A99"/>
    <w:rsid w:val="00DB4F39"/>
    <w:rsid w:val="00DB5356"/>
    <w:rsid w:val="00DB5389"/>
    <w:rsid w:val="00DB5C0F"/>
    <w:rsid w:val="00DB5D3B"/>
    <w:rsid w:val="00DB62CD"/>
    <w:rsid w:val="00DB6337"/>
    <w:rsid w:val="00DB65A2"/>
    <w:rsid w:val="00DB673A"/>
    <w:rsid w:val="00DB717D"/>
    <w:rsid w:val="00DB72D1"/>
    <w:rsid w:val="00DB7610"/>
    <w:rsid w:val="00DB7CDC"/>
    <w:rsid w:val="00DB7D0F"/>
    <w:rsid w:val="00DB7FB7"/>
    <w:rsid w:val="00DC0A70"/>
    <w:rsid w:val="00DC1581"/>
    <w:rsid w:val="00DC1DF2"/>
    <w:rsid w:val="00DC2376"/>
    <w:rsid w:val="00DC246D"/>
    <w:rsid w:val="00DC2C76"/>
    <w:rsid w:val="00DC2FEA"/>
    <w:rsid w:val="00DC36D5"/>
    <w:rsid w:val="00DC3C2C"/>
    <w:rsid w:val="00DC3EDB"/>
    <w:rsid w:val="00DC4051"/>
    <w:rsid w:val="00DC405F"/>
    <w:rsid w:val="00DC429C"/>
    <w:rsid w:val="00DC42A6"/>
    <w:rsid w:val="00DC4A32"/>
    <w:rsid w:val="00DC4B0B"/>
    <w:rsid w:val="00DC531F"/>
    <w:rsid w:val="00DC535B"/>
    <w:rsid w:val="00DC54F8"/>
    <w:rsid w:val="00DC57AB"/>
    <w:rsid w:val="00DC5A61"/>
    <w:rsid w:val="00DC5C21"/>
    <w:rsid w:val="00DC5FB7"/>
    <w:rsid w:val="00DC61A5"/>
    <w:rsid w:val="00DC694E"/>
    <w:rsid w:val="00DC6C2B"/>
    <w:rsid w:val="00DC6F86"/>
    <w:rsid w:val="00DC7159"/>
    <w:rsid w:val="00DC7849"/>
    <w:rsid w:val="00DD005B"/>
    <w:rsid w:val="00DD0294"/>
    <w:rsid w:val="00DD04CE"/>
    <w:rsid w:val="00DD0C2A"/>
    <w:rsid w:val="00DD0DF4"/>
    <w:rsid w:val="00DD13EF"/>
    <w:rsid w:val="00DD17B2"/>
    <w:rsid w:val="00DD18DB"/>
    <w:rsid w:val="00DD19F9"/>
    <w:rsid w:val="00DD1B39"/>
    <w:rsid w:val="00DD28D2"/>
    <w:rsid w:val="00DD2985"/>
    <w:rsid w:val="00DD2B87"/>
    <w:rsid w:val="00DD2BF2"/>
    <w:rsid w:val="00DD2E76"/>
    <w:rsid w:val="00DD2E88"/>
    <w:rsid w:val="00DD3128"/>
    <w:rsid w:val="00DD3149"/>
    <w:rsid w:val="00DD31A8"/>
    <w:rsid w:val="00DD340E"/>
    <w:rsid w:val="00DD37E9"/>
    <w:rsid w:val="00DD3AE1"/>
    <w:rsid w:val="00DD3B76"/>
    <w:rsid w:val="00DD417C"/>
    <w:rsid w:val="00DD42EA"/>
    <w:rsid w:val="00DD4533"/>
    <w:rsid w:val="00DD4546"/>
    <w:rsid w:val="00DD454F"/>
    <w:rsid w:val="00DD4651"/>
    <w:rsid w:val="00DD4917"/>
    <w:rsid w:val="00DD4DF1"/>
    <w:rsid w:val="00DD4F57"/>
    <w:rsid w:val="00DD5ABD"/>
    <w:rsid w:val="00DD5D3C"/>
    <w:rsid w:val="00DD622F"/>
    <w:rsid w:val="00DD663B"/>
    <w:rsid w:val="00DD67C7"/>
    <w:rsid w:val="00DD6B80"/>
    <w:rsid w:val="00DD6C2F"/>
    <w:rsid w:val="00DD715D"/>
    <w:rsid w:val="00DD7735"/>
    <w:rsid w:val="00DD7855"/>
    <w:rsid w:val="00DE0A06"/>
    <w:rsid w:val="00DE0A83"/>
    <w:rsid w:val="00DE0BB1"/>
    <w:rsid w:val="00DE0F9F"/>
    <w:rsid w:val="00DE16E1"/>
    <w:rsid w:val="00DE17D9"/>
    <w:rsid w:val="00DE279A"/>
    <w:rsid w:val="00DE2970"/>
    <w:rsid w:val="00DE319D"/>
    <w:rsid w:val="00DE3222"/>
    <w:rsid w:val="00DE3558"/>
    <w:rsid w:val="00DE3FAB"/>
    <w:rsid w:val="00DE41DC"/>
    <w:rsid w:val="00DE4839"/>
    <w:rsid w:val="00DE504D"/>
    <w:rsid w:val="00DE50CD"/>
    <w:rsid w:val="00DE525B"/>
    <w:rsid w:val="00DE54B3"/>
    <w:rsid w:val="00DE5BCF"/>
    <w:rsid w:val="00DE635F"/>
    <w:rsid w:val="00DE66B7"/>
    <w:rsid w:val="00DE699A"/>
    <w:rsid w:val="00DE6AEB"/>
    <w:rsid w:val="00DE6B6C"/>
    <w:rsid w:val="00DE70D5"/>
    <w:rsid w:val="00DE7840"/>
    <w:rsid w:val="00DE78E3"/>
    <w:rsid w:val="00DE795B"/>
    <w:rsid w:val="00DE7AD3"/>
    <w:rsid w:val="00DE7DE2"/>
    <w:rsid w:val="00DF0393"/>
    <w:rsid w:val="00DF09C0"/>
    <w:rsid w:val="00DF128B"/>
    <w:rsid w:val="00DF13F6"/>
    <w:rsid w:val="00DF1882"/>
    <w:rsid w:val="00DF1E16"/>
    <w:rsid w:val="00DF1E4F"/>
    <w:rsid w:val="00DF2530"/>
    <w:rsid w:val="00DF2663"/>
    <w:rsid w:val="00DF287A"/>
    <w:rsid w:val="00DF29E3"/>
    <w:rsid w:val="00DF2C2F"/>
    <w:rsid w:val="00DF2D61"/>
    <w:rsid w:val="00DF2EB4"/>
    <w:rsid w:val="00DF30C6"/>
    <w:rsid w:val="00DF3394"/>
    <w:rsid w:val="00DF3786"/>
    <w:rsid w:val="00DF3890"/>
    <w:rsid w:val="00DF41C3"/>
    <w:rsid w:val="00DF4405"/>
    <w:rsid w:val="00DF46BC"/>
    <w:rsid w:val="00DF46D5"/>
    <w:rsid w:val="00DF4FD9"/>
    <w:rsid w:val="00DF504F"/>
    <w:rsid w:val="00DF5DA5"/>
    <w:rsid w:val="00DF663C"/>
    <w:rsid w:val="00DF6855"/>
    <w:rsid w:val="00DF68DC"/>
    <w:rsid w:val="00DF7009"/>
    <w:rsid w:val="00DF73BF"/>
    <w:rsid w:val="00DF74A7"/>
    <w:rsid w:val="00DF7533"/>
    <w:rsid w:val="00DF76EE"/>
    <w:rsid w:val="00DF7D0E"/>
    <w:rsid w:val="00DF7D14"/>
    <w:rsid w:val="00DF7F6D"/>
    <w:rsid w:val="00E00AE3"/>
    <w:rsid w:val="00E00EF3"/>
    <w:rsid w:val="00E01508"/>
    <w:rsid w:val="00E016DC"/>
    <w:rsid w:val="00E017E4"/>
    <w:rsid w:val="00E018F2"/>
    <w:rsid w:val="00E01CA4"/>
    <w:rsid w:val="00E0230C"/>
    <w:rsid w:val="00E028CB"/>
    <w:rsid w:val="00E028E1"/>
    <w:rsid w:val="00E02FB3"/>
    <w:rsid w:val="00E03024"/>
    <w:rsid w:val="00E0326E"/>
    <w:rsid w:val="00E0397A"/>
    <w:rsid w:val="00E03B95"/>
    <w:rsid w:val="00E03D27"/>
    <w:rsid w:val="00E0430A"/>
    <w:rsid w:val="00E04445"/>
    <w:rsid w:val="00E04BE5"/>
    <w:rsid w:val="00E051CA"/>
    <w:rsid w:val="00E0570D"/>
    <w:rsid w:val="00E05791"/>
    <w:rsid w:val="00E05892"/>
    <w:rsid w:val="00E05B64"/>
    <w:rsid w:val="00E05ECC"/>
    <w:rsid w:val="00E060E9"/>
    <w:rsid w:val="00E06522"/>
    <w:rsid w:val="00E066ED"/>
    <w:rsid w:val="00E068C1"/>
    <w:rsid w:val="00E06EFE"/>
    <w:rsid w:val="00E073C8"/>
    <w:rsid w:val="00E0754F"/>
    <w:rsid w:val="00E07677"/>
    <w:rsid w:val="00E07D3B"/>
    <w:rsid w:val="00E07E64"/>
    <w:rsid w:val="00E07EB6"/>
    <w:rsid w:val="00E07EFD"/>
    <w:rsid w:val="00E10017"/>
    <w:rsid w:val="00E10167"/>
    <w:rsid w:val="00E102AB"/>
    <w:rsid w:val="00E104ED"/>
    <w:rsid w:val="00E1063A"/>
    <w:rsid w:val="00E10CBC"/>
    <w:rsid w:val="00E10DCB"/>
    <w:rsid w:val="00E114F6"/>
    <w:rsid w:val="00E11640"/>
    <w:rsid w:val="00E11698"/>
    <w:rsid w:val="00E1184C"/>
    <w:rsid w:val="00E11E87"/>
    <w:rsid w:val="00E1279B"/>
    <w:rsid w:val="00E12955"/>
    <w:rsid w:val="00E12A74"/>
    <w:rsid w:val="00E12E7B"/>
    <w:rsid w:val="00E13023"/>
    <w:rsid w:val="00E1304D"/>
    <w:rsid w:val="00E130DB"/>
    <w:rsid w:val="00E1375F"/>
    <w:rsid w:val="00E13889"/>
    <w:rsid w:val="00E139C1"/>
    <w:rsid w:val="00E13B77"/>
    <w:rsid w:val="00E13BF7"/>
    <w:rsid w:val="00E1410D"/>
    <w:rsid w:val="00E149AA"/>
    <w:rsid w:val="00E14DAD"/>
    <w:rsid w:val="00E15387"/>
    <w:rsid w:val="00E15389"/>
    <w:rsid w:val="00E155C9"/>
    <w:rsid w:val="00E155E5"/>
    <w:rsid w:val="00E160CB"/>
    <w:rsid w:val="00E16B4C"/>
    <w:rsid w:val="00E16C4D"/>
    <w:rsid w:val="00E16F93"/>
    <w:rsid w:val="00E17296"/>
    <w:rsid w:val="00E17A24"/>
    <w:rsid w:val="00E17DEB"/>
    <w:rsid w:val="00E20048"/>
    <w:rsid w:val="00E2015C"/>
    <w:rsid w:val="00E205D1"/>
    <w:rsid w:val="00E20761"/>
    <w:rsid w:val="00E20FE7"/>
    <w:rsid w:val="00E210A1"/>
    <w:rsid w:val="00E21426"/>
    <w:rsid w:val="00E21746"/>
    <w:rsid w:val="00E21C5E"/>
    <w:rsid w:val="00E21CDF"/>
    <w:rsid w:val="00E21FE4"/>
    <w:rsid w:val="00E221BB"/>
    <w:rsid w:val="00E2228F"/>
    <w:rsid w:val="00E22DD9"/>
    <w:rsid w:val="00E22F0B"/>
    <w:rsid w:val="00E22F12"/>
    <w:rsid w:val="00E23D22"/>
    <w:rsid w:val="00E240C4"/>
    <w:rsid w:val="00E24172"/>
    <w:rsid w:val="00E2443C"/>
    <w:rsid w:val="00E2467B"/>
    <w:rsid w:val="00E249AD"/>
    <w:rsid w:val="00E249CC"/>
    <w:rsid w:val="00E24C8D"/>
    <w:rsid w:val="00E24ED6"/>
    <w:rsid w:val="00E25129"/>
    <w:rsid w:val="00E25487"/>
    <w:rsid w:val="00E2554F"/>
    <w:rsid w:val="00E2555E"/>
    <w:rsid w:val="00E25814"/>
    <w:rsid w:val="00E258CC"/>
    <w:rsid w:val="00E25CB5"/>
    <w:rsid w:val="00E262AA"/>
    <w:rsid w:val="00E2649A"/>
    <w:rsid w:val="00E2664F"/>
    <w:rsid w:val="00E269C7"/>
    <w:rsid w:val="00E26AA7"/>
    <w:rsid w:val="00E26E5A"/>
    <w:rsid w:val="00E2749F"/>
    <w:rsid w:val="00E276C3"/>
    <w:rsid w:val="00E27771"/>
    <w:rsid w:val="00E27A20"/>
    <w:rsid w:val="00E27B3B"/>
    <w:rsid w:val="00E306AC"/>
    <w:rsid w:val="00E30DB2"/>
    <w:rsid w:val="00E310A3"/>
    <w:rsid w:val="00E3174D"/>
    <w:rsid w:val="00E3176B"/>
    <w:rsid w:val="00E31F51"/>
    <w:rsid w:val="00E324B3"/>
    <w:rsid w:val="00E334F4"/>
    <w:rsid w:val="00E335E7"/>
    <w:rsid w:val="00E336E3"/>
    <w:rsid w:val="00E33863"/>
    <w:rsid w:val="00E33F00"/>
    <w:rsid w:val="00E348D9"/>
    <w:rsid w:val="00E348E1"/>
    <w:rsid w:val="00E34962"/>
    <w:rsid w:val="00E34E63"/>
    <w:rsid w:val="00E35465"/>
    <w:rsid w:val="00E354C7"/>
    <w:rsid w:val="00E35BDF"/>
    <w:rsid w:val="00E35ED6"/>
    <w:rsid w:val="00E365B7"/>
    <w:rsid w:val="00E3688B"/>
    <w:rsid w:val="00E36A17"/>
    <w:rsid w:val="00E36C9D"/>
    <w:rsid w:val="00E36D33"/>
    <w:rsid w:val="00E36DC4"/>
    <w:rsid w:val="00E36E2D"/>
    <w:rsid w:val="00E373A7"/>
    <w:rsid w:val="00E37426"/>
    <w:rsid w:val="00E40337"/>
    <w:rsid w:val="00E4153C"/>
    <w:rsid w:val="00E41541"/>
    <w:rsid w:val="00E41674"/>
    <w:rsid w:val="00E4173C"/>
    <w:rsid w:val="00E41E87"/>
    <w:rsid w:val="00E42457"/>
    <w:rsid w:val="00E42998"/>
    <w:rsid w:val="00E42CFF"/>
    <w:rsid w:val="00E43166"/>
    <w:rsid w:val="00E431D8"/>
    <w:rsid w:val="00E43805"/>
    <w:rsid w:val="00E43ADC"/>
    <w:rsid w:val="00E43BDC"/>
    <w:rsid w:val="00E44119"/>
    <w:rsid w:val="00E44165"/>
    <w:rsid w:val="00E448D9"/>
    <w:rsid w:val="00E44A25"/>
    <w:rsid w:val="00E450A6"/>
    <w:rsid w:val="00E4532B"/>
    <w:rsid w:val="00E4537A"/>
    <w:rsid w:val="00E457F0"/>
    <w:rsid w:val="00E45A90"/>
    <w:rsid w:val="00E45BCA"/>
    <w:rsid w:val="00E45C6E"/>
    <w:rsid w:val="00E4618F"/>
    <w:rsid w:val="00E46874"/>
    <w:rsid w:val="00E46993"/>
    <w:rsid w:val="00E47141"/>
    <w:rsid w:val="00E4722E"/>
    <w:rsid w:val="00E4729B"/>
    <w:rsid w:val="00E47435"/>
    <w:rsid w:val="00E476F9"/>
    <w:rsid w:val="00E477E6"/>
    <w:rsid w:val="00E47933"/>
    <w:rsid w:val="00E47E2F"/>
    <w:rsid w:val="00E4EE1E"/>
    <w:rsid w:val="00E506D3"/>
    <w:rsid w:val="00E5120E"/>
    <w:rsid w:val="00E51377"/>
    <w:rsid w:val="00E51432"/>
    <w:rsid w:val="00E5197E"/>
    <w:rsid w:val="00E519C3"/>
    <w:rsid w:val="00E51A2D"/>
    <w:rsid w:val="00E51E20"/>
    <w:rsid w:val="00E524C3"/>
    <w:rsid w:val="00E52A9E"/>
    <w:rsid w:val="00E5319E"/>
    <w:rsid w:val="00E53241"/>
    <w:rsid w:val="00E53305"/>
    <w:rsid w:val="00E5365E"/>
    <w:rsid w:val="00E538AC"/>
    <w:rsid w:val="00E53A4F"/>
    <w:rsid w:val="00E53F02"/>
    <w:rsid w:val="00E54F38"/>
    <w:rsid w:val="00E550DD"/>
    <w:rsid w:val="00E55372"/>
    <w:rsid w:val="00E5552E"/>
    <w:rsid w:val="00E557C3"/>
    <w:rsid w:val="00E56A7E"/>
    <w:rsid w:val="00E56F14"/>
    <w:rsid w:val="00E571CE"/>
    <w:rsid w:val="00E575B0"/>
    <w:rsid w:val="00E5760F"/>
    <w:rsid w:val="00E57900"/>
    <w:rsid w:val="00E57924"/>
    <w:rsid w:val="00E57C08"/>
    <w:rsid w:val="00E57F47"/>
    <w:rsid w:val="00E6092F"/>
    <w:rsid w:val="00E60A42"/>
    <w:rsid w:val="00E60C13"/>
    <w:rsid w:val="00E60D88"/>
    <w:rsid w:val="00E60FA1"/>
    <w:rsid w:val="00E6103C"/>
    <w:rsid w:val="00E610D0"/>
    <w:rsid w:val="00E614EB"/>
    <w:rsid w:val="00E6156D"/>
    <w:rsid w:val="00E6168E"/>
    <w:rsid w:val="00E618D9"/>
    <w:rsid w:val="00E622D8"/>
    <w:rsid w:val="00E62498"/>
    <w:rsid w:val="00E62682"/>
    <w:rsid w:val="00E628B6"/>
    <w:rsid w:val="00E62B31"/>
    <w:rsid w:val="00E62B34"/>
    <w:rsid w:val="00E6311D"/>
    <w:rsid w:val="00E637C8"/>
    <w:rsid w:val="00E6384A"/>
    <w:rsid w:val="00E63C61"/>
    <w:rsid w:val="00E63C7C"/>
    <w:rsid w:val="00E642F8"/>
    <w:rsid w:val="00E64627"/>
    <w:rsid w:val="00E64904"/>
    <w:rsid w:val="00E64998"/>
    <w:rsid w:val="00E64FE8"/>
    <w:rsid w:val="00E6527F"/>
    <w:rsid w:val="00E655D4"/>
    <w:rsid w:val="00E657DC"/>
    <w:rsid w:val="00E657F3"/>
    <w:rsid w:val="00E65A95"/>
    <w:rsid w:val="00E65FA8"/>
    <w:rsid w:val="00E66253"/>
    <w:rsid w:val="00E669B0"/>
    <w:rsid w:val="00E669BE"/>
    <w:rsid w:val="00E673A9"/>
    <w:rsid w:val="00E678D3"/>
    <w:rsid w:val="00E67951"/>
    <w:rsid w:val="00E67BBF"/>
    <w:rsid w:val="00E67E44"/>
    <w:rsid w:val="00E70482"/>
    <w:rsid w:val="00E7051F"/>
    <w:rsid w:val="00E70820"/>
    <w:rsid w:val="00E70FA4"/>
    <w:rsid w:val="00E71990"/>
    <w:rsid w:val="00E71B13"/>
    <w:rsid w:val="00E721D8"/>
    <w:rsid w:val="00E72945"/>
    <w:rsid w:val="00E729AE"/>
    <w:rsid w:val="00E731C2"/>
    <w:rsid w:val="00E7391F"/>
    <w:rsid w:val="00E73AC3"/>
    <w:rsid w:val="00E73B50"/>
    <w:rsid w:val="00E74A93"/>
    <w:rsid w:val="00E74FFF"/>
    <w:rsid w:val="00E75191"/>
    <w:rsid w:val="00E7521B"/>
    <w:rsid w:val="00E75576"/>
    <w:rsid w:val="00E757D0"/>
    <w:rsid w:val="00E7583C"/>
    <w:rsid w:val="00E75A89"/>
    <w:rsid w:val="00E75C93"/>
    <w:rsid w:val="00E75F29"/>
    <w:rsid w:val="00E75F35"/>
    <w:rsid w:val="00E76175"/>
    <w:rsid w:val="00E7693F"/>
    <w:rsid w:val="00E76D1D"/>
    <w:rsid w:val="00E76F44"/>
    <w:rsid w:val="00E773CB"/>
    <w:rsid w:val="00E777FA"/>
    <w:rsid w:val="00E77AAC"/>
    <w:rsid w:val="00E77D84"/>
    <w:rsid w:val="00E77EF2"/>
    <w:rsid w:val="00E80131"/>
    <w:rsid w:val="00E8016D"/>
    <w:rsid w:val="00E8056E"/>
    <w:rsid w:val="00E80617"/>
    <w:rsid w:val="00E80664"/>
    <w:rsid w:val="00E8182C"/>
    <w:rsid w:val="00E820DB"/>
    <w:rsid w:val="00E82351"/>
    <w:rsid w:val="00E82CB5"/>
    <w:rsid w:val="00E83033"/>
    <w:rsid w:val="00E839D9"/>
    <w:rsid w:val="00E83CB2"/>
    <w:rsid w:val="00E83FD6"/>
    <w:rsid w:val="00E84480"/>
    <w:rsid w:val="00E846C2"/>
    <w:rsid w:val="00E84D8B"/>
    <w:rsid w:val="00E84DAB"/>
    <w:rsid w:val="00E84F31"/>
    <w:rsid w:val="00E8521D"/>
    <w:rsid w:val="00E85A0B"/>
    <w:rsid w:val="00E85EFD"/>
    <w:rsid w:val="00E864EC"/>
    <w:rsid w:val="00E86A02"/>
    <w:rsid w:val="00E86C3C"/>
    <w:rsid w:val="00E86C6D"/>
    <w:rsid w:val="00E877FB"/>
    <w:rsid w:val="00E87A59"/>
    <w:rsid w:val="00E90393"/>
    <w:rsid w:val="00E9137B"/>
    <w:rsid w:val="00E917CA"/>
    <w:rsid w:val="00E91885"/>
    <w:rsid w:val="00E91FA6"/>
    <w:rsid w:val="00E921A7"/>
    <w:rsid w:val="00E92274"/>
    <w:rsid w:val="00E9261C"/>
    <w:rsid w:val="00E926E8"/>
    <w:rsid w:val="00E928D8"/>
    <w:rsid w:val="00E92C68"/>
    <w:rsid w:val="00E9300D"/>
    <w:rsid w:val="00E93B63"/>
    <w:rsid w:val="00E93FD6"/>
    <w:rsid w:val="00E9400B"/>
    <w:rsid w:val="00E94E51"/>
    <w:rsid w:val="00E94F0D"/>
    <w:rsid w:val="00E95610"/>
    <w:rsid w:val="00E96A52"/>
    <w:rsid w:val="00E96E6D"/>
    <w:rsid w:val="00E978F8"/>
    <w:rsid w:val="00E97C1B"/>
    <w:rsid w:val="00E97F38"/>
    <w:rsid w:val="00EA0363"/>
    <w:rsid w:val="00EA03B0"/>
    <w:rsid w:val="00EA0C98"/>
    <w:rsid w:val="00EA0CEA"/>
    <w:rsid w:val="00EA0CF4"/>
    <w:rsid w:val="00EA0F72"/>
    <w:rsid w:val="00EA1531"/>
    <w:rsid w:val="00EA1769"/>
    <w:rsid w:val="00EA17C6"/>
    <w:rsid w:val="00EA18F9"/>
    <w:rsid w:val="00EA1B09"/>
    <w:rsid w:val="00EA1C50"/>
    <w:rsid w:val="00EA1F9D"/>
    <w:rsid w:val="00EA2AE5"/>
    <w:rsid w:val="00EA2E7A"/>
    <w:rsid w:val="00EA2EDF"/>
    <w:rsid w:val="00EA3800"/>
    <w:rsid w:val="00EA38BF"/>
    <w:rsid w:val="00EA3BBE"/>
    <w:rsid w:val="00EA41D3"/>
    <w:rsid w:val="00EA4607"/>
    <w:rsid w:val="00EA4889"/>
    <w:rsid w:val="00EA4BEB"/>
    <w:rsid w:val="00EA4D7F"/>
    <w:rsid w:val="00EA53FA"/>
    <w:rsid w:val="00EA598B"/>
    <w:rsid w:val="00EA5E40"/>
    <w:rsid w:val="00EA6110"/>
    <w:rsid w:val="00EA6204"/>
    <w:rsid w:val="00EA6300"/>
    <w:rsid w:val="00EA6301"/>
    <w:rsid w:val="00EA6540"/>
    <w:rsid w:val="00EA6816"/>
    <w:rsid w:val="00EA6B1A"/>
    <w:rsid w:val="00EA6BC7"/>
    <w:rsid w:val="00EA720B"/>
    <w:rsid w:val="00EA726D"/>
    <w:rsid w:val="00EA7986"/>
    <w:rsid w:val="00EA7C58"/>
    <w:rsid w:val="00EA7E78"/>
    <w:rsid w:val="00EB0734"/>
    <w:rsid w:val="00EB0F15"/>
    <w:rsid w:val="00EB0F5B"/>
    <w:rsid w:val="00EB1019"/>
    <w:rsid w:val="00EB11BE"/>
    <w:rsid w:val="00EB1623"/>
    <w:rsid w:val="00EB1FC9"/>
    <w:rsid w:val="00EB20E4"/>
    <w:rsid w:val="00EB21EA"/>
    <w:rsid w:val="00EB26CD"/>
    <w:rsid w:val="00EB2C63"/>
    <w:rsid w:val="00EB32CB"/>
    <w:rsid w:val="00EB3409"/>
    <w:rsid w:val="00EB36A5"/>
    <w:rsid w:val="00EB36AD"/>
    <w:rsid w:val="00EB3C88"/>
    <w:rsid w:val="00EB3E32"/>
    <w:rsid w:val="00EB4208"/>
    <w:rsid w:val="00EB4FAB"/>
    <w:rsid w:val="00EB5895"/>
    <w:rsid w:val="00EB58A6"/>
    <w:rsid w:val="00EB5DC3"/>
    <w:rsid w:val="00EB6525"/>
    <w:rsid w:val="00EB66E2"/>
    <w:rsid w:val="00EB66E4"/>
    <w:rsid w:val="00EB68CF"/>
    <w:rsid w:val="00EB6904"/>
    <w:rsid w:val="00EB6DAA"/>
    <w:rsid w:val="00EB6DE2"/>
    <w:rsid w:val="00EB6E2B"/>
    <w:rsid w:val="00EB74E5"/>
    <w:rsid w:val="00EB78ED"/>
    <w:rsid w:val="00EB7CCE"/>
    <w:rsid w:val="00EB7FF0"/>
    <w:rsid w:val="00EC0308"/>
    <w:rsid w:val="00EC0443"/>
    <w:rsid w:val="00EC0493"/>
    <w:rsid w:val="00EC0718"/>
    <w:rsid w:val="00EC0C54"/>
    <w:rsid w:val="00EC0CD7"/>
    <w:rsid w:val="00EC0E75"/>
    <w:rsid w:val="00EC11CC"/>
    <w:rsid w:val="00EC1756"/>
    <w:rsid w:val="00EC191A"/>
    <w:rsid w:val="00EC1A38"/>
    <w:rsid w:val="00EC1E22"/>
    <w:rsid w:val="00EC1E5D"/>
    <w:rsid w:val="00EC2652"/>
    <w:rsid w:val="00EC276E"/>
    <w:rsid w:val="00EC2AE0"/>
    <w:rsid w:val="00EC2BD8"/>
    <w:rsid w:val="00EC2BFB"/>
    <w:rsid w:val="00EC2D8A"/>
    <w:rsid w:val="00EC2F9E"/>
    <w:rsid w:val="00EC30A5"/>
    <w:rsid w:val="00EC3AAC"/>
    <w:rsid w:val="00EC3C36"/>
    <w:rsid w:val="00EC3E88"/>
    <w:rsid w:val="00EC4061"/>
    <w:rsid w:val="00EC4773"/>
    <w:rsid w:val="00EC47BC"/>
    <w:rsid w:val="00EC4A71"/>
    <w:rsid w:val="00EC4D82"/>
    <w:rsid w:val="00EC4F0B"/>
    <w:rsid w:val="00EC554D"/>
    <w:rsid w:val="00EC60C1"/>
    <w:rsid w:val="00EC6310"/>
    <w:rsid w:val="00EC6738"/>
    <w:rsid w:val="00EC6EB6"/>
    <w:rsid w:val="00EC7033"/>
    <w:rsid w:val="00EC719C"/>
    <w:rsid w:val="00EC75C7"/>
    <w:rsid w:val="00EC75FC"/>
    <w:rsid w:val="00EC79A8"/>
    <w:rsid w:val="00EC7BD4"/>
    <w:rsid w:val="00EC7F0E"/>
    <w:rsid w:val="00ED0528"/>
    <w:rsid w:val="00ED0BF9"/>
    <w:rsid w:val="00ED0C10"/>
    <w:rsid w:val="00ED100A"/>
    <w:rsid w:val="00ED10C8"/>
    <w:rsid w:val="00ED162F"/>
    <w:rsid w:val="00ED1701"/>
    <w:rsid w:val="00ED1AD3"/>
    <w:rsid w:val="00ED2172"/>
    <w:rsid w:val="00ED2E09"/>
    <w:rsid w:val="00ED32C3"/>
    <w:rsid w:val="00ED339B"/>
    <w:rsid w:val="00ED3410"/>
    <w:rsid w:val="00ED3D18"/>
    <w:rsid w:val="00ED3DBD"/>
    <w:rsid w:val="00ED4003"/>
    <w:rsid w:val="00ED43BE"/>
    <w:rsid w:val="00ED43D7"/>
    <w:rsid w:val="00ED45DA"/>
    <w:rsid w:val="00ED48E9"/>
    <w:rsid w:val="00ED49A3"/>
    <w:rsid w:val="00ED4C65"/>
    <w:rsid w:val="00ED52C9"/>
    <w:rsid w:val="00ED58F7"/>
    <w:rsid w:val="00ED5A8A"/>
    <w:rsid w:val="00ED5E24"/>
    <w:rsid w:val="00ED634A"/>
    <w:rsid w:val="00ED6352"/>
    <w:rsid w:val="00ED64AA"/>
    <w:rsid w:val="00ED65F9"/>
    <w:rsid w:val="00ED694F"/>
    <w:rsid w:val="00ED6DF5"/>
    <w:rsid w:val="00ED6E88"/>
    <w:rsid w:val="00ED7292"/>
    <w:rsid w:val="00ED7498"/>
    <w:rsid w:val="00ED7858"/>
    <w:rsid w:val="00ED7977"/>
    <w:rsid w:val="00ED79EA"/>
    <w:rsid w:val="00ED7CB0"/>
    <w:rsid w:val="00ED7F4E"/>
    <w:rsid w:val="00EE05F4"/>
    <w:rsid w:val="00EE07D8"/>
    <w:rsid w:val="00EE0D9F"/>
    <w:rsid w:val="00EE12E0"/>
    <w:rsid w:val="00EE1407"/>
    <w:rsid w:val="00EE1544"/>
    <w:rsid w:val="00EE17A3"/>
    <w:rsid w:val="00EE1F99"/>
    <w:rsid w:val="00EE2281"/>
    <w:rsid w:val="00EE288A"/>
    <w:rsid w:val="00EE2FEC"/>
    <w:rsid w:val="00EE3874"/>
    <w:rsid w:val="00EE395E"/>
    <w:rsid w:val="00EE3A79"/>
    <w:rsid w:val="00EE3E9B"/>
    <w:rsid w:val="00EE42FE"/>
    <w:rsid w:val="00EE471D"/>
    <w:rsid w:val="00EE497A"/>
    <w:rsid w:val="00EE52F6"/>
    <w:rsid w:val="00EE5B2D"/>
    <w:rsid w:val="00EE5E98"/>
    <w:rsid w:val="00EE5FA2"/>
    <w:rsid w:val="00EE61F9"/>
    <w:rsid w:val="00EE6242"/>
    <w:rsid w:val="00EE6564"/>
    <w:rsid w:val="00EE6784"/>
    <w:rsid w:val="00EE6A4A"/>
    <w:rsid w:val="00EE6BA3"/>
    <w:rsid w:val="00EE6CD0"/>
    <w:rsid w:val="00EE6F6E"/>
    <w:rsid w:val="00EE7532"/>
    <w:rsid w:val="00EE75C3"/>
    <w:rsid w:val="00EE796A"/>
    <w:rsid w:val="00EE79EC"/>
    <w:rsid w:val="00EE7B8C"/>
    <w:rsid w:val="00EE7F2B"/>
    <w:rsid w:val="00EF0845"/>
    <w:rsid w:val="00EF0903"/>
    <w:rsid w:val="00EF099A"/>
    <w:rsid w:val="00EF10AA"/>
    <w:rsid w:val="00EF1466"/>
    <w:rsid w:val="00EF14EA"/>
    <w:rsid w:val="00EF1AA4"/>
    <w:rsid w:val="00EF1DAF"/>
    <w:rsid w:val="00EF20CC"/>
    <w:rsid w:val="00EF2271"/>
    <w:rsid w:val="00EF2767"/>
    <w:rsid w:val="00EF2901"/>
    <w:rsid w:val="00EF2F40"/>
    <w:rsid w:val="00EF3B6F"/>
    <w:rsid w:val="00EF3E8A"/>
    <w:rsid w:val="00EF40BE"/>
    <w:rsid w:val="00EF4109"/>
    <w:rsid w:val="00EF41EA"/>
    <w:rsid w:val="00EF41EB"/>
    <w:rsid w:val="00EF43D8"/>
    <w:rsid w:val="00EF45FE"/>
    <w:rsid w:val="00EF54E1"/>
    <w:rsid w:val="00EF5629"/>
    <w:rsid w:val="00EF59C4"/>
    <w:rsid w:val="00EF6E6C"/>
    <w:rsid w:val="00EF77DF"/>
    <w:rsid w:val="00EF7965"/>
    <w:rsid w:val="00F004EE"/>
    <w:rsid w:val="00F00C72"/>
    <w:rsid w:val="00F012CA"/>
    <w:rsid w:val="00F01EAC"/>
    <w:rsid w:val="00F01F85"/>
    <w:rsid w:val="00F021E4"/>
    <w:rsid w:val="00F02654"/>
    <w:rsid w:val="00F02751"/>
    <w:rsid w:val="00F027BD"/>
    <w:rsid w:val="00F03428"/>
    <w:rsid w:val="00F03477"/>
    <w:rsid w:val="00F035D0"/>
    <w:rsid w:val="00F03B43"/>
    <w:rsid w:val="00F03B4E"/>
    <w:rsid w:val="00F03D99"/>
    <w:rsid w:val="00F03E98"/>
    <w:rsid w:val="00F0487B"/>
    <w:rsid w:val="00F04C62"/>
    <w:rsid w:val="00F04EC7"/>
    <w:rsid w:val="00F05097"/>
    <w:rsid w:val="00F05358"/>
    <w:rsid w:val="00F05D82"/>
    <w:rsid w:val="00F060A4"/>
    <w:rsid w:val="00F06169"/>
    <w:rsid w:val="00F06464"/>
    <w:rsid w:val="00F064F8"/>
    <w:rsid w:val="00F066E7"/>
    <w:rsid w:val="00F0682D"/>
    <w:rsid w:val="00F06A78"/>
    <w:rsid w:val="00F06B0E"/>
    <w:rsid w:val="00F07005"/>
    <w:rsid w:val="00F070BE"/>
    <w:rsid w:val="00F07438"/>
    <w:rsid w:val="00F07546"/>
    <w:rsid w:val="00F0772C"/>
    <w:rsid w:val="00F07E40"/>
    <w:rsid w:val="00F1020D"/>
    <w:rsid w:val="00F1049A"/>
    <w:rsid w:val="00F10F17"/>
    <w:rsid w:val="00F11116"/>
    <w:rsid w:val="00F112C1"/>
    <w:rsid w:val="00F114CC"/>
    <w:rsid w:val="00F11566"/>
    <w:rsid w:val="00F1167E"/>
    <w:rsid w:val="00F11DA4"/>
    <w:rsid w:val="00F11FB0"/>
    <w:rsid w:val="00F1239A"/>
    <w:rsid w:val="00F124DF"/>
    <w:rsid w:val="00F124F8"/>
    <w:rsid w:val="00F13245"/>
    <w:rsid w:val="00F13680"/>
    <w:rsid w:val="00F136DA"/>
    <w:rsid w:val="00F13A20"/>
    <w:rsid w:val="00F13BAF"/>
    <w:rsid w:val="00F13C0F"/>
    <w:rsid w:val="00F13D2F"/>
    <w:rsid w:val="00F14147"/>
    <w:rsid w:val="00F14190"/>
    <w:rsid w:val="00F14467"/>
    <w:rsid w:val="00F14485"/>
    <w:rsid w:val="00F146A5"/>
    <w:rsid w:val="00F146F5"/>
    <w:rsid w:val="00F153BA"/>
    <w:rsid w:val="00F154A5"/>
    <w:rsid w:val="00F15523"/>
    <w:rsid w:val="00F15636"/>
    <w:rsid w:val="00F159DA"/>
    <w:rsid w:val="00F15B3A"/>
    <w:rsid w:val="00F15DF7"/>
    <w:rsid w:val="00F1630B"/>
    <w:rsid w:val="00F1652B"/>
    <w:rsid w:val="00F1663D"/>
    <w:rsid w:val="00F167C4"/>
    <w:rsid w:val="00F169AE"/>
    <w:rsid w:val="00F20172"/>
    <w:rsid w:val="00F202E8"/>
    <w:rsid w:val="00F20336"/>
    <w:rsid w:val="00F2076E"/>
    <w:rsid w:val="00F20D2C"/>
    <w:rsid w:val="00F21029"/>
    <w:rsid w:val="00F211CA"/>
    <w:rsid w:val="00F21201"/>
    <w:rsid w:val="00F21E81"/>
    <w:rsid w:val="00F224DE"/>
    <w:rsid w:val="00F225B7"/>
    <w:rsid w:val="00F22730"/>
    <w:rsid w:val="00F228AE"/>
    <w:rsid w:val="00F228B3"/>
    <w:rsid w:val="00F22AD4"/>
    <w:rsid w:val="00F22CEF"/>
    <w:rsid w:val="00F22DAA"/>
    <w:rsid w:val="00F23544"/>
    <w:rsid w:val="00F23612"/>
    <w:rsid w:val="00F2370C"/>
    <w:rsid w:val="00F23A1B"/>
    <w:rsid w:val="00F244AC"/>
    <w:rsid w:val="00F248D4"/>
    <w:rsid w:val="00F25112"/>
    <w:rsid w:val="00F258EC"/>
    <w:rsid w:val="00F25C0F"/>
    <w:rsid w:val="00F26817"/>
    <w:rsid w:val="00F269EB"/>
    <w:rsid w:val="00F26E22"/>
    <w:rsid w:val="00F26FA4"/>
    <w:rsid w:val="00F271FF"/>
    <w:rsid w:val="00F273D7"/>
    <w:rsid w:val="00F27E14"/>
    <w:rsid w:val="00F27F9E"/>
    <w:rsid w:val="00F30025"/>
    <w:rsid w:val="00F30342"/>
    <w:rsid w:val="00F306DF"/>
    <w:rsid w:val="00F30A00"/>
    <w:rsid w:val="00F30A28"/>
    <w:rsid w:val="00F30BA4"/>
    <w:rsid w:val="00F30CC4"/>
    <w:rsid w:val="00F30FB9"/>
    <w:rsid w:val="00F31210"/>
    <w:rsid w:val="00F315A7"/>
    <w:rsid w:val="00F315D9"/>
    <w:rsid w:val="00F317D9"/>
    <w:rsid w:val="00F31883"/>
    <w:rsid w:val="00F3223D"/>
    <w:rsid w:val="00F32563"/>
    <w:rsid w:val="00F32719"/>
    <w:rsid w:val="00F327AB"/>
    <w:rsid w:val="00F32903"/>
    <w:rsid w:val="00F32CE0"/>
    <w:rsid w:val="00F32EBC"/>
    <w:rsid w:val="00F33187"/>
    <w:rsid w:val="00F33536"/>
    <w:rsid w:val="00F33842"/>
    <w:rsid w:val="00F3390A"/>
    <w:rsid w:val="00F33D7A"/>
    <w:rsid w:val="00F3408A"/>
    <w:rsid w:val="00F343B7"/>
    <w:rsid w:val="00F34448"/>
    <w:rsid w:val="00F34E81"/>
    <w:rsid w:val="00F350D7"/>
    <w:rsid w:val="00F352F6"/>
    <w:rsid w:val="00F3578A"/>
    <w:rsid w:val="00F35EED"/>
    <w:rsid w:val="00F361A9"/>
    <w:rsid w:val="00F368EA"/>
    <w:rsid w:val="00F36DE9"/>
    <w:rsid w:val="00F36F6B"/>
    <w:rsid w:val="00F36FB5"/>
    <w:rsid w:val="00F37152"/>
    <w:rsid w:val="00F37358"/>
    <w:rsid w:val="00F37451"/>
    <w:rsid w:val="00F37583"/>
    <w:rsid w:val="00F37BDB"/>
    <w:rsid w:val="00F37C1E"/>
    <w:rsid w:val="00F40386"/>
    <w:rsid w:val="00F40797"/>
    <w:rsid w:val="00F4088A"/>
    <w:rsid w:val="00F41610"/>
    <w:rsid w:val="00F41B23"/>
    <w:rsid w:val="00F41FF5"/>
    <w:rsid w:val="00F42063"/>
    <w:rsid w:val="00F421C7"/>
    <w:rsid w:val="00F4242C"/>
    <w:rsid w:val="00F424B0"/>
    <w:rsid w:val="00F4298A"/>
    <w:rsid w:val="00F42B08"/>
    <w:rsid w:val="00F42EF4"/>
    <w:rsid w:val="00F43115"/>
    <w:rsid w:val="00F4324F"/>
    <w:rsid w:val="00F436B1"/>
    <w:rsid w:val="00F437B7"/>
    <w:rsid w:val="00F43F15"/>
    <w:rsid w:val="00F44652"/>
    <w:rsid w:val="00F44693"/>
    <w:rsid w:val="00F44E01"/>
    <w:rsid w:val="00F44F18"/>
    <w:rsid w:val="00F464C1"/>
    <w:rsid w:val="00F46CA0"/>
    <w:rsid w:val="00F46E61"/>
    <w:rsid w:val="00F46F46"/>
    <w:rsid w:val="00F47BBD"/>
    <w:rsid w:val="00F47CC9"/>
    <w:rsid w:val="00F47D3D"/>
    <w:rsid w:val="00F503C7"/>
    <w:rsid w:val="00F50A75"/>
    <w:rsid w:val="00F50C64"/>
    <w:rsid w:val="00F50CB6"/>
    <w:rsid w:val="00F51027"/>
    <w:rsid w:val="00F512AF"/>
    <w:rsid w:val="00F51419"/>
    <w:rsid w:val="00F51B76"/>
    <w:rsid w:val="00F51D9B"/>
    <w:rsid w:val="00F52454"/>
    <w:rsid w:val="00F52968"/>
    <w:rsid w:val="00F52E4C"/>
    <w:rsid w:val="00F533C5"/>
    <w:rsid w:val="00F538BF"/>
    <w:rsid w:val="00F542AD"/>
    <w:rsid w:val="00F547D3"/>
    <w:rsid w:val="00F5488D"/>
    <w:rsid w:val="00F5493D"/>
    <w:rsid w:val="00F549EC"/>
    <w:rsid w:val="00F54D61"/>
    <w:rsid w:val="00F55505"/>
    <w:rsid w:val="00F5582C"/>
    <w:rsid w:val="00F55E59"/>
    <w:rsid w:val="00F55EEE"/>
    <w:rsid w:val="00F55F24"/>
    <w:rsid w:val="00F55FED"/>
    <w:rsid w:val="00F56D65"/>
    <w:rsid w:val="00F56E32"/>
    <w:rsid w:val="00F57086"/>
    <w:rsid w:val="00F5725C"/>
    <w:rsid w:val="00F576D0"/>
    <w:rsid w:val="00F57AD2"/>
    <w:rsid w:val="00F60127"/>
    <w:rsid w:val="00F603C2"/>
    <w:rsid w:val="00F6064B"/>
    <w:rsid w:val="00F60832"/>
    <w:rsid w:val="00F6094C"/>
    <w:rsid w:val="00F610B9"/>
    <w:rsid w:val="00F612BD"/>
    <w:rsid w:val="00F6151B"/>
    <w:rsid w:val="00F61FA5"/>
    <w:rsid w:val="00F6217C"/>
    <w:rsid w:val="00F6246E"/>
    <w:rsid w:val="00F6258D"/>
    <w:rsid w:val="00F62985"/>
    <w:rsid w:val="00F62A5D"/>
    <w:rsid w:val="00F62EEE"/>
    <w:rsid w:val="00F635C2"/>
    <w:rsid w:val="00F6373E"/>
    <w:rsid w:val="00F63B28"/>
    <w:rsid w:val="00F63EA6"/>
    <w:rsid w:val="00F648BB"/>
    <w:rsid w:val="00F64E53"/>
    <w:rsid w:val="00F6560D"/>
    <w:rsid w:val="00F65D0F"/>
    <w:rsid w:val="00F66CC6"/>
    <w:rsid w:val="00F66DEB"/>
    <w:rsid w:val="00F66DF2"/>
    <w:rsid w:val="00F67051"/>
    <w:rsid w:val="00F67272"/>
    <w:rsid w:val="00F6736F"/>
    <w:rsid w:val="00F70549"/>
    <w:rsid w:val="00F706AF"/>
    <w:rsid w:val="00F70812"/>
    <w:rsid w:val="00F7081D"/>
    <w:rsid w:val="00F70D33"/>
    <w:rsid w:val="00F71089"/>
    <w:rsid w:val="00F71476"/>
    <w:rsid w:val="00F714C6"/>
    <w:rsid w:val="00F7180A"/>
    <w:rsid w:val="00F71AFA"/>
    <w:rsid w:val="00F71B03"/>
    <w:rsid w:val="00F7243E"/>
    <w:rsid w:val="00F72627"/>
    <w:rsid w:val="00F72F69"/>
    <w:rsid w:val="00F735D2"/>
    <w:rsid w:val="00F736BB"/>
    <w:rsid w:val="00F74084"/>
    <w:rsid w:val="00F744FB"/>
    <w:rsid w:val="00F74750"/>
    <w:rsid w:val="00F74902"/>
    <w:rsid w:val="00F74C3E"/>
    <w:rsid w:val="00F74D58"/>
    <w:rsid w:val="00F75426"/>
    <w:rsid w:val="00F75472"/>
    <w:rsid w:val="00F7569F"/>
    <w:rsid w:val="00F75781"/>
    <w:rsid w:val="00F75DE5"/>
    <w:rsid w:val="00F75E1B"/>
    <w:rsid w:val="00F75E53"/>
    <w:rsid w:val="00F75FFF"/>
    <w:rsid w:val="00F76739"/>
    <w:rsid w:val="00F768BF"/>
    <w:rsid w:val="00F76F8E"/>
    <w:rsid w:val="00F7706A"/>
    <w:rsid w:val="00F771F5"/>
    <w:rsid w:val="00F77218"/>
    <w:rsid w:val="00F77582"/>
    <w:rsid w:val="00F77792"/>
    <w:rsid w:val="00F77937"/>
    <w:rsid w:val="00F77A79"/>
    <w:rsid w:val="00F77EFD"/>
    <w:rsid w:val="00F77FA2"/>
    <w:rsid w:val="00F804F8"/>
    <w:rsid w:val="00F80852"/>
    <w:rsid w:val="00F81169"/>
    <w:rsid w:val="00F81435"/>
    <w:rsid w:val="00F816AE"/>
    <w:rsid w:val="00F82075"/>
    <w:rsid w:val="00F82346"/>
    <w:rsid w:val="00F8240B"/>
    <w:rsid w:val="00F82439"/>
    <w:rsid w:val="00F8252E"/>
    <w:rsid w:val="00F82A60"/>
    <w:rsid w:val="00F82F94"/>
    <w:rsid w:val="00F83270"/>
    <w:rsid w:val="00F83530"/>
    <w:rsid w:val="00F836CC"/>
    <w:rsid w:val="00F83AE8"/>
    <w:rsid w:val="00F83BC3"/>
    <w:rsid w:val="00F84449"/>
    <w:rsid w:val="00F84E8A"/>
    <w:rsid w:val="00F85072"/>
    <w:rsid w:val="00F8516A"/>
    <w:rsid w:val="00F855D6"/>
    <w:rsid w:val="00F8596D"/>
    <w:rsid w:val="00F85C97"/>
    <w:rsid w:val="00F86171"/>
    <w:rsid w:val="00F861F6"/>
    <w:rsid w:val="00F8622C"/>
    <w:rsid w:val="00F8639C"/>
    <w:rsid w:val="00F8662F"/>
    <w:rsid w:val="00F866A0"/>
    <w:rsid w:val="00F866C9"/>
    <w:rsid w:val="00F86B1D"/>
    <w:rsid w:val="00F86FEC"/>
    <w:rsid w:val="00F87088"/>
    <w:rsid w:val="00F8711A"/>
    <w:rsid w:val="00F87234"/>
    <w:rsid w:val="00F8738F"/>
    <w:rsid w:val="00F875BD"/>
    <w:rsid w:val="00F87823"/>
    <w:rsid w:val="00F87A6B"/>
    <w:rsid w:val="00F87ACF"/>
    <w:rsid w:val="00F90120"/>
    <w:rsid w:val="00F9030D"/>
    <w:rsid w:val="00F90388"/>
    <w:rsid w:val="00F90445"/>
    <w:rsid w:val="00F9085D"/>
    <w:rsid w:val="00F90BBF"/>
    <w:rsid w:val="00F914DF"/>
    <w:rsid w:val="00F91C41"/>
    <w:rsid w:val="00F923FF"/>
    <w:rsid w:val="00F927C0"/>
    <w:rsid w:val="00F935E2"/>
    <w:rsid w:val="00F93A87"/>
    <w:rsid w:val="00F93C1E"/>
    <w:rsid w:val="00F93FCD"/>
    <w:rsid w:val="00F9400A"/>
    <w:rsid w:val="00F948D3"/>
    <w:rsid w:val="00F94CB8"/>
    <w:rsid w:val="00F951BF"/>
    <w:rsid w:val="00F959F5"/>
    <w:rsid w:val="00F95FF5"/>
    <w:rsid w:val="00F960A4"/>
    <w:rsid w:val="00F961C2"/>
    <w:rsid w:val="00F9652C"/>
    <w:rsid w:val="00F96A2D"/>
    <w:rsid w:val="00F96F09"/>
    <w:rsid w:val="00F970C7"/>
    <w:rsid w:val="00F970EA"/>
    <w:rsid w:val="00F9721B"/>
    <w:rsid w:val="00F97A04"/>
    <w:rsid w:val="00FA0752"/>
    <w:rsid w:val="00FA0A00"/>
    <w:rsid w:val="00FA0CF7"/>
    <w:rsid w:val="00FA0D2E"/>
    <w:rsid w:val="00FA125F"/>
    <w:rsid w:val="00FA177B"/>
    <w:rsid w:val="00FA181A"/>
    <w:rsid w:val="00FA1C58"/>
    <w:rsid w:val="00FA1F7D"/>
    <w:rsid w:val="00FA251C"/>
    <w:rsid w:val="00FA2654"/>
    <w:rsid w:val="00FA26FE"/>
    <w:rsid w:val="00FA2B8E"/>
    <w:rsid w:val="00FA2C93"/>
    <w:rsid w:val="00FA2EBC"/>
    <w:rsid w:val="00FA31F6"/>
    <w:rsid w:val="00FA346C"/>
    <w:rsid w:val="00FA3DDC"/>
    <w:rsid w:val="00FA3FEA"/>
    <w:rsid w:val="00FA4107"/>
    <w:rsid w:val="00FA4330"/>
    <w:rsid w:val="00FA4527"/>
    <w:rsid w:val="00FA4879"/>
    <w:rsid w:val="00FA4928"/>
    <w:rsid w:val="00FA4CE9"/>
    <w:rsid w:val="00FA5126"/>
    <w:rsid w:val="00FA539E"/>
    <w:rsid w:val="00FA630E"/>
    <w:rsid w:val="00FA6529"/>
    <w:rsid w:val="00FA675C"/>
    <w:rsid w:val="00FA6952"/>
    <w:rsid w:val="00FA6AC7"/>
    <w:rsid w:val="00FA6C75"/>
    <w:rsid w:val="00FA739B"/>
    <w:rsid w:val="00FA7787"/>
    <w:rsid w:val="00FA7A31"/>
    <w:rsid w:val="00FA7AF6"/>
    <w:rsid w:val="00FA7DE4"/>
    <w:rsid w:val="00FA7EA3"/>
    <w:rsid w:val="00FB0174"/>
    <w:rsid w:val="00FB0BA7"/>
    <w:rsid w:val="00FB0C77"/>
    <w:rsid w:val="00FB0CF6"/>
    <w:rsid w:val="00FB116E"/>
    <w:rsid w:val="00FB13C5"/>
    <w:rsid w:val="00FB1449"/>
    <w:rsid w:val="00FB1506"/>
    <w:rsid w:val="00FB1907"/>
    <w:rsid w:val="00FB1C89"/>
    <w:rsid w:val="00FB1DAD"/>
    <w:rsid w:val="00FB25BB"/>
    <w:rsid w:val="00FB26BD"/>
    <w:rsid w:val="00FB26E7"/>
    <w:rsid w:val="00FB288C"/>
    <w:rsid w:val="00FB29EF"/>
    <w:rsid w:val="00FB3190"/>
    <w:rsid w:val="00FB3486"/>
    <w:rsid w:val="00FB362F"/>
    <w:rsid w:val="00FB38DF"/>
    <w:rsid w:val="00FB3C32"/>
    <w:rsid w:val="00FB445C"/>
    <w:rsid w:val="00FB4526"/>
    <w:rsid w:val="00FB5264"/>
    <w:rsid w:val="00FB5F03"/>
    <w:rsid w:val="00FB5F7D"/>
    <w:rsid w:val="00FB6001"/>
    <w:rsid w:val="00FB673A"/>
    <w:rsid w:val="00FB68F3"/>
    <w:rsid w:val="00FB6CD8"/>
    <w:rsid w:val="00FB71A4"/>
    <w:rsid w:val="00FB7295"/>
    <w:rsid w:val="00FB7601"/>
    <w:rsid w:val="00FC049A"/>
    <w:rsid w:val="00FC0533"/>
    <w:rsid w:val="00FC0535"/>
    <w:rsid w:val="00FC053F"/>
    <w:rsid w:val="00FC06D4"/>
    <w:rsid w:val="00FC0AFB"/>
    <w:rsid w:val="00FC0C4A"/>
    <w:rsid w:val="00FC0D15"/>
    <w:rsid w:val="00FC0EA0"/>
    <w:rsid w:val="00FC1196"/>
    <w:rsid w:val="00FC15B0"/>
    <w:rsid w:val="00FC2494"/>
    <w:rsid w:val="00FC30B1"/>
    <w:rsid w:val="00FC3549"/>
    <w:rsid w:val="00FC3911"/>
    <w:rsid w:val="00FC3AE7"/>
    <w:rsid w:val="00FC3CDC"/>
    <w:rsid w:val="00FC3F27"/>
    <w:rsid w:val="00FC40DF"/>
    <w:rsid w:val="00FC419C"/>
    <w:rsid w:val="00FC41E0"/>
    <w:rsid w:val="00FC4406"/>
    <w:rsid w:val="00FC477E"/>
    <w:rsid w:val="00FC4E45"/>
    <w:rsid w:val="00FC4FDD"/>
    <w:rsid w:val="00FC50E1"/>
    <w:rsid w:val="00FC51DF"/>
    <w:rsid w:val="00FC5509"/>
    <w:rsid w:val="00FC60DD"/>
    <w:rsid w:val="00FC69AD"/>
    <w:rsid w:val="00FC6EAB"/>
    <w:rsid w:val="00FC7341"/>
    <w:rsid w:val="00FC739B"/>
    <w:rsid w:val="00FC7A07"/>
    <w:rsid w:val="00FD01E5"/>
    <w:rsid w:val="00FD0AC5"/>
    <w:rsid w:val="00FD1DD6"/>
    <w:rsid w:val="00FD221B"/>
    <w:rsid w:val="00FD257E"/>
    <w:rsid w:val="00FD26B0"/>
    <w:rsid w:val="00FD2B5E"/>
    <w:rsid w:val="00FD2BFB"/>
    <w:rsid w:val="00FD3023"/>
    <w:rsid w:val="00FD30BD"/>
    <w:rsid w:val="00FD396D"/>
    <w:rsid w:val="00FD3DFC"/>
    <w:rsid w:val="00FD400A"/>
    <w:rsid w:val="00FD4EE1"/>
    <w:rsid w:val="00FD5465"/>
    <w:rsid w:val="00FD6702"/>
    <w:rsid w:val="00FD6AD2"/>
    <w:rsid w:val="00FD6B6F"/>
    <w:rsid w:val="00FD6D61"/>
    <w:rsid w:val="00FD6F93"/>
    <w:rsid w:val="00FD72BE"/>
    <w:rsid w:val="00FD744A"/>
    <w:rsid w:val="00FD75AC"/>
    <w:rsid w:val="00FD75CE"/>
    <w:rsid w:val="00FE07BE"/>
    <w:rsid w:val="00FE0AA1"/>
    <w:rsid w:val="00FE0FB3"/>
    <w:rsid w:val="00FE1376"/>
    <w:rsid w:val="00FE16FE"/>
    <w:rsid w:val="00FE1D59"/>
    <w:rsid w:val="00FE222C"/>
    <w:rsid w:val="00FE2993"/>
    <w:rsid w:val="00FE2AE6"/>
    <w:rsid w:val="00FE2D52"/>
    <w:rsid w:val="00FE3ED4"/>
    <w:rsid w:val="00FE3FEE"/>
    <w:rsid w:val="00FE42B1"/>
    <w:rsid w:val="00FE42C3"/>
    <w:rsid w:val="00FE4893"/>
    <w:rsid w:val="00FE50F4"/>
    <w:rsid w:val="00FE5C84"/>
    <w:rsid w:val="00FE5F74"/>
    <w:rsid w:val="00FE60C2"/>
    <w:rsid w:val="00FE60F3"/>
    <w:rsid w:val="00FE61E8"/>
    <w:rsid w:val="00FE6364"/>
    <w:rsid w:val="00FE6A83"/>
    <w:rsid w:val="00FE71FF"/>
    <w:rsid w:val="00FE7EC9"/>
    <w:rsid w:val="00FF06A2"/>
    <w:rsid w:val="00FF0A28"/>
    <w:rsid w:val="00FF0F56"/>
    <w:rsid w:val="00FF1065"/>
    <w:rsid w:val="00FF1199"/>
    <w:rsid w:val="00FF1388"/>
    <w:rsid w:val="00FF1C6E"/>
    <w:rsid w:val="00FF1D05"/>
    <w:rsid w:val="00FF2300"/>
    <w:rsid w:val="00FF2454"/>
    <w:rsid w:val="00FF2619"/>
    <w:rsid w:val="00FF2A52"/>
    <w:rsid w:val="00FF2F0A"/>
    <w:rsid w:val="00FF2F31"/>
    <w:rsid w:val="00FF2FA7"/>
    <w:rsid w:val="00FF3147"/>
    <w:rsid w:val="00FF33CF"/>
    <w:rsid w:val="00FF3473"/>
    <w:rsid w:val="00FF3888"/>
    <w:rsid w:val="00FF3D3E"/>
    <w:rsid w:val="00FF3DD4"/>
    <w:rsid w:val="00FF448D"/>
    <w:rsid w:val="00FF4765"/>
    <w:rsid w:val="00FF4B76"/>
    <w:rsid w:val="00FF4C02"/>
    <w:rsid w:val="00FF4CB0"/>
    <w:rsid w:val="00FF55A5"/>
    <w:rsid w:val="00FF5AF1"/>
    <w:rsid w:val="00FF632F"/>
    <w:rsid w:val="00FF69BB"/>
    <w:rsid w:val="00FF7824"/>
    <w:rsid w:val="013DBE67"/>
    <w:rsid w:val="018726CD"/>
    <w:rsid w:val="01A5CE84"/>
    <w:rsid w:val="01BA2EC3"/>
    <w:rsid w:val="01CF8D5E"/>
    <w:rsid w:val="01D74296"/>
    <w:rsid w:val="01D8D670"/>
    <w:rsid w:val="01DD78E1"/>
    <w:rsid w:val="0253D6E3"/>
    <w:rsid w:val="026FAC68"/>
    <w:rsid w:val="02B54E08"/>
    <w:rsid w:val="02DDDF73"/>
    <w:rsid w:val="030974D8"/>
    <w:rsid w:val="0317D9E8"/>
    <w:rsid w:val="03783CD6"/>
    <w:rsid w:val="03BF64A7"/>
    <w:rsid w:val="03C65232"/>
    <w:rsid w:val="03F24665"/>
    <w:rsid w:val="03FAC5A6"/>
    <w:rsid w:val="04038537"/>
    <w:rsid w:val="040E1101"/>
    <w:rsid w:val="04422678"/>
    <w:rsid w:val="04433798"/>
    <w:rsid w:val="0450E5E4"/>
    <w:rsid w:val="0455E781"/>
    <w:rsid w:val="0491A26A"/>
    <w:rsid w:val="04937B9E"/>
    <w:rsid w:val="04A7B408"/>
    <w:rsid w:val="04C79595"/>
    <w:rsid w:val="04EC655C"/>
    <w:rsid w:val="04F55574"/>
    <w:rsid w:val="04F7869D"/>
    <w:rsid w:val="0529DBB3"/>
    <w:rsid w:val="052B3BD2"/>
    <w:rsid w:val="0577EB33"/>
    <w:rsid w:val="05B7F64A"/>
    <w:rsid w:val="05DDFE86"/>
    <w:rsid w:val="0628C955"/>
    <w:rsid w:val="062F39A8"/>
    <w:rsid w:val="062FC1A8"/>
    <w:rsid w:val="0659927F"/>
    <w:rsid w:val="065C10BF"/>
    <w:rsid w:val="06C75C6A"/>
    <w:rsid w:val="06CDF8E3"/>
    <w:rsid w:val="07147C57"/>
    <w:rsid w:val="071C9562"/>
    <w:rsid w:val="07A47527"/>
    <w:rsid w:val="07A5D6C0"/>
    <w:rsid w:val="07B5AF59"/>
    <w:rsid w:val="081E9D2E"/>
    <w:rsid w:val="082C74CB"/>
    <w:rsid w:val="0858880E"/>
    <w:rsid w:val="08761A34"/>
    <w:rsid w:val="0885D85C"/>
    <w:rsid w:val="08B6E357"/>
    <w:rsid w:val="08BA8BDE"/>
    <w:rsid w:val="0916FF34"/>
    <w:rsid w:val="0928F141"/>
    <w:rsid w:val="09510F57"/>
    <w:rsid w:val="095CA9DF"/>
    <w:rsid w:val="096D1FC0"/>
    <w:rsid w:val="09AEAFFE"/>
    <w:rsid w:val="09D4E85E"/>
    <w:rsid w:val="0A360C0A"/>
    <w:rsid w:val="0A5F3BB9"/>
    <w:rsid w:val="0A60B802"/>
    <w:rsid w:val="0A718043"/>
    <w:rsid w:val="0AA3B100"/>
    <w:rsid w:val="0B11FB2C"/>
    <w:rsid w:val="0B217286"/>
    <w:rsid w:val="0B4A99DA"/>
    <w:rsid w:val="0B5F2275"/>
    <w:rsid w:val="0BC99629"/>
    <w:rsid w:val="0BF5EDD9"/>
    <w:rsid w:val="0C3E40B2"/>
    <w:rsid w:val="0C519678"/>
    <w:rsid w:val="0C825AD5"/>
    <w:rsid w:val="0CB2BCF3"/>
    <w:rsid w:val="0CBDCA03"/>
    <w:rsid w:val="0CC84CF7"/>
    <w:rsid w:val="0CD36C39"/>
    <w:rsid w:val="0D03B8E2"/>
    <w:rsid w:val="0D3C9F32"/>
    <w:rsid w:val="0D415F95"/>
    <w:rsid w:val="0D47D4D9"/>
    <w:rsid w:val="0D503CB9"/>
    <w:rsid w:val="0DA0B175"/>
    <w:rsid w:val="0DA53591"/>
    <w:rsid w:val="0DE37D06"/>
    <w:rsid w:val="0DF0BBC6"/>
    <w:rsid w:val="0DF2D722"/>
    <w:rsid w:val="0DFFA6F9"/>
    <w:rsid w:val="0E416BA0"/>
    <w:rsid w:val="0ECA11FC"/>
    <w:rsid w:val="0EDD0527"/>
    <w:rsid w:val="0F0C1378"/>
    <w:rsid w:val="0F10F262"/>
    <w:rsid w:val="0F5838DF"/>
    <w:rsid w:val="0FA3CA37"/>
    <w:rsid w:val="0FB9FF6E"/>
    <w:rsid w:val="0FD206F4"/>
    <w:rsid w:val="0FD8A711"/>
    <w:rsid w:val="0FFDF03C"/>
    <w:rsid w:val="1054C196"/>
    <w:rsid w:val="10BDA110"/>
    <w:rsid w:val="10E5E778"/>
    <w:rsid w:val="1108BDF5"/>
    <w:rsid w:val="112732D5"/>
    <w:rsid w:val="112F70CB"/>
    <w:rsid w:val="114A3958"/>
    <w:rsid w:val="11521B5C"/>
    <w:rsid w:val="116CB30B"/>
    <w:rsid w:val="117F91D4"/>
    <w:rsid w:val="11973FD5"/>
    <w:rsid w:val="11A0EB44"/>
    <w:rsid w:val="11A9CC02"/>
    <w:rsid w:val="11BFDE39"/>
    <w:rsid w:val="1236F83F"/>
    <w:rsid w:val="129BD23E"/>
    <w:rsid w:val="12B17B09"/>
    <w:rsid w:val="12B64F22"/>
    <w:rsid w:val="1334E154"/>
    <w:rsid w:val="133BAEF3"/>
    <w:rsid w:val="134EDA89"/>
    <w:rsid w:val="13964E21"/>
    <w:rsid w:val="1396500D"/>
    <w:rsid w:val="13C162F6"/>
    <w:rsid w:val="13DF46D5"/>
    <w:rsid w:val="13E67A29"/>
    <w:rsid w:val="13F5F656"/>
    <w:rsid w:val="141855D4"/>
    <w:rsid w:val="1499E5FB"/>
    <w:rsid w:val="152B993A"/>
    <w:rsid w:val="153D5C16"/>
    <w:rsid w:val="15487E9A"/>
    <w:rsid w:val="15938542"/>
    <w:rsid w:val="15CC3C77"/>
    <w:rsid w:val="15D8A592"/>
    <w:rsid w:val="15EAD7B2"/>
    <w:rsid w:val="15F54D63"/>
    <w:rsid w:val="160572BA"/>
    <w:rsid w:val="166F5B74"/>
    <w:rsid w:val="1685F547"/>
    <w:rsid w:val="16A6250C"/>
    <w:rsid w:val="1711A305"/>
    <w:rsid w:val="173F76C2"/>
    <w:rsid w:val="175948A2"/>
    <w:rsid w:val="17605C84"/>
    <w:rsid w:val="178793BC"/>
    <w:rsid w:val="18219250"/>
    <w:rsid w:val="185380EC"/>
    <w:rsid w:val="18823822"/>
    <w:rsid w:val="1890249A"/>
    <w:rsid w:val="18AFE992"/>
    <w:rsid w:val="18F1DB5D"/>
    <w:rsid w:val="1962E59B"/>
    <w:rsid w:val="197295AC"/>
    <w:rsid w:val="19896CBA"/>
    <w:rsid w:val="19BB4D04"/>
    <w:rsid w:val="19F17CA2"/>
    <w:rsid w:val="1A0A6D94"/>
    <w:rsid w:val="1A302B8E"/>
    <w:rsid w:val="1A5A0233"/>
    <w:rsid w:val="1A7CF59F"/>
    <w:rsid w:val="1A7FA993"/>
    <w:rsid w:val="1AFD1D09"/>
    <w:rsid w:val="1B007779"/>
    <w:rsid w:val="1B04D80E"/>
    <w:rsid w:val="1B05AAFF"/>
    <w:rsid w:val="1B336D41"/>
    <w:rsid w:val="1B4B254E"/>
    <w:rsid w:val="1B9BC560"/>
    <w:rsid w:val="1BB33AF2"/>
    <w:rsid w:val="1C0D691D"/>
    <w:rsid w:val="1C5BE2F5"/>
    <w:rsid w:val="1CB26C55"/>
    <w:rsid w:val="1CC6FE4A"/>
    <w:rsid w:val="1CEE4E10"/>
    <w:rsid w:val="1D3F33CC"/>
    <w:rsid w:val="1D661F83"/>
    <w:rsid w:val="1D823C6F"/>
    <w:rsid w:val="1DDFA683"/>
    <w:rsid w:val="1DE0DE62"/>
    <w:rsid w:val="1DE1F366"/>
    <w:rsid w:val="1E36F35E"/>
    <w:rsid w:val="1E4284BA"/>
    <w:rsid w:val="1E473671"/>
    <w:rsid w:val="1EB76DB0"/>
    <w:rsid w:val="1F05E78F"/>
    <w:rsid w:val="1F7F67CC"/>
    <w:rsid w:val="1F884E95"/>
    <w:rsid w:val="1F9CED3E"/>
    <w:rsid w:val="201EB987"/>
    <w:rsid w:val="203EC5CA"/>
    <w:rsid w:val="2074B813"/>
    <w:rsid w:val="208182DD"/>
    <w:rsid w:val="20B694D5"/>
    <w:rsid w:val="20BD276E"/>
    <w:rsid w:val="20C6F057"/>
    <w:rsid w:val="20DE39F6"/>
    <w:rsid w:val="20F731DB"/>
    <w:rsid w:val="20F73506"/>
    <w:rsid w:val="2101AABE"/>
    <w:rsid w:val="212E681A"/>
    <w:rsid w:val="218F2ACF"/>
    <w:rsid w:val="2191BB5E"/>
    <w:rsid w:val="21B490BF"/>
    <w:rsid w:val="21E8A414"/>
    <w:rsid w:val="220D9F94"/>
    <w:rsid w:val="221B73D6"/>
    <w:rsid w:val="22305221"/>
    <w:rsid w:val="22ADE03D"/>
    <w:rsid w:val="22BF037A"/>
    <w:rsid w:val="22BFDD3E"/>
    <w:rsid w:val="22DEB81E"/>
    <w:rsid w:val="2347294E"/>
    <w:rsid w:val="236D2908"/>
    <w:rsid w:val="239537C5"/>
    <w:rsid w:val="239CB511"/>
    <w:rsid w:val="23E54DE0"/>
    <w:rsid w:val="23EF7194"/>
    <w:rsid w:val="2432A667"/>
    <w:rsid w:val="2464F5FC"/>
    <w:rsid w:val="2481B421"/>
    <w:rsid w:val="248D58EA"/>
    <w:rsid w:val="24944967"/>
    <w:rsid w:val="24AC1B88"/>
    <w:rsid w:val="24ADBD49"/>
    <w:rsid w:val="24C3B9B7"/>
    <w:rsid w:val="24CEE8BF"/>
    <w:rsid w:val="24D719B9"/>
    <w:rsid w:val="25109F8A"/>
    <w:rsid w:val="251B87E3"/>
    <w:rsid w:val="251F9D0E"/>
    <w:rsid w:val="252EA8C0"/>
    <w:rsid w:val="257E1920"/>
    <w:rsid w:val="258A0905"/>
    <w:rsid w:val="25932530"/>
    <w:rsid w:val="25E83EB8"/>
    <w:rsid w:val="26257CBD"/>
    <w:rsid w:val="262AE307"/>
    <w:rsid w:val="26382C78"/>
    <w:rsid w:val="263B6775"/>
    <w:rsid w:val="2650782A"/>
    <w:rsid w:val="267434C8"/>
    <w:rsid w:val="26B53A9D"/>
    <w:rsid w:val="26B778E4"/>
    <w:rsid w:val="26DB3172"/>
    <w:rsid w:val="27486812"/>
    <w:rsid w:val="27703F2F"/>
    <w:rsid w:val="277352D4"/>
    <w:rsid w:val="2776EFBB"/>
    <w:rsid w:val="27803C0B"/>
    <w:rsid w:val="27A4BDAC"/>
    <w:rsid w:val="27FFCF56"/>
    <w:rsid w:val="28047CB7"/>
    <w:rsid w:val="28247A27"/>
    <w:rsid w:val="283C7D6E"/>
    <w:rsid w:val="2866F550"/>
    <w:rsid w:val="28D1EC24"/>
    <w:rsid w:val="28F6979F"/>
    <w:rsid w:val="28F6A4C8"/>
    <w:rsid w:val="2911E545"/>
    <w:rsid w:val="291618B3"/>
    <w:rsid w:val="292917A4"/>
    <w:rsid w:val="293FB418"/>
    <w:rsid w:val="29C7777A"/>
    <w:rsid w:val="2A0ADB49"/>
    <w:rsid w:val="2A13D517"/>
    <w:rsid w:val="2A3967D8"/>
    <w:rsid w:val="2A41B628"/>
    <w:rsid w:val="2A68F414"/>
    <w:rsid w:val="2A8E6EF4"/>
    <w:rsid w:val="2AA59854"/>
    <w:rsid w:val="2ACACD94"/>
    <w:rsid w:val="2AF98A01"/>
    <w:rsid w:val="2B560DBF"/>
    <w:rsid w:val="2B9F1A62"/>
    <w:rsid w:val="2BE90677"/>
    <w:rsid w:val="2BF5C7D9"/>
    <w:rsid w:val="2BFAF396"/>
    <w:rsid w:val="2C0BEA37"/>
    <w:rsid w:val="2C25EA86"/>
    <w:rsid w:val="2C4D65FD"/>
    <w:rsid w:val="2CC565DF"/>
    <w:rsid w:val="2CEF2EE6"/>
    <w:rsid w:val="2D38B489"/>
    <w:rsid w:val="2D688348"/>
    <w:rsid w:val="2DEB7A65"/>
    <w:rsid w:val="2DEC0D89"/>
    <w:rsid w:val="2E00AA77"/>
    <w:rsid w:val="2E13198C"/>
    <w:rsid w:val="2E531277"/>
    <w:rsid w:val="2E978449"/>
    <w:rsid w:val="2E9FE74A"/>
    <w:rsid w:val="2EBBA33E"/>
    <w:rsid w:val="2EC45BD7"/>
    <w:rsid w:val="2EDBB1F1"/>
    <w:rsid w:val="2EE0B744"/>
    <w:rsid w:val="2EF08DD6"/>
    <w:rsid w:val="2F28F6B5"/>
    <w:rsid w:val="2F420461"/>
    <w:rsid w:val="2F5F1AFC"/>
    <w:rsid w:val="2FB0CF63"/>
    <w:rsid w:val="30158BE7"/>
    <w:rsid w:val="3042A11F"/>
    <w:rsid w:val="30525D72"/>
    <w:rsid w:val="30628729"/>
    <w:rsid w:val="3087EF83"/>
    <w:rsid w:val="3093FE68"/>
    <w:rsid w:val="30A9F636"/>
    <w:rsid w:val="30B8394F"/>
    <w:rsid w:val="30CCEBF7"/>
    <w:rsid w:val="30D07005"/>
    <w:rsid w:val="30E863D8"/>
    <w:rsid w:val="30EA6086"/>
    <w:rsid w:val="30FB9E90"/>
    <w:rsid w:val="31901DC6"/>
    <w:rsid w:val="3193BB3E"/>
    <w:rsid w:val="31B47E44"/>
    <w:rsid w:val="31D01366"/>
    <w:rsid w:val="31E4EDBC"/>
    <w:rsid w:val="329CF88E"/>
    <w:rsid w:val="32C9B1F3"/>
    <w:rsid w:val="33044408"/>
    <w:rsid w:val="3322E851"/>
    <w:rsid w:val="339E6DC9"/>
    <w:rsid w:val="33B75C9E"/>
    <w:rsid w:val="33DF4FF0"/>
    <w:rsid w:val="341CCFC7"/>
    <w:rsid w:val="344A8BFA"/>
    <w:rsid w:val="345313EB"/>
    <w:rsid w:val="34665E12"/>
    <w:rsid w:val="34840077"/>
    <w:rsid w:val="34988D35"/>
    <w:rsid w:val="34A5FF74"/>
    <w:rsid w:val="34B55AA8"/>
    <w:rsid w:val="34B730C3"/>
    <w:rsid w:val="34C17336"/>
    <w:rsid w:val="353B0068"/>
    <w:rsid w:val="354C2F61"/>
    <w:rsid w:val="354EAD9E"/>
    <w:rsid w:val="356C22BD"/>
    <w:rsid w:val="35BF6105"/>
    <w:rsid w:val="35C72962"/>
    <w:rsid w:val="35D5BDE5"/>
    <w:rsid w:val="3614EB8A"/>
    <w:rsid w:val="361524C7"/>
    <w:rsid w:val="3631A9E2"/>
    <w:rsid w:val="365F4BDA"/>
    <w:rsid w:val="366D8287"/>
    <w:rsid w:val="36FC9CB5"/>
    <w:rsid w:val="3731BA3C"/>
    <w:rsid w:val="37342BCE"/>
    <w:rsid w:val="3756073E"/>
    <w:rsid w:val="3781A297"/>
    <w:rsid w:val="379C4FCC"/>
    <w:rsid w:val="3814C6D6"/>
    <w:rsid w:val="38192A23"/>
    <w:rsid w:val="3820E631"/>
    <w:rsid w:val="38311C1A"/>
    <w:rsid w:val="38896449"/>
    <w:rsid w:val="38BD2D0D"/>
    <w:rsid w:val="38DF68E8"/>
    <w:rsid w:val="38F44534"/>
    <w:rsid w:val="38FC60F0"/>
    <w:rsid w:val="3919A017"/>
    <w:rsid w:val="394B365E"/>
    <w:rsid w:val="3986DCEA"/>
    <w:rsid w:val="399DA61F"/>
    <w:rsid w:val="39A2E988"/>
    <w:rsid w:val="39DCB76D"/>
    <w:rsid w:val="3A1BCE3C"/>
    <w:rsid w:val="3A222CF9"/>
    <w:rsid w:val="3A315DCA"/>
    <w:rsid w:val="3A5A292D"/>
    <w:rsid w:val="3A647EEE"/>
    <w:rsid w:val="3AA91B1A"/>
    <w:rsid w:val="3AF21A92"/>
    <w:rsid w:val="3AF4F2E5"/>
    <w:rsid w:val="3B0C9A14"/>
    <w:rsid w:val="3B5AB4B1"/>
    <w:rsid w:val="3B6CD815"/>
    <w:rsid w:val="3B7BAD31"/>
    <w:rsid w:val="3B8349A4"/>
    <w:rsid w:val="3B8F250A"/>
    <w:rsid w:val="3BADBA47"/>
    <w:rsid w:val="3BC2F094"/>
    <w:rsid w:val="3BFC3627"/>
    <w:rsid w:val="3C28C854"/>
    <w:rsid w:val="3C49AB7E"/>
    <w:rsid w:val="3C5CEB0F"/>
    <w:rsid w:val="3C8C5311"/>
    <w:rsid w:val="3CA94BF7"/>
    <w:rsid w:val="3CAAA141"/>
    <w:rsid w:val="3CD83B20"/>
    <w:rsid w:val="3CDB3E04"/>
    <w:rsid w:val="3CE3D8A7"/>
    <w:rsid w:val="3CEA3354"/>
    <w:rsid w:val="3CFCB394"/>
    <w:rsid w:val="3D02763C"/>
    <w:rsid w:val="3D6288C7"/>
    <w:rsid w:val="3D6AC83D"/>
    <w:rsid w:val="3D9DAB0C"/>
    <w:rsid w:val="3DD1B517"/>
    <w:rsid w:val="3DF3055D"/>
    <w:rsid w:val="3E0E9E18"/>
    <w:rsid w:val="3E26850B"/>
    <w:rsid w:val="3E3B1A71"/>
    <w:rsid w:val="3E4B032A"/>
    <w:rsid w:val="3E5B68BC"/>
    <w:rsid w:val="3E76540C"/>
    <w:rsid w:val="3E8D78E1"/>
    <w:rsid w:val="3EEA09F8"/>
    <w:rsid w:val="3EED5783"/>
    <w:rsid w:val="3F4049EB"/>
    <w:rsid w:val="3F584AF6"/>
    <w:rsid w:val="3F72C86E"/>
    <w:rsid w:val="3FA431B3"/>
    <w:rsid w:val="3FB37507"/>
    <w:rsid w:val="3FCC91D6"/>
    <w:rsid w:val="4050B97C"/>
    <w:rsid w:val="408FC607"/>
    <w:rsid w:val="4097EFA6"/>
    <w:rsid w:val="40D93CFB"/>
    <w:rsid w:val="416AEEA7"/>
    <w:rsid w:val="41DEFEFF"/>
    <w:rsid w:val="41F5B8A9"/>
    <w:rsid w:val="41FCA74A"/>
    <w:rsid w:val="420132D4"/>
    <w:rsid w:val="423AAF0D"/>
    <w:rsid w:val="42633C9C"/>
    <w:rsid w:val="42A43853"/>
    <w:rsid w:val="4324C698"/>
    <w:rsid w:val="4339B03E"/>
    <w:rsid w:val="43421694"/>
    <w:rsid w:val="436BD04B"/>
    <w:rsid w:val="437F7E50"/>
    <w:rsid w:val="43999DBE"/>
    <w:rsid w:val="43A42C76"/>
    <w:rsid w:val="43D08C4B"/>
    <w:rsid w:val="44040932"/>
    <w:rsid w:val="440F8C48"/>
    <w:rsid w:val="447DDCBB"/>
    <w:rsid w:val="44AE4BA0"/>
    <w:rsid w:val="44C8C364"/>
    <w:rsid w:val="45185623"/>
    <w:rsid w:val="4552B22E"/>
    <w:rsid w:val="458484DD"/>
    <w:rsid w:val="45881786"/>
    <w:rsid w:val="45E9A741"/>
    <w:rsid w:val="4638CDF9"/>
    <w:rsid w:val="46408C87"/>
    <w:rsid w:val="46418D38"/>
    <w:rsid w:val="46542F7E"/>
    <w:rsid w:val="4666A2B2"/>
    <w:rsid w:val="46696266"/>
    <w:rsid w:val="46A0671F"/>
    <w:rsid w:val="46A492CC"/>
    <w:rsid w:val="46BF10C2"/>
    <w:rsid w:val="46D114CC"/>
    <w:rsid w:val="46E495DF"/>
    <w:rsid w:val="46EC4D0E"/>
    <w:rsid w:val="46EFAAA6"/>
    <w:rsid w:val="4702ADBD"/>
    <w:rsid w:val="473DDCBD"/>
    <w:rsid w:val="47415FA7"/>
    <w:rsid w:val="47465ED0"/>
    <w:rsid w:val="4778651C"/>
    <w:rsid w:val="4799F3F5"/>
    <w:rsid w:val="47A5E900"/>
    <w:rsid w:val="47B4F2BE"/>
    <w:rsid w:val="47E6BAB4"/>
    <w:rsid w:val="48B82ADA"/>
    <w:rsid w:val="48D9BC37"/>
    <w:rsid w:val="48DB910A"/>
    <w:rsid w:val="4916E324"/>
    <w:rsid w:val="491DF4D8"/>
    <w:rsid w:val="4921387D"/>
    <w:rsid w:val="496BF68A"/>
    <w:rsid w:val="498E045B"/>
    <w:rsid w:val="499FC68C"/>
    <w:rsid w:val="49BE106B"/>
    <w:rsid w:val="4A114898"/>
    <w:rsid w:val="4A216125"/>
    <w:rsid w:val="4A225FA6"/>
    <w:rsid w:val="4A357DF5"/>
    <w:rsid w:val="4A52E86D"/>
    <w:rsid w:val="4A8E70F6"/>
    <w:rsid w:val="4A8EB5A8"/>
    <w:rsid w:val="4AB945BE"/>
    <w:rsid w:val="4AD34AB3"/>
    <w:rsid w:val="4AFC8006"/>
    <w:rsid w:val="4AFD1B19"/>
    <w:rsid w:val="4B6CEAC0"/>
    <w:rsid w:val="4B858BB3"/>
    <w:rsid w:val="4C25B961"/>
    <w:rsid w:val="4C7AA27A"/>
    <w:rsid w:val="4C8BA8BF"/>
    <w:rsid w:val="4C9ECE54"/>
    <w:rsid w:val="4CA53040"/>
    <w:rsid w:val="4CB27F2D"/>
    <w:rsid w:val="4D27BFE2"/>
    <w:rsid w:val="4D2AFA6A"/>
    <w:rsid w:val="4D818A91"/>
    <w:rsid w:val="4DAD6042"/>
    <w:rsid w:val="4DB9C60C"/>
    <w:rsid w:val="4DBBA31B"/>
    <w:rsid w:val="4DF4B7A9"/>
    <w:rsid w:val="4DF76902"/>
    <w:rsid w:val="4E369B34"/>
    <w:rsid w:val="4E838DFF"/>
    <w:rsid w:val="4E93843F"/>
    <w:rsid w:val="4EAECDEB"/>
    <w:rsid w:val="4ED46FA4"/>
    <w:rsid w:val="4F03A1D9"/>
    <w:rsid w:val="4F0EB768"/>
    <w:rsid w:val="4F83D6AC"/>
    <w:rsid w:val="4FA3268E"/>
    <w:rsid w:val="4FAADDF1"/>
    <w:rsid w:val="4FE3F54C"/>
    <w:rsid w:val="502C3A3F"/>
    <w:rsid w:val="50344FED"/>
    <w:rsid w:val="507E8163"/>
    <w:rsid w:val="50A37381"/>
    <w:rsid w:val="50AFAED5"/>
    <w:rsid w:val="50B0CD6E"/>
    <w:rsid w:val="50B2FE99"/>
    <w:rsid w:val="50F7A35D"/>
    <w:rsid w:val="50F82BB4"/>
    <w:rsid w:val="5137682E"/>
    <w:rsid w:val="51388039"/>
    <w:rsid w:val="514F8F78"/>
    <w:rsid w:val="5193CD86"/>
    <w:rsid w:val="5197C0FB"/>
    <w:rsid w:val="51B7BFB9"/>
    <w:rsid w:val="51D2C831"/>
    <w:rsid w:val="5216254D"/>
    <w:rsid w:val="5259A1C1"/>
    <w:rsid w:val="525DFA0C"/>
    <w:rsid w:val="528870FA"/>
    <w:rsid w:val="52BBB4BE"/>
    <w:rsid w:val="531D5199"/>
    <w:rsid w:val="533EBC92"/>
    <w:rsid w:val="53B36FDE"/>
    <w:rsid w:val="53EE6187"/>
    <w:rsid w:val="5409E9BA"/>
    <w:rsid w:val="542623EE"/>
    <w:rsid w:val="5484F2AF"/>
    <w:rsid w:val="55042CF7"/>
    <w:rsid w:val="5570E82E"/>
    <w:rsid w:val="559A906D"/>
    <w:rsid w:val="55C66337"/>
    <w:rsid w:val="562B405B"/>
    <w:rsid w:val="5647B9D0"/>
    <w:rsid w:val="56897D95"/>
    <w:rsid w:val="569DE1D1"/>
    <w:rsid w:val="56A2FC9E"/>
    <w:rsid w:val="56C429BE"/>
    <w:rsid w:val="571B825A"/>
    <w:rsid w:val="571F0874"/>
    <w:rsid w:val="575BCC66"/>
    <w:rsid w:val="577169DE"/>
    <w:rsid w:val="57752EFF"/>
    <w:rsid w:val="578223E5"/>
    <w:rsid w:val="5795BD7D"/>
    <w:rsid w:val="57A1B449"/>
    <w:rsid w:val="57C9720B"/>
    <w:rsid w:val="57E7B733"/>
    <w:rsid w:val="58143078"/>
    <w:rsid w:val="5816399A"/>
    <w:rsid w:val="58182D01"/>
    <w:rsid w:val="58186DE0"/>
    <w:rsid w:val="5841CAC2"/>
    <w:rsid w:val="58571E58"/>
    <w:rsid w:val="5872CD47"/>
    <w:rsid w:val="589BF7E6"/>
    <w:rsid w:val="58A48DC9"/>
    <w:rsid w:val="58AEFD77"/>
    <w:rsid w:val="594B41E6"/>
    <w:rsid w:val="597A0D76"/>
    <w:rsid w:val="5997B487"/>
    <w:rsid w:val="599D95D4"/>
    <w:rsid w:val="59A74866"/>
    <w:rsid w:val="59BB97FE"/>
    <w:rsid w:val="59C0F217"/>
    <w:rsid w:val="59D23C37"/>
    <w:rsid w:val="59ED1C49"/>
    <w:rsid w:val="5A15EB72"/>
    <w:rsid w:val="5A3FD767"/>
    <w:rsid w:val="5A526648"/>
    <w:rsid w:val="5A8A3166"/>
    <w:rsid w:val="5A8F13FC"/>
    <w:rsid w:val="5A91CF0B"/>
    <w:rsid w:val="5ABCB6D5"/>
    <w:rsid w:val="5AE1167B"/>
    <w:rsid w:val="5AEA0A3B"/>
    <w:rsid w:val="5B10AAF6"/>
    <w:rsid w:val="5B151989"/>
    <w:rsid w:val="5B1D7EFD"/>
    <w:rsid w:val="5B2E48FB"/>
    <w:rsid w:val="5B598CDC"/>
    <w:rsid w:val="5B7BB344"/>
    <w:rsid w:val="5B9367E1"/>
    <w:rsid w:val="5BA7EC7E"/>
    <w:rsid w:val="5BAA7B49"/>
    <w:rsid w:val="5BD5D444"/>
    <w:rsid w:val="5C953A92"/>
    <w:rsid w:val="5CA00413"/>
    <w:rsid w:val="5CBA4676"/>
    <w:rsid w:val="5CDB20A9"/>
    <w:rsid w:val="5CDC9F0A"/>
    <w:rsid w:val="5CF30307"/>
    <w:rsid w:val="5D2A0A5E"/>
    <w:rsid w:val="5D322A99"/>
    <w:rsid w:val="5D356B63"/>
    <w:rsid w:val="5D36A969"/>
    <w:rsid w:val="5D4219D4"/>
    <w:rsid w:val="5D831D21"/>
    <w:rsid w:val="5D93FE06"/>
    <w:rsid w:val="5DE0326B"/>
    <w:rsid w:val="5DE2DA6D"/>
    <w:rsid w:val="5E0F9A6C"/>
    <w:rsid w:val="5E220800"/>
    <w:rsid w:val="5E5E34B1"/>
    <w:rsid w:val="5EC8941E"/>
    <w:rsid w:val="5EF3450A"/>
    <w:rsid w:val="5EFA856E"/>
    <w:rsid w:val="5EFCF920"/>
    <w:rsid w:val="5F060105"/>
    <w:rsid w:val="5F53A401"/>
    <w:rsid w:val="5F5FBB69"/>
    <w:rsid w:val="6022EE5C"/>
    <w:rsid w:val="60495CC3"/>
    <w:rsid w:val="606B647D"/>
    <w:rsid w:val="606FDBB7"/>
    <w:rsid w:val="60998FF4"/>
    <w:rsid w:val="60F720B2"/>
    <w:rsid w:val="611E84D0"/>
    <w:rsid w:val="6187F83A"/>
    <w:rsid w:val="61B67750"/>
    <w:rsid w:val="61E45E0A"/>
    <w:rsid w:val="61F8D004"/>
    <w:rsid w:val="61FA0734"/>
    <w:rsid w:val="6263AEEB"/>
    <w:rsid w:val="62CA2B84"/>
    <w:rsid w:val="63168D7E"/>
    <w:rsid w:val="63738E54"/>
    <w:rsid w:val="63B65C95"/>
    <w:rsid w:val="63B6841F"/>
    <w:rsid w:val="63E0262A"/>
    <w:rsid w:val="64170C9E"/>
    <w:rsid w:val="64194E63"/>
    <w:rsid w:val="6434DC53"/>
    <w:rsid w:val="645425EE"/>
    <w:rsid w:val="6498C032"/>
    <w:rsid w:val="64C76E9D"/>
    <w:rsid w:val="654B201D"/>
    <w:rsid w:val="658C65BD"/>
    <w:rsid w:val="65A564D6"/>
    <w:rsid w:val="65AEA1E8"/>
    <w:rsid w:val="65D01169"/>
    <w:rsid w:val="65EAB0D6"/>
    <w:rsid w:val="66120099"/>
    <w:rsid w:val="66290CFD"/>
    <w:rsid w:val="662BA790"/>
    <w:rsid w:val="6652E55A"/>
    <w:rsid w:val="667FC1C4"/>
    <w:rsid w:val="66875C57"/>
    <w:rsid w:val="66BBBFA4"/>
    <w:rsid w:val="66EFC32A"/>
    <w:rsid w:val="67310EDC"/>
    <w:rsid w:val="673E0861"/>
    <w:rsid w:val="67434EE4"/>
    <w:rsid w:val="677F29AF"/>
    <w:rsid w:val="67841159"/>
    <w:rsid w:val="67883739"/>
    <w:rsid w:val="67A293CD"/>
    <w:rsid w:val="67AC4F87"/>
    <w:rsid w:val="67D5DD56"/>
    <w:rsid w:val="68269B08"/>
    <w:rsid w:val="683807B1"/>
    <w:rsid w:val="6854BCFE"/>
    <w:rsid w:val="6857B039"/>
    <w:rsid w:val="68625663"/>
    <w:rsid w:val="68ADCFAF"/>
    <w:rsid w:val="68B0A8BA"/>
    <w:rsid w:val="68B10E71"/>
    <w:rsid w:val="68B54DAA"/>
    <w:rsid w:val="68CBDDE1"/>
    <w:rsid w:val="68DE92F4"/>
    <w:rsid w:val="68EC7D89"/>
    <w:rsid w:val="68FBE958"/>
    <w:rsid w:val="69552F03"/>
    <w:rsid w:val="695AA7CD"/>
    <w:rsid w:val="695C176B"/>
    <w:rsid w:val="6985C0ED"/>
    <w:rsid w:val="69A43558"/>
    <w:rsid w:val="69FB990B"/>
    <w:rsid w:val="6A3F70E3"/>
    <w:rsid w:val="6A43A096"/>
    <w:rsid w:val="6A501D82"/>
    <w:rsid w:val="6A782150"/>
    <w:rsid w:val="6AAF9C0F"/>
    <w:rsid w:val="6AEB1914"/>
    <w:rsid w:val="6AFB7145"/>
    <w:rsid w:val="6B0BE640"/>
    <w:rsid w:val="6B3C8680"/>
    <w:rsid w:val="6B61E0AD"/>
    <w:rsid w:val="6B6335FE"/>
    <w:rsid w:val="6B79B9BD"/>
    <w:rsid w:val="6B8790BB"/>
    <w:rsid w:val="6B988F47"/>
    <w:rsid w:val="6BA4EDDF"/>
    <w:rsid w:val="6BB69DE9"/>
    <w:rsid w:val="6BDEDF49"/>
    <w:rsid w:val="6C0DB294"/>
    <w:rsid w:val="6C15B683"/>
    <w:rsid w:val="6CDACC66"/>
    <w:rsid w:val="6CE14BF5"/>
    <w:rsid w:val="6D13FAC7"/>
    <w:rsid w:val="6D26242B"/>
    <w:rsid w:val="6D26A4C9"/>
    <w:rsid w:val="6DA4C25B"/>
    <w:rsid w:val="6DA8D22C"/>
    <w:rsid w:val="6DAB3BF5"/>
    <w:rsid w:val="6DDC6F34"/>
    <w:rsid w:val="6DE617FB"/>
    <w:rsid w:val="6DF7BF78"/>
    <w:rsid w:val="6DFEAD40"/>
    <w:rsid w:val="6E683972"/>
    <w:rsid w:val="6E7C883C"/>
    <w:rsid w:val="6E7ED2EA"/>
    <w:rsid w:val="6EAEB2FA"/>
    <w:rsid w:val="6EB56DC7"/>
    <w:rsid w:val="6ED5654F"/>
    <w:rsid w:val="6EEE48C9"/>
    <w:rsid w:val="6EFCEECD"/>
    <w:rsid w:val="6F18823B"/>
    <w:rsid w:val="6F44A753"/>
    <w:rsid w:val="6F526998"/>
    <w:rsid w:val="6F8A1BA5"/>
    <w:rsid w:val="6FA49167"/>
    <w:rsid w:val="70078EA3"/>
    <w:rsid w:val="7046C2D8"/>
    <w:rsid w:val="705B80CC"/>
    <w:rsid w:val="707D84D3"/>
    <w:rsid w:val="70EE5698"/>
    <w:rsid w:val="71310110"/>
    <w:rsid w:val="715C9D1C"/>
    <w:rsid w:val="715D639E"/>
    <w:rsid w:val="7164B814"/>
    <w:rsid w:val="71815B33"/>
    <w:rsid w:val="7181722C"/>
    <w:rsid w:val="7186F8BD"/>
    <w:rsid w:val="724FD64C"/>
    <w:rsid w:val="72DB2DFD"/>
    <w:rsid w:val="73112AA3"/>
    <w:rsid w:val="73262E80"/>
    <w:rsid w:val="7329A650"/>
    <w:rsid w:val="734246A0"/>
    <w:rsid w:val="7350EE8E"/>
    <w:rsid w:val="7356EE6F"/>
    <w:rsid w:val="737032E5"/>
    <w:rsid w:val="73742342"/>
    <w:rsid w:val="737AF989"/>
    <w:rsid w:val="7383C3A8"/>
    <w:rsid w:val="73A1071E"/>
    <w:rsid w:val="73A97050"/>
    <w:rsid w:val="73B04595"/>
    <w:rsid w:val="73D88046"/>
    <w:rsid w:val="74438D02"/>
    <w:rsid w:val="746CA441"/>
    <w:rsid w:val="74850461"/>
    <w:rsid w:val="7499968D"/>
    <w:rsid w:val="74A3BEFE"/>
    <w:rsid w:val="74A6CA87"/>
    <w:rsid w:val="74AE03FC"/>
    <w:rsid w:val="74D0571E"/>
    <w:rsid w:val="750E5C19"/>
    <w:rsid w:val="75102A93"/>
    <w:rsid w:val="75219611"/>
    <w:rsid w:val="754BFE00"/>
    <w:rsid w:val="758B5B5D"/>
    <w:rsid w:val="758B89A5"/>
    <w:rsid w:val="75A4BFB7"/>
    <w:rsid w:val="75BC4F68"/>
    <w:rsid w:val="760C4A39"/>
    <w:rsid w:val="76125113"/>
    <w:rsid w:val="76268C18"/>
    <w:rsid w:val="7637875C"/>
    <w:rsid w:val="766A9956"/>
    <w:rsid w:val="766FFC93"/>
    <w:rsid w:val="76C03616"/>
    <w:rsid w:val="76DBC583"/>
    <w:rsid w:val="76E35B01"/>
    <w:rsid w:val="772CC0E1"/>
    <w:rsid w:val="77E3385C"/>
    <w:rsid w:val="78094508"/>
    <w:rsid w:val="782883E8"/>
    <w:rsid w:val="7845FFA5"/>
    <w:rsid w:val="786AD64E"/>
    <w:rsid w:val="7881986C"/>
    <w:rsid w:val="78C5A8DA"/>
    <w:rsid w:val="79197988"/>
    <w:rsid w:val="79242D7E"/>
    <w:rsid w:val="7967F60F"/>
    <w:rsid w:val="7970AE70"/>
    <w:rsid w:val="798BCFD4"/>
    <w:rsid w:val="7992B048"/>
    <w:rsid w:val="799E652A"/>
    <w:rsid w:val="79CEEA4E"/>
    <w:rsid w:val="79E21921"/>
    <w:rsid w:val="79E3A571"/>
    <w:rsid w:val="79EDC396"/>
    <w:rsid w:val="7A22FA10"/>
    <w:rsid w:val="7A6DB854"/>
    <w:rsid w:val="7A8ED57C"/>
    <w:rsid w:val="7AA9A062"/>
    <w:rsid w:val="7ACFCA94"/>
    <w:rsid w:val="7B04D83E"/>
    <w:rsid w:val="7B0A8E1B"/>
    <w:rsid w:val="7B971DF9"/>
    <w:rsid w:val="7BA74D8F"/>
    <w:rsid w:val="7BB9677D"/>
    <w:rsid w:val="7BED5B9C"/>
    <w:rsid w:val="7BF5B275"/>
    <w:rsid w:val="7C3336C6"/>
    <w:rsid w:val="7C3533DF"/>
    <w:rsid w:val="7C358617"/>
    <w:rsid w:val="7C44DC62"/>
    <w:rsid w:val="7C5F99AB"/>
    <w:rsid w:val="7C7C84E6"/>
    <w:rsid w:val="7C7E6416"/>
    <w:rsid w:val="7CCFF90E"/>
    <w:rsid w:val="7CDE4D7F"/>
    <w:rsid w:val="7CDE581F"/>
    <w:rsid w:val="7CEBB128"/>
    <w:rsid w:val="7D216B07"/>
    <w:rsid w:val="7D6CCD6E"/>
    <w:rsid w:val="7D94A446"/>
    <w:rsid w:val="7D95BA99"/>
    <w:rsid w:val="7DA85225"/>
    <w:rsid w:val="7DAD93C8"/>
    <w:rsid w:val="7DB1E4EB"/>
    <w:rsid w:val="7DDCCEF0"/>
    <w:rsid w:val="7E1A0040"/>
    <w:rsid w:val="7E3EF582"/>
    <w:rsid w:val="7E3FA57A"/>
    <w:rsid w:val="7E573CED"/>
    <w:rsid w:val="7E74C5D3"/>
    <w:rsid w:val="7E81BDCC"/>
    <w:rsid w:val="7E9A4D57"/>
    <w:rsid w:val="7EAAC879"/>
    <w:rsid w:val="7F2E9AB0"/>
    <w:rsid w:val="7F653E83"/>
    <w:rsid w:val="7F66D1A4"/>
    <w:rsid w:val="7F777834"/>
    <w:rsid w:val="7F834A38"/>
    <w:rsid w:val="7F904095"/>
    <w:rsid w:val="7FFCA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A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rFonts w:eastAsia="Times New Roman" w:cs="Times New Roman"/>
      <w:sz w:val="24"/>
      <w:szCs w:val="24"/>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List1"/>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semiHidden/>
    <w:unhideWhenUsed/>
    <w:rsid w:val="003B41C5"/>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3B41C5"/>
    <w:pPr>
      <w:suppressAutoHyphens/>
      <w:spacing w:before="320"/>
      <w:ind w:left="720" w:right="720" w:hanging="720"/>
    </w:pPr>
    <w:rPr>
      <w:rFonts w:ascii="Cambria" w:hAnsi="Cambria"/>
      <w:b/>
      <w:caps/>
      <w:sz w:val="32"/>
    </w:rPr>
  </w:style>
  <w:style w:type="paragraph" w:styleId="TOC2">
    <w:name w:val="toc 2"/>
    <w:basedOn w:val="Normal"/>
    <w:next w:val="Normal"/>
    <w:autoRedefine/>
    <w:uiPriority w:val="39"/>
    <w:unhideWhenUsed/>
    <w:rsid w:val="003B41C5"/>
    <w:pPr>
      <w:suppressAutoHyphens/>
      <w:spacing w:before="240" w:after="240"/>
      <w:ind w:left="1440" w:right="720" w:hanging="720"/>
    </w:pPr>
    <w:rPr>
      <w:rFonts w:ascii="Cambria" w:hAnsi="Cambria"/>
      <w:sz w:val="22"/>
    </w:rPr>
  </w:style>
  <w:style w:type="paragraph" w:styleId="TOC3">
    <w:name w:val="toc 3"/>
    <w:basedOn w:val="Normal"/>
    <w:next w:val="Normal"/>
    <w:autoRedefine/>
    <w:uiPriority w:val="39"/>
    <w:unhideWhenUsed/>
    <w:rsid w:val="003B41C5"/>
    <w:pPr>
      <w:suppressAutoHyphens/>
      <w:spacing w:after="120"/>
      <w:ind w:left="2160" w:right="720" w:hanging="720"/>
    </w:pPr>
    <w:rPr>
      <w:rFonts w:ascii="Cambria" w:hAnsi="Cambria"/>
      <w:sz w:val="22"/>
    </w:rPr>
  </w:style>
  <w:style w:type="paragraph" w:styleId="TOC4">
    <w:name w:val="toc 4"/>
    <w:basedOn w:val="Normal"/>
    <w:next w:val="Normal"/>
    <w:autoRedefine/>
    <w:uiPriority w:val="39"/>
    <w:semiHidden/>
    <w:unhideWhenUsed/>
    <w:rsid w:val="003B41C5"/>
    <w:pPr>
      <w:suppressAutoHyphens/>
      <w:ind w:left="2160" w:right="720" w:hanging="720"/>
    </w:pPr>
    <w:rPr>
      <w:rFonts w:ascii="Cambria" w:hAnsi="Cambria"/>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75B7D"/>
    <w:pPr>
      <w:spacing w:after="240"/>
      <w:jc w:val="center"/>
    </w:pPr>
    <w:rPr>
      <w:b/>
      <w:caps/>
      <w:color w:val="000000"/>
      <w:sz w:val="32"/>
    </w:rPr>
  </w:style>
  <w:style w:type="character" w:customStyle="1" w:styleId="IACaptuloChar">
    <w:name w:val="IA   Capítulo Char"/>
    <w:basedOn w:val="DefaultParagraphFont"/>
    <w:link w:val="IACaptulo"/>
    <w:rsid w:val="00975B7D"/>
    <w:rPr>
      <w:rFonts w:ascii="Cambria" w:hAnsi="Cambria"/>
      <w:b/>
      <w:caps/>
      <w:color w:val="000000"/>
      <w:sz w:val="32"/>
    </w:rPr>
  </w:style>
  <w:style w:type="paragraph" w:customStyle="1" w:styleId="IATtulo">
    <w:name w:val="IA   Título"/>
    <w:basedOn w:val="List"/>
    <w:link w:val="IATtuloChar"/>
    <w:qFormat/>
    <w:rsid w:val="003D40D2"/>
    <w:pPr>
      <w:numPr>
        <w:numId w:val="11"/>
      </w:numPr>
      <w:spacing w:after="240"/>
      <w:contextualSpacing w:val="0"/>
    </w:pPr>
    <w:rPr>
      <w:rFonts w:ascii="Cambria" w:hAnsi="Cambria"/>
      <w:b/>
      <w:caps/>
      <w:color w:val="000000"/>
      <w:sz w:val="22"/>
    </w:rPr>
  </w:style>
  <w:style w:type="character" w:customStyle="1" w:styleId="IATtuloChar">
    <w:name w:val="IA   Título Char"/>
    <w:basedOn w:val="DefaultParagraphFont"/>
    <w:link w:val="IATtulo"/>
    <w:rsid w:val="003D40D2"/>
    <w:rPr>
      <w:rFonts w:ascii="Cambria" w:eastAsia="Times New Roman" w:hAnsi="Cambria" w:cs="Times New Roman"/>
      <w:b/>
      <w:caps/>
      <w:color w:val="000000"/>
      <w:szCs w:val="24"/>
    </w:rPr>
  </w:style>
  <w:style w:type="paragraph" w:customStyle="1" w:styleId="IASubttulo2">
    <w:name w:val="IA  Subtítulo 2"/>
    <w:basedOn w:val="List"/>
    <w:link w:val="IASubttulo2Char"/>
    <w:qFormat/>
    <w:rsid w:val="003D40D2"/>
    <w:pPr>
      <w:numPr>
        <w:numId w:val="12"/>
      </w:numPr>
      <w:spacing w:after="240"/>
      <w:contextualSpacing w:val="0"/>
    </w:pPr>
    <w:rPr>
      <w:rFonts w:ascii="Cambria" w:hAnsi="Cambria"/>
      <w:b/>
      <w:color w:val="000000"/>
      <w:sz w:val="20"/>
      <w:lang w:val="es-CO"/>
    </w:rPr>
  </w:style>
  <w:style w:type="character" w:customStyle="1" w:styleId="IASubttulo2Char">
    <w:name w:val="IA  Subtítulo 2 Char"/>
    <w:basedOn w:val="DefaultParagraphFont"/>
    <w:link w:val="IASubttulo2"/>
    <w:rsid w:val="003D40D2"/>
    <w:rPr>
      <w:rFonts w:ascii="Cambria" w:eastAsia="Times New Roman" w:hAnsi="Cambria" w:cs="Times New Roman"/>
      <w:b/>
      <w:color w:val="000000"/>
      <w:sz w:val="20"/>
      <w:szCs w:val="24"/>
      <w:lang w:val="es-CO"/>
    </w:rPr>
  </w:style>
  <w:style w:type="paragraph" w:customStyle="1" w:styleId="IASubttulo3">
    <w:name w:val="IA  Subtítulo 3"/>
    <w:basedOn w:val="List"/>
    <w:link w:val="IASubttulo3Char"/>
    <w:qFormat/>
    <w:rsid w:val="00B95730"/>
    <w:pPr>
      <w:numPr>
        <w:numId w:val="13"/>
      </w:numPr>
      <w:spacing w:after="240"/>
      <w:contextualSpacing w:val="0"/>
    </w:pPr>
    <w:rPr>
      <w:rFonts w:ascii="Cambria" w:hAnsi="Cambria"/>
      <w:b/>
      <w:color w:val="000000"/>
      <w:sz w:val="20"/>
    </w:rPr>
  </w:style>
  <w:style w:type="character" w:customStyle="1" w:styleId="IASubttulo3Char">
    <w:name w:val="IA  Subtítulo 3 Char"/>
    <w:basedOn w:val="DefaultParagraphFont"/>
    <w:link w:val="IASubttulo3"/>
    <w:rsid w:val="00B95730"/>
    <w:rPr>
      <w:rFonts w:ascii="Cambria" w:eastAsia="Times New Roman" w:hAnsi="Cambria" w:cs="Times New Roman"/>
      <w:b/>
      <w:color w:val="000000"/>
      <w:sz w:val="20"/>
      <w:szCs w:val="24"/>
    </w:rPr>
  </w:style>
  <w:style w:type="paragraph" w:customStyle="1" w:styleId="IASubttulo4">
    <w:name w:val="IA  Subtítulo 4"/>
    <w:basedOn w:val="List"/>
    <w:link w:val="IASubttulo4Char"/>
    <w:qFormat/>
    <w:rsid w:val="00975B7D"/>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75B7D"/>
    <w:rPr>
      <w:rFonts w:ascii="Times New Roman" w:eastAsia="Times New Roman" w:hAnsi="Times New Roman" w:cs="Times New Roman"/>
      <w:b/>
      <w:color w:val="000000"/>
      <w:sz w:val="20"/>
      <w:szCs w:val="24"/>
    </w:rPr>
  </w:style>
  <w:style w:type="paragraph" w:customStyle="1" w:styleId="IAPrrafo">
    <w:name w:val="IA Párrafo"/>
    <w:basedOn w:val="List"/>
    <w:link w:val="IAPrrafoChar"/>
    <w:qFormat/>
    <w:rsid w:val="00AD50CD"/>
    <w:pPr>
      <w:numPr>
        <w:numId w:val="15"/>
      </w:numPr>
      <w:spacing w:after="240"/>
      <w:contextualSpacing w:val="0"/>
      <w:jc w:val="both"/>
    </w:pPr>
    <w:rPr>
      <w:rFonts w:ascii="Cambria" w:hAnsi="Cambria"/>
      <w:color w:val="000000"/>
      <w:sz w:val="20"/>
      <w:lang w:val="es-CO"/>
    </w:rPr>
  </w:style>
  <w:style w:type="character" w:customStyle="1" w:styleId="IAPrrafoChar">
    <w:name w:val="IA Párrafo Char"/>
    <w:basedOn w:val="DefaultParagraphFont"/>
    <w:link w:val="IAPrrafo"/>
    <w:rsid w:val="00AD50CD"/>
    <w:rPr>
      <w:rFonts w:ascii="Cambria" w:eastAsia="Times New Roman" w:hAnsi="Cambria" w:cs="Times New Roman"/>
      <w:color w:val="000000"/>
      <w:sz w:val="20"/>
      <w:szCs w:val="24"/>
      <w:lang w:val="es-CO"/>
    </w:rPr>
  </w:style>
  <w:style w:type="paragraph" w:customStyle="1" w:styleId="TOCCaptulo">
    <w:name w:val="TOC_Capítulo"/>
    <w:basedOn w:val="Normal"/>
    <w:link w:val="TOCCaptuloChar"/>
    <w:rsid w:val="00115E2C"/>
    <w:pPr>
      <w:suppressAutoHyphens/>
      <w:spacing w:after="240"/>
    </w:pPr>
    <w:rPr>
      <w:rFonts w:ascii="Cambria" w:eastAsiaTheme="minorHAnsi" w:hAnsi="Cambria" w:cstheme="minorBidi"/>
      <w:b/>
      <w:color w:val="0070C0"/>
      <w:sz w:val="32"/>
      <w:szCs w:val="22"/>
    </w:rPr>
  </w:style>
  <w:style w:type="character" w:customStyle="1" w:styleId="TOCCaptuloChar">
    <w:name w:val="TOC_Capítulo Char"/>
    <w:basedOn w:val="DefaultParagraphFont"/>
    <w:link w:val="TOCCaptulo"/>
    <w:rsid w:val="00115E2C"/>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764BBF"/>
    <w:pPr>
      <w:ind w:firstLine="720"/>
      <w:contextualSpacing/>
      <w:jc w:val="both"/>
    </w:pPr>
    <w:rPr>
      <w:rFonts w:ascii="Cambria" w:hAnsi="Cambria"/>
      <w:color w:val="000000"/>
      <w:sz w:val="16"/>
      <w:lang w:val="es-ES"/>
    </w:rPr>
  </w:style>
  <w:style w:type="character" w:customStyle="1" w:styleId="IAPiedepginaChar">
    <w:name w:val="IA Pie de página Char"/>
    <w:basedOn w:val="DefaultParagraphFont"/>
    <w:link w:val="IAPiedepgina"/>
    <w:rsid w:val="00764BBF"/>
    <w:rPr>
      <w:rFonts w:ascii="Cambria" w:eastAsia="Times New Roman" w:hAnsi="Cambria" w:cs="Times New Roman"/>
      <w:color w:val="000000"/>
      <w:sz w:val="16"/>
      <w:szCs w:val="24"/>
      <w:lang w:val="es-ES"/>
    </w:rPr>
  </w:style>
  <w:style w:type="paragraph" w:customStyle="1" w:styleId="IAVietas">
    <w:name w:val="IA Viñetas"/>
    <w:basedOn w:val="Normal"/>
    <w:link w:val="IAVietasChar"/>
    <w:qFormat/>
    <w:rsid w:val="00975B7D"/>
    <w:pPr>
      <w:numPr>
        <w:numId w:val="16"/>
      </w:numPr>
      <w:spacing w:after="120"/>
      <w:ind w:left="1440" w:hanging="720"/>
      <w:jc w:val="both"/>
    </w:pPr>
    <w:rPr>
      <w:color w:val="000000"/>
      <w:sz w:val="20"/>
      <w:lang w:val="es-ES"/>
    </w:rPr>
  </w:style>
  <w:style w:type="character" w:customStyle="1" w:styleId="IAVietasChar">
    <w:name w:val="IA Viñetas Char"/>
    <w:basedOn w:val="DefaultParagraphFont"/>
    <w:link w:val="IAVietas"/>
    <w:rsid w:val="00975B7D"/>
    <w:rPr>
      <w:rFonts w:ascii="Times New Roman" w:eastAsia="Times New Roman" w:hAnsi="Times New Roman" w:cs="Times New Roman"/>
      <w:color w:val="000000"/>
      <w:sz w:val="20"/>
      <w:szCs w:val="24"/>
      <w:lang w:val="es-ES"/>
    </w:rPr>
  </w:style>
  <w:style w:type="character" w:customStyle="1" w:styleId="IAnegrilla">
    <w:name w:val="IA_negrilla"/>
    <w:basedOn w:val="DefaultParagraphFont"/>
    <w:qFormat/>
    <w:rsid w:val="00975B7D"/>
    <w:rPr>
      <w:b/>
      <w:lang w:val="es-ES"/>
    </w:rPr>
  </w:style>
  <w:style w:type="character" w:customStyle="1" w:styleId="IAsubrayado">
    <w:name w:val="IA_subrayado"/>
    <w:basedOn w:val="DefaultParagraphFont"/>
    <w:qFormat/>
    <w:rsid w:val="00975B7D"/>
    <w:rPr>
      <w:u w:val="single"/>
      <w:lang w:val="es-ES"/>
    </w:rPr>
  </w:style>
  <w:style w:type="character" w:customStyle="1" w:styleId="IAitlica">
    <w:name w:val="IA_itálica"/>
    <w:basedOn w:val="DefaultParagraphFont"/>
    <w:qFormat/>
    <w:rsid w:val="00975B7D"/>
    <w:rPr>
      <w:i/>
      <w:lang w:val="es-ES"/>
    </w:rPr>
  </w:style>
  <w:style w:type="character" w:customStyle="1" w:styleId="IAresaltado">
    <w:name w:val="IA_resaltado"/>
    <w:basedOn w:val="DefaultParagraphFont"/>
    <w:qFormat/>
    <w:rsid w:val="00975B7D"/>
    <w:rPr>
      <w:shd w:val="clear" w:color="auto" w:fill="FFFF00"/>
      <w:lang w:val="es-ES"/>
    </w:rPr>
  </w:style>
  <w:style w:type="character" w:customStyle="1" w:styleId="normaltextrun">
    <w:name w:val="normaltextrun"/>
    <w:basedOn w:val="DefaultParagraphFont"/>
    <w:rsid w:val="00572C9C"/>
  </w:style>
  <w:style w:type="character" w:customStyle="1" w:styleId="eop">
    <w:name w:val="eop"/>
    <w:basedOn w:val="DefaultParagraphFont"/>
    <w:rsid w:val="00D35C3A"/>
  </w:style>
  <w:style w:type="paragraph" w:customStyle="1" w:styleId="paragraph">
    <w:name w:val="paragraph"/>
    <w:basedOn w:val="Normal"/>
    <w:rsid w:val="001F3474"/>
    <w:pPr>
      <w:spacing w:before="100" w:beforeAutospacing="1" w:after="100" w:afterAutospacing="1"/>
    </w:pPr>
  </w:style>
  <w:style w:type="character" w:customStyle="1" w:styleId="superscript">
    <w:name w:val="superscript"/>
    <w:basedOn w:val="DefaultParagraphFont"/>
    <w:rsid w:val="001F3474"/>
  </w:style>
  <w:style w:type="paragraph" w:customStyle="1" w:styleId="Refdenotaalpie">
    <w:name w:val="Ref. de nota al pie."/>
    <w:aliases w:val="Footnote symbol,Footnote,Ref. de nota al pi,f1"/>
    <w:basedOn w:val="Normal"/>
    <w:link w:val="FootnoteReference"/>
    <w:uiPriority w:val="99"/>
    <w:rsid w:val="00CE7B01"/>
    <w:pPr>
      <w:spacing w:before="200" w:after="160" w:line="240" w:lineRule="exact"/>
    </w:pPr>
    <w:rPr>
      <w:rFonts w:asciiTheme="minorHAnsi" w:hAnsiTheme="minorHAnsi"/>
      <w:vertAlign w:val="superscript"/>
    </w:rPr>
  </w:style>
  <w:style w:type="character" w:customStyle="1" w:styleId="ListParagraphChar">
    <w:name w:val="List Paragraph Char"/>
    <w:aliases w:val="Parragrap Char,Superíndice Char,Dot pt Char,No Spacing1 Char,List Paragraph Char Char Char Char,Indicator Text Char,List Paragraph1 Char,Numbered Para 1 Char,4 Párrafo de lista Char,Figuras Char,DH1 Char,4 Párrafo de l Char"/>
    <w:link w:val="ListParagraph"/>
    <w:uiPriority w:val="34"/>
    <w:qFormat/>
    <w:locked/>
    <w:rsid w:val="00CE7B01"/>
    <w:rPr>
      <w:rFonts w:ascii="Cambria" w:hAnsi="Cambria"/>
    </w:rPr>
  </w:style>
  <w:style w:type="character" w:customStyle="1" w:styleId="glossarylink">
    <w:name w:val="glossarylink"/>
    <w:basedOn w:val="DefaultParagraphFont"/>
    <w:rsid w:val="00A57383"/>
  </w:style>
  <w:style w:type="paragraph" w:customStyle="1" w:styleId="Corpo">
    <w:name w:val="Corpo"/>
    <w:rsid w:val="0061627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enhum">
    <w:name w:val="Nenhum"/>
    <w:rsid w:val="00616270"/>
  </w:style>
  <w:style w:type="paragraph" w:styleId="Revision">
    <w:name w:val="Revision"/>
    <w:hidden/>
    <w:uiPriority w:val="99"/>
    <w:semiHidden/>
    <w:rsid w:val="00A07D76"/>
    <w:pPr>
      <w:spacing w:after="0" w:line="240" w:lineRule="auto"/>
    </w:pPr>
    <w:rPr>
      <w:rFonts w:ascii="Cambria" w:hAnsi="Cambria"/>
    </w:rPr>
  </w:style>
  <w:style w:type="character" w:customStyle="1" w:styleId="apple-converted-space">
    <w:name w:val="apple-converted-space"/>
    <w:basedOn w:val="DefaultParagraphFont"/>
    <w:rsid w:val="003A23BA"/>
  </w:style>
  <w:style w:type="character" w:customStyle="1" w:styleId="truncate">
    <w:name w:val="truncate"/>
    <w:basedOn w:val="DefaultParagraphFont"/>
    <w:rsid w:val="003A23BA"/>
  </w:style>
  <w:style w:type="character" w:customStyle="1" w:styleId="cf01">
    <w:name w:val="cf01"/>
    <w:basedOn w:val="DefaultParagraphFont"/>
    <w:rsid w:val="001C16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4190">
      <w:bodyDiv w:val="1"/>
      <w:marLeft w:val="0"/>
      <w:marRight w:val="0"/>
      <w:marTop w:val="0"/>
      <w:marBottom w:val="0"/>
      <w:divBdr>
        <w:top w:val="none" w:sz="0" w:space="0" w:color="auto"/>
        <w:left w:val="none" w:sz="0" w:space="0" w:color="auto"/>
        <w:bottom w:val="none" w:sz="0" w:space="0" w:color="auto"/>
        <w:right w:val="none" w:sz="0" w:space="0" w:color="auto"/>
      </w:divBdr>
      <w:divsChild>
        <w:div w:id="17510335">
          <w:marLeft w:val="0"/>
          <w:marRight w:val="0"/>
          <w:marTop w:val="0"/>
          <w:marBottom w:val="0"/>
          <w:divBdr>
            <w:top w:val="none" w:sz="0" w:space="0" w:color="auto"/>
            <w:left w:val="none" w:sz="0" w:space="0" w:color="auto"/>
            <w:bottom w:val="none" w:sz="0" w:space="0" w:color="auto"/>
            <w:right w:val="none" w:sz="0" w:space="0" w:color="auto"/>
          </w:divBdr>
        </w:div>
        <w:div w:id="370305164">
          <w:marLeft w:val="0"/>
          <w:marRight w:val="0"/>
          <w:marTop w:val="0"/>
          <w:marBottom w:val="0"/>
          <w:divBdr>
            <w:top w:val="none" w:sz="0" w:space="0" w:color="auto"/>
            <w:left w:val="none" w:sz="0" w:space="0" w:color="auto"/>
            <w:bottom w:val="none" w:sz="0" w:space="0" w:color="auto"/>
            <w:right w:val="none" w:sz="0" w:space="0" w:color="auto"/>
          </w:divBdr>
        </w:div>
        <w:div w:id="808284142">
          <w:marLeft w:val="0"/>
          <w:marRight w:val="0"/>
          <w:marTop w:val="0"/>
          <w:marBottom w:val="0"/>
          <w:divBdr>
            <w:top w:val="none" w:sz="0" w:space="0" w:color="auto"/>
            <w:left w:val="none" w:sz="0" w:space="0" w:color="auto"/>
            <w:bottom w:val="none" w:sz="0" w:space="0" w:color="auto"/>
            <w:right w:val="none" w:sz="0" w:space="0" w:color="auto"/>
          </w:divBdr>
          <w:divsChild>
            <w:div w:id="1049963444">
              <w:marLeft w:val="0"/>
              <w:marRight w:val="0"/>
              <w:marTop w:val="0"/>
              <w:marBottom w:val="0"/>
              <w:divBdr>
                <w:top w:val="none" w:sz="0" w:space="0" w:color="auto"/>
                <w:left w:val="none" w:sz="0" w:space="0" w:color="auto"/>
                <w:bottom w:val="none" w:sz="0" w:space="0" w:color="auto"/>
                <w:right w:val="none" w:sz="0" w:space="0" w:color="auto"/>
              </w:divBdr>
            </w:div>
          </w:divsChild>
        </w:div>
        <w:div w:id="1988584865">
          <w:marLeft w:val="0"/>
          <w:marRight w:val="0"/>
          <w:marTop w:val="0"/>
          <w:marBottom w:val="0"/>
          <w:divBdr>
            <w:top w:val="none" w:sz="0" w:space="0" w:color="auto"/>
            <w:left w:val="none" w:sz="0" w:space="0" w:color="auto"/>
            <w:bottom w:val="none" w:sz="0" w:space="0" w:color="auto"/>
            <w:right w:val="none" w:sz="0" w:space="0" w:color="auto"/>
          </w:divBdr>
          <w:divsChild>
            <w:div w:id="1531870703">
              <w:marLeft w:val="0"/>
              <w:marRight w:val="0"/>
              <w:marTop w:val="0"/>
              <w:marBottom w:val="0"/>
              <w:divBdr>
                <w:top w:val="none" w:sz="0" w:space="0" w:color="auto"/>
                <w:left w:val="none" w:sz="0" w:space="0" w:color="auto"/>
                <w:bottom w:val="none" w:sz="0" w:space="0" w:color="auto"/>
                <w:right w:val="none" w:sz="0" w:space="0" w:color="auto"/>
              </w:divBdr>
            </w:div>
          </w:divsChild>
        </w:div>
        <w:div w:id="2020155000">
          <w:marLeft w:val="0"/>
          <w:marRight w:val="0"/>
          <w:marTop w:val="0"/>
          <w:marBottom w:val="0"/>
          <w:divBdr>
            <w:top w:val="none" w:sz="0" w:space="0" w:color="auto"/>
            <w:left w:val="none" w:sz="0" w:space="0" w:color="auto"/>
            <w:bottom w:val="none" w:sz="0" w:space="0" w:color="auto"/>
            <w:right w:val="none" w:sz="0" w:space="0" w:color="auto"/>
          </w:divBdr>
        </w:div>
      </w:divsChild>
    </w:div>
    <w:div w:id="101730146">
      <w:bodyDiv w:val="1"/>
      <w:marLeft w:val="0"/>
      <w:marRight w:val="0"/>
      <w:marTop w:val="0"/>
      <w:marBottom w:val="0"/>
      <w:divBdr>
        <w:top w:val="none" w:sz="0" w:space="0" w:color="auto"/>
        <w:left w:val="none" w:sz="0" w:space="0" w:color="auto"/>
        <w:bottom w:val="none" w:sz="0" w:space="0" w:color="auto"/>
        <w:right w:val="none" w:sz="0" w:space="0" w:color="auto"/>
      </w:divBdr>
    </w:div>
    <w:div w:id="116993320">
      <w:bodyDiv w:val="1"/>
      <w:marLeft w:val="0"/>
      <w:marRight w:val="0"/>
      <w:marTop w:val="0"/>
      <w:marBottom w:val="0"/>
      <w:divBdr>
        <w:top w:val="none" w:sz="0" w:space="0" w:color="auto"/>
        <w:left w:val="none" w:sz="0" w:space="0" w:color="auto"/>
        <w:bottom w:val="none" w:sz="0" w:space="0" w:color="auto"/>
        <w:right w:val="none" w:sz="0" w:space="0" w:color="auto"/>
      </w:divBdr>
      <w:divsChild>
        <w:div w:id="129135110">
          <w:marLeft w:val="0"/>
          <w:marRight w:val="0"/>
          <w:marTop w:val="0"/>
          <w:marBottom w:val="0"/>
          <w:divBdr>
            <w:top w:val="none" w:sz="0" w:space="0" w:color="auto"/>
            <w:left w:val="none" w:sz="0" w:space="0" w:color="auto"/>
            <w:bottom w:val="none" w:sz="0" w:space="0" w:color="auto"/>
            <w:right w:val="none" w:sz="0" w:space="0" w:color="auto"/>
          </w:divBdr>
          <w:divsChild>
            <w:div w:id="537201318">
              <w:marLeft w:val="0"/>
              <w:marRight w:val="0"/>
              <w:marTop w:val="0"/>
              <w:marBottom w:val="0"/>
              <w:divBdr>
                <w:top w:val="none" w:sz="0" w:space="0" w:color="auto"/>
                <w:left w:val="none" w:sz="0" w:space="0" w:color="auto"/>
                <w:bottom w:val="none" w:sz="0" w:space="0" w:color="auto"/>
                <w:right w:val="none" w:sz="0" w:space="0" w:color="auto"/>
              </w:divBdr>
              <w:divsChild>
                <w:div w:id="1261648364">
                  <w:marLeft w:val="0"/>
                  <w:marRight w:val="0"/>
                  <w:marTop w:val="0"/>
                  <w:marBottom w:val="0"/>
                  <w:divBdr>
                    <w:top w:val="none" w:sz="0" w:space="0" w:color="auto"/>
                    <w:left w:val="none" w:sz="0" w:space="0" w:color="auto"/>
                    <w:bottom w:val="none" w:sz="0" w:space="0" w:color="auto"/>
                    <w:right w:val="none" w:sz="0" w:space="0" w:color="auto"/>
                  </w:divBdr>
                  <w:divsChild>
                    <w:div w:id="189876741">
                      <w:marLeft w:val="0"/>
                      <w:marRight w:val="0"/>
                      <w:marTop w:val="0"/>
                      <w:marBottom w:val="0"/>
                      <w:divBdr>
                        <w:top w:val="none" w:sz="0" w:space="0" w:color="auto"/>
                        <w:left w:val="none" w:sz="0" w:space="0" w:color="auto"/>
                        <w:bottom w:val="none" w:sz="0" w:space="0" w:color="auto"/>
                        <w:right w:val="none" w:sz="0" w:space="0" w:color="auto"/>
                      </w:divBdr>
                      <w:divsChild>
                        <w:div w:id="262030761">
                          <w:marLeft w:val="0"/>
                          <w:marRight w:val="0"/>
                          <w:marTop w:val="0"/>
                          <w:marBottom w:val="0"/>
                          <w:divBdr>
                            <w:top w:val="none" w:sz="0" w:space="0" w:color="auto"/>
                            <w:left w:val="none" w:sz="0" w:space="0" w:color="auto"/>
                            <w:bottom w:val="none" w:sz="0" w:space="0" w:color="auto"/>
                            <w:right w:val="none" w:sz="0" w:space="0" w:color="auto"/>
                          </w:divBdr>
                          <w:divsChild>
                            <w:div w:id="16368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30254">
      <w:bodyDiv w:val="1"/>
      <w:marLeft w:val="0"/>
      <w:marRight w:val="0"/>
      <w:marTop w:val="0"/>
      <w:marBottom w:val="0"/>
      <w:divBdr>
        <w:top w:val="none" w:sz="0" w:space="0" w:color="auto"/>
        <w:left w:val="none" w:sz="0" w:space="0" w:color="auto"/>
        <w:bottom w:val="none" w:sz="0" w:space="0" w:color="auto"/>
        <w:right w:val="none" w:sz="0" w:space="0" w:color="auto"/>
      </w:divBdr>
    </w:div>
    <w:div w:id="171644837">
      <w:bodyDiv w:val="1"/>
      <w:marLeft w:val="0"/>
      <w:marRight w:val="0"/>
      <w:marTop w:val="0"/>
      <w:marBottom w:val="0"/>
      <w:divBdr>
        <w:top w:val="none" w:sz="0" w:space="0" w:color="auto"/>
        <w:left w:val="none" w:sz="0" w:space="0" w:color="auto"/>
        <w:bottom w:val="none" w:sz="0" w:space="0" w:color="auto"/>
        <w:right w:val="none" w:sz="0" w:space="0" w:color="auto"/>
      </w:divBdr>
    </w:div>
    <w:div w:id="184176322">
      <w:bodyDiv w:val="1"/>
      <w:marLeft w:val="0"/>
      <w:marRight w:val="0"/>
      <w:marTop w:val="0"/>
      <w:marBottom w:val="0"/>
      <w:divBdr>
        <w:top w:val="none" w:sz="0" w:space="0" w:color="auto"/>
        <w:left w:val="none" w:sz="0" w:space="0" w:color="auto"/>
        <w:bottom w:val="none" w:sz="0" w:space="0" w:color="auto"/>
        <w:right w:val="none" w:sz="0" w:space="0" w:color="auto"/>
      </w:divBdr>
    </w:div>
    <w:div w:id="193421323">
      <w:bodyDiv w:val="1"/>
      <w:marLeft w:val="0"/>
      <w:marRight w:val="0"/>
      <w:marTop w:val="0"/>
      <w:marBottom w:val="0"/>
      <w:divBdr>
        <w:top w:val="none" w:sz="0" w:space="0" w:color="auto"/>
        <w:left w:val="none" w:sz="0" w:space="0" w:color="auto"/>
        <w:bottom w:val="none" w:sz="0" w:space="0" w:color="auto"/>
        <w:right w:val="none" w:sz="0" w:space="0" w:color="auto"/>
      </w:divBdr>
    </w:div>
    <w:div w:id="217016132">
      <w:bodyDiv w:val="1"/>
      <w:marLeft w:val="0"/>
      <w:marRight w:val="0"/>
      <w:marTop w:val="0"/>
      <w:marBottom w:val="0"/>
      <w:divBdr>
        <w:top w:val="none" w:sz="0" w:space="0" w:color="auto"/>
        <w:left w:val="none" w:sz="0" w:space="0" w:color="auto"/>
        <w:bottom w:val="none" w:sz="0" w:space="0" w:color="auto"/>
        <w:right w:val="none" w:sz="0" w:space="0" w:color="auto"/>
      </w:divBdr>
      <w:divsChild>
        <w:div w:id="1578708799">
          <w:marLeft w:val="0"/>
          <w:marRight w:val="0"/>
          <w:marTop w:val="0"/>
          <w:marBottom w:val="0"/>
          <w:divBdr>
            <w:top w:val="none" w:sz="0" w:space="0" w:color="auto"/>
            <w:left w:val="none" w:sz="0" w:space="0" w:color="auto"/>
            <w:bottom w:val="none" w:sz="0" w:space="0" w:color="auto"/>
            <w:right w:val="none" w:sz="0" w:space="0" w:color="auto"/>
          </w:divBdr>
        </w:div>
      </w:divsChild>
    </w:div>
    <w:div w:id="217278481">
      <w:bodyDiv w:val="1"/>
      <w:marLeft w:val="0"/>
      <w:marRight w:val="0"/>
      <w:marTop w:val="0"/>
      <w:marBottom w:val="0"/>
      <w:divBdr>
        <w:top w:val="none" w:sz="0" w:space="0" w:color="auto"/>
        <w:left w:val="none" w:sz="0" w:space="0" w:color="auto"/>
        <w:bottom w:val="none" w:sz="0" w:space="0" w:color="auto"/>
        <w:right w:val="none" w:sz="0" w:space="0" w:color="auto"/>
      </w:divBdr>
    </w:div>
    <w:div w:id="261039657">
      <w:bodyDiv w:val="1"/>
      <w:marLeft w:val="0"/>
      <w:marRight w:val="0"/>
      <w:marTop w:val="0"/>
      <w:marBottom w:val="0"/>
      <w:divBdr>
        <w:top w:val="none" w:sz="0" w:space="0" w:color="auto"/>
        <w:left w:val="none" w:sz="0" w:space="0" w:color="auto"/>
        <w:bottom w:val="none" w:sz="0" w:space="0" w:color="auto"/>
        <w:right w:val="none" w:sz="0" w:space="0" w:color="auto"/>
      </w:divBdr>
    </w:div>
    <w:div w:id="279456315">
      <w:bodyDiv w:val="1"/>
      <w:marLeft w:val="0"/>
      <w:marRight w:val="0"/>
      <w:marTop w:val="0"/>
      <w:marBottom w:val="0"/>
      <w:divBdr>
        <w:top w:val="none" w:sz="0" w:space="0" w:color="auto"/>
        <w:left w:val="none" w:sz="0" w:space="0" w:color="auto"/>
        <w:bottom w:val="none" w:sz="0" w:space="0" w:color="auto"/>
        <w:right w:val="none" w:sz="0" w:space="0" w:color="auto"/>
      </w:divBdr>
    </w:div>
    <w:div w:id="289895214">
      <w:bodyDiv w:val="1"/>
      <w:marLeft w:val="0"/>
      <w:marRight w:val="0"/>
      <w:marTop w:val="0"/>
      <w:marBottom w:val="0"/>
      <w:divBdr>
        <w:top w:val="none" w:sz="0" w:space="0" w:color="auto"/>
        <w:left w:val="none" w:sz="0" w:space="0" w:color="auto"/>
        <w:bottom w:val="none" w:sz="0" w:space="0" w:color="auto"/>
        <w:right w:val="none" w:sz="0" w:space="0" w:color="auto"/>
      </w:divBdr>
    </w:div>
    <w:div w:id="291903629">
      <w:bodyDiv w:val="1"/>
      <w:marLeft w:val="0"/>
      <w:marRight w:val="0"/>
      <w:marTop w:val="0"/>
      <w:marBottom w:val="0"/>
      <w:divBdr>
        <w:top w:val="none" w:sz="0" w:space="0" w:color="auto"/>
        <w:left w:val="none" w:sz="0" w:space="0" w:color="auto"/>
        <w:bottom w:val="none" w:sz="0" w:space="0" w:color="auto"/>
        <w:right w:val="none" w:sz="0" w:space="0" w:color="auto"/>
      </w:divBdr>
    </w:div>
    <w:div w:id="300161187">
      <w:bodyDiv w:val="1"/>
      <w:marLeft w:val="0"/>
      <w:marRight w:val="0"/>
      <w:marTop w:val="0"/>
      <w:marBottom w:val="0"/>
      <w:divBdr>
        <w:top w:val="none" w:sz="0" w:space="0" w:color="auto"/>
        <w:left w:val="none" w:sz="0" w:space="0" w:color="auto"/>
        <w:bottom w:val="none" w:sz="0" w:space="0" w:color="auto"/>
        <w:right w:val="none" w:sz="0" w:space="0" w:color="auto"/>
      </w:divBdr>
      <w:divsChild>
        <w:div w:id="1493792663">
          <w:marLeft w:val="0"/>
          <w:marRight w:val="0"/>
          <w:marTop w:val="0"/>
          <w:marBottom w:val="0"/>
          <w:divBdr>
            <w:top w:val="none" w:sz="0" w:space="0" w:color="auto"/>
            <w:left w:val="none" w:sz="0" w:space="0" w:color="auto"/>
            <w:bottom w:val="none" w:sz="0" w:space="0" w:color="auto"/>
            <w:right w:val="none" w:sz="0" w:space="0" w:color="auto"/>
          </w:divBdr>
        </w:div>
      </w:divsChild>
    </w:div>
    <w:div w:id="310713093">
      <w:bodyDiv w:val="1"/>
      <w:marLeft w:val="0"/>
      <w:marRight w:val="0"/>
      <w:marTop w:val="0"/>
      <w:marBottom w:val="0"/>
      <w:divBdr>
        <w:top w:val="none" w:sz="0" w:space="0" w:color="auto"/>
        <w:left w:val="none" w:sz="0" w:space="0" w:color="auto"/>
        <w:bottom w:val="none" w:sz="0" w:space="0" w:color="auto"/>
        <w:right w:val="none" w:sz="0" w:space="0" w:color="auto"/>
      </w:divBdr>
    </w:div>
    <w:div w:id="378172048">
      <w:bodyDiv w:val="1"/>
      <w:marLeft w:val="0"/>
      <w:marRight w:val="0"/>
      <w:marTop w:val="0"/>
      <w:marBottom w:val="0"/>
      <w:divBdr>
        <w:top w:val="none" w:sz="0" w:space="0" w:color="auto"/>
        <w:left w:val="none" w:sz="0" w:space="0" w:color="auto"/>
        <w:bottom w:val="none" w:sz="0" w:space="0" w:color="auto"/>
        <w:right w:val="none" w:sz="0" w:space="0" w:color="auto"/>
      </w:divBdr>
    </w:div>
    <w:div w:id="421416635">
      <w:bodyDiv w:val="1"/>
      <w:marLeft w:val="0"/>
      <w:marRight w:val="0"/>
      <w:marTop w:val="0"/>
      <w:marBottom w:val="0"/>
      <w:divBdr>
        <w:top w:val="none" w:sz="0" w:space="0" w:color="auto"/>
        <w:left w:val="none" w:sz="0" w:space="0" w:color="auto"/>
        <w:bottom w:val="none" w:sz="0" w:space="0" w:color="auto"/>
        <w:right w:val="none" w:sz="0" w:space="0" w:color="auto"/>
      </w:divBdr>
      <w:divsChild>
        <w:div w:id="2117289452">
          <w:marLeft w:val="0"/>
          <w:marRight w:val="0"/>
          <w:marTop w:val="0"/>
          <w:marBottom w:val="0"/>
          <w:divBdr>
            <w:top w:val="none" w:sz="0" w:space="0" w:color="auto"/>
            <w:left w:val="none" w:sz="0" w:space="0" w:color="auto"/>
            <w:bottom w:val="none" w:sz="0" w:space="0" w:color="auto"/>
            <w:right w:val="none" w:sz="0" w:space="0" w:color="auto"/>
          </w:divBdr>
        </w:div>
      </w:divsChild>
    </w:div>
    <w:div w:id="427893734">
      <w:bodyDiv w:val="1"/>
      <w:marLeft w:val="0"/>
      <w:marRight w:val="0"/>
      <w:marTop w:val="0"/>
      <w:marBottom w:val="0"/>
      <w:divBdr>
        <w:top w:val="none" w:sz="0" w:space="0" w:color="auto"/>
        <w:left w:val="none" w:sz="0" w:space="0" w:color="auto"/>
        <w:bottom w:val="none" w:sz="0" w:space="0" w:color="auto"/>
        <w:right w:val="none" w:sz="0" w:space="0" w:color="auto"/>
      </w:divBdr>
    </w:div>
    <w:div w:id="450320749">
      <w:bodyDiv w:val="1"/>
      <w:marLeft w:val="0"/>
      <w:marRight w:val="0"/>
      <w:marTop w:val="0"/>
      <w:marBottom w:val="0"/>
      <w:divBdr>
        <w:top w:val="none" w:sz="0" w:space="0" w:color="auto"/>
        <w:left w:val="none" w:sz="0" w:space="0" w:color="auto"/>
        <w:bottom w:val="none" w:sz="0" w:space="0" w:color="auto"/>
        <w:right w:val="none" w:sz="0" w:space="0" w:color="auto"/>
      </w:divBdr>
    </w:div>
    <w:div w:id="454492760">
      <w:bodyDiv w:val="1"/>
      <w:marLeft w:val="0"/>
      <w:marRight w:val="0"/>
      <w:marTop w:val="0"/>
      <w:marBottom w:val="0"/>
      <w:divBdr>
        <w:top w:val="none" w:sz="0" w:space="0" w:color="auto"/>
        <w:left w:val="none" w:sz="0" w:space="0" w:color="auto"/>
        <w:bottom w:val="none" w:sz="0" w:space="0" w:color="auto"/>
        <w:right w:val="none" w:sz="0" w:space="0" w:color="auto"/>
      </w:divBdr>
    </w:div>
    <w:div w:id="502664500">
      <w:bodyDiv w:val="1"/>
      <w:marLeft w:val="0"/>
      <w:marRight w:val="0"/>
      <w:marTop w:val="0"/>
      <w:marBottom w:val="0"/>
      <w:divBdr>
        <w:top w:val="none" w:sz="0" w:space="0" w:color="auto"/>
        <w:left w:val="none" w:sz="0" w:space="0" w:color="auto"/>
        <w:bottom w:val="none" w:sz="0" w:space="0" w:color="auto"/>
        <w:right w:val="none" w:sz="0" w:space="0" w:color="auto"/>
      </w:divBdr>
    </w:div>
    <w:div w:id="508833386">
      <w:bodyDiv w:val="1"/>
      <w:marLeft w:val="0"/>
      <w:marRight w:val="0"/>
      <w:marTop w:val="0"/>
      <w:marBottom w:val="0"/>
      <w:divBdr>
        <w:top w:val="none" w:sz="0" w:space="0" w:color="auto"/>
        <w:left w:val="none" w:sz="0" w:space="0" w:color="auto"/>
        <w:bottom w:val="none" w:sz="0" w:space="0" w:color="auto"/>
        <w:right w:val="none" w:sz="0" w:space="0" w:color="auto"/>
      </w:divBdr>
    </w:div>
    <w:div w:id="522331049">
      <w:bodyDiv w:val="1"/>
      <w:marLeft w:val="0"/>
      <w:marRight w:val="0"/>
      <w:marTop w:val="0"/>
      <w:marBottom w:val="0"/>
      <w:divBdr>
        <w:top w:val="none" w:sz="0" w:space="0" w:color="auto"/>
        <w:left w:val="none" w:sz="0" w:space="0" w:color="auto"/>
        <w:bottom w:val="none" w:sz="0" w:space="0" w:color="auto"/>
        <w:right w:val="none" w:sz="0" w:space="0" w:color="auto"/>
      </w:divBdr>
      <w:divsChild>
        <w:div w:id="799736453">
          <w:marLeft w:val="0"/>
          <w:marRight w:val="0"/>
          <w:marTop w:val="0"/>
          <w:marBottom w:val="0"/>
          <w:divBdr>
            <w:top w:val="none" w:sz="0" w:space="0" w:color="auto"/>
            <w:left w:val="none" w:sz="0" w:space="0" w:color="auto"/>
            <w:bottom w:val="none" w:sz="0" w:space="0" w:color="auto"/>
            <w:right w:val="none" w:sz="0" w:space="0" w:color="auto"/>
          </w:divBdr>
        </w:div>
      </w:divsChild>
    </w:div>
    <w:div w:id="526024058">
      <w:bodyDiv w:val="1"/>
      <w:marLeft w:val="0"/>
      <w:marRight w:val="0"/>
      <w:marTop w:val="0"/>
      <w:marBottom w:val="0"/>
      <w:divBdr>
        <w:top w:val="none" w:sz="0" w:space="0" w:color="auto"/>
        <w:left w:val="none" w:sz="0" w:space="0" w:color="auto"/>
        <w:bottom w:val="none" w:sz="0" w:space="0" w:color="auto"/>
        <w:right w:val="none" w:sz="0" w:space="0" w:color="auto"/>
      </w:divBdr>
      <w:divsChild>
        <w:div w:id="904684338">
          <w:marLeft w:val="0"/>
          <w:marRight w:val="0"/>
          <w:marTop w:val="0"/>
          <w:marBottom w:val="0"/>
          <w:divBdr>
            <w:top w:val="none" w:sz="0" w:space="0" w:color="auto"/>
            <w:left w:val="none" w:sz="0" w:space="0" w:color="auto"/>
            <w:bottom w:val="none" w:sz="0" w:space="0" w:color="auto"/>
            <w:right w:val="none" w:sz="0" w:space="0" w:color="auto"/>
          </w:divBdr>
        </w:div>
      </w:divsChild>
    </w:div>
    <w:div w:id="567618185">
      <w:bodyDiv w:val="1"/>
      <w:marLeft w:val="0"/>
      <w:marRight w:val="0"/>
      <w:marTop w:val="0"/>
      <w:marBottom w:val="0"/>
      <w:divBdr>
        <w:top w:val="none" w:sz="0" w:space="0" w:color="auto"/>
        <w:left w:val="none" w:sz="0" w:space="0" w:color="auto"/>
        <w:bottom w:val="none" w:sz="0" w:space="0" w:color="auto"/>
        <w:right w:val="none" w:sz="0" w:space="0" w:color="auto"/>
      </w:divBdr>
      <w:divsChild>
        <w:div w:id="370613574">
          <w:marLeft w:val="0"/>
          <w:marRight w:val="0"/>
          <w:marTop w:val="0"/>
          <w:marBottom w:val="0"/>
          <w:divBdr>
            <w:top w:val="none" w:sz="0" w:space="0" w:color="auto"/>
            <w:left w:val="none" w:sz="0" w:space="0" w:color="auto"/>
            <w:bottom w:val="none" w:sz="0" w:space="0" w:color="auto"/>
            <w:right w:val="none" w:sz="0" w:space="0" w:color="auto"/>
          </w:divBdr>
        </w:div>
      </w:divsChild>
    </w:div>
    <w:div w:id="621808732">
      <w:bodyDiv w:val="1"/>
      <w:marLeft w:val="0"/>
      <w:marRight w:val="0"/>
      <w:marTop w:val="0"/>
      <w:marBottom w:val="0"/>
      <w:divBdr>
        <w:top w:val="none" w:sz="0" w:space="0" w:color="auto"/>
        <w:left w:val="none" w:sz="0" w:space="0" w:color="auto"/>
        <w:bottom w:val="none" w:sz="0" w:space="0" w:color="auto"/>
        <w:right w:val="none" w:sz="0" w:space="0" w:color="auto"/>
      </w:divBdr>
    </w:div>
    <w:div w:id="658386036">
      <w:bodyDiv w:val="1"/>
      <w:marLeft w:val="0"/>
      <w:marRight w:val="0"/>
      <w:marTop w:val="0"/>
      <w:marBottom w:val="0"/>
      <w:divBdr>
        <w:top w:val="none" w:sz="0" w:space="0" w:color="auto"/>
        <w:left w:val="none" w:sz="0" w:space="0" w:color="auto"/>
        <w:bottom w:val="none" w:sz="0" w:space="0" w:color="auto"/>
        <w:right w:val="none" w:sz="0" w:space="0" w:color="auto"/>
      </w:divBdr>
    </w:div>
    <w:div w:id="702902526">
      <w:bodyDiv w:val="1"/>
      <w:marLeft w:val="0"/>
      <w:marRight w:val="0"/>
      <w:marTop w:val="0"/>
      <w:marBottom w:val="0"/>
      <w:divBdr>
        <w:top w:val="none" w:sz="0" w:space="0" w:color="auto"/>
        <w:left w:val="none" w:sz="0" w:space="0" w:color="auto"/>
        <w:bottom w:val="none" w:sz="0" w:space="0" w:color="auto"/>
        <w:right w:val="none" w:sz="0" w:space="0" w:color="auto"/>
      </w:divBdr>
      <w:divsChild>
        <w:div w:id="508953194">
          <w:marLeft w:val="0"/>
          <w:marRight w:val="0"/>
          <w:marTop w:val="0"/>
          <w:marBottom w:val="0"/>
          <w:divBdr>
            <w:top w:val="none" w:sz="0" w:space="0" w:color="auto"/>
            <w:left w:val="none" w:sz="0" w:space="0" w:color="auto"/>
            <w:bottom w:val="none" w:sz="0" w:space="0" w:color="auto"/>
            <w:right w:val="none" w:sz="0" w:space="0" w:color="auto"/>
          </w:divBdr>
          <w:divsChild>
            <w:div w:id="1059093540">
              <w:marLeft w:val="0"/>
              <w:marRight w:val="0"/>
              <w:marTop w:val="0"/>
              <w:marBottom w:val="0"/>
              <w:divBdr>
                <w:top w:val="none" w:sz="0" w:space="0" w:color="auto"/>
                <w:left w:val="none" w:sz="0" w:space="0" w:color="auto"/>
                <w:bottom w:val="none" w:sz="0" w:space="0" w:color="auto"/>
                <w:right w:val="none" w:sz="0" w:space="0" w:color="auto"/>
              </w:divBdr>
              <w:divsChild>
                <w:div w:id="317155177">
                  <w:marLeft w:val="0"/>
                  <w:marRight w:val="0"/>
                  <w:marTop w:val="0"/>
                  <w:marBottom w:val="0"/>
                  <w:divBdr>
                    <w:top w:val="none" w:sz="0" w:space="0" w:color="auto"/>
                    <w:left w:val="none" w:sz="0" w:space="0" w:color="auto"/>
                    <w:bottom w:val="none" w:sz="0" w:space="0" w:color="auto"/>
                    <w:right w:val="none" w:sz="0" w:space="0" w:color="auto"/>
                  </w:divBdr>
                  <w:divsChild>
                    <w:div w:id="20759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5170">
      <w:bodyDiv w:val="1"/>
      <w:marLeft w:val="0"/>
      <w:marRight w:val="0"/>
      <w:marTop w:val="0"/>
      <w:marBottom w:val="0"/>
      <w:divBdr>
        <w:top w:val="none" w:sz="0" w:space="0" w:color="auto"/>
        <w:left w:val="none" w:sz="0" w:space="0" w:color="auto"/>
        <w:bottom w:val="none" w:sz="0" w:space="0" w:color="auto"/>
        <w:right w:val="none" w:sz="0" w:space="0" w:color="auto"/>
      </w:divBdr>
    </w:div>
    <w:div w:id="771127477">
      <w:bodyDiv w:val="1"/>
      <w:marLeft w:val="0"/>
      <w:marRight w:val="0"/>
      <w:marTop w:val="0"/>
      <w:marBottom w:val="0"/>
      <w:divBdr>
        <w:top w:val="none" w:sz="0" w:space="0" w:color="auto"/>
        <w:left w:val="none" w:sz="0" w:space="0" w:color="auto"/>
        <w:bottom w:val="none" w:sz="0" w:space="0" w:color="auto"/>
        <w:right w:val="none" w:sz="0" w:space="0" w:color="auto"/>
      </w:divBdr>
      <w:divsChild>
        <w:div w:id="558244631">
          <w:marLeft w:val="0"/>
          <w:marRight w:val="0"/>
          <w:marTop w:val="0"/>
          <w:marBottom w:val="0"/>
          <w:divBdr>
            <w:top w:val="none" w:sz="0" w:space="0" w:color="auto"/>
            <w:left w:val="none" w:sz="0" w:space="0" w:color="auto"/>
            <w:bottom w:val="none" w:sz="0" w:space="0" w:color="auto"/>
            <w:right w:val="none" w:sz="0" w:space="0" w:color="auto"/>
          </w:divBdr>
        </w:div>
        <w:div w:id="843590018">
          <w:marLeft w:val="0"/>
          <w:marRight w:val="0"/>
          <w:marTop w:val="0"/>
          <w:marBottom w:val="0"/>
          <w:divBdr>
            <w:top w:val="none" w:sz="0" w:space="0" w:color="auto"/>
            <w:left w:val="none" w:sz="0" w:space="0" w:color="auto"/>
            <w:bottom w:val="none" w:sz="0" w:space="0" w:color="auto"/>
            <w:right w:val="none" w:sz="0" w:space="0" w:color="auto"/>
          </w:divBdr>
        </w:div>
        <w:div w:id="1835880271">
          <w:marLeft w:val="0"/>
          <w:marRight w:val="0"/>
          <w:marTop w:val="0"/>
          <w:marBottom w:val="0"/>
          <w:divBdr>
            <w:top w:val="none" w:sz="0" w:space="0" w:color="auto"/>
            <w:left w:val="none" w:sz="0" w:space="0" w:color="auto"/>
            <w:bottom w:val="none" w:sz="0" w:space="0" w:color="auto"/>
            <w:right w:val="none" w:sz="0" w:space="0" w:color="auto"/>
          </w:divBdr>
        </w:div>
        <w:div w:id="1938128587">
          <w:marLeft w:val="0"/>
          <w:marRight w:val="0"/>
          <w:marTop w:val="0"/>
          <w:marBottom w:val="0"/>
          <w:divBdr>
            <w:top w:val="none" w:sz="0" w:space="0" w:color="auto"/>
            <w:left w:val="none" w:sz="0" w:space="0" w:color="auto"/>
            <w:bottom w:val="none" w:sz="0" w:space="0" w:color="auto"/>
            <w:right w:val="none" w:sz="0" w:space="0" w:color="auto"/>
          </w:divBdr>
        </w:div>
      </w:divsChild>
    </w:div>
    <w:div w:id="771241077">
      <w:bodyDiv w:val="1"/>
      <w:marLeft w:val="0"/>
      <w:marRight w:val="0"/>
      <w:marTop w:val="0"/>
      <w:marBottom w:val="0"/>
      <w:divBdr>
        <w:top w:val="none" w:sz="0" w:space="0" w:color="auto"/>
        <w:left w:val="none" w:sz="0" w:space="0" w:color="auto"/>
        <w:bottom w:val="none" w:sz="0" w:space="0" w:color="auto"/>
        <w:right w:val="none" w:sz="0" w:space="0" w:color="auto"/>
      </w:divBdr>
    </w:div>
    <w:div w:id="774061604">
      <w:bodyDiv w:val="1"/>
      <w:marLeft w:val="0"/>
      <w:marRight w:val="0"/>
      <w:marTop w:val="0"/>
      <w:marBottom w:val="0"/>
      <w:divBdr>
        <w:top w:val="none" w:sz="0" w:space="0" w:color="auto"/>
        <w:left w:val="none" w:sz="0" w:space="0" w:color="auto"/>
        <w:bottom w:val="none" w:sz="0" w:space="0" w:color="auto"/>
        <w:right w:val="none" w:sz="0" w:space="0" w:color="auto"/>
      </w:divBdr>
    </w:div>
    <w:div w:id="859048839">
      <w:bodyDiv w:val="1"/>
      <w:marLeft w:val="0"/>
      <w:marRight w:val="0"/>
      <w:marTop w:val="0"/>
      <w:marBottom w:val="0"/>
      <w:divBdr>
        <w:top w:val="none" w:sz="0" w:space="0" w:color="auto"/>
        <w:left w:val="none" w:sz="0" w:space="0" w:color="auto"/>
        <w:bottom w:val="none" w:sz="0" w:space="0" w:color="auto"/>
        <w:right w:val="none" w:sz="0" w:space="0" w:color="auto"/>
      </w:divBdr>
    </w:div>
    <w:div w:id="869151929">
      <w:bodyDiv w:val="1"/>
      <w:marLeft w:val="0"/>
      <w:marRight w:val="0"/>
      <w:marTop w:val="0"/>
      <w:marBottom w:val="0"/>
      <w:divBdr>
        <w:top w:val="none" w:sz="0" w:space="0" w:color="auto"/>
        <w:left w:val="none" w:sz="0" w:space="0" w:color="auto"/>
        <w:bottom w:val="none" w:sz="0" w:space="0" w:color="auto"/>
        <w:right w:val="none" w:sz="0" w:space="0" w:color="auto"/>
      </w:divBdr>
    </w:div>
    <w:div w:id="981617130">
      <w:bodyDiv w:val="1"/>
      <w:marLeft w:val="0"/>
      <w:marRight w:val="0"/>
      <w:marTop w:val="0"/>
      <w:marBottom w:val="0"/>
      <w:divBdr>
        <w:top w:val="none" w:sz="0" w:space="0" w:color="auto"/>
        <w:left w:val="none" w:sz="0" w:space="0" w:color="auto"/>
        <w:bottom w:val="none" w:sz="0" w:space="0" w:color="auto"/>
        <w:right w:val="none" w:sz="0" w:space="0" w:color="auto"/>
      </w:divBdr>
      <w:divsChild>
        <w:div w:id="623973569">
          <w:marLeft w:val="0"/>
          <w:marRight w:val="0"/>
          <w:marTop w:val="0"/>
          <w:marBottom w:val="0"/>
          <w:divBdr>
            <w:top w:val="none" w:sz="0" w:space="0" w:color="auto"/>
            <w:left w:val="none" w:sz="0" w:space="0" w:color="auto"/>
            <w:bottom w:val="none" w:sz="0" w:space="0" w:color="auto"/>
            <w:right w:val="none" w:sz="0" w:space="0" w:color="auto"/>
          </w:divBdr>
          <w:divsChild>
            <w:div w:id="775444170">
              <w:marLeft w:val="0"/>
              <w:marRight w:val="0"/>
              <w:marTop w:val="0"/>
              <w:marBottom w:val="0"/>
              <w:divBdr>
                <w:top w:val="none" w:sz="0" w:space="0" w:color="auto"/>
                <w:left w:val="none" w:sz="0" w:space="0" w:color="auto"/>
                <w:bottom w:val="none" w:sz="0" w:space="0" w:color="auto"/>
                <w:right w:val="none" w:sz="0" w:space="0" w:color="auto"/>
              </w:divBdr>
              <w:divsChild>
                <w:div w:id="1535773578">
                  <w:marLeft w:val="0"/>
                  <w:marRight w:val="0"/>
                  <w:marTop w:val="0"/>
                  <w:marBottom w:val="0"/>
                  <w:divBdr>
                    <w:top w:val="none" w:sz="0" w:space="0" w:color="auto"/>
                    <w:left w:val="none" w:sz="0" w:space="0" w:color="auto"/>
                    <w:bottom w:val="none" w:sz="0" w:space="0" w:color="auto"/>
                    <w:right w:val="none" w:sz="0" w:space="0" w:color="auto"/>
                  </w:divBdr>
                  <w:divsChild>
                    <w:div w:id="4149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78118">
      <w:bodyDiv w:val="1"/>
      <w:marLeft w:val="0"/>
      <w:marRight w:val="0"/>
      <w:marTop w:val="0"/>
      <w:marBottom w:val="0"/>
      <w:divBdr>
        <w:top w:val="none" w:sz="0" w:space="0" w:color="auto"/>
        <w:left w:val="none" w:sz="0" w:space="0" w:color="auto"/>
        <w:bottom w:val="none" w:sz="0" w:space="0" w:color="auto"/>
        <w:right w:val="none" w:sz="0" w:space="0" w:color="auto"/>
      </w:divBdr>
      <w:divsChild>
        <w:div w:id="207493350">
          <w:marLeft w:val="0"/>
          <w:marRight w:val="0"/>
          <w:marTop w:val="0"/>
          <w:marBottom w:val="0"/>
          <w:divBdr>
            <w:top w:val="none" w:sz="0" w:space="0" w:color="auto"/>
            <w:left w:val="none" w:sz="0" w:space="0" w:color="auto"/>
            <w:bottom w:val="none" w:sz="0" w:space="0" w:color="auto"/>
            <w:right w:val="none" w:sz="0" w:space="0" w:color="auto"/>
          </w:divBdr>
        </w:div>
      </w:divsChild>
    </w:div>
    <w:div w:id="1019164256">
      <w:bodyDiv w:val="1"/>
      <w:marLeft w:val="0"/>
      <w:marRight w:val="0"/>
      <w:marTop w:val="0"/>
      <w:marBottom w:val="0"/>
      <w:divBdr>
        <w:top w:val="none" w:sz="0" w:space="0" w:color="auto"/>
        <w:left w:val="none" w:sz="0" w:space="0" w:color="auto"/>
        <w:bottom w:val="none" w:sz="0" w:space="0" w:color="auto"/>
        <w:right w:val="none" w:sz="0" w:space="0" w:color="auto"/>
      </w:divBdr>
    </w:div>
    <w:div w:id="1019968120">
      <w:bodyDiv w:val="1"/>
      <w:marLeft w:val="0"/>
      <w:marRight w:val="0"/>
      <w:marTop w:val="0"/>
      <w:marBottom w:val="0"/>
      <w:divBdr>
        <w:top w:val="none" w:sz="0" w:space="0" w:color="auto"/>
        <w:left w:val="none" w:sz="0" w:space="0" w:color="auto"/>
        <w:bottom w:val="none" w:sz="0" w:space="0" w:color="auto"/>
        <w:right w:val="none" w:sz="0" w:space="0" w:color="auto"/>
      </w:divBdr>
    </w:div>
    <w:div w:id="1040743947">
      <w:bodyDiv w:val="1"/>
      <w:marLeft w:val="0"/>
      <w:marRight w:val="0"/>
      <w:marTop w:val="0"/>
      <w:marBottom w:val="0"/>
      <w:divBdr>
        <w:top w:val="none" w:sz="0" w:space="0" w:color="auto"/>
        <w:left w:val="none" w:sz="0" w:space="0" w:color="auto"/>
        <w:bottom w:val="none" w:sz="0" w:space="0" w:color="auto"/>
        <w:right w:val="none" w:sz="0" w:space="0" w:color="auto"/>
      </w:divBdr>
    </w:div>
    <w:div w:id="1042166739">
      <w:bodyDiv w:val="1"/>
      <w:marLeft w:val="0"/>
      <w:marRight w:val="0"/>
      <w:marTop w:val="0"/>
      <w:marBottom w:val="0"/>
      <w:divBdr>
        <w:top w:val="none" w:sz="0" w:space="0" w:color="auto"/>
        <w:left w:val="none" w:sz="0" w:space="0" w:color="auto"/>
        <w:bottom w:val="none" w:sz="0" w:space="0" w:color="auto"/>
        <w:right w:val="none" w:sz="0" w:space="0" w:color="auto"/>
      </w:divBdr>
    </w:div>
    <w:div w:id="1055271878">
      <w:bodyDiv w:val="1"/>
      <w:marLeft w:val="0"/>
      <w:marRight w:val="0"/>
      <w:marTop w:val="0"/>
      <w:marBottom w:val="0"/>
      <w:divBdr>
        <w:top w:val="none" w:sz="0" w:space="0" w:color="auto"/>
        <w:left w:val="none" w:sz="0" w:space="0" w:color="auto"/>
        <w:bottom w:val="none" w:sz="0" w:space="0" w:color="auto"/>
        <w:right w:val="none" w:sz="0" w:space="0" w:color="auto"/>
      </w:divBdr>
      <w:divsChild>
        <w:div w:id="1142576659">
          <w:marLeft w:val="0"/>
          <w:marRight w:val="0"/>
          <w:marTop w:val="0"/>
          <w:marBottom w:val="0"/>
          <w:divBdr>
            <w:top w:val="none" w:sz="0" w:space="0" w:color="auto"/>
            <w:left w:val="none" w:sz="0" w:space="0" w:color="auto"/>
            <w:bottom w:val="none" w:sz="0" w:space="0" w:color="auto"/>
            <w:right w:val="none" w:sz="0" w:space="0" w:color="auto"/>
          </w:divBdr>
        </w:div>
      </w:divsChild>
    </w:div>
    <w:div w:id="1059674480">
      <w:bodyDiv w:val="1"/>
      <w:marLeft w:val="0"/>
      <w:marRight w:val="0"/>
      <w:marTop w:val="0"/>
      <w:marBottom w:val="0"/>
      <w:divBdr>
        <w:top w:val="none" w:sz="0" w:space="0" w:color="auto"/>
        <w:left w:val="none" w:sz="0" w:space="0" w:color="auto"/>
        <w:bottom w:val="none" w:sz="0" w:space="0" w:color="auto"/>
        <w:right w:val="none" w:sz="0" w:space="0" w:color="auto"/>
      </w:divBdr>
    </w:div>
    <w:div w:id="1071007904">
      <w:bodyDiv w:val="1"/>
      <w:marLeft w:val="0"/>
      <w:marRight w:val="0"/>
      <w:marTop w:val="0"/>
      <w:marBottom w:val="0"/>
      <w:divBdr>
        <w:top w:val="none" w:sz="0" w:space="0" w:color="auto"/>
        <w:left w:val="none" w:sz="0" w:space="0" w:color="auto"/>
        <w:bottom w:val="none" w:sz="0" w:space="0" w:color="auto"/>
        <w:right w:val="none" w:sz="0" w:space="0" w:color="auto"/>
      </w:divBdr>
      <w:divsChild>
        <w:div w:id="144514956">
          <w:marLeft w:val="0"/>
          <w:marRight w:val="0"/>
          <w:marTop w:val="0"/>
          <w:marBottom w:val="0"/>
          <w:divBdr>
            <w:top w:val="none" w:sz="0" w:space="0" w:color="auto"/>
            <w:left w:val="none" w:sz="0" w:space="0" w:color="auto"/>
            <w:bottom w:val="none" w:sz="0" w:space="0" w:color="auto"/>
            <w:right w:val="none" w:sz="0" w:space="0" w:color="auto"/>
          </w:divBdr>
        </w:div>
        <w:div w:id="195701414">
          <w:marLeft w:val="0"/>
          <w:marRight w:val="0"/>
          <w:marTop w:val="0"/>
          <w:marBottom w:val="0"/>
          <w:divBdr>
            <w:top w:val="none" w:sz="0" w:space="0" w:color="auto"/>
            <w:left w:val="none" w:sz="0" w:space="0" w:color="auto"/>
            <w:bottom w:val="none" w:sz="0" w:space="0" w:color="auto"/>
            <w:right w:val="none" w:sz="0" w:space="0" w:color="auto"/>
          </w:divBdr>
        </w:div>
        <w:div w:id="221018660">
          <w:marLeft w:val="0"/>
          <w:marRight w:val="0"/>
          <w:marTop w:val="0"/>
          <w:marBottom w:val="0"/>
          <w:divBdr>
            <w:top w:val="none" w:sz="0" w:space="0" w:color="auto"/>
            <w:left w:val="none" w:sz="0" w:space="0" w:color="auto"/>
            <w:bottom w:val="none" w:sz="0" w:space="0" w:color="auto"/>
            <w:right w:val="none" w:sz="0" w:space="0" w:color="auto"/>
          </w:divBdr>
        </w:div>
        <w:div w:id="403797148">
          <w:marLeft w:val="0"/>
          <w:marRight w:val="0"/>
          <w:marTop w:val="0"/>
          <w:marBottom w:val="0"/>
          <w:divBdr>
            <w:top w:val="none" w:sz="0" w:space="0" w:color="auto"/>
            <w:left w:val="none" w:sz="0" w:space="0" w:color="auto"/>
            <w:bottom w:val="none" w:sz="0" w:space="0" w:color="auto"/>
            <w:right w:val="none" w:sz="0" w:space="0" w:color="auto"/>
          </w:divBdr>
        </w:div>
        <w:div w:id="679966160">
          <w:marLeft w:val="0"/>
          <w:marRight w:val="0"/>
          <w:marTop w:val="0"/>
          <w:marBottom w:val="0"/>
          <w:divBdr>
            <w:top w:val="none" w:sz="0" w:space="0" w:color="auto"/>
            <w:left w:val="none" w:sz="0" w:space="0" w:color="auto"/>
            <w:bottom w:val="none" w:sz="0" w:space="0" w:color="auto"/>
            <w:right w:val="none" w:sz="0" w:space="0" w:color="auto"/>
          </w:divBdr>
        </w:div>
        <w:div w:id="681391903">
          <w:marLeft w:val="0"/>
          <w:marRight w:val="0"/>
          <w:marTop w:val="0"/>
          <w:marBottom w:val="0"/>
          <w:divBdr>
            <w:top w:val="none" w:sz="0" w:space="0" w:color="auto"/>
            <w:left w:val="none" w:sz="0" w:space="0" w:color="auto"/>
            <w:bottom w:val="none" w:sz="0" w:space="0" w:color="auto"/>
            <w:right w:val="none" w:sz="0" w:space="0" w:color="auto"/>
          </w:divBdr>
        </w:div>
        <w:div w:id="711229154">
          <w:marLeft w:val="0"/>
          <w:marRight w:val="0"/>
          <w:marTop w:val="0"/>
          <w:marBottom w:val="0"/>
          <w:divBdr>
            <w:top w:val="none" w:sz="0" w:space="0" w:color="auto"/>
            <w:left w:val="none" w:sz="0" w:space="0" w:color="auto"/>
            <w:bottom w:val="none" w:sz="0" w:space="0" w:color="auto"/>
            <w:right w:val="none" w:sz="0" w:space="0" w:color="auto"/>
          </w:divBdr>
        </w:div>
        <w:div w:id="1152478439">
          <w:marLeft w:val="0"/>
          <w:marRight w:val="0"/>
          <w:marTop w:val="0"/>
          <w:marBottom w:val="0"/>
          <w:divBdr>
            <w:top w:val="none" w:sz="0" w:space="0" w:color="auto"/>
            <w:left w:val="none" w:sz="0" w:space="0" w:color="auto"/>
            <w:bottom w:val="none" w:sz="0" w:space="0" w:color="auto"/>
            <w:right w:val="none" w:sz="0" w:space="0" w:color="auto"/>
          </w:divBdr>
        </w:div>
        <w:div w:id="1316378601">
          <w:marLeft w:val="0"/>
          <w:marRight w:val="0"/>
          <w:marTop w:val="0"/>
          <w:marBottom w:val="0"/>
          <w:divBdr>
            <w:top w:val="none" w:sz="0" w:space="0" w:color="auto"/>
            <w:left w:val="none" w:sz="0" w:space="0" w:color="auto"/>
            <w:bottom w:val="none" w:sz="0" w:space="0" w:color="auto"/>
            <w:right w:val="none" w:sz="0" w:space="0" w:color="auto"/>
          </w:divBdr>
        </w:div>
        <w:div w:id="1368875471">
          <w:marLeft w:val="0"/>
          <w:marRight w:val="0"/>
          <w:marTop w:val="0"/>
          <w:marBottom w:val="0"/>
          <w:divBdr>
            <w:top w:val="none" w:sz="0" w:space="0" w:color="auto"/>
            <w:left w:val="none" w:sz="0" w:space="0" w:color="auto"/>
            <w:bottom w:val="none" w:sz="0" w:space="0" w:color="auto"/>
            <w:right w:val="none" w:sz="0" w:space="0" w:color="auto"/>
          </w:divBdr>
        </w:div>
        <w:div w:id="1380277824">
          <w:marLeft w:val="0"/>
          <w:marRight w:val="0"/>
          <w:marTop w:val="0"/>
          <w:marBottom w:val="0"/>
          <w:divBdr>
            <w:top w:val="none" w:sz="0" w:space="0" w:color="auto"/>
            <w:left w:val="none" w:sz="0" w:space="0" w:color="auto"/>
            <w:bottom w:val="none" w:sz="0" w:space="0" w:color="auto"/>
            <w:right w:val="none" w:sz="0" w:space="0" w:color="auto"/>
          </w:divBdr>
        </w:div>
        <w:div w:id="1418163260">
          <w:marLeft w:val="0"/>
          <w:marRight w:val="0"/>
          <w:marTop w:val="0"/>
          <w:marBottom w:val="0"/>
          <w:divBdr>
            <w:top w:val="none" w:sz="0" w:space="0" w:color="auto"/>
            <w:left w:val="none" w:sz="0" w:space="0" w:color="auto"/>
            <w:bottom w:val="none" w:sz="0" w:space="0" w:color="auto"/>
            <w:right w:val="none" w:sz="0" w:space="0" w:color="auto"/>
          </w:divBdr>
        </w:div>
        <w:div w:id="1455100541">
          <w:marLeft w:val="0"/>
          <w:marRight w:val="0"/>
          <w:marTop w:val="0"/>
          <w:marBottom w:val="0"/>
          <w:divBdr>
            <w:top w:val="none" w:sz="0" w:space="0" w:color="auto"/>
            <w:left w:val="none" w:sz="0" w:space="0" w:color="auto"/>
            <w:bottom w:val="none" w:sz="0" w:space="0" w:color="auto"/>
            <w:right w:val="none" w:sz="0" w:space="0" w:color="auto"/>
          </w:divBdr>
        </w:div>
        <w:div w:id="1582175506">
          <w:marLeft w:val="0"/>
          <w:marRight w:val="0"/>
          <w:marTop w:val="0"/>
          <w:marBottom w:val="0"/>
          <w:divBdr>
            <w:top w:val="none" w:sz="0" w:space="0" w:color="auto"/>
            <w:left w:val="none" w:sz="0" w:space="0" w:color="auto"/>
            <w:bottom w:val="none" w:sz="0" w:space="0" w:color="auto"/>
            <w:right w:val="none" w:sz="0" w:space="0" w:color="auto"/>
          </w:divBdr>
        </w:div>
        <w:div w:id="1602103246">
          <w:marLeft w:val="0"/>
          <w:marRight w:val="0"/>
          <w:marTop w:val="0"/>
          <w:marBottom w:val="0"/>
          <w:divBdr>
            <w:top w:val="none" w:sz="0" w:space="0" w:color="auto"/>
            <w:left w:val="none" w:sz="0" w:space="0" w:color="auto"/>
            <w:bottom w:val="none" w:sz="0" w:space="0" w:color="auto"/>
            <w:right w:val="none" w:sz="0" w:space="0" w:color="auto"/>
          </w:divBdr>
        </w:div>
        <w:div w:id="1616447294">
          <w:marLeft w:val="0"/>
          <w:marRight w:val="0"/>
          <w:marTop w:val="0"/>
          <w:marBottom w:val="0"/>
          <w:divBdr>
            <w:top w:val="none" w:sz="0" w:space="0" w:color="auto"/>
            <w:left w:val="none" w:sz="0" w:space="0" w:color="auto"/>
            <w:bottom w:val="none" w:sz="0" w:space="0" w:color="auto"/>
            <w:right w:val="none" w:sz="0" w:space="0" w:color="auto"/>
          </w:divBdr>
        </w:div>
        <w:div w:id="1706253902">
          <w:marLeft w:val="0"/>
          <w:marRight w:val="0"/>
          <w:marTop w:val="0"/>
          <w:marBottom w:val="0"/>
          <w:divBdr>
            <w:top w:val="none" w:sz="0" w:space="0" w:color="auto"/>
            <w:left w:val="none" w:sz="0" w:space="0" w:color="auto"/>
            <w:bottom w:val="none" w:sz="0" w:space="0" w:color="auto"/>
            <w:right w:val="none" w:sz="0" w:space="0" w:color="auto"/>
          </w:divBdr>
        </w:div>
        <w:div w:id="1739745934">
          <w:marLeft w:val="0"/>
          <w:marRight w:val="0"/>
          <w:marTop w:val="0"/>
          <w:marBottom w:val="0"/>
          <w:divBdr>
            <w:top w:val="none" w:sz="0" w:space="0" w:color="auto"/>
            <w:left w:val="none" w:sz="0" w:space="0" w:color="auto"/>
            <w:bottom w:val="none" w:sz="0" w:space="0" w:color="auto"/>
            <w:right w:val="none" w:sz="0" w:space="0" w:color="auto"/>
          </w:divBdr>
        </w:div>
        <w:div w:id="2079133650">
          <w:marLeft w:val="0"/>
          <w:marRight w:val="0"/>
          <w:marTop w:val="0"/>
          <w:marBottom w:val="0"/>
          <w:divBdr>
            <w:top w:val="none" w:sz="0" w:space="0" w:color="auto"/>
            <w:left w:val="none" w:sz="0" w:space="0" w:color="auto"/>
            <w:bottom w:val="none" w:sz="0" w:space="0" w:color="auto"/>
            <w:right w:val="none" w:sz="0" w:space="0" w:color="auto"/>
          </w:divBdr>
        </w:div>
        <w:div w:id="2141880063">
          <w:marLeft w:val="0"/>
          <w:marRight w:val="0"/>
          <w:marTop w:val="0"/>
          <w:marBottom w:val="0"/>
          <w:divBdr>
            <w:top w:val="none" w:sz="0" w:space="0" w:color="auto"/>
            <w:left w:val="none" w:sz="0" w:space="0" w:color="auto"/>
            <w:bottom w:val="none" w:sz="0" w:space="0" w:color="auto"/>
            <w:right w:val="none" w:sz="0" w:space="0" w:color="auto"/>
          </w:divBdr>
        </w:div>
      </w:divsChild>
    </w:div>
    <w:div w:id="1107769713">
      <w:bodyDiv w:val="1"/>
      <w:marLeft w:val="0"/>
      <w:marRight w:val="0"/>
      <w:marTop w:val="0"/>
      <w:marBottom w:val="0"/>
      <w:divBdr>
        <w:top w:val="none" w:sz="0" w:space="0" w:color="auto"/>
        <w:left w:val="none" w:sz="0" w:space="0" w:color="auto"/>
        <w:bottom w:val="none" w:sz="0" w:space="0" w:color="auto"/>
        <w:right w:val="none" w:sz="0" w:space="0" w:color="auto"/>
      </w:divBdr>
      <w:divsChild>
        <w:div w:id="913050803">
          <w:marLeft w:val="0"/>
          <w:marRight w:val="0"/>
          <w:marTop w:val="0"/>
          <w:marBottom w:val="0"/>
          <w:divBdr>
            <w:top w:val="none" w:sz="0" w:space="0" w:color="auto"/>
            <w:left w:val="none" w:sz="0" w:space="0" w:color="auto"/>
            <w:bottom w:val="none" w:sz="0" w:space="0" w:color="auto"/>
            <w:right w:val="none" w:sz="0" w:space="0" w:color="auto"/>
          </w:divBdr>
        </w:div>
      </w:divsChild>
    </w:div>
    <w:div w:id="1199972118">
      <w:bodyDiv w:val="1"/>
      <w:marLeft w:val="0"/>
      <w:marRight w:val="0"/>
      <w:marTop w:val="0"/>
      <w:marBottom w:val="0"/>
      <w:divBdr>
        <w:top w:val="none" w:sz="0" w:space="0" w:color="auto"/>
        <w:left w:val="none" w:sz="0" w:space="0" w:color="auto"/>
        <w:bottom w:val="none" w:sz="0" w:space="0" w:color="auto"/>
        <w:right w:val="none" w:sz="0" w:space="0" w:color="auto"/>
      </w:divBdr>
      <w:divsChild>
        <w:div w:id="981496181">
          <w:marLeft w:val="0"/>
          <w:marRight w:val="0"/>
          <w:marTop w:val="0"/>
          <w:marBottom w:val="0"/>
          <w:divBdr>
            <w:top w:val="none" w:sz="0" w:space="0" w:color="auto"/>
            <w:left w:val="none" w:sz="0" w:space="0" w:color="auto"/>
            <w:bottom w:val="none" w:sz="0" w:space="0" w:color="auto"/>
            <w:right w:val="none" w:sz="0" w:space="0" w:color="auto"/>
          </w:divBdr>
        </w:div>
      </w:divsChild>
    </w:div>
    <w:div w:id="1232227204">
      <w:bodyDiv w:val="1"/>
      <w:marLeft w:val="0"/>
      <w:marRight w:val="0"/>
      <w:marTop w:val="0"/>
      <w:marBottom w:val="0"/>
      <w:divBdr>
        <w:top w:val="none" w:sz="0" w:space="0" w:color="auto"/>
        <w:left w:val="none" w:sz="0" w:space="0" w:color="auto"/>
        <w:bottom w:val="none" w:sz="0" w:space="0" w:color="auto"/>
        <w:right w:val="none" w:sz="0" w:space="0" w:color="auto"/>
      </w:divBdr>
      <w:divsChild>
        <w:div w:id="1612590258">
          <w:marLeft w:val="0"/>
          <w:marRight w:val="0"/>
          <w:marTop w:val="0"/>
          <w:marBottom w:val="0"/>
          <w:divBdr>
            <w:top w:val="none" w:sz="0" w:space="0" w:color="auto"/>
            <w:left w:val="none" w:sz="0" w:space="0" w:color="auto"/>
            <w:bottom w:val="none" w:sz="0" w:space="0" w:color="auto"/>
            <w:right w:val="none" w:sz="0" w:space="0" w:color="auto"/>
          </w:divBdr>
          <w:divsChild>
            <w:div w:id="818427003">
              <w:marLeft w:val="0"/>
              <w:marRight w:val="0"/>
              <w:marTop w:val="0"/>
              <w:marBottom w:val="0"/>
              <w:divBdr>
                <w:top w:val="none" w:sz="0" w:space="0" w:color="auto"/>
                <w:left w:val="none" w:sz="0" w:space="0" w:color="auto"/>
                <w:bottom w:val="none" w:sz="0" w:space="0" w:color="auto"/>
                <w:right w:val="none" w:sz="0" w:space="0" w:color="auto"/>
              </w:divBdr>
              <w:divsChild>
                <w:div w:id="927078119">
                  <w:marLeft w:val="0"/>
                  <w:marRight w:val="0"/>
                  <w:marTop w:val="0"/>
                  <w:marBottom w:val="0"/>
                  <w:divBdr>
                    <w:top w:val="none" w:sz="0" w:space="0" w:color="auto"/>
                    <w:left w:val="none" w:sz="0" w:space="0" w:color="auto"/>
                    <w:bottom w:val="none" w:sz="0" w:space="0" w:color="auto"/>
                    <w:right w:val="none" w:sz="0" w:space="0" w:color="auto"/>
                  </w:divBdr>
                  <w:divsChild>
                    <w:div w:id="309528925">
                      <w:marLeft w:val="0"/>
                      <w:marRight w:val="0"/>
                      <w:marTop w:val="0"/>
                      <w:marBottom w:val="0"/>
                      <w:divBdr>
                        <w:top w:val="none" w:sz="0" w:space="0" w:color="auto"/>
                        <w:left w:val="none" w:sz="0" w:space="0" w:color="auto"/>
                        <w:bottom w:val="none" w:sz="0" w:space="0" w:color="auto"/>
                        <w:right w:val="none" w:sz="0" w:space="0" w:color="auto"/>
                      </w:divBdr>
                      <w:divsChild>
                        <w:div w:id="752627002">
                          <w:marLeft w:val="0"/>
                          <w:marRight w:val="0"/>
                          <w:marTop w:val="0"/>
                          <w:marBottom w:val="0"/>
                          <w:divBdr>
                            <w:top w:val="none" w:sz="0" w:space="0" w:color="auto"/>
                            <w:left w:val="none" w:sz="0" w:space="0" w:color="auto"/>
                            <w:bottom w:val="none" w:sz="0" w:space="0" w:color="auto"/>
                            <w:right w:val="none" w:sz="0" w:space="0" w:color="auto"/>
                          </w:divBdr>
                          <w:divsChild>
                            <w:div w:id="244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134897">
      <w:bodyDiv w:val="1"/>
      <w:marLeft w:val="0"/>
      <w:marRight w:val="0"/>
      <w:marTop w:val="0"/>
      <w:marBottom w:val="0"/>
      <w:divBdr>
        <w:top w:val="none" w:sz="0" w:space="0" w:color="auto"/>
        <w:left w:val="none" w:sz="0" w:space="0" w:color="auto"/>
        <w:bottom w:val="none" w:sz="0" w:space="0" w:color="auto"/>
        <w:right w:val="none" w:sz="0" w:space="0" w:color="auto"/>
      </w:divBdr>
    </w:div>
    <w:div w:id="1249391031">
      <w:bodyDiv w:val="1"/>
      <w:marLeft w:val="0"/>
      <w:marRight w:val="0"/>
      <w:marTop w:val="0"/>
      <w:marBottom w:val="0"/>
      <w:divBdr>
        <w:top w:val="none" w:sz="0" w:space="0" w:color="auto"/>
        <w:left w:val="none" w:sz="0" w:space="0" w:color="auto"/>
        <w:bottom w:val="none" w:sz="0" w:space="0" w:color="auto"/>
        <w:right w:val="none" w:sz="0" w:space="0" w:color="auto"/>
      </w:divBdr>
    </w:div>
    <w:div w:id="1284383848">
      <w:bodyDiv w:val="1"/>
      <w:marLeft w:val="0"/>
      <w:marRight w:val="0"/>
      <w:marTop w:val="0"/>
      <w:marBottom w:val="0"/>
      <w:divBdr>
        <w:top w:val="none" w:sz="0" w:space="0" w:color="auto"/>
        <w:left w:val="none" w:sz="0" w:space="0" w:color="auto"/>
        <w:bottom w:val="none" w:sz="0" w:space="0" w:color="auto"/>
        <w:right w:val="none" w:sz="0" w:space="0" w:color="auto"/>
      </w:divBdr>
    </w:div>
    <w:div w:id="1295672262">
      <w:bodyDiv w:val="1"/>
      <w:marLeft w:val="0"/>
      <w:marRight w:val="0"/>
      <w:marTop w:val="0"/>
      <w:marBottom w:val="0"/>
      <w:divBdr>
        <w:top w:val="none" w:sz="0" w:space="0" w:color="auto"/>
        <w:left w:val="none" w:sz="0" w:space="0" w:color="auto"/>
        <w:bottom w:val="none" w:sz="0" w:space="0" w:color="auto"/>
        <w:right w:val="none" w:sz="0" w:space="0" w:color="auto"/>
      </w:divBdr>
    </w:div>
    <w:div w:id="1303847637">
      <w:bodyDiv w:val="1"/>
      <w:marLeft w:val="0"/>
      <w:marRight w:val="0"/>
      <w:marTop w:val="0"/>
      <w:marBottom w:val="0"/>
      <w:divBdr>
        <w:top w:val="none" w:sz="0" w:space="0" w:color="auto"/>
        <w:left w:val="none" w:sz="0" w:space="0" w:color="auto"/>
        <w:bottom w:val="none" w:sz="0" w:space="0" w:color="auto"/>
        <w:right w:val="none" w:sz="0" w:space="0" w:color="auto"/>
      </w:divBdr>
    </w:div>
    <w:div w:id="1352532015">
      <w:bodyDiv w:val="1"/>
      <w:marLeft w:val="0"/>
      <w:marRight w:val="0"/>
      <w:marTop w:val="0"/>
      <w:marBottom w:val="0"/>
      <w:divBdr>
        <w:top w:val="none" w:sz="0" w:space="0" w:color="auto"/>
        <w:left w:val="none" w:sz="0" w:space="0" w:color="auto"/>
        <w:bottom w:val="none" w:sz="0" w:space="0" w:color="auto"/>
        <w:right w:val="none" w:sz="0" w:space="0" w:color="auto"/>
      </w:divBdr>
    </w:div>
    <w:div w:id="1386219780">
      <w:bodyDiv w:val="1"/>
      <w:marLeft w:val="0"/>
      <w:marRight w:val="0"/>
      <w:marTop w:val="0"/>
      <w:marBottom w:val="0"/>
      <w:divBdr>
        <w:top w:val="none" w:sz="0" w:space="0" w:color="auto"/>
        <w:left w:val="none" w:sz="0" w:space="0" w:color="auto"/>
        <w:bottom w:val="none" w:sz="0" w:space="0" w:color="auto"/>
        <w:right w:val="none" w:sz="0" w:space="0" w:color="auto"/>
      </w:divBdr>
      <w:divsChild>
        <w:div w:id="355353473">
          <w:marLeft w:val="0"/>
          <w:marRight w:val="0"/>
          <w:marTop w:val="0"/>
          <w:marBottom w:val="0"/>
          <w:divBdr>
            <w:top w:val="none" w:sz="0" w:space="0" w:color="auto"/>
            <w:left w:val="none" w:sz="0" w:space="0" w:color="auto"/>
            <w:bottom w:val="none" w:sz="0" w:space="0" w:color="auto"/>
            <w:right w:val="none" w:sz="0" w:space="0" w:color="auto"/>
          </w:divBdr>
        </w:div>
        <w:div w:id="721902657">
          <w:marLeft w:val="0"/>
          <w:marRight w:val="0"/>
          <w:marTop w:val="0"/>
          <w:marBottom w:val="0"/>
          <w:divBdr>
            <w:top w:val="none" w:sz="0" w:space="0" w:color="auto"/>
            <w:left w:val="none" w:sz="0" w:space="0" w:color="auto"/>
            <w:bottom w:val="none" w:sz="0" w:space="0" w:color="auto"/>
            <w:right w:val="none" w:sz="0" w:space="0" w:color="auto"/>
          </w:divBdr>
        </w:div>
        <w:div w:id="860817700">
          <w:marLeft w:val="0"/>
          <w:marRight w:val="0"/>
          <w:marTop w:val="0"/>
          <w:marBottom w:val="0"/>
          <w:divBdr>
            <w:top w:val="none" w:sz="0" w:space="0" w:color="auto"/>
            <w:left w:val="none" w:sz="0" w:space="0" w:color="auto"/>
            <w:bottom w:val="none" w:sz="0" w:space="0" w:color="auto"/>
            <w:right w:val="none" w:sz="0" w:space="0" w:color="auto"/>
          </w:divBdr>
        </w:div>
        <w:div w:id="1524826113">
          <w:marLeft w:val="0"/>
          <w:marRight w:val="0"/>
          <w:marTop w:val="0"/>
          <w:marBottom w:val="0"/>
          <w:divBdr>
            <w:top w:val="none" w:sz="0" w:space="0" w:color="auto"/>
            <w:left w:val="none" w:sz="0" w:space="0" w:color="auto"/>
            <w:bottom w:val="none" w:sz="0" w:space="0" w:color="auto"/>
            <w:right w:val="none" w:sz="0" w:space="0" w:color="auto"/>
          </w:divBdr>
        </w:div>
      </w:divsChild>
    </w:div>
    <w:div w:id="1393193773">
      <w:bodyDiv w:val="1"/>
      <w:marLeft w:val="0"/>
      <w:marRight w:val="0"/>
      <w:marTop w:val="0"/>
      <w:marBottom w:val="0"/>
      <w:divBdr>
        <w:top w:val="none" w:sz="0" w:space="0" w:color="auto"/>
        <w:left w:val="none" w:sz="0" w:space="0" w:color="auto"/>
        <w:bottom w:val="none" w:sz="0" w:space="0" w:color="auto"/>
        <w:right w:val="none" w:sz="0" w:space="0" w:color="auto"/>
      </w:divBdr>
    </w:div>
    <w:div w:id="1395547004">
      <w:bodyDiv w:val="1"/>
      <w:marLeft w:val="0"/>
      <w:marRight w:val="0"/>
      <w:marTop w:val="0"/>
      <w:marBottom w:val="0"/>
      <w:divBdr>
        <w:top w:val="none" w:sz="0" w:space="0" w:color="auto"/>
        <w:left w:val="none" w:sz="0" w:space="0" w:color="auto"/>
        <w:bottom w:val="none" w:sz="0" w:space="0" w:color="auto"/>
        <w:right w:val="none" w:sz="0" w:space="0" w:color="auto"/>
      </w:divBdr>
    </w:div>
    <w:div w:id="1428771243">
      <w:bodyDiv w:val="1"/>
      <w:marLeft w:val="0"/>
      <w:marRight w:val="0"/>
      <w:marTop w:val="0"/>
      <w:marBottom w:val="0"/>
      <w:divBdr>
        <w:top w:val="none" w:sz="0" w:space="0" w:color="auto"/>
        <w:left w:val="none" w:sz="0" w:space="0" w:color="auto"/>
        <w:bottom w:val="none" w:sz="0" w:space="0" w:color="auto"/>
        <w:right w:val="none" w:sz="0" w:space="0" w:color="auto"/>
      </w:divBdr>
    </w:div>
    <w:div w:id="1460487983">
      <w:bodyDiv w:val="1"/>
      <w:marLeft w:val="0"/>
      <w:marRight w:val="0"/>
      <w:marTop w:val="0"/>
      <w:marBottom w:val="0"/>
      <w:divBdr>
        <w:top w:val="none" w:sz="0" w:space="0" w:color="auto"/>
        <w:left w:val="none" w:sz="0" w:space="0" w:color="auto"/>
        <w:bottom w:val="none" w:sz="0" w:space="0" w:color="auto"/>
        <w:right w:val="none" w:sz="0" w:space="0" w:color="auto"/>
      </w:divBdr>
    </w:div>
    <w:div w:id="1484732223">
      <w:bodyDiv w:val="1"/>
      <w:marLeft w:val="0"/>
      <w:marRight w:val="0"/>
      <w:marTop w:val="0"/>
      <w:marBottom w:val="0"/>
      <w:divBdr>
        <w:top w:val="none" w:sz="0" w:space="0" w:color="auto"/>
        <w:left w:val="none" w:sz="0" w:space="0" w:color="auto"/>
        <w:bottom w:val="none" w:sz="0" w:space="0" w:color="auto"/>
        <w:right w:val="none" w:sz="0" w:space="0" w:color="auto"/>
      </w:divBdr>
    </w:div>
    <w:div w:id="1494561703">
      <w:bodyDiv w:val="1"/>
      <w:marLeft w:val="0"/>
      <w:marRight w:val="0"/>
      <w:marTop w:val="0"/>
      <w:marBottom w:val="0"/>
      <w:divBdr>
        <w:top w:val="none" w:sz="0" w:space="0" w:color="auto"/>
        <w:left w:val="none" w:sz="0" w:space="0" w:color="auto"/>
        <w:bottom w:val="none" w:sz="0" w:space="0" w:color="auto"/>
        <w:right w:val="none" w:sz="0" w:space="0" w:color="auto"/>
      </w:divBdr>
    </w:div>
    <w:div w:id="1536885846">
      <w:bodyDiv w:val="1"/>
      <w:marLeft w:val="0"/>
      <w:marRight w:val="0"/>
      <w:marTop w:val="0"/>
      <w:marBottom w:val="0"/>
      <w:divBdr>
        <w:top w:val="none" w:sz="0" w:space="0" w:color="auto"/>
        <w:left w:val="none" w:sz="0" w:space="0" w:color="auto"/>
        <w:bottom w:val="none" w:sz="0" w:space="0" w:color="auto"/>
        <w:right w:val="none" w:sz="0" w:space="0" w:color="auto"/>
      </w:divBdr>
      <w:divsChild>
        <w:div w:id="4572576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5751364">
      <w:bodyDiv w:val="1"/>
      <w:marLeft w:val="0"/>
      <w:marRight w:val="0"/>
      <w:marTop w:val="0"/>
      <w:marBottom w:val="0"/>
      <w:divBdr>
        <w:top w:val="none" w:sz="0" w:space="0" w:color="auto"/>
        <w:left w:val="none" w:sz="0" w:space="0" w:color="auto"/>
        <w:bottom w:val="none" w:sz="0" w:space="0" w:color="auto"/>
        <w:right w:val="none" w:sz="0" w:space="0" w:color="auto"/>
      </w:divBdr>
    </w:div>
    <w:div w:id="1664431682">
      <w:bodyDiv w:val="1"/>
      <w:marLeft w:val="0"/>
      <w:marRight w:val="0"/>
      <w:marTop w:val="0"/>
      <w:marBottom w:val="0"/>
      <w:divBdr>
        <w:top w:val="none" w:sz="0" w:space="0" w:color="auto"/>
        <w:left w:val="none" w:sz="0" w:space="0" w:color="auto"/>
        <w:bottom w:val="none" w:sz="0" w:space="0" w:color="auto"/>
        <w:right w:val="none" w:sz="0" w:space="0" w:color="auto"/>
      </w:divBdr>
      <w:divsChild>
        <w:div w:id="1448546081">
          <w:marLeft w:val="0"/>
          <w:marRight w:val="0"/>
          <w:marTop w:val="0"/>
          <w:marBottom w:val="0"/>
          <w:divBdr>
            <w:top w:val="none" w:sz="0" w:space="0" w:color="auto"/>
            <w:left w:val="none" w:sz="0" w:space="0" w:color="auto"/>
            <w:bottom w:val="none" w:sz="0" w:space="0" w:color="auto"/>
            <w:right w:val="none" w:sz="0" w:space="0" w:color="auto"/>
          </w:divBdr>
        </w:div>
      </w:divsChild>
    </w:div>
    <w:div w:id="1689137115">
      <w:bodyDiv w:val="1"/>
      <w:marLeft w:val="0"/>
      <w:marRight w:val="0"/>
      <w:marTop w:val="0"/>
      <w:marBottom w:val="0"/>
      <w:divBdr>
        <w:top w:val="none" w:sz="0" w:space="0" w:color="auto"/>
        <w:left w:val="none" w:sz="0" w:space="0" w:color="auto"/>
        <w:bottom w:val="none" w:sz="0" w:space="0" w:color="auto"/>
        <w:right w:val="none" w:sz="0" w:space="0" w:color="auto"/>
      </w:divBdr>
      <w:divsChild>
        <w:div w:id="639192172">
          <w:marLeft w:val="0"/>
          <w:marRight w:val="0"/>
          <w:marTop w:val="0"/>
          <w:marBottom w:val="0"/>
          <w:divBdr>
            <w:top w:val="none" w:sz="0" w:space="0" w:color="auto"/>
            <w:left w:val="none" w:sz="0" w:space="0" w:color="auto"/>
            <w:bottom w:val="none" w:sz="0" w:space="0" w:color="auto"/>
            <w:right w:val="none" w:sz="0" w:space="0" w:color="auto"/>
          </w:divBdr>
          <w:divsChild>
            <w:div w:id="942760954">
              <w:marLeft w:val="0"/>
              <w:marRight w:val="0"/>
              <w:marTop w:val="0"/>
              <w:marBottom w:val="0"/>
              <w:divBdr>
                <w:top w:val="none" w:sz="0" w:space="0" w:color="auto"/>
                <w:left w:val="none" w:sz="0" w:space="0" w:color="auto"/>
                <w:bottom w:val="none" w:sz="0" w:space="0" w:color="auto"/>
                <w:right w:val="none" w:sz="0" w:space="0" w:color="auto"/>
              </w:divBdr>
              <w:divsChild>
                <w:div w:id="555817417">
                  <w:marLeft w:val="0"/>
                  <w:marRight w:val="0"/>
                  <w:marTop w:val="0"/>
                  <w:marBottom w:val="0"/>
                  <w:divBdr>
                    <w:top w:val="none" w:sz="0" w:space="0" w:color="auto"/>
                    <w:left w:val="none" w:sz="0" w:space="0" w:color="auto"/>
                    <w:bottom w:val="none" w:sz="0" w:space="0" w:color="auto"/>
                    <w:right w:val="none" w:sz="0" w:space="0" w:color="auto"/>
                  </w:divBdr>
                  <w:divsChild>
                    <w:div w:id="13667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35817">
      <w:bodyDiv w:val="1"/>
      <w:marLeft w:val="0"/>
      <w:marRight w:val="0"/>
      <w:marTop w:val="0"/>
      <w:marBottom w:val="0"/>
      <w:divBdr>
        <w:top w:val="none" w:sz="0" w:space="0" w:color="auto"/>
        <w:left w:val="none" w:sz="0" w:space="0" w:color="auto"/>
        <w:bottom w:val="none" w:sz="0" w:space="0" w:color="auto"/>
        <w:right w:val="none" w:sz="0" w:space="0" w:color="auto"/>
      </w:divBdr>
    </w:div>
    <w:div w:id="1727070212">
      <w:bodyDiv w:val="1"/>
      <w:marLeft w:val="0"/>
      <w:marRight w:val="0"/>
      <w:marTop w:val="0"/>
      <w:marBottom w:val="0"/>
      <w:divBdr>
        <w:top w:val="none" w:sz="0" w:space="0" w:color="auto"/>
        <w:left w:val="none" w:sz="0" w:space="0" w:color="auto"/>
        <w:bottom w:val="none" w:sz="0" w:space="0" w:color="auto"/>
        <w:right w:val="none" w:sz="0" w:space="0" w:color="auto"/>
      </w:divBdr>
      <w:divsChild>
        <w:div w:id="321010531">
          <w:marLeft w:val="0"/>
          <w:marRight w:val="0"/>
          <w:marTop w:val="0"/>
          <w:marBottom w:val="0"/>
          <w:divBdr>
            <w:top w:val="none" w:sz="0" w:space="0" w:color="auto"/>
            <w:left w:val="none" w:sz="0" w:space="0" w:color="auto"/>
            <w:bottom w:val="none" w:sz="0" w:space="0" w:color="auto"/>
            <w:right w:val="none" w:sz="0" w:space="0" w:color="auto"/>
          </w:divBdr>
        </w:div>
      </w:divsChild>
    </w:div>
    <w:div w:id="1766075970">
      <w:bodyDiv w:val="1"/>
      <w:marLeft w:val="0"/>
      <w:marRight w:val="0"/>
      <w:marTop w:val="0"/>
      <w:marBottom w:val="0"/>
      <w:divBdr>
        <w:top w:val="none" w:sz="0" w:space="0" w:color="auto"/>
        <w:left w:val="none" w:sz="0" w:space="0" w:color="auto"/>
        <w:bottom w:val="none" w:sz="0" w:space="0" w:color="auto"/>
        <w:right w:val="none" w:sz="0" w:space="0" w:color="auto"/>
      </w:divBdr>
      <w:divsChild>
        <w:div w:id="1339622983">
          <w:marLeft w:val="0"/>
          <w:marRight w:val="0"/>
          <w:marTop w:val="0"/>
          <w:marBottom w:val="0"/>
          <w:divBdr>
            <w:top w:val="none" w:sz="0" w:space="0" w:color="auto"/>
            <w:left w:val="none" w:sz="0" w:space="0" w:color="auto"/>
            <w:bottom w:val="none" w:sz="0" w:space="0" w:color="auto"/>
            <w:right w:val="none" w:sz="0" w:space="0" w:color="auto"/>
          </w:divBdr>
        </w:div>
      </w:divsChild>
    </w:div>
    <w:div w:id="1815172134">
      <w:bodyDiv w:val="1"/>
      <w:marLeft w:val="0"/>
      <w:marRight w:val="0"/>
      <w:marTop w:val="0"/>
      <w:marBottom w:val="0"/>
      <w:divBdr>
        <w:top w:val="none" w:sz="0" w:space="0" w:color="auto"/>
        <w:left w:val="none" w:sz="0" w:space="0" w:color="auto"/>
        <w:bottom w:val="none" w:sz="0" w:space="0" w:color="auto"/>
        <w:right w:val="none" w:sz="0" w:space="0" w:color="auto"/>
      </w:divBdr>
    </w:div>
    <w:div w:id="1837455094">
      <w:bodyDiv w:val="1"/>
      <w:marLeft w:val="0"/>
      <w:marRight w:val="0"/>
      <w:marTop w:val="0"/>
      <w:marBottom w:val="0"/>
      <w:divBdr>
        <w:top w:val="none" w:sz="0" w:space="0" w:color="auto"/>
        <w:left w:val="none" w:sz="0" w:space="0" w:color="auto"/>
        <w:bottom w:val="none" w:sz="0" w:space="0" w:color="auto"/>
        <w:right w:val="none" w:sz="0" w:space="0" w:color="auto"/>
      </w:divBdr>
    </w:div>
    <w:div w:id="1888179471">
      <w:bodyDiv w:val="1"/>
      <w:marLeft w:val="0"/>
      <w:marRight w:val="0"/>
      <w:marTop w:val="0"/>
      <w:marBottom w:val="0"/>
      <w:divBdr>
        <w:top w:val="none" w:sz="0" w:space="0" w:color="auto"/>
        <w:left w:val="none" w:sz="0" w:space="0" w:color="auto"/>
        <w:bottom w:val="none" w:sz="0" w:space="0" w:color="auto"/>
        <w:right w:val="none" w:sz="0" w:space="0" w:color="auto"/>
      </w:divBdr>
      <w:divsChild>
        <w:div w:id="383214758">
          <w:marLeft w:val="0"/>
          <w:marRight w:val="0"/>
          <w:marTop w:val="0"/>
          <w:marBottom w:val="0"/>
          <w:divBdr>
            <w:top w:val="none" w:sz="0" w:space="0" w:color="auto"/>
            <w:left w:val="none" w:sz="0" w:space="0" w:color="auto"/>
            <w:bottom w:val="none" w:sz="0" w:space="0" w:color="auto"/>
            <w:right w:val="none" w:sz="0" w:space="0" w:color="auto"/>
          </w:divBdr>
        </w:div>
        <w:div w:id="442460870">
          <w:marLeft w:val="0"/>
          <w:marRight w:val="0"/>
          <w:marTop w:val="0"/>
          <w:marBottom w:val="0"/>
          <w:divBdr>
            <w:top w:val="none" w:sz="0" w:space="0" w:color="auto"/>
            <w:left w:val="none" w:sz="0" w:space="0" w:color="auto"/>
            <w:bottom w:val="none" w:sz="0" w:space="0" w:color="auto"/>
            <w:right w:val="none" w:sz="0" w:space="0" w:color="auto"/>
          </w:divBdr>
        </w:div>
        <w:div w:id="507062530">
          <w:marLeft w:val="0"/>
          <w:marRight w:val="0"/>
          <w:marTop w:val="0"/>
          <w:marBottom w:val="0"/>
          <w:divBdr>
            <w:top w:val="none" w:sz="0" w:space="0" w:color="auto"/>
            <w:left w:val="none" w:sz="0" w:space="0" w:color="auto"/>
            <w:bottom w:val="none" w:sz="0" w:space="0" w:color="auto"/>
            <w:right w:val="none" w:sz="0" w:space="0" w:color="auto"/>
          </w:divBdr>
        </w:div>
        <w:div w:id="684139673">
          <w:marLeft w:val="0"/>
          <w:marRight w:val="0"/>
          <w:marTop w:val="0"/>
          <w:marBottom w:val="0"/>
          <w:divBdr>
            <w:top w:val="none" w:sz="0" w:space="0" w:color="auto"/>
            <w:left w:val="none" w:sz="0" w:space="0" w:color="auto"/>
            <w:bottom w:val="none" w:sz="0" w:space="0" w:color="auto"/>
            <w:right w:val="none" w:sz="0" w:space="0" w:color="auto"/>
          </w:divBdr>
        </w:div>
        <w:div w:id="1305349126">
          <w:marLeft w:val="0"/>
          <w:marRight w:val="0"/>
          <w:marTop w:val="0"/>
          <w:marBottom w:val="0"/>
          <w:divBdr>
            <w:top w:val="none" w:sz="0" w:space="0" w:color="auto"/>
            <w:left w:val="none" w:sz="0" w:space="0" w:color="auto"/>
            <w:bottom w:val="none" w:sz="0" w:space="0" w:color="auto"/>
            <w:right w:val="none" w:sz="0" w:space="0" w:color="auto"/>
          </w:divBdr>
        </w:div>
        <w:div w:id="1339036061">
          <w:marLeft w:val="0"/>
          <w:marRight w:val="0"/>
          <w:marTop w:val="0"/>
          <w:marBottom w:val="0"/>
          <w:divBdr>
            <w:top w:val="none" w:sz="0" w:space="0" w:color="auto"/>
            <w:left w:val="none" w:sz="0" w:space="0" w:color="auto"/>
            <w:bottom w:val="none" w:sz="0" w:space="0" w:color="auto"/>
            <w:right w:val="none" w:sz="0" w:space="0" w:color="auto"/>
          </w:divBdr>
        </w:div>
        <w:div w:id="1392540991">
          <w:marLeft w:val="0"/>
          <w:marRight w:val="0"/>
          <w:marTop w:val="0"/>
          <w:marBottom w:val="0"/>
          <w:divBdr>
            <w:top w:val="none" w:sz="0" w:space="0" w:color="auto"/>
            <w:left w:val="none" w:sz="0" w:space="0" w:color="auto"/>
            <w:bottom w:val="none" w:sz="0" w:space="0" w:color="auto"/>
            <w:right w:val="none" w:sz="0" w:space="0" w:color="auto"/>
          </w:divBdr>
        </w:div>
        <w:div w:id="1435051028">
          <w:marLeft w:val="0"/>
          <w:marRight w:val="0"/>
          <w:marTop w:val="0"/>
          <w:marBottom w:val="0"/>
          <w:divBdr>
            <w:top w:val="none" w:sz="0" w:space="0" w:color="auto"/>
            <w:left w:val="none" w:sz="0" w:space="0" w:color="auto"/>
            <w:bottom w:val="none" w:sz="0" w:space="0" w:color="auto"/>
            <w:right w:val="none" w:sz="0" w:space="0" w:color="auto"/>
          </w:divBdr>
        </w:div>
        <w:div w:id="1739668006">
          <w:marLeft w:val="0"/>
          <w:marRight w:val="0"/>
          <w:marTop w:val="0"/>
          <w:marBottom w:val="0"/>
          <w:divBdr>
            <w:top w:val="none" w:sz="0" w:space="0" w:color="auto"/>
            <w:left w:val="none" w:sz="0" w:space="0" w:color="auto"/>
            <w:bottom w:val="none" w:sz="0" w:space="0" w:color="auto"/>
            <w:right w:val="none" w:sz="0" w:space="0" w:color="auto"/>
          </w:divBdr>
        </w:div>
        <w:div w:id="1769931832">
          <w:marLeft w:val="0"/>
          <w:marRight w:val="0"/>
          <w:marTop w:val="0"/>
          <w:marBottom w:val="0"/>
          <w:divBdr>
            <w:top w:val="none" w:sz="0" w:space="0" w:color="auto"/>
            <w:left w:val="none" w:sz="0" w:space="0" w:color="auto"/>
            <w:bottom w:val="none" w:sz="0" w:space="0" w:color="auto"/>
            <w:right w:val="none" w:sz="0" w:space="0" w:color="auto"/>
          </w:divBdr>
        </w:div>
        <w:div w:id="2094622294">
          <w:marLeft w:val="0"/>
          <w:marRight w:val="0"/>
          <w:marTop w:val="0"/>
          <w:marBottom w:val="0"/>
          <w:divBdr>
            <w:top w:val="none" w:sz="0" w:space="0" w:color="auto"/>
            <w:left w:val="none" w:sz="0" w:space="0" w:color="auto"/>
            <w:bottom w:val="none" w:sz="0" w:space="0" w:color="auto"/>
            <w:right w:val="none" w:sz="0" w:space="0" w:color="auto"/>
          </w:divBdr>
        </w:div>
      </w:divsChild>
    </w:div>
    <w:div w:id="1925605894">
      <w:bodyDiv w:val="1"/>
      <w:marLeft w:val="0"/>
      <w:marRight w:val="0"/>
      <w:marTop w:val="0"/>
      <w:marBottom w:val="0"/>
      <w:divBdr>
        <w:top w:val="none" w:sz="0" w:space="0" w:color="auto"/>
        <w:left w:val="none" w:sz="0" w:space="0" w:color="auto"/>
        <w:bottom w:val="none" w:sz="0" w:space="0" w:color="auto"/>
        <w:right w:val="none" w:sz="0" w:space="0" w:color="auto"/>
      </w:divBdr>
    </w:div>
    <w:div w:id="1932277796">
      <w:bodyDiv w:val="1"/>
      <w:marLeft w:val="0"/>
      <w:marRight w:val="0"/>
      <w:marTop w:val="0"/>
      <w:marBottom w:val="0"/>
      <w:divBdr>
        <w:top w:val="none" w:sz="0" w:space="0" w:color="auto"/>
        <w:left w:val="none" w:sz="0" w:space="0" w:color="auto"/>
        <w:bottom w:val="none" w:sz="0" w:space="0" w:color="auto"/>
        <w:right w:val="none" w:sz="0" w:space="0" w:color="auto"/>
      </w:divBdr>
      <w:divsChild>
        <w:div w:id="717360842">
          <w:marLeft w:val="0"/>
          <w:marRight w:val="0"/>
          <w:marTop w:val="0"/>
          <w:marBottom w:val="0"/>
          <w:divBdr>
            <w:top w:val="none" w:sz="0" w:space="0" w:color="auto"/>
            <w:left w:val="none" w:sz="0" w:space="0" w:color="auto"/>
            <w:bottom w:val="none" w:sz="0" w:space="0" w:color="auto"/>
            <w:right w:val="none" w:sz="0" w:space="0" w:color="auto"/>
          </w:divBdr>
        </w:div>
      </w:divsChild>
    </w:div>
    <w:div w:id="1960062228">
      <w:bodyDiv w:val="1"/>
      <w:marLeft w:val="0"/>
      <w:marRight w:val="0"/>
      <w:marTop w:val="0"/>
      <w:marBottom w:val="0"/>
      <w:divBdr>
        <w:top w:val="none" w:sz="0" w:space="0" w:color="auto"/>
        <w:left w:val="none" w:sz="0" w:space="0" w:color="auto"/>
        <w:bottom w:val="none" w:sz="0" w:space="0" w:color="auto"/>
        <w:right w:val="none" w:sz="0" w:space="0" w:color="auto"/>
      </w:divBdr>
      <w:divsChild>
        <w:div w:id="1289896530">
          <w:marLeft w:val="0"/>
          <w:marRight w:val="0"/>
          <w:marTop w:val="0"/>
          <w:marBottom w:val="0"/>
          <w:divBdr>
            <w:top w:val="none" w:sz="0" w:space="0" w:color="auto"/>
            <w:left w:val="none" w:sz="0" w:space="0" w:color="auto"/>
            <w:bottom w:val="none" w:sz="0" w:space="0" w:color="auto"/>
            <w:right w:val="none" w:sz="0" w:space="0" w:color="auto"/>
          </w:divBdr>
        </w:div>
        <w:div w:id="1395157503">
          <w:marLeft w:val="0"/>
          <w:marRight w:val="0"/>
          <w:marTop w:val="0"/>
          <w:marBottom w:val="0"/>
          <w:divBdr>
            <w:top w:val="none" w:sz="0" w:space="0" w:color="auto"/>
            <w:left w:val="none" w:sz="0" w:space="0" w:color="auto"/>
            <w:bottom w:val="none" w:sz="0" w:space="0" w:color="auto"/>
            <w:right w:val="none" w:sz="0" w:space="0" w:color="auto"/>
          </w:divBdr>
        </w:div>
        <w:div w:id="1592741438">
          <w:marLeft w:val="0"/>
          <w:marRight w:val="0"/>
          <w:marTop w:val="0"/>
          <w:marBottom w:val="0"/>
          <w:divBdr>
            <w:top w:val="none" w:sz="0" w:space="0" w:color="auto"/>
            <w:left w:val="none" w:sz="0" w:space="0" w:color="auto"/>
            <w:bottom w:val="none" w:sz="0" w:space="0" w:color="auto"/>
            <w:right w:val="none" w:sz="0" w:space="0" w:color="auto"/>
          </w:divBdr>
        </w:div>
      </w:divsChild>
    </w:div>
    <w:div w:id="1981957362">
      <w:bodyDiv w:val="1"/>
      <w:marLeft w:val="0"/>
      <w:marRight w:val="0"/>
      <w:marTop w:val="0"/>
      <w:marBottom w:val="0"/>
      <w:divBdr>
        <w:top w:val="none" w:sz="0" w:space="0" w:color="auto"/>
        <w:left w:val="none" w:sz="0" w:space="0" w:color="auto"/>
        <w:bottom w:val="none" w:sz="0" w:space="0" w:color="auto"/>
        <w:right w:val="none" w:sz="0" w:space="0" w:color="auto"/>
      </w:divBdr>
      <w:divsChild>
        <w:div w:id="819228746">
          <w:marLeft w:val="0"/>
          <w:marRight w:val="0"/>
          <w:marTop w:val="0"/>
          <w:marBottom w:val="0"/>
          <w:divBdr>
            <w:top w:val="none" w:sz="0" w:space="0" w:color="auto"/>
            <w:left w:val="none" w:sz="0" w:space="0" w:color="auto"/>
            <w:bottom w:val="none" w:sz="0" w:space="0" w:color="auto"/>
            <w:right w:val="none" w:sz="0" w:space="0" w:color="auto"/>
          </w:divBdr>
          <w:divsChild>
            <w:div w:id="290599117">
              <w:marLeft w:val="0"/>
              <w:marRight w:val="0"/>
              <w:marTop w:val="0"/>
              <w:marBottom w:val="0"/>
              <w:divBdr>
                <w:top w:val="none" w:sz="0" w:space="0" w:color="auto"/>
                <w:left w:val="none" w:sz="0" w:space="0" w:color="auto"/>
                <w:bottom w:val="none" w:sz="0" w:space="0" w:color="auto"/>
                <w:right w:val="none" w:sz="0" w:space="0" w:color="auto"/>
              </w:divBdr>
              <w:divsChild>
                <w:div w:id="60564079">
                  <w:marLeft w:val="0"/>
                  <w:marRight w:val="0"/>
                  <w:marTop w:val="0"/>
                  <w:marBottom w:val="0"/>
                  <w:divBdr>
                    <w:top w:val="none" w:sz="0" w:space="0" w:color="auto"/>
                    <w:left w:val="none" w:sz="0" w:space="0" w:color="auto"/>
                    <w:bottom w:val="none" w:sz="0" w:space="0" w:color="auto"/>
                    <w:right w:val="none" w:sz="0" w:space="0" w:color="auto"/>
                  </w:divBdr>
                  <w:divsChild>
                    <w:div w:id="1770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257130">
      <w:bodyDiv w:val="1"/>
      <w:marLeft w:val="0"/>
      <w:marRight w:val="0"/>
      <w:marTop w:val="0"/>
      <w:marBottom w:val="0"/>
      <w:divBdr>
        <w:top w:val="none" w:sz="0" w:space="0" w:color="auto"/>
        <w:left w:val="none" w:sz="0" w:space="0" w:color="auto"/>
        <w:bottom w:val="none" w:sz="0" w:space="0" w:color="auto"/>
        <w:right w:val="none" w:sz="0" w:space="0" w:color="auto"/>
      </w:divBdr>
    </w:div>
    <w:div w:id="2018455996">
      <w:bodyDiv w:val="1"/>
      <w:marLeft w:val="0"/>
      <w:marRight w:val="0"/>
      <w:marTop w:val="0"/>
      <w:marBottom w:val="0"/>
      <w:divBdr>
        <w:top w:val="none" w:sz="0" w:space="0" w:color="auto"/>
        <w:left w:val="none" w:sz="0" w:space="0" w:color="auto"/>
        <w:bottom w:val="none" w:sz="0" w:space="0" w:color="auto"/>
        <w:right w:val="none" w:sz="0" w:space="0" w:color="auto"/>
      </w:divBdr>
    </w:div>
    <w:div w:id="2063091217">
      <w:bodyDiv w:val="1"/>
      <w:marLeft w:val="0"/>
      <w:marRight w:val="0"/>
      <w:marTop w:val="0"/>
      <w:marBottom w:val="0"/>
      <w:divBdr>
        <w:top w:val="none" w:sz="0" w:space="0" w:color="auto"/>
        <w:left w:val="none" w:sz="0" w:space="0" w:color="auto"/>
        <w:bottom w:val="none" w:sz="0" w:space="0" w:color="auto"/>
        <w:right w:val="none" w:sz="0" w:space="0" w:color="auto"/>
      </w:divBdr>
      <w:divsChild>
        <w:div w:id="1902980045">
          <w:marLeft w:val="0"/>
          <w:marRight w:val="0"/>
          <w:marTop w:val="0"/>
          <w:marBottom w:val="0"/>
          <w:divBdr>
            <w:top w:val="none" w:sz="0" w:space="0" w:color="auto"/>
            <w:left w:val="none" w:sz="0" w:space="0" w:color="auto"/>
            <w:bottom w:val="none" w:sz="0" w:space="0" w:color="auto"/>
            <w:right w:val="none" w:sz="0" w:space="0" w:color="auto"/>
          </w:divBdr>
          <w:divsChild>
            <w:div w:id="2138445084">
              <w:marLeft w:val="0"/>
              <w:marRight w:val="0"/>
              <w:marTop w:val="0"/>
              <w:marBottom w:val="0"/>
              <w:divBdr>
                <w:top w:val="none" w:sz="0" w:space="0" w:color="auto"/>
                <w:left w:val="none" w:sz="0" w:space="0" w:color="auto"/>
                <w:bottom w:val="none" w:sz="0" w:space="0" w:color="auto"/>
                <w:right w:val="none" w:sz="0" w:space="0" w:color="auto"/>
              </w:divBdr>
              <w:divsChild>
                <w:div w:id="1163006957">
                  <w:marLeft w:val="0"/>
                  <w:marRight w:val="0"/>
                  <w:marTop w:val="0"/>
                  <w:marBottom w:val="0"/>
                  <w:divBdr>
                    <w:top w:val="none" w:sz="0" w:space="0" w:color="auto"/>
                    <w:left w:val="none" w:sz="0" w:space="0" w:color="auto"/>
                    <w:bottom w:val="none" w:sz="0" w:space="0" w:color="auto"/>
                    <w:right w:val="none" w:sz="0" w:space="0" w:color="auto"/>
                  </w:divBdr>
                  <w:divsChild>
                    <w:div w:id="1351033480">
                      <w:marLeft w:val="0"/>
                      <w:marRight w:val="0"/>
                      <w:marTop w:val="0"/>
                      <w:marBottom w:val="0"/>
                      <w:divBdr>
                        <w:top w:val="none" w:sz="0" w:space="0" w:color="auto"/>
                        <w:left w:val="none" w:sz="0" w:space="0" w:color="auto"/>
                        <w:bottom w:val="none" w:sz="0" w:space="0" w:color="auto"/>
                        <w:right w:val="none" w:sz="0" w:space="0" w:color="auto"/>
                      </w:divBdr>
                      <w:divsChild>
                        <w:div w:id="1577591909">
                          <w:marLeft w:val="0"/>
                          <w:marRight w:val="0"/>
                          <w:marTop w:val="0"/>
                          <w:marBottom w:val="0"/>
                          <w:divBdr>
                            <w:top w:val="none" w:sz="0" w:space="0" w:color="auto"/>
                            <w:left w:val="none" w:sz="0" w:space="0" w:color="auto"/>
                            <w:bottom w:val="none" w:sz="0" w:space="0" w:color="auto"/>
                            <w:right w:val="none" w:sz="0" w:space="0" w:color="auto"/>
                          </w:divBdr>
                          <w:divsChild>
                            <w:div w:id="2134209386">
                              <w:marLeft w:val="0"/>
                              <w:marRight w:val="0"/>
                              <w:marTop w:val="0"/>
                              <w:marBottom w:val="0"/>
                              <w:divBdr>
                                <w:top w:val="none" w:sz="0" w:space="0" w:color="auto"/>
                                <w:left w:val="none" w:sz="0" w:space="0" w:color="auto"/>
                                <w:bottom w:val="none" w:sz="0" w:space="0" w:color="auto"/>
                                <w:right w:val="none" w:sz="0" w:space="0" w:color="auto"/>
                              </w:divBdr>
                              <w:divsChild>
                                <w:div w:id="261764273">
                                  <w:marLeft w:val="0"/>
                                  <w:marRight w:val="0"/>
                                  <w:marTop w:val="0"/>
                                  <w:marBottom w:val="0"/>
                                  <w:divBdr>
                                    <w:top w:val="none" w:sz="0" w:space="0" w:color="auto"/>
                                    <w:left w:val="none" w:sz="0" w:space="0" w:color="auto"/>
                                    <w:bottom w:val="none" w:sz="0" w:space="0" w:color="auto"/>
                                    <w:right w:val="none" w:sz="0" w:space="0" w:color="auto"/>
                                  </w:divBdr>
                                </w:div>
                                <w:div w:id="12459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s/cidh/expresion/docs/publicaciones/MARCO%20JURIDICO%20INTERAMERICANO%20DEL%20DERECHO%20A%20LA%20LIBERTAD%20DE%20EXPRESION%20ESP%20FINAL%20portada.doc.pdf" TargetMode="External"/><Relationship Id="rId299" Type="http://schemas.openxmlformats.org/officeDocument/2006/relationships/hyperlink" Target="https://www.amnistia.org/ve/blog/2024/09/27290/rocio-san-miguel-en-venezuela-hay-personas-defensoras-detenidas-arbitrariamente" TargetMode="External"/><Relationship Id="rId21" Type="http://schemas.openxmlformats.org/officeDocument/2006/relationships/hyperlink" Target="https://www.dw.com/es/antichavistas-denuncian-detenci&#243;n-arbitraria-de-activistas/a-68943837" TargetMode="External"/><Relationship Id="rId63" Type="http://schemas.openxmlformats.org/officeDocument/2006/relationships/hyperlink" Target="https://efectococuyo.com/la-humanidad/ong-investigacion-contra-orlando-avendano-es-un-acto-de-hostigamiento/" TargetMode="External"/><Relationship Id="rId159" Type="http://schemas.openxmlformats.org/officeDocument/2006/relationships/hyperlink" Target="https://espaciopublico.ong/situacion-general-del-derecho-a-la-libertad-de-expresion-e-informacion-enero-abril-2024/" TargetMode="External"/><Relationship Id="rId324" Type="http://schemas.openxmlformats.org/officeDocument/2006/relationships/hyperlink" Target="https://diarioelregionaldelzulia.com/cicpc-captura-al-asesino-de-la-tatuadora-amor-madera-montero/" TargetMode="External"/><Relationship Id="rId366" Type="http://schemas.openxmlformats.org/officeDocument/2006/relationships/hyperlink" Target="https://oveprisiones.com/informe-anual-2023-degradacion-desprecio-y-abandono-caracteristicas-del-sistema-penitenciario-venezolano/" TargetMode="External"/><Relationship Id="rId170" Type="http://schemas.openxmlformats.org/officeDocument/2006/relationships/hyperlink" Target="https://awsbitlynews.com/internacionales/sntp-tras-salida-de-la-senal-de-la-dw-en-venezuela-esta-seria-la-segunda-vez-es-sacada-de-las-cableras-por-instrucciones-del-gobierno/" TargetMode="External"/><Relationship Id="rId226" Type="http://schemas.openxmlformats.org/officeDocument/2006/relationships/hyperlink" Target="https://provea.org/wp-content/uploads/2024/04/09-Salud-Provea-2023.pdf" TargetMode="External"/><Relationship Id="rId268" Type="http://schemas.openxmlformats.org/officeDocument/2006/relationships/hyperlink" Target="https://efectococuyo.com/la-humanidad/militares-han-desalojado-a-1-271-personas-de-mina-ilegal-colapsada-en-bolivar/" TargetMode="External"/><Relationship Id="rId32" Type="http://schemas.openxmlformats.org/officeDocument/2006/relationships/hyperlink" Target="https://espaciopublico.ong/agosto-censura-y-represion-postelectoral/" TargetMode="External"/><Relationship Id="rId74" Type="http://schemas.openxmlformats.org/officeDocument/2006/relationships/hyperlink" Target="https://ipysvenezuela.org/alerta/alerta-ipysve-presuntos-funcionarios-de-la-pnb-intentaron-detener-al-periodista-yuyser-gonzalez/" TargetMode="External"/><Relationship Id="rId128" Type="http://schemas.openxmlformats.org/officeDocument/2006/relationships/hyperlink" Target="https://rsf.org/es/venezuela-rsf-registra-70-ataques-la-libertad-de-prensa-en-15-d%C3%ADas" TargetMode="External"/><Relationship Id="rId335" Type="http://schemas.openxmlformats.org/officeDocument/2006/relationships/hyperlink" Target="https://provea.org/entrevistas/edgar-silva-mas-de-5-millones-de-adultos-mayores-se-han-mantenido-en-pobreza-extrema-en-estado-de-exterminio/" TargetMode="External"/><Relationship Id="rId377" Type="http://schemas.openxmlformats.org/officeDocument/2006/relationships/hyperlink" Target="https://www.r4v.info/en/refugeeandmigrants" TargetMode="External"/><Relationship Id="rId5" Type="http://schemas.openxmlformats.org/officeDocument/2006/relationships/hyperlink" Target="https://elestimulo.com/politica/2024-01-26/tsj-anula-inhabilitacion-de-leocenis-garcia-y-richard-mardo-mas-anuncios/" TargetMode="External"/><Relationship Id="rId181" Type="http://schemas.openxmlformats.org/officeDocument/2006/relationships/hyperlink" Target="https://espaciopublico.ong/febrero-aumenta-la-intimidacion-y-la-censura/" TargetMode="External"/><Relationship Id="rId237" Type="http://schemas.openxmlformats.org/officeDocument/2006/relationships/hyperlink" Target="https://humvenezuela.com/wp-content/uploads/2024/01/Informe-de-Seguimiento-de-la-EHC-HumVenezuela-Noviembre-2023-2.pdf" TargetMode="External"/><Relationship Id="rId279" Type="http://schemas.openxmlformats.org/officeDocument/2006/relationships/hyperlink" Target="https://avesa.blog/2024/09/05/un-alto-porcentaje-de-las-embarazadas-en-zonas-rurales-y-comunidades-indigenas-venezolanas-son-adolescentes/" TargetMode="External"/><Relationship Id="rId43" Type="http://schemas.openxmlformats.org/officeDocument/2006/relationships/hyperlink" Target="https://www.oas.org/es/CIDH/jsForm/?File=/es/cidh/prensa/comunicados/2024/212.asp&amp;utm_content=country-ven&amp;utm_term=class-mon" TargetMode="External"/><Relationship Id="rId139" Type="http://schemas.openxmlformats.org/officeDocument/2006/relationships/hyperlink" Target="https://www.oas.org/es/cidh/expresion/showarticle.asp?artID=132&amp;lID=2" TargetMode="External"/><Relationship Id="rId290" Type="http://schemas.openxmlformats.org/officeDocument/2006/relationships/hyperlink" Target="https://www.fidh.org/es/temas/defensores-de-derechos-humanos/venezuela-detencion-arbitraria-de-kennedy-tejeda-edward-ocariz-y" TargetMode="External"/><Relationship Id="rId304" Type="http://schemas.openxmlformats.org/officeDocument/2006/relationships/hyperlink" Target="https://www.oas.org/es/CIDH/jsForm/?File=/es/cidh/prensa/comunicados/2024/198.asp&amp;utm_content=country-ven&amp;utm_term=class-mon" TargetMode="External"/><Relationship Id="rId346" Type="http://schemas.openxmlformats.org/officeDocument/2006/relationships/hyperlink" Target="http://www.oas.org/es/cidh/ppl/informes/pdfs/Informe-PP-2013-es.pdf" TargetMode="External"/><Relationship Id="rId388" Type="http://schemas.openxmlformats.org/officeDocument/2006/relationships/hyperlink" Target="https://www.ohchr.org/sites/default/files/documents/hrbodies/hrcouncil/ffmv/2022-09-20/FFMV-CRP-2-Spanish.docx" TargetMode="External"/><Relationship Id="rId85" Type="http://schemas.openxmlformats.org/officeDocument/2006/relationships/hyperlink" Target="https://efectococuyo.com/la-humanidad/fiscalia-ratifica-cargos-de-terrorismo-contra-reportera-deisy-pena/" TargetMode="External"/><Relationship Id="rId150" Type="http://schemas.openxmlformats.org/officeDocument/2006/relationships/hyperlink" Target="https://www.vozdeamerica.com/a/venezuela-mas-de-400-medios-comunicacion-cerrados-en-dos-decadas/7431111.html" TargetMode="External"/><Relationship Id="rId192" Type="http://schemas.openxmlformats.org/officeDocument/2006/relationships/hyperlink" Target="https://cepaz.org/relatoras-especiales-onu-solicitan-a-venezuela-revisar-y-reconsiderar-el-proyecto-de-ley-contra-el-fascismo/" TargetMode="External"/><Relationship Id="rId206" Type="http://schemas.openxmlformats.org/officeDocument/2006/relationships/hyperlink" Target="https://www.oas.org/es/cidh/jsForm/?File=/es/cidh/prensa/comunicados/2024/184.asp" TargetMode="External"/><Relationship Id="rId248" Type="http://schemas.openxmlformats.org/officeDocument/2006/relationships/hyperlink" Target="https://www.unicef.org/media/160276/file/Venezuela-Situation-Report-No.1-(Mid-Year)-01-January-30-June-2024.pdf" TargetMode="External"/><Relationship Id="rId12" Type="http://schemas.openxmlformats.org/officeDocument/2006/relationships/hyperlink" Target="https://www.oas.org/es/CIDH/jsForm/?File=/es/cidh/prensa/comunicados/2023/260.asp" TargetMode="External"/><Relationship Id="rId108" Type="http://schemas.openxmlformats.org/officeDocument/2006/relationships/hyperlink" Target="https://x.com/sntpvenezuela/status/1851674638679408706?t=EZgtEriV8jQjKTZEJjK5HA&amp;s=08" TargetMode="External"/><Relationship Id="rId315" Type="http://schemas.openxmlformats.org/officeDocument/2006/relationships/hyperlink" Target="https://www.oas.org/es/CIDH/jsForm/?File=/es/cidh/prensa/comunicados/2024/022.asp&amp;utm_content=country-ven&amp;utm_term=class-mon" TargetMode="External"/><Relationship Id="rId357" Type="http://schemas.openxmlformats.org/officeDocument/2006/relationships/hyperlink" Target="https://unaventanaalalibertad.org/miranda-militares-presos-en-el-fuerte-guaicaipuro-inician-huelga-de-hambre/" TargetMode="External"/><Relationship Id="rId54" Type="http://schemas.openxmlformats.org/officeDocument/2006/relationships/hyperlink" Target="https://espaciopublico.ong/fiscalia-ordena-detencion-de-periodista-sebastiana-barraez-y-defensora-tamara-suju/" TargetMode="External"/><Relationship Id="rId96" Type="http://schemas.openxmlformats.org/officeDocument/2006/relationships/hyperlink" Target="https://x.com/Vladi_VillegasP/status/1826600742712737841?t=g5rRPxf3KRnYfWC_TwI5yA&amp;s=09" TargetMode="External"/><Relationship Id="rId161" Type="http://schemas.openxmlformats.org/officeDocument/2006/relationships/hyperlink" Target="https://espaciopublico.ong/febrero-aumenta-la-intimidacion-y-la-censura/" TargetMode="External"/><Relationship Id="rId217" Type="http://schemas.openxmlformats.org/officeDocument/2006/relationships/hyperlink" Target="https://espaciopublico.ong/agosto-censura-y-represion-postelectoral/" TargetMode="External"/><Relationship Id="rId259" Type="http://schemas.openxmlformats.org/officeDocument/2006/relationships/hyperlink" Target="https://oas365-my.sharepoint.com/Users/paulinaruvalcaba/Downloads/Codhez%20-%20Bolet&#195;&#173;n%20" TargetMode="External"/><Relationship Id="rId23" Type="http://schemas.openxmlformats.org/officeDocument/2006/relationships/hyperlink" Target="https://elpitazo.net/los-llanos/portuguesa-funcionarios-detienen-a-dos-lideresas-de-vente-venezuela-y-allanaron-sus-casas/" TargetMode="External"/><Relationship Id="rId119" Type="http://schemas.openxmlformats.org/officeDocument/2006/relationships/hyperlink" Target="https://espaciopublico.ong/situacion-general-del-derecho-a-la-libertad-de-expresion-e-informacion-enero-abril-2024/" TargetMode="External"/><Relationship Id="rId270" Type="http://schemas.openxmlformats.org/officeDocument/2006/relationships/hyperlink" Target="https://www.vtv.gob.ve/denuncias-violencia-de-genero-ha-recibido-mp/" TargetMode="External"/><Relationship Id="rId326" Type="http://schemas.openxmlformats.org/officeDocument/2006/relationships/hyperlink" Target="https://x.com/VisiblesVzla/status/1823155150774468906" TargetMode="External"/><Relationship Id="rId65" Type="http://schemas.openxmlformats.org/officeDocument/2006/relationships/hyperlink" Target="https://x.com/espaciopublico/status/1813333723888209971" TargetMode="External"/><Relationship Id="rId130" Type="http://schemas.openxmlformats.org/officeDocument/2006/relationships/hyperlink" Target="https://rsf.org/es/venezuela-rsf-registra-70-ataques-la-libertad-de-prensa-en-15-d%C3%ADas" TargetMode="External"/><Relationship Id="rId368" Type="http://schemas.openxmlformats.org/officeDocument/2006/relationships/hyperlink" Target="https://oveprisiones.com/informe-anual-2023-degradacion-desprecio-y-abandono-caracteristicas-del-sistema-penitenciario-venezolano/" TargetMode="External"/><Relationship Id="rId172" Type="http://schemas.openxmlformats.org/officeDocument/2006/relationships/hyperlink" Target="https://www.infobae.com/venezuela/2024/04/16/nueva-arremetida-contra-la-prensa-en-venezuela-detuvieron-a-un-periodista-y-otro-forcejeo-con-quienes-pretendieron-llevarselo/" TargetMode="External"/><Relationship Id="rId228" Type="http://schemas.openxmlformats.org/officeDocument/2006/relationships/hyperlink" Target="https://provea.org/wp-content/uploads/2024/04/09-Salud-Provea-2023.pdf" TargetMode="External"/><Relationship Id="rId281" Type="http://schemas.openxmlformats.org/officeDocument/2006/relationships/hyperlink" Target="https://talcualdigital.com/parir-en-venezuela-ahorita-es-mas-complicado-que-nunca/" TargetMode="External"/><Relationship Id="rId337" Type="http://schemas.openxmlformats.org/officeDocument/2006/relationships/hyperlink" Target="https://cnnespanol.cnn.com/2024/07/12/maria-corina-machado-empresario-albergo-detenido-venezuela-orix" TargetMode="External"/><Relationship Id="rId34" Type="http://schemas.openxmlformats.org/officeDocument/2006/relationships/hyperlink" Target="https://www.oas.org/es/CIDH/jsForm/?File=/es/cidh/prensa/comunicados/2024/184.asp&amp;utm_content=country-ven&amp;utm_term=class-mon" TargetMode="External"/><Relationship Id="rId76" Type="http://schemas.openxmlformats.org/officeDocument/2006/relationships/hyperlink" Target="https://www.elnacional.com/venezuela/saab-vincula-a-periodistas-venezolanos-con-el-aissami-dirigian-campanas-de-descredito-contra-el-estado/" TargetMode="External"/><Relationship Id="rId141" Type="http://schemas.openxmlformats.org/officeDocument/2006/relationships/hyperlink" Target="https://www.oas.org/es/cidh/expresion/showarticle.asp?artID=132&amp;lID=2" TargetMode="External"/><Relationship Id="rId379" Type="http://schemas.openxmlformats.org/officeDocument/2006/relationships/hyperlink" Target="https://www.r4v.info/en/RMNA2024" TargetMode="External"/><Relationship Id="rId7" Type="http://schemas.openxmlformats.org/officeDocument/2006/relationships/hyperlink" Target="https://www.oas.org/es/CIDH/jsForm/?File=/es/cidh/prensa/comunicados/2024/067.asp&amp;utm_content=country-ven&amp;utm_term=class-mon" TargetMode="External"/><Relationship Id="rId183" Type="http://schemas.openxmlformats.org/officeDocument/2006/relationships/hyperlink" Target="https://aulaabiertavenezuela.org/2024/02/13/detencion-de-la-profesora-y-defensora-de-derechos-humanos-rocio-san-miguel-vulnera-tambien-la-libertad-academica-y-la-democracia/" TargetMode="External"/><Relationship Id="rId239" Type="http://schemas.openxmlformats.org/officeDocument/2006/relationships/hyperlink" Target="https://humvenezuela.com/wp-content/uploads/2024/01/Informe-de-Seguimiento-de-la-EHC-HumVenezuela-Noviembre-2023-2.pdf" TargetMode="External"/><Relationship Id="rId390" Type="http://schemas.openxmlformats.org/officeDocument/2006/relationships/hyperlink" Target="https://documents.un.org/doc/undoc/gen/g24/153/27/pdf/g2415327.pdf" TargetMode="External"/><Relationship Id="rId250" Type="http://schemas.openxmlformats.org/officeDocument/2006/relationships/hyperlink" Target="https://www.uniontounion.org/sites/default/files/2024-06/ITUC%202024%20Global%20Rights%20Index.pdf" TargetMode="External"/><Relationship Id="rId292" Type="http://schemas.openxmlformats.org/officeDocument/2006/relationships/hyperlink" Target="https://www.amnistia.org/ve/noticias/2024/09/27284/edward-ocariz-en-venezuela-hay-personas-defensoras-detenidas-arbitrariamente" TargetMode="External"/><Relationship Id="rId306" Type="http://schemas.openxmlformats.org/officeDocument/2006/relationships/hyperlink" Target="https://www.vozdeamerica.com/a/una-nueva-forma-de-destierro-el-gobierno-de-venezuela-anula-pasaportes-a-sus-cr&#237;ticos-dentro-y-fuera-del-pais/7735387.html" TargetMode="External"/><Relationship Id="rId45" Type="http://schemas.openxmlformats.org/officeDocument/2006/relationships/hyperlink" Target="https://www.oas.org/es/CIDH/jsForm/?File=/es/cidh/prensa/comunicados/2024/178.asp&amp;utm_content=country-ven&amp;utm_term=class-mc" TargetMode="External"/><Relationship Id="rId87" Type="http://schemas.openxmlformats.org/officeDocument/2006/relationships/hyperlink" Target="https://espaciopublico.ong/agosto-censura-y-represion-postelectoral/" TargetMode="External"/><Relationship Id="rId110" Type="http://schemas.openxmlformats.org/officeDocument/2006/relationships/hyperlink" Target="https://www.infobae.com/venezuela/2024/11/01/el-regimen-de-nicolas-maduro-libero-al-periodista-nelin-escalante-tras-estar-desaparecido-durante-seis-dias/" TargetMode="External"/><Relationship Id="rId348" Type="http://schemas.openxmlformats.org/officeDocument/2006/relationships/hyperlink" Target="http://www.oas.org/es/cidh/informes/pdfs/PrisionPreventiva.pdf" TargetMode="External"/><Relationship Id="rId152" Type="http://schemas.openxmlformats.org/officeDocument/2006/relationships/hyperlink" Target="https://espaciopublico.ong/situacion-general-del-derecho-a-la-libertad-de-expresion-e-informacion-enero-abril-2024/" TargetMode="External"/><Relationship Id="rId194" Type="http://schemas.openxmlformats.org/officeDocument/2006/relationships/hyperlink" Target="https://espaciopublico.ong/ley-contra-el-odio-y-el-fascismo-dos-caras-de-una-misma-moneda/" TargetMode="External"/><Relationship Id="rId208" Type="http://schemas.openxmlformats.org/officeDocument/2006/relationships/hyperlink" Target="https://talcualdigital.com/espaja-venapp-fue-eliminada-de-google-play-store-y-apple-app-store-en-venezuela/" TargetMode="External"/><Relationship Id="rId261" Type="http://schemas.openxmlformats.org/officeDocument/2006/relationships/hyperlink" Target="https://provea.org/wp-content/uploads/2024/04/08-Pueblos-Indigenas-Provea-2023.pdf" TargetMode="External"/><Relationship Id="rId14" Type="http://schemas.openxmlformats.org/officeDocument/2006/relationships/hyperlink" Target="https://www.oas.org/es/CIDH/jsForm/?File=/es/cidh/prensa/comunicados/2024/141.asp&amp;utm_content=country-ven&amp;utm_term=class-mon" TargetMode="External"/><Relationship Id="rId56" Type="http://schemas.openxmlformats.org/officeDocument/2006/relationships/hyperlink" Target="https://www.radiofeyalegrianoticias.com/colegio-nacional-de-periodistas-respalda-a-sebastiana-barraez/" TargetMode="External"/><Relationship Id="rId317" Type="http://schemas.openxmlformats.org/officeDocument/2006/relationships/hyperlink" Target="https://espaciopublico.ong/analisis-de-la-ley-de-fiscalizacion-regularizacion-actuacion-y-financiamiento-de-las-organizaciones-no-gubernamentales-y-organizaciones-sociales-sin-fines-de-lucro/" TargetMode="External"/><Relationship Id="rId359" Type="http://schemas.openxmlformats.org/officeDocument/2006/relationships/hyperlink" Target="https://oveprisiones.com/informe-anual-2023-degradacion-desprecio-y-abandono-caracteristicas-del-sistema-penitenciario-venezolano/" TargetMode="External"/><Relationship Id="rId98" Type="http://schemas.openxmlformats.org/officeDocument/2006/relationships/hyperlink" Target="https://www.oas.org/es/cidh/decisiones/mc/2024/res_58-24_mc_907-24_ve_es.pdf" TargetMode="External"/><Relationship Id="rId121" Type="http://schemas.openxmlformats.org/officeDocument/2006/relationships/hyperlink" Target="https://espaciopublico.ong/situacion-general-del-derecho-a-la-libertad-de-expresion-e-informacion-enero-abril-2024/" TargetMode="External"/><Relationship Id="rId163" Type="http://schemas.openxmlformats.org/officeDocument/2006/relationships/hyperlink" Target="https://x.com/CNPCaracas/status/1764845539168792956" TargetMode="External"/><Relationship Id="rId219" Type="http://schemas.openxmlformats.org/officeDocument/2006/relationships/hyperlink" Target="https://aulaabiertalatinoamerica.org/2024/07/30/represalias-contra-universitarios-en-elecciones-presidenciales-en-venezuela-entre-el-28-y-30-de-julio-2024/" TargetMode="External"/><Relationship Id="rId370" Type="http://schemas.openxmlformats.org/officeDocument/2006/relationships/hyperlink" Target="https://oveprisiones.com/hasta-tres-cuartos-de-tortura-tienen-en-la-carcel-de-santa-ana-1-y-2/" TargetMode="External"/><Relationship Id="rId230" Type="http://schemas.openxmlformats.org/officeDocument/2006/relationships/hyperlink" Target="https://www.amnesty.org/es/documents/pol10/7200/2024/es/" TargetMode="External"/><Relationship Id="rId25" Type="http://schemas.openxmlformats.org/officeDocument/2006/relationships/hyperlink" Target="https://www.infobae.com/venezuela/2024/06/04/en-su-afan-por-sabotear-el-paso-de-la-campana-opositora-el-regimen-de-maduro-ataca-los-negocios-de-comerciantes-pobres/?utm_source=chatgpt.com" TargetMode="External"/><Relationship Id="rId67" Type="http://schemas.openxmlformats.org/officeDocument/2006/relationships/hyperlink" Target="https://www.infobae.com/venezuela/2024/04/07/periodistas-presos-o-con-orden-de-captura-y-medios-bajo-amenaza-crece-la-represion-contra-la-prensa-en-venezuela/" TargetMode="External"/><Relationship Id="rId272" Type="http://schemas.openxmlformats.org/officeDocument/2006/relationships/hyperlink" Target="https://utopix.cc/pix/julio-de-2024-son-14-casos-para-un-total-de-108-femicidios-en-venezuela-en-siete-meses/" TargetMode="External"/><Relationship Id="rId328" Type="http://schemas.openxmlformats.org/officeDocument/2006/relationships/hyperlink" Target="https://www.infobae.com/venezuela/2024/08/10/agentes-de-la-dictadura-de-nicolas-maduro-intentaron-allanar-la-vivienda-de-un-activista-lgbt-al-oeste-de-caracas/" TargetMode="External"/><Relationship Id="rId132" Type="http://schemas.openxmlformats.org/officeDocument/2006/relationships/hyperlink" Target="https://espaciopublico.ong/agosto-censura-y-represion-postelectoral/" TargetMode="External"/><Relationship Id="rId174" Type="http://schemas.openxmlformats.org/officeDocument/2006/relationships/hyperlink" Target="https://espaciopublico.ong/agosto-censura-y-represion-postelectoral/" TargetMode="External"/><Relationship Id="rId381" Type="http://schemas.openxmlformats.org/officeDocument/2006/relationships/hyperlink" Target="https://www.r4v.info/en/sitrep-electionsvzla" TargetMode="External"/><Relationship Id="rId241" Type="http://schemas.openxmlformats.org/officeDocument/2006/relationships/hyperlink" Target="https://www.ohchr.org/es/press-releases/2024/02/venezuela-un-expert-calls-human-rights-not-charity-end-hunger-and" TargetMode="External"/><Relationship Id="rId36" Type="http://schemas.openxmlformats.org/officeDocument/2006/relationships/hyperlink" Target="https://www.oas.org/es/CIDH/jsForm/?File=/es/cidh/prensa/comunicados/2024/184.asp&amp;utm_content=country-ven&amp;utm_term=class-mon" TargetMode="External"/><Relationship Id="rId283" Type="http://schemas.openxmlformats.org/officeDocument/2006/relationships/hyperlink" Target="https://www.ohchr.org/es/statements/2024/07/high-commissioner-delivers-update-human-rights-situation-venezuela" TargetMode="External"/><Relationship Id="rId339" Type="http://schemas.openxmlformats.org/officeDocument/2006/relationships/hyperlink" Target="https://oveprisiones.com/informe-anual-2023-degradacion-desprecio-y-abandono-caracteristicas-del-sistema-penitenciario-venezolano/" TargetMode="External"/><Relationship Id="rId78" Type="http://schemas.openxmlformats.org/officeDocument/2006/relationships/hyperlink" Target="https://armando.info/comunicado/" TargetMode="External"/><Relationship Id="rId101" Type="http://schemas.openxmlformats.org/officeDocument/2006/relationships/hyperlink" Target="https://espaciopublico.ong/agosto-censura-y-represion-postelectoral/" TargetMode="External"/><Relationship Id="rId143" Type="http://schemas.openxmlformats.org/officeDocument/2006/relationships/hyperlink" Target="https://www.oas.org/es/CIDH/jsForm/?File=/es/cidh/expresion/prensa/comunicados/2024/190.asp&amp;utm_content=country-ven&amp;utm_term=class-mon" TargetMode="External"/><Relationship Id="rId185" Type="http://schemas.openxmlformats.org/officeDocument/2006/relationships/hyperlink" Target="https://espaciopublico.ong/agosto-censura-y-represion-postelectoral/" TargetMode="External"/><Relationship Id="rId350" Type="http://schemas.openxmlformats.org/officeDocument/2006/relationships/hyperlink" Target="https://www.oas.org/es/cidh/docs/anual/2022/capitulos/9-IA2022_Cap_4B_VE_ES.pdf" TargetMode="External"/><Relationship Id="rId9" Type="http://schemas.openxmlformats.org/officeDocument/2006/relationships/hyperlink" Target="https://www.oas.org/es/CIDH/jsForm/?File=/es/cidh/prensa/comunicados/2024/067.asp&amp;utm_content=country-ven&amp;utm_term=class-mon" TargetMode="External"/><Relationship Id="rId210" Type="http://schemas.openxmlformats.org/officeDocument/2006/relationships/hyperlink" Target="https://www.oas.org/es/cidh/jsForm/?File=/es/cidh/prensa/comunicados/2024/184.asp" TargetMode="External"/><Relationship Id="rId392" Type="http://schemas.openxmlformats.org/officeDocument/2006/relationships/hyperlink" Target="https://www.who.int/es/news-room/fact-sheets/detail/family-planning-contraception" TargetMode="External"/><Relationship Id="rId252" Type="http://schemas.openxmlformats.org/officeDocument/2006/relationships/hyperlink" Target="https://www.observatoriodeconflictos.org.ve/tendencias-de-la-conflictividad/conflictividad-social-en-venezuela-en-el-primer-semestre-de-2024" TargetMode="External"/><Relationship Id="rId294" Type="http://schemas.openxmlformats.org/officeDocument/2006/relationships/hyperlink" Target="https://defendlawyers.wordpress.com/2024/08/19/venezuela-detienen-a-destacado-abogado-defensor-de-derechos-humanos-en-amazonas/" TargetMode="External"/><Relationship Id="rId308" Type="http://schemas.openxmlformats.org/officeDocument/2006/relationships/hyperlink" Target="https://directoriolegislativo.org/es/se-aprobo-la-ley-anti-ong-en-venezuela-su-historia-y-alcance/" TargetMode="External"/><Relationship Id="rId47" Type="http://schemas.openxmlformats.org/officeDocument/2006/relationships/hyperlink" Target="https://www.oas.org/es/CIDH/jsForm/?File=/es/cidh/prensa/comunicados/2024/193.asp&amp;utm_content=country-ven&amp;utm_term=class-mc" TargetMode="External"/><Relationship Id="rId89" Type="http://schemas.openxmlformats.org/officeDocument/2006/relationships/hyperlink" Target="https://www.oas.org/es/cidh/decisiones/mc/2024/res_50-24_mc_883-24_ve_es.pdf" TargetMode="External"/><Relationship Id="rId112" Type="http://schemas.openxmlformats.org/officeDocument/2006/relationships/hyperlink" Target="https://www.ntn24.com/noticias-judicial/estamos-bien-aparece-el-periodista-venezolano-nelin-escalante-tras-ser-interrogado-por-varios-dias-en-el-dgcim-522051" TargetMode="External"/><Relationship Id="rId154" Type="http://schemas.openxmlformats.org/officeDocument/2006/relationships/hyperlink" Target="https://www.abc.com.py/internacionales/2024/01/23/sindicato-de-prensa-de-venezuela-denuncia-la-vandalizacion-de-sedes-de-medios-y-gremiales/" TargetMode="External"/><Relationship Id="rId361" Type="http://schemas.openxmlformats.org/officeDocument/2006/relationships/hyperlink" Target="https://unaventanaalalibertad.org/wp-content/uploads/2024/02/UVL.-Informe-anual-2023-final.pdf" TargetMode="External"/><Relationship Id="rId196" Type="http://schemas.openxmlformats.org/officeDocument/2006/relationships/hyperlink" Target="https://espaciopublico.ong/ley-contra-el-odio-y-el-fascismo-dos-caras-de-una-misma-moneda/" TargetMode="External"/><Relationship Id="rId200" Type="http://schemas.openxmlformats.org/officeDocument/2006/relationships/hyperlink" Target="https://www.ntn24.com/noticias-politica/estamos-a-puertas-de-un-blackout-informativo-en-venezuela-para-el-28-de-julio-secretario-del-sindicato-nacional-de-trabajadores-de-la-prensa-503576" TargetMode="External"/><Relationship Id="rId382" Type="http://schemas.openxmlformats.org/officeDocument/2006/relationships/hyperlink" Target="https://x.com/InacVzla/status/1818109594591281373" TargetMode="External"/><Relationship Id="rId16" Type="http://schemas.openxmlformats.org/officeDocument/2006/relationships/hyperlink" Target="https://www.oas.org/es/CIDH/jsForm/?File=/es/cidh/prensa/comunicados/2024/159.asp&amp;utm_content=country-ven&amp;utm_term=class-mon" TargetMode="External"/><Relationship Id="rId221" Type="http://schemas.openxmlformats.org/officeDocument/2006/relationships/hyperlink" Target="https://www.ohchr.org/es/press-releases/2024/02/venezuela-un-expert-calls-human-rights-not-charity-end-hunger-and" TargetMode="External"/><Relationship Id="rId242" Type="http://schemas.openxmlformats.org/officeDocument/2006/relationships/hyperlink" Target="https://www.vozdeamerica.com/a/danadas-con-gusanos-y-telaranas-las-polemicas-bolsas-de-alimentos-que-otorga-el-gobierno-de-venezuela-y-que-nadie-quiere-comer-/7642523.html" TargetMode="External"/><Relationship Id="rId263" Type="http://schemas.openxmlformats.org/officeDocument/2006/relationships/hyperlink" Target="https://provea.org/actualidad/especial-el-dolor-de-las-familias-es-inmenso-el-ocaso-en-la-tierra-de-los-warao/" TargetMode="External"/><Relationship Id="rId284" Type="http://schemas.openxmlformats.org/officeDocument/2006/relationships/hyperlink" Target="https://avesa.blog/2024/03/22/informe-sobre-el-progreso-y-las-brechas-en-la-implementacion-de-los-derechos-salud-y-justicia-sexual-y-reproductiva-en-el-10o-aniversario-del-consenso-de-montevideo-en-venezuela/" TargetMode="External"/><Relationship Id="rId319" Type="http://schemas.openxmlformats.org/officeDocument/2006/relationships/hyperlink" Target="https://www.oas.org/es/CIDH/jsForm/?File=/es/cidh/prensa/comunicados/2024/022.asp&amp;utm_content=country-ven&amp;utm_term=class-mon" TargetMode="External"/><Relationship Id="rId37" Type="http://schemas.openxmlformats.org/officeDocument/2006/relationships/hyperlink" Target="https://cidh.oas.org/Terrorism/Span/indice.htm" TargetMode="External"/><Relationship Id="rId58" Type="http://schemas.openxmlformats.org/officeDocument/2006/relationships/hyperlink" Target="https://voz.us/es/mundo/240401/11628/el-regimen-de-maduro-acusa-falsamente-a-orlando-avendano-periodista-de-voz-media-de-instigar-al-odio-y-llamar-a-la-rebelion.html?swcfpc=1" TargetMode="External"/><Relationship Id="rId79" Type="http://schemas.openxmlformats.org/officeDocument/2006/relationships/hyperlink" Target="https://flip.org.co/pronunciamientos/ministerio-publico-de-venezuela-criminaliza-el-trabajo-investigativo-de-periodistas-de-armando-info" TargetMode="External"/><Relationship Id="rId102" Type="http://schemas.openxmlformats.org/officeDocument/2006/relationships/hyperlink" Target="https://espaciopublico.ong/agosto-censura-y-represion-postelectoral/" TargetMode="External"/><Relationship Id="rId123" Type="http://schemas.openxmlformats.org/officeDocument/2006/relationships/hyperlink" Target="https://espaciopublico.ong/reporte-parcial-28jul-prohiben-cobertura-en-centros-electorales/" TargetMode="External"/><Relationship Id="rId144" Type="http://schemas.openxmlformats.org/officeDocument/2006/relationships/hyperlink" Target="https://espaciopublico.ong/situacion-general-del-derecho-a-la-libertad-de-expresion-e-informacion-enero-abril-2024/" TargetMode="External"/><Relationship Id="rId330" Type="http://schemas.openxmlformats.org/officeDocument/2006/relationships/hyperlink" Target="https://elpitazo.net/gran-caracas/lgtbiq-ong-venezuela-igualitaria-cesa-operaciones-indefinidamente-priorizamos-nuestra-seguridad/" TargetMode="External"/><Relationship Id="rId90" Type="http://schemas.openxmlformats.org/officeDocument/2006/relationships/hyperlink" Target="https://www.oas.org/es/cidh/decisiones/mc/2024/res_50-24_mc_883-24_ve_es.pdf" TargetMode="External"/><Relationship Id="rId165" Type="http://schemas.openxmlformats.org/officeDocument/2006/relationships/hyperlink" Target="https://talcualdigital.com/sacan-a-dw-de-la-parrilla-de-simpletv-tras-senalamientos-de-freddy-nanez/" TargetMode="External"/><Relationship Id="rId186" Type="http://schemas.openxmlformats.org/officeDocument/2006/relationships/hyperlink" Target="https://espaciopublico.ong/agosto-censura-y-represion-postelectoral/" TargetMode="External"/><Relationship Id="rId351" Type="http://schemas.openxmlformats.org/officeDocument/2006/relationships/hyperlink" Target="https://oveprisiones.com/informe-anual-2023-degradacion-desprecio-y-abandono-caracteristicas-del-sistema-penitenciario-venezolano/" TargetMode="External"/><Relationship Id="rId372" Type="http://schemas.openxmlformats.org/officeDocument/2006/relationships/hyperlink" Target="https://oveprisiones.com/informe-anual-2023-degradacion-desprecio-y-abandono-caracteristicas-del-sistema-penitenciario-venezolano/" TargetMode="External"/><Relationship Id="rId211" Type="http://schemas.openxmlformats.org/officeDocument/2006/relationships/hyperlink" Target="https://www.accessnow.org/press-release/carta-abierta-violencia-politica-posibilitada-por-la-tecnologia-venezuela/" TargetMode="External"/><Relationship Id="rId232" Type="http://schemas.openxmlformats.org/officeDocument/2006/relationships/hyperlink" Target="https://www.elnacional.com/venezuela/escasez-de-vacunas-en-venezuela-la-vacunacion-esta-en-505/" TargetMode="External"/><Relationship Id="rId253" Type="http://schemas.openxmlformats.org/officeDocument/2006/relationships/hyperlink" Target="https://correodelcaroni.com/sociedad/ambiente/el-ultimo-glaciar-de-venezuela-ya-es-historia/" TargetMode="External"/><Relationship Id="rId274" Type="http://schemas.openxmlformats.org/officeDocument/2006/relationships/hyperlink" Target="https://ulamujer.org/wp-content/uploads/2024/10/2.-violencia-contra-las-mujeres-por-razones-de-genero-en-medios-digitales.pdf" TargetMode="External"/><Relationship Id="rId295" Type="http://schemas.openxmlformats.org/officeDocument/2006/relationships/hyperlink" Target="https://www.amnistia.org/en/news/2024/09/27288/henry-gomez-en-venezuela-hay-personas-defensoras-detenidas-arbitrariamente" TargetMode="External"/><Relationship Id="rId309" Type="http://schemas.openxmlformats.org/officeDocument/2006/relationships/hyperlink" Target="https://espaciopublico.ong/agosto-censura-y-represion-postelectoral/" TargetMode="External"/><Relationship Id="rId27" Type="http://schemas.openxmlformats.org/officeDocument/2006/relationships/hyperlink" Target="https://espaciopublico.ong/toda-eleccion-legitima-debe-ser-transparente/" TargetMode="External"/><Relationship Id="rId48" Type="http://schemas.openxmlformats.org/officeDocument/2006/relationships/hyperlink" Target="https://www.oas.org/es/CIDH/jsForm/?File=/es/cidh/prensa/comunicados/2024/209.asp&amp;utm_content=country-ven&amp;utm_term=class-mc" TargetMode="External"/><Relationship Id="rId69" Type="http://schemas.openxmlformats.org/officeDocument/2006/relationships/hyperlink" Target="https://x.com/sntpvenezuela/status/1780045720738795958" TargetMode="External"/><Relationship Id="rId113" Type="http://schemas.openxmlformats.org/officeDocument/2006/relationships/hyperlink" Target="https://x.com/espaciopublico/status/1849889475570102746" TargetMode="External"/><Relationship Id="rId134" Type="http://schemas.openxmlformats.org/officeDocument/2006/relationships/hyperlink" Target="https://x.com/espaciopublico/status/1816463273677423012" TargetMode="External"/><Relationship Id="rId320" Type="http://schemas.openxmlformats.org/officeDocument/2006/relationships/hyperlink" Target="https://www.amnesty.org/es/wp-content/uploads/sites/4/2024/04/AMR5379492024SPANISH.pdf" TargetMode="External"/><Relationship Id="rId80" Type="http://schemas.openxmlformats.org/officeDocument/2006/relationships/hyperlink" Target="https://www.ntn24.com/noticias-actualidad/un-mal-chiste-periodistas-de-armandoinfo-niegan-vinculos-con-tareck-el-aissami-489075" TargetMode="External"/><Relationship Id="rId155" Type="http://schemas.openxmlformats.org/officeDocument/2006/relationships/hyperlink" Target="https://www.eldiario.es/politica/sindicato-prensa-venezuela-denuncia-vandalizacion-sedes-medios-gremiales_1_10861540.html" TargetMode="External"/><Relationship Id="rId176" Type="http://schemas.openxmlformats.org/officeDocument/2006/relationships/hyperlink" Target="https://espaciopublico.ong/agosto-censura-y-represion-postelectoral/" TargetMode="External"/><Relationship Id="rId197" Type="http://schemas.openxmlformats.org/officeDocument/2006/relationships/hyperlink" Target="https://espaciopublico.ong/agosto-censura-y-represion-postelectoral/" TargetMode="External"/><Relationship Id="rId341" Type="http://schemas.openxmlformats.org/officeDocument/2006/relationships/hyperlink" Target="https://www.oas.org/es/cidh/docs/anual/2022/capitulos/9-IA2022_Cap_4B_VE_ES.pdf" TargetMode="External"/><Relationship Id="rId362" Type="http://schemas.openxmlformats.org/officeDocument/2006/relationships/hyperlink" Target="https://runrun.es/el-megafono/518229/casi-40-personas-murieron-a-causa-de-enfermedades-en-carceles-y-calabozos-durante-2023/" TargetMode="External"/><Relationship Id="rId383" Type="http://schemas.openxmlformats.org/officeDocument/2006/relationships/hyperlink" Target="https://www.r4v.info/en/refugeeandmigrants" TargetMode="External"/><Relationship Id="rId201" Type="http://schemas.openxmlformats.org/officeDocument/2006/relationships/hyperlink" Target="https://ipysvenezuela.org/alerta/alerta-ipysve-persisten-bloqueos-a-sitios-web-durante-campana-electoral/" TargetMode="External"/><Relationship Id="rId222" Type="http://schemas.openxmlformats.org/officeDocument/2006/relationships/hyperlink" Target="https://assets.website-files.com/5d14c6a5c4ad42a4e794d0f7/65f8aa0a4054c8b7a93fe274_Presentacio%CC%81n%20ENCOVI%202023%20integrada%20prensa%20v1303%20(1).pdf" TargetMode="External"/><Relationship Id="rId243" Type="http://schemas.openxmlformats.org/officeDocument/2006/relationships/hyperlink" Target="https://www.ohchr.org/es/documents/country-reports/ahrc5663-situation-human-rights-bolivarian-republic-venezuela-report" TargetMode="External"/><Relationship Id="rId264" Type="http://schemas.openxmlformats.org/officeDocument/2006/relationships/hyperlink" Target="https://clima21.net/informes/el-crimen-lento-situacion-de-los-grupos-vulnerables-frente-a-la-contaminacion-por-mercurio-en-la-amazonia-venezolana/" TargetMode="External"/><Relationship Id="rId285" Type="http://schemas.openxmlformats.org/officeDocument/2006/relationships/hyperlink" Target="https://elpais.com/america-colombia/2024-09-28/un-bus-a-colombia-el-plan-c-de-las-mujeres-venezolanas-que-buscan-abortar.html" TargetMode="External"/><Relationship Id="rId17" Type="http://schemas.openxmlformats.org/officeDocument/2006/relationships/hyperlink" Target="https://accesoalajusticia.org/cronologia-del-caso-de-rocio-san-miguel/" TargetMode="External"/><Relationship Id="rId38" Type="http://schemas.openxmlformats.org/officeDocument/2006/relationships/hyperlink" Target="https://cidh.oas.org/Terrorism/Span/indice.htm" TargetMode="External"/><Relationship Id="rId59" Type="http://schemas.openxmlformats.org/officeDocument/2006/relationships/hyperlink" Target="https://www.infobae.com/venezuela/2024/04/02/persecucion-en-venezuela-el-regimen-de-maduro-investiga-al-periodista-orlando-avendano-que-rechazo-las-acusaciones/" TargetMode="External"/><Relationship Id="rId103" Type="http://schemas.openxmlformats.org/officeDocument/2006/relationships/hyperlink" Target="https://espaciopublico.ong/agosto-censura-y-represion-postelectoral/" TargetMode="External"/><Relationship Id="rId124" Type="http://schemas.openxmlformats.org/officeDocument/2006/relationships/hyperlink" Target="https://espaciopublico.ong/reporte-parcial-28jul-prohiben-cobertura-en-centros-electorales/" TargetMode="External"/><Relationship Id="rId310" Type="http://schemas.openxmlformats.org/officeDocument/2006/relationships/hyperlink" Target="https://www.bbc.com/mundo/articles/cjw3v4217npo" TargetMode="External"/><Relationship Id="rId70" Type="http://schemas.openxmlformats.org/officeDocument/2006/relationships/hyperlink" Target="https://x.com/_Provea/status/1780044290472743423" TargetMode="External"/><Relationship Id="rId91" Type="http://schemas.openxmlformats.org/officeDocument/2006/relationships/hyperlink" Target="https://www.oas.org/es/cidh/decisiones/mc/2024/res_50-24_mc_883-24_ve_es.pdf" TargetMode="External"/><Relationship Id="rId145" Type="http://schemas.openxmlformats.org/officeDocument/2006/relationships/hyperlink" Target="https://x.com/espaciopublico/status/1814637101738029524" TargetMode="External"/><Relationship Id="rId166" Type="http://schemas.openxmlformats.org/officeDocument/2006/relationships/hyperlink" Target="https://awsbitlynews.com/nacionales/ultima-hora-venezuela-saca-de-la-parrilla-de-las-cableras-el-canal-aleman-dw-detalles/" TargetMode="External"/><Relationship Id="rId187" Type="http://schemas.openxmlformats.org/officeDocument/2006/relationships/hyperlink" Target="https://espaciopublico.ong/agosto-censura-y-represion-postelectoral/" TargetMode="External"/><Relationship Id="rId331" Type="http://schemas.openxmlformats.org/officeDocument/2006/relationships/hyperlink" Target="https://x.com/VE_Igualitaria/status/1845153540785770637" TargetMode="External"/><Relationship Id="rId352" Type="http://schemas.openxmlformats.org/officeDocument/2006/relationships/hyperlink" Target="https://www.oas.org/es/cidh/ppl/docs/pdf/ppl2011esp.pdf" TargetMode="External"/><Relationship Id="rId373" Type="http://schemas.openxmlformats.org/officeDocument/2006/relationships/hyperlink" Target="https://cnnespanol.cnn.com/2024/10/07/detenidos-elecciones-venezuela-torturas-orix" TargetMode="External"/><Relationship Id="rId1" Type="http://schemas.openxmlformats.org/officeDocument/2006/relationships/hyperlink" Target="https://www.ohchr.org/es/press-releases/2024/08/venezuela-ongoing-arbitrary-detentions-disproportionate-use-force-fuelling" TargetMode="External"/><Relationship Id="rId212" Type="http://schemas.openxmlformats.org/officeDocument/2006/relationships/hyperlink" Target="https://www.accessnow.org/press-release/carta-abierta-violencia-politica-posibilitada-por-la-tecnologia-venezuela/" TargetMode="External"/><Relationship Id="rId233" Type="http://schemas.openxmlformats.org/officeDocument/2006/relationships/hyperlink" Target="https://provea.org/actualidad/derechos-sociales/fallecen-tres-ninos-en-los-primeros-15-dias-del-2024-en-el-hospital-j-m-de-los-rios/" TargetMode="External"/><Relationship Id="rId254" Type="http://schemas.openxmlformats.org/officeDocument/2006/relationships/hyperlink" Target="https://ciencia.nasa.gov/cambio-climatico/el-humo-cubre-venezuela/" TargetMode="External"/><Relationship Id="rId28" Type="http://schemas.openxmlformats.org/officeDocument/2006/relationships/hyperlink" Target="https://espaciopublico.ong/toda-eleccion-legitima-debe-ser-transparente/" TargetMode="External"/><Relationship Id="rId49" Type="http://schemas.openxmlformats.org/officeDocument/2006/relationships/hyperlink" Target="https://www.oas.org/es/CIDH/jsForm/?File=/es/cidh/prensa/comunicados/2024/184.asp&amp;utm_content=country-ven&amp;utm_term=class-mon" TargetMode="External"/><Relationship Id="rId114" Type="http://schemas.openxmlformats.org/officeDocument/2006/relationships/hyperlink" Target="https://www.oas.org/es/cidh/expresion/informes/IA2022ESP.pdf" TargetMode="External"/><Relationship Id="rId275" Type="http://schemas.openxmlformats.org/officeDocument/2006/relationships/hyperlink" Target="https://ipysvenezuela.org/tejiendo-redes/noticia/corte-de-apelaciones-ratifica-la-condena-de-naibelys-noel-victima-de-violencia-vicaria/" TargetMode="External"/><Relationship Id="rId296" Type="http://schemas.openxmlformats.org/officeDocument/2006/relationships/hyperlink" Target="https://www.diariolasamericas.com/america-latina/siguen-trasladando-detenidos-protestas-poselectorales-la-carcel-tocoron-n5363036" TargetMode="External"/><Relationship Id="rId300" Type="http://schemas.openxmlformats.org/officeDocument/2006/relationships/hyperlink" Target="https://www.dejusticia.org/wp-content/uploads/2024/09/InformeDDHHVzla.pdf" TargetMode="External"/><Relationship Id="rId60" Type="http://schemas.openxmlformats.org/officeDocument/2006/relationships/hyperlink" Target="https://voz.us/es/mundo/240401/11628/el-regimen-de-maduro-acusa-falsamente-a-orlando-avendano-periodista-de-voz-media-de-instigar-al-odio-y-llamar-a-la-rebelion.html?swcfpc=1" TargetMode="External"/><Relationship Id="rId81" Type="http://schemas.openxmlformats.org/officeDocument/2006/relationships/hyperlink" Target="https://rsf.org/es/venezuela-rsf-registra-70-ataques-la-libertad-de-prensa-en-15-d%C3%ADas" TargetMode="External"/><Relationship Id="rId135" Type="http://schemas.openxmlformats.org/officeDocument/2006/relationships/hyperlink" Target="https://x.com/espaciopublico/status/1815760022183260360" TargetMode="External"/><Relationship Id="rId156" Type="http://schemas.openxmlformats.org/officeDocument/2006/relationships/hyperlink" Target="https://espaciopublico.ong/febrero-aumenta-la-intimidacion-y-la-censura/" TargetMode="External"/><Relationship Id="rId177" Type="http://schemas.openxmlformats.org/officeDocument/2006/relationships/hyperlink" Target="https://espaciopublico.ong/agosto-censura-y-represion-postelectoral/" TargetMode="External"/><Relationship Id="rId198" Type="http://schemas.openxmlformats.org/officeDocument/2006/relationships/hyperlink" Target="https://www.infobae.com/venezuela/2024/04/07/periodistas-presos-o-con-orden-de-captura-y-medios-bajo-amenaza-crece-la-represion-contra-la-prensa-en-venezuela/" TargetMode="External"/><Relationship Id="rId321" Type="http://schemas.openxmlformats.org/officeDocument/2006/relationships/hyperlink" Target="https://spcommreports.ohchr.org/TMResultsBase/DownLoadPublicCommunicationFile?gId=29325" TargetMode="External"/><Relationship Id="rId342" Type="http://schemas.openxmlformats.org/officeDocument/2006/relationships/hyperlink" Target="https://www.oas.org/es/cidh/docs/anual/2023/capitulos/IA2023_Cap_4B_Venezuela_SPA.PDF" TargetMode="External"/><Relationship Id="rId363" Type="http://schemas.openxmlformats.org/officeDocument/2006/relationships/hyperlink" Target="https://www.ntn24.com/noticias-judicial/la-impactante-imagen-de-una-carcel-femenina-en-venezuela-que-explica-la-expansion-de-la-tuberculosis-472148" TargetMode="External"/><Relationship Id="rId384" Type="http://schemas.openxmlformats.org/officeDocument/2006/relationships/hyperlink" Target="http://www.oas.org/dil/esp/tratados_B-32_Convencion_Americana_sobre_Derechos_Humanos.htm" TargetMode="External"/><Relationship Id="rId202" Type="http://schemas.openxmlformats.org/officeDocument/2006/relationships/hyperlink" Target="https://ipysvenezuela.org/alerta/alerta-ipysve-persisten-bloqueos-a-sitios-web-durante-campana-electoral/" TargetMode="External"/><Relationship Id="rId223" Type="http://schemas.openxmlformats.org/officeDocument/2006/relationships/hyperlink" Target="https://provea.org/wp-content/uploads/2024/04/Informe-Provea-Contexto-2023.pdf" TargetMode="External"/><Relationship Id="rId244" Type="http://schemas.openxmlformats.org/officeDocument/2006/relationships/hyperlink" Target="https://www.unicef.org/media/160276/file/Venezuela-Situation-Report-No.1-(Mid-Year)-01-January-30-June-2024.pdf" TargetMode="External"/><Relationship Id="rId18" Type="http://schemas.openxmlformats.org/officeDocument/2006/relationships/hyperlink" Target="https://elpais.com/america/2024-03-09/el-servicio-secreto-de-venezuela-detiene-a-uno-de-los-coordinadores-de-campana-de-maria-corina-machado.html" TargetMode="External"/><Relationship Id="rId39" Type="http://schemas.openxmlformats.org/officeDocument/2006/relationships/hyperlink" Target="https://www.oas.org/es/CIDH/jsForm/?File=/es/cidh/prensa/comunicados/2024/184.asp&amp;utm_content=country-ven&amp;utm_term=class-mon" TargetMode="External"/><Relationship Id="rId265" Type="http://schemas.openxmlformats.org/officeDocument/2006/relationships/hyperlink" Target="https://sosorinoco.org/es/informes/mineria-ilegal-de-oro-impactos-sobre-los-derechos-humanos-y-la-biodiversidad-en-la-amazonia-seis-paises-reportan/" TargetMode="External"/><Relationship Id="rId286" Type="http://schemas.openxmlformats.org/officeDocument/2006/relationships/hyperlink" Target="https://www.ohchr.org/es/documents/country-reports/ahrc5663-situation-human-rights-bolivarian-republic-venezuela-report" TargetMode="External"/><Relationship Id="rId50" Type="http://schemas.openxmlformats.org/officeDocument/2006/relationships/hyperlink" Target="https://www.oas.org/es/CIDH/jsForm/?File=/es/cidh/prensa/comunicados/2024/184.asp&amp;utm_content=country-ven&amp;utm_term=class-mon" TargetMode="External"/><Relationship Id="rId104" Type="http://schemas.openxmlformats.org/officeDocument/2006/relationships/hyperlink" Target="https://espaciopublico.ong/agosto-censura-y-represion-postelectoral/" TargetMode="External"/><Relationship Id="rId125" Type="http://schemas.openxmlformats.org/officeDocument/2006/relationships/hyperlink" Target="https://www.oas.org/es/CIDH/jsForm/?File=/es/cidh/expresion/prensa/comunicados/2024/190.asp&amp;utm_content=country-ven&amp;utm_term=class-mon" TargetMode="External"/><Relationship Id="rId146" Type="http://schemas.openxmlformats.org/officeDocument/2006/relationships/hyperlink" Target="https://x.com/sntpvenezuela/status/1815492367459213707" TargetMode="External"/><Relationship Id="rId167" Type="http://schemas.openxmlformats.org/officeDocument/2006/relationships/hyperlink" Target="https://www.infobae.com/venezuela/2024/03/05/censura-en-venezuela-la-dictadura-de-maduro-saco-al-canal-aleman-dw-de-la-programacion-de-tv-por-suscripcion/" TargetMode="External"/><Relationship Id="rId188" Type="http://schemas.openxmlformats.org/officeDocument/2006/relationships/hyperlink" Target="https://espaciopublico.ong/agosto-censura-y-represion-postelectoral/" TargetMode="External"/><Relationship Id="rId311" Type="http://schemas.openxmlformats.org/officeDocument/2006/relationships/hyperlink" Target="https://www.amnesty.org/es/latest/news/2024/08/venezuela-aprobacion-ley-anti-ong-castiga-asistencia-victimas-defensa-derechos-humanos/" TargetMode="External"/><Relationship Id="rId332" Type="http://schemas.openxmlformats.org/officeDocument/2006/relationships/hyperlink" Target="https://caribeafirmativo.lgbt/dos-organizaciones-lgbtiq-en-venezuela-cierran-operaciones-en-apenas-dos-dias/" TargetMode="External"/><Relationship Id="rId353" Type="http://schemas.openxmlformats.org/officeDocument/2006/relationships/hyperlink" Target="https://www.oas.org/es/cidh/ppl/docs/pdf/ppl2011esp.pdf" TargetMode="External"/><Relationship Id="rId374" Type="http://schemas.openxmlformats.org/officeDocument/2006/relationships/hyperlink" Target="https://www.oas.org/es/cidh/ppl/docs/pdf/ppl2011esp.pdf" TargetMode="External"/><Relationship Id="rId71" Type="http://schemas.openxmlformats.org/officeDocument/2006/relationships/hyperlink" Target="https://x.com/TarekWiliamSaab/status/1780075541804065271?t=JvCxoI0a4Ehk7wr2gTDdpw&amp;s=19" TargetMode="External"/><Relationship Id="rId92" Type="http://schemas.openxmlformats.org/officeDocument/2006/relationships/hyperlink" Target="https://www.oas.org/es/CIDH/jsForm/?File=/es/cidh/prensa/comunicados/2024/186.asp" TargetMode="External"/><Relationship Id="rId213" Type="http://schemas.openxmlformats.org/officeDocument/2006/relationships/hyperlink" Target="https://www.accessnow.org/press-release/carta-abierta-violencia-politica-posibilitada-por-la-tecnologia-venezuela/" TargetMode="External"/><Relationship Id="rId234" Type="http://schemas.openxmlformats.org/officeDocument/2006/relationships/hyperlink" Target="https://www.elnacional.com/venezuela/falta-boletin-epidemiologico-semanal-dificulta-evaluacion-de-cobertura-de-vacunacion/" TargetMode="External"/><Relationship Id="rId2" Type="http://schemas.openxmlformats.org/officeDocument/2006/relationships/hyperlink" Target="https://www.oas.org/es/CIDH/jsForm/?File=/es/cidh/prensa/comunicados/2021/217.asp&amp;utm_content=country-ven&amp;utm_term=class-mon" TargetMode="External"/><Relationship Id="rId29" Type="http://schemas.openxmlformats.org/officeDocument/2006/relationships/hyperlink" Target="https://espaciopublico.ong/toda-eleccion-legitima-debe-ser-transparente/" TargetMode="External"/><Relationship Id="rId255" Type="http://schemas.openxmlformats.org/officeDocument/2006/relationships/hyperlink" Target="https://diarioelsalvador.com/tres-muertes-y-8000-casas-afectadas-por-huracan-beryl-en-venezuela/526685/" TargetMode="External"/><Relationship Id="rId276" Type="http://schemas.openxmlformats.org/officeDocument/2006/relationships/hyperlink" Target="https://talcualdigital.com/venezolanas-varadas-en-frontera-son-mas-vulnerables-a-la-explotacion-sexual/" TargetMode="External"/><Relationship Id="rId297" Type="http://schemas.openxmlformats.org/officeDocument/2006/relationships/hyperlink" Target="https://x.com/CIDH/status/1757157849153589756" TargetMode="External"/><Relationship Id="rId40" Type="http://schemas.openxmlformats.org/officeDocument/2006/relationships/hyperlink" Target="https://www.oas.org/es/CIDH/jsForm/?File=/es/cidh/prensa/comunicados/2024/184.asp&amp;utm_content=country-ven&amp;utm_term=class-mon" TargetMode="External"/><Relationship Id="rId115" Type="http://schemas.openxmlformats.org/officeDocument/2006/relationships/hyperlink" Target="https://www.oas.org/es/cidh/expresion/informes/IA2023%20RELE_ES.pdf" TargetMode="External"/><Relationship Id="rId136" Type="http://schemas.openxmlformats.org/officeDocument/2006/relationships/hyperlink" Target="https://espaciopublico.ong/protestas-29j-detenciones-y-ataques-a-la-prensa/" TargetMode="External"/><Relationship Id="rId157" Type="http://schemas.openxmlformats.org/officeDocument/2006/relationships/hyperlink" Target="https://espaciopublico.ong/situacion-general-del-derecho-a-la-libertad-de-expresion-e-informacion-enero-abril-2024/" TargetMode="External"/><Relationship Id="rId178" Type="http://schemas.openxmlformats.org/officeDocument/2006/relationships/hyperlink" Target="https://www.oas.org/es/cidh/expresion/docs/publicaciones/Radiodifusion%20y%20libertad%20de%20expresion%20FINAL%20PORTADA.pdf" TargetMode="External"/><Relationship Id="rId301" Type="http://schemas.openxmlformats.org/officeDocument/2006/relationships/hyperlink" Target="https://provea.org/wp-content/uploads/2024/10/odevida-informe-.pdf" TargetMode="External"/><Relationship Id="rId322" Type="http://schemas.openxmlformats.org/officeDocument/2006/relationships/hyperlink" Target="https://nomasdiscriminacion.org/alertas/3-asesinatos-personas-lgbtiq-2024/" TargetMode="External"/><Relationship Id="rId343" Type="http://schemas.openxmlformats.org/officeDocument/2006/relationships/hyperlink" Target="https://ultimasnoticias.com.ve/noticias/sucesos/avanzan-acciones-para-descongestionar-centros-de-detencion-preventiva/" TargetMode="External"/><Relationship Id="rId364" Type="http://schemas.openxmlformats.org/officeDocument/2006/relationships/hyperlink" Target="https://oveprisiones.com/informe-anual-2023-degradacion-desprecio-y-abandono-caracteristicas-del-sistema-penitenciario-venezolano/" TargetMode="External"/><Relationship Id="rId61" Type="http://schemas.openxmlformats.org/officeDocument/2006/relationships/hyperlink" Target="https://www.infobae.com/venezuela/2024/04/02/persecucion-en-venezuela-el-regimen-de-maduro-investiga-al-periodista-orlando-avendano-que-rechazo-las-acusaciones/" TargetMode="External"/><Relationship Id="rId82" Type="http://schemas.openxmlformats.org/officeDocument/2006/relationships/hyperlink" Target="https://rsf.org/es/venezuela-rsf-registra-70-ataques-la-libertad-de-prensa-en-15-d%C3%ADas" TargetMode="External"/><Relationship Id="rId199" Type="http://schemas.openxmlformats.org/officeDocument/2006/relationships/hyperlink" Target="https://www.infobae.com/venezuela/2024/04/07/periodistas-presos-o-con-orden-de-captura-y-medios-bajo-amenaza-crece-la-represion-contra-la-prensa-en-venezuela/" TargetMode="External"/><Relationship Id="rId203" Type="http://schemas.openxmlformats.org/officeDocument/2006/relationships/hyperlink" Target="https://proboxve.org/publicacion/terror-en-redes-la-estrategia-digital-de-maduro-para-reprimir-las-voces-criticas/" TargetMode="External"/><Relationship Id="rId385" Type="http://schemas.openxmlformats.org/officeDocument/2006/relationships/hyperlink" Target="http://www.oas.org/dil/esp/tratados_B-32_Convencion_Americana_sobre_Derechos_Humanos.htm" TargetMode="External"/><Relationship Id="rId19" Type="http://schemas.openxmlformats.org/officeDocument/2006/relationships/hyperlink" Target="https://cnnespanol.cnn.com/2024/03/20/venezuela-maria-corina-machado-captura-colaboradores-orix" TargetMode="External"/><Relationship Id="rId224" Type="http://schemas.openxmlformats.org/officeDocument/2006/relationships/hyperlink" Target="https://provea.org/wp-content/uploads/2024/04/Informe-Provea-Contexto-2023.pdf" TargetMode="External"/><Relationship Id="rId245" Type="http://schemas.openxmlformats.org/officeDocument/2006/relationships/hyperlink" Target="https://www.unicef.org/media/160276/file/Venezuela-Situation-Report-No.1-(Mid-Year)-01-January-30-June-2024.pdf" TargetMode="External"/><Relationship Id="rId266" Type="http://schemas.openxmlformats.org/officeDocument/2006/relationships/hyperlink" Target="https://sosorinoco.org/es/informes/mineria-ilegal-de-oro-impactos-sobre-los-derechos-humanos-y-la-biodiversidad-en-la-amazonia-seis-paises-reportan/" TargetMode="External"/><Relationship Id="rId287" Type="http://schemas.openxmlformats.org/officeDocument/2006/relationships/hyperlink" Target="https://centrodefensores.org.ve/wp-content/uploads/2024/08/CDJReporteJulio2024.pdf" TargetMode="External"/><Relationship Id="rId30" Type="http://schemas.openxmlformats.org/officeDocument/2006/relationships/hyperlink" Target="https://www.oas.org/es/CIDH/jsForm/?File=/es/cidh/prensa/comunicados/2024/184.asp&amp;utm_content=country-ven&amp;utm_term=class-mon" TargetMode="External"/><Relationship Id="rId105" Type="http://schemas.openxmlformats.org/officeDocument/2006/relationships/hyperlink" Target="https://espaciopublico.ong/agosto-censura-y-represion-postelectoral/" TargetMode="External"/><Relationship Id="rId126" Type="http://schemas.openxmlformats.org/officeDocument/2006/relationships/hyperlink" Target="https://www.oas.org/es/CIDH/jsForm/?File=/es/cidh/expresion/prensa/comunicados/2024/190.asp&amp;utm_content=country-ven&amp;utm_term=class-mon" TargetMode="External"/><Relationship Id="rId147" Type="http://schemas.openxmlformats.org/officeDocument/2006/relationships/hyperlink" Target="https://www.oas.org/es/cidh/expresion/documentos_basicos/declaraciones.asp" TargetMode="External"/><Relationship Id="rId168" Type="http://schemas.openxmlformats.org/officeDocument/2006/relationships/hyperlink" Target="https://www.prensa-latina.cu/2024/03/04/ministro-denuncia-campana-de-odio-de-medio-aleman-contra-venezuela/" TargetMode="External"/><Relationship Id="rId312" Type="http://schemas.openxmlformats.org/officeDocument/2006/relationships/hyperlink" Target="https://espaciopublico.ong/analisis-de-la-ley-de-fiscalizacion-regularizacion-actuacion-y-financiamiento-de-las-organizaciones-no-gubernamentales-y-organizaciones-sociales-sin-fines-de-lucro/" TargetMode="External"/><Relationship Id="rId333" Type="http://schemas.openxmlformats.org/officeDocument/2006/relationships/hyperlink" Target="https://www.infobae.com/venezuela/2024/05/30/adultos-mayores-protestaron-en-venezuela-contra-la-pension-de-hambre-menos-de-4-dolares-por-mes/" TargetMode="External"/><Relationship Id="rId354" Type="http://schemas.openxmlformats.org/officeDocument/2006/relationships/hyperlink" Target="https://oveprisiones.com/poblacion-reclusa-inicio-huelga-de-hambre-en-reclamo-por-sus-derechos/" TargetMode="External"/><Relationship Id="rId51" Type="http://schemas.openxmlformats.org/officeDocument/2006/relationships/hyperlink" Target="https://www.oas.org/es/CIDH/informes/IA.asp?Year=2020" TargetMode="External"/><Relationship Id="rId72" Type="http://schemas.openxmlformats.org/officeDocument/2006/relationships/hyperlink" Target="https://runrun.es/noticias/528128/cinco-delitos-le-imputaron-a-periodista-carlos-julio-rojas/" TargetMode="External"/><Relationship Id="rId93" Type="http://schemas.openxmlformats.org/officeDocument/2006/relationships/hyperlink" Target="https://www.oas.org/es/cidh/decisiones/mc/2024/res_58-24_mc_907-24_ve_es.pdf" TargetMode="External"/><Relationship Id="rId189" Type="http://schemas.openxmlformats.org/officeDocument/2006/relationships/hyperlink" Target="https://provea.org/actualidad/venezuela-frente-al-espejo-del-fascismo-perspectivas-de-derechos-humanos-sobre-el-proyecto-ley-contra-el-fascismo-neofascismo-y-expresiones-similares-laboratorio-de-paz/" TargetMode="External"/><Relationship Id="rId375" Type="http://schemas.openxmlformats.org/officeDocument/2006/relationships/hyperlink" Target="https://www.oas.org/es/cidh/ppl/docs/pdf/ppl2011esp.pdf" TargetMode="External"/><Relationship Id="rId3" Type="http://schemas.openxmlformats.org/officeDocument/2006/relationships/hyperlink" Target="https://www.oas.org/es/CIDH/jsForm/?File=/es/cidh/prensa/comunicados/2024/025.asp&amp;utm_content=country-ven&amp;utm_term=class-mon" TargetMode="External"/><Relationship Id="rId214" Type="http://schemas.openxmlformats.org/officeDocument/2006/relationships/hyperlink" Target="https://espaciopublico.ong/agosto-censura-y-represion-postelectoral/" TargetMode="External"/><Relationship Id="rId235" Type="http://schemas.openxmlformats.org/officeDocument/2006/relationships/hyperlink" Target="https://provea.org/wp-content/uploads/2024/04/05-Ambiente-Sano-Provea-2023.pdf" TargetMode="External"/><Relationship Id="rId256" Type="http://schemas.openxmlformats.org/officeDocument/2006/relationships/hyperlink" Target="https://efectococuyo.com/la-humanidad/pc-zulia-rescata-a-ninos-wayuu-arrastrados-por-crecida-de-rio/" TargetMode="External"/><Relationship Id="rId277" Type="http://schemas.openxmlformats.org/officeDocument/2006/relationships/hyperlink" Target="https://www.ohchr.org/sites/default/files/documents/issues/food/statements/20240214-eom-statement-venezuela-sr-food-sp.pdf" TargetMode="External"/><Relationship Id="rId298" Type="http://schemas.openxmlformats.org/officeDocument/2006/relationships/hyperlink" Target="https://www.france24.com/es/am%C3%A9rica-latina/20240220-venezuela-qui%C3%A9n-es-roc%C3%ADo-san-miguel-y-por-qu%C3%A9-su-arresto-alarm%C3%B3-a-la-comunidad-internacional" TargetMode="External"/><Relationship Id="rId116" Type="http://schemas.openxmlformats.org/officeDocument/2006/relationships/hyperlink" Target="https://www.oas.org/es/cidh/expresion/showarticle.asp?artID=132&amp;lID=2" TargetMode="External"/><Relationship Id="rId137" Type="http://schemas.openxmlformats.org/officeDocument/2006/relationships/hyperlink" Target="https://espaciopublico.ong/agosto-censura-y-represion-postelectoral/" TargetMode="External"/><Relationship Id="rId158" Type="http://schemas.openxmlformats.org/officeDocument/2006/relationships/hyperlink" Target="https://x.com/CNPCaracas/status/1761394900573049187?t=VYHe58KG22EpdyzYs-lg1A&amp;s=19" TargetMode="External"/><Relationship Id="rId302" Type="http://schemas.openxmlformats.org/officeDocument/2006/relationships/hyperlink" Target="https://www.oas.org/es/CIDH/jsForm/?File=/es/cidh/prensa/comunicados/2024/198.asp&amp;utm_content=country-ven&amp;utm_term=class-mon" TargetMode="External"/><Relationship Id="rId323" Type="http://schemas.openxmlformats.org/officeDocument/2006/relationships/hyperlink" Target="https://eldiario.com/2024/03/14/cicpc-homicidio-miembro-comunidad-lgbtiq-guatire/" TargetMode="External"/><Relationship Id="rId344" Type="http://schemas.openxmlformats.org/officeDocument/2006/relationships/hyperlink" Target="https://oveprisiones.com/infografia-presos-venezolanos-viven-en-menos-espacio-del-que-ocupan-sus-propios-pies/" TargetMode="External"/><Relationship Id="rId20" Type="http://schemas.openxmlformats.org/officeDocument/2006/relationships/hyperlink" Target="https://www.eluniversal.com/sucesos/177586/fiscal-general-confirmo-las-detenciones-de-henry-alviarez-y-dignora-hernandez-por-supuestos-planes" TargetMode="External"/><Relationship Id="rId41" Type="http://schemas.openxmlformats.org/officeDocument/2006/relationships/hyperlink" Target="https://efectococuyo.com/lahumanidad/indefension-vulnerabilidad-y-silencio-las-mujeres-detenidas-en-las-protestasposelectorales/" TargetMode="External"/><Relationship Id="rId62" Type="http://schemas.openxmlformats.org/officeDocument/2006/relationships/hyperlink" Target="https://voz.us/es/mundo/240402/11638/lideres-de-la-comunidad-internacional-condenan-la-persecucion-de-la-dictadura-de-maduro-contra-orlando-avendano-reconocido-periodista-venezolano-critico-del-chavismo.html" TargetMode="External"/><Relationship Id="rId83" Type="http://schemas.openxmlformats.org/officeDocument/2006/relationships/hyperlink" Target="https://elpitazo.net/los-andes/camarografo-paul-leon-ira-a-juicio-tras-ser-detenido-en-una-cobertura-poselectoral/" TargetMode="External"/><Relationship Id="rId179" Type="http://schemas.openxmlformats.org/officeDocument/2006/relationships/hyperlink" Target="https://espaciopublico.ong/situacion-general-del-derecho-a-la-libertad-de-expresion-e-informacion-enero-abril-2024/" TargetMode="External"/><Relationship Id="rId365" Type="http://schemas.openxmlformats.org/officeDocument/2006/relationships/hyperlink" Target="https://unaventanaalalibertad.org/wp-content/uploads/2024/02/UVL.-Informe-anual-2023-final.pdf" TargetMode="External"/><Relationship Id="rId386" Type="http://schemas.openxmlformats.org/officeDocument/2006/relationships/hyperlink" Target="https://www.oas.org/es/cidh/informes/pdfs/2023/Informe_Movilidad_Humana.pdf" TargetMode="External"/><Relationship Id="rId190" Type="http://schemas.openxmlformats.org/officeDocument/2006/relationships/hyperlink" Target="https://provea.org/actualidad/venezuela-frente-al-espejo-del-fascismo-perspectivas-de-derechos-humanos-sobre-el-proyecto-ley-contra-el-fascismo-neofascismo-y-expresiones-similares-laboratorio-de-paz/" TargetMode="External"/><Relationship Id="rId204" Type="http://schemas.openxmlformats.org/officeDocument/2006/relationships/hyperlink" Target="https://www.accessnow.org/press-release/carta-abierta-violencia-politica-posibilitada-por-la-tecnologia-venezuela/" TargetMode="External"/><Relationship Id="rId225" Type="http://schemas.openxmlformats.org/officeDocument/2006/relationships/hyperlink" Target="https://www.infobae.com/america/agencias/2024/10/07/la-inflacion-en-venezuela-sube-un-06-en-septiembre-y-llega-al-34-dice-ente-autonomo/" TargetMode="External"/><Relationship Id="rId246" Type="http://schemas.openxmlformats.org/officeDocument/2006/relationships/hyperlink" Target="https://provea.org/actualidad/amazonas-ninos-venezolanos-cruzan-el-orinoco-para-recibir-una-mejor-educacion-en-colombia/" TargetMode="External"/><Relationship Id="rId267" Type="http://schemas.openxmlformats.org/officeDocument/2006/relationships/hyperlink" Target="https://www.ohchr.org/sites/default/files/documents/hrbodies/hrcouncil/ffmv/2022-09-20/A_HRC_51_43_Unofficial_Spanish_Version.docx" TargetMode="External"/><Relationship Id="rId288" Type="http://schemas.openxmlformats.org/officeDocument/2006/relationships/hyperlink" Target="https://centrodefensores.org.ve/wp-content/uploads/2024/09/CDJReporteAgosto2024.pdf" TargetMode="External"/><Relationship Id="rId106" Type="http://schemas.openxmlformats.org/officeDocument/2006/relationships/hyperlink" Target="https://x.com/EfectoCocuyo/status/1850260938085036472?t=fXbA8I93OoG9aPZEpNXwJQ&amp;s=19" TargetMode="External"/><Relationship Id="rId127" Type="http://schemas.openxmlformats.org/officeDocument/2006/relationships/hyperlink" Target="https://www.oas.org/es/CIDH/jsForm/?File=/es/cidh/expresion/prensa/comunicados/2024/190.asp&amp;utm_content=country-ven&amp;utm_term=class-mon" TargetMode="External"/><Relationship Id="rId313" Type="http://schemas.openxmlformats.org/officeDocument/2006/relationships/hyperlink" Target="https://www.amnesty.org/es/latest/news/2024/08/venezuela-aprobacion-ley-anti-ong-castiga-asistencia-victimas-defensa-derechos-humanos/" TargetMode="External"/><Relationship Id="rId10" Type="http://schemas.openxmlformats.org/officeDocument/2006/relationships/hyperlink" Target="https://www.oas.org/es/CIDH/jsForm/?File=/es/cidh/prensa/comunicados/2024/141.asp&amp;utm_content=country-ven&amp;utm_term=class-mon" TargetMode="External"/><Relationship Id="rId31" Type="http://schemas.openxmlformats.org/officeDocument/2006/relationships/hyperlink" Target="https://resultadosconvzla.com" TargetMode="External"/><Relationship Id="rId52" Type="http://schemas.openxmlformats.org/officeDocument/2006/relationships/hyperlink" Target="https://www.oas.org/es/CIDH/jsForm/?File=/es/cidh/prensa/comunicados/2024/215.asp&amp;utm_content=country-ven&amp;utm_term=class-mon" TargetMode="External"/><Relationship Id="rId73" Type="http://schemas.openxmlformats.org/officeDocument/2006/relationships/hyperlink" Target="https://www.infobae.com/venezuela/2024/04/16/nueva-arremetida-contra-la-prensa-en-venezuela-detuvieron-a-un-periodista-y-otro-forcejeo-con-quienes-pretendieron-llevarselo/" TargetMode="External"/><Relationship Id="rId94" Type="http://schemas.openxmlformats.org/officeDocument/2006/relationships/hyperlink" Target="https://www.oas.org/es/cidh/decisiones/mc/2024/res_58-24_mc_907-24_ve_es.pdf" TargetMode="External"/><Relationship Id="rId148" Type="http://schemas.openxmlformats.org/officeDocument/2006/relationships/hyperlink" Target="https://www.vozdeamerica.com/a/venezuela-mas-de-400-medios-comunicacion-cerrados-en-dos-decadas/7431111.html" TargetMode="External"/><Relationship Id="rId169" Type="http://schemas.openxmlformats.org/officeDocument/2006/relationships/hyperlink" Target="https://awsbitlynews.com/internacionales/sntp-tras-salida-de-la-senal-de-la-dw-en-venezuela-esta-seria-la-segunda-vez-es-sacada-de-las-cableras-por-instrucciones-del-gobierno/" TargetMode="External"/><Relationship Id="rId334" Type="http://schemas.openxmlformats.org/officeDocument/2006/relationships/hyperlink" Target="https://provea.org/entrevistas/edgar-silva-mas-de-5-millones-de-adultos-mayores-se-han-mantenido-en-pobreza-extrema-en-estado-de-exterminio/" TargetMode="External"/><Relationship Id="rId355" Type="http://schemas.openxmlformats.org/officeDocument/2006/relationships/hyperlink" Target="https://efectococuyo.com/politica/maduro-cambia-a-ministra-de-servicio-penitenciario-tras-huelga-de-hambre-en-16-carceles-del-pais/" TargetMode="External"/><Relationship Id="rId376" Type="http://schemas.openxmlformats.org/officeDocument/2006/relationships/hyperlink" Target="https://www.r4v.info/en/refugeeandmigrants" TargetMode="External"/><Relationship Id="rId4" Type="http://schemas.openxmlformats.org/officeDocument/2006/relationships/hyperlink" Target="https://cepaz.org/en-venezuela-arrecia-la-persecucion-contra-personas-vinculadas-a-la-politica/" TargetMode="External"/><Relationship Id="rId180" Type="http://schemas.openxmlformats.org/officeDocument/2006/relationships/hyperlink" Target="https://espaciopublico.ong/agosto-censura-y-represion-postelectoral/" TargetMode="External"/><Relationship Id="rId215" Type="http://schemas.openxmlformats.org/officeDocument/2006/relationships/hyperlink" Target="https://espaciopublico.ong/agosto-censura-y-represion-postelectoral/" TargetMode="External"/><Relationship Id="rId236" Type="http://schemas.openxmlformats.org/officeDocument/2006/relationships/hyperlink" Target="https://provea.org/wp-content/uploads/2024/04/05-Ambiente-Sano-Provea-2023.pdf" TargetMode="External"/><Relationship Id="rId257" Type="http://schemas.openxmlformats.org/officeDocument/2006/relationships/hyperlink" Target="https://www.oas.org/es/cidh/jsForm/?File=/es/cidh/prensa/comunicados/2024/160.asp" TargetMode="External"/><Relationship Id="rId278" Type="http://schemas.openxmlformats.org/officeDocument/2006/relationships/hyperlink" Target="https://minmujer.gob.ve/gran-mision-venezuela-mujer-empoderando-a-las-mujeres-y-transformando-comunidades/" TargetMode="External"/><Relationship Id="rId303" Type="http://schemas.openxmlformats.org/officeDocument/2006/relationships/hyperlink" Target="https://aulaabiertavenezuela.org/2024/08/07/anulacion-o-retencion-de-pasaportes-y-restricciones-a-la-libertad-de-circulacion-contra-venezolanos/" TargetMode="External"/><Relationship Id="rId42" Type="http://schemas.openxmlformats.org/officeDocument/2006/relationships/hyperlink" Target="https://foropenal.com/foro-penalbalance-de-presospoliticos-en-venezuela-al-26-de-agosto-2024/" TargetMode="External"/><Relationship Id="rId84" Type="http://schemas.openxmlformats.org/officeDocument/2006/relationships/hyperlink" Target="https://rsf.org/es/venezuela-rsf-registra-70-ataques-la-libertad-de-prensa-en-15-d%C3%ADas" TargetMode="External"/><Relationship Id="rId138" Type="http://schemas.openxmlformats.org/officeDocument/2006/relationships/hyperlink" Target="https://www.oas.org/es/cidh/mandato/documentos-basicos/declaracion-principios-libertad-expresion.pdf" TargetMode="External"/><Relationship Id="rId345" Type="http://schemas.openxmlformats.org/officeDocument/2006/relationships/hyperlink" Target="https://oveprisiones.com/infografia-presos-venezolanos-viven-en-menos-espacio-del-que-ocupan-sus-propios-pies/" TargetMode="External"/><Relationship Id="rId387" Type="http://schemas.openxmlformats.org/officeDocument/2006/relationships/hyperlink" Target="https://www.oas.org/es/cidh/Sesiones/?S=190" TargetMode="External"/><Relationship Id="rId191" Type="http://schemas.openxmlformats.org/officeDocument/2006/relationships/hyperlink" Target="https://espaciopublico.ong/ley-contra-el-odio-y-el-fascismo-dos-caras-de-una-misma-moneda/" TargetMode="External"/><Relationship Id="rId205" Type="http://schemas.openxmlformats.org/officeDocument/2006/relationships/hyperlink" Target="https://www.oas.org/es/cidh/jsForm/?File=/es/cidh/prensa/comunicados/2024/184.asp" TargetMode="External"/><Relationship Id="rId247" Type="http://schemas.openxmlformats.org/officeDocument/2006/relationships/hyperlink" Target="https://humvenezuela.com/wp-content/uploads/2024/01/Informe-de-Seguimiento-de-la-EHC-HumVenezuela-Noviembre-2023-2.pdf" TargetMode="External"/><Relationship Id="rId107" Type="http://schemas.openxmlformats.org/officeDocument/2006/relationships/hyperlink" Target="https://elinformadorve.com/29/10/2024/venezuela/colegio-nacional-de-periodistas-exige-fe-de-vida-del-periodista-nelin-escalante/" TargetMode="External"/><Relationship Id="rId289" Type="http://schemas.openxmlformats.org/officeDocument/2006/relationships/hyperlink" Target="https://rfkhumanrights.org/our-voices/rfk-human-rights-denuncia-la-detencion-arbitraria-de-kennedy-tejeda-defensor-de-derechos-humanos-y-abogado-de-foro-penal-en-venezuela/" TargetMode="External"/><Relationship Id="rId11" Type="http://schemas.openxmlformats.org/officeDocument/2006/relationships/hyperlink" Target="https://www.oas.org/es/CIDH/jsForm/?File=/es/cidh/prensa/comunicados/2024/141.asp&amp;utm_content=country-ven&amp;utm_term=class-mon" TargetMode="External"/><Relationship Id="rId53" Type="http://schemas.openxmlformats.org/officeDocument/2006/relationships/hyperlink" Target="https://www.oas.org/es/CIDH/jsForm/?File=/es/cidh/expresion/prensa/comunicados/2024/190.asp&amp;utm_content=country-ven&amp;utm_term=class-mon" TargetMode="External"/><Relationship Id="rId149" Type="http://schemas.openxmlformats.org/officeDocument/2006/relationships/hyperlink" Target="https://www.vozdeamerica.com/a/venezuela-mas-de-400-medios-comunicacion-cerrados-en-dos-decadas/7431111.html" TargetMode="External"/><Relationship Id="rId314" Type="http://schemas.openxmlformats.org/officeDocument/2006/relationships/hyperlink" Target="https://www.alianzaregional.net/sociedad-civil-venezolana-es-ilegalizada-en-medio-de-la-represion-poselectoral/" TargetMode="External"/><Relationship Id="rId356" Type="http://schemas.openxmlformats.org/officeDocument/2006/relationships/hyperlink" Target="https://oveprisiones.com/27-militares-continuan-en-huelga-de-hambre-hasta-no-recibir-respuestas-en-cenapromil-charallave/" TargetMode="External"/><Relationship Id="rId95" Type="http://schemas.openxmlformats.org/officeDocument/2006/relationships/hyperlink" Target="https://www.oas.org/es/cidh/decisiones/mc/2024/res_58-24_mc_907-24_ve_es.pdf" TargetMode="External"/><Relationship Id="rId160" Type="http://schemas.openxmlformats.org/officeDocument/2006/relationships/hyperlink" Target="https://espaciopublico.ong/gobernador-del-estado-trujillo-ordeno-cierre-de-ecos-del-paramo-100-3-fm/" TargetMode="External"/><Relationship Id="rId216" Type="http://schemas.openxmlformats.org/officeDocument/2006/relationships/hyperlink" Target="https://espaciopublico.ong/agosto-censura-y-represion-postelectoral/" TargetMode="External"/><Relationship Id="rId258" Type="http://schemas.openxmlformats.org/officeDocument/2006/relationships/hyperlink" Target="https://www.elnacional.com/venezuela/maracaibo-la-capital-petrolera-simbolo-de-la-decadencia-de-venezuela/" TargetMode="External"/><Relationship Id="rId22" Type="http://schemas.openxmlformats.org/officeDocument/2006/relationships/hyperlink" Target="https://x.com/TarekWiliamSaab/status/1803505551843672449?ref_src=twsrc%5Etfw%7Ctwcamp%5Etweetembed%7Ctwterm%5E1803505551843672449%7Ctwgr%5Ebf63173da02c1eb0cd704efc40558f1eef92a360%7Ctwcon%5Es1_c10&amp;ref_url=https%3A%2F%2Fpublish.twitter.com%2F%3Furl%3Dhttps%3A%2F%2Ftwitter.com%2FTarekWiliamSaab%2Fstatus%2F1803505551843672449" TargetMode="External"/><Relationship Id="rId64" Type="http://schemas.openxmlformats.org/officeDocument/2006/relationships/hyperlink" Target="https://x.com/OrlvndoA/status/1774917112588386689" TargetMode="External"/><Relationship Id="rId118" Type="http://schemas.openxmlformats.org/officeDocument/2006/relationships/hyperlink" Target="https://rsf.org/es/venezuela-rsf-registra-70-ataques-la-libertad-de-prensa-en-15-d%C3%ADas" TargetMode="External"/><Relationship Id="rId325" Type="http://schemas.openxmlformats.org/officeDocument/2006/relationships/hyperlink" Target="https://caribeafirmativo.lgbt/graves-riesgos-para-activistas-lgbtiq-en-venezuela-persecucion-detenciones-arbitrarias-y-desapariciones/" TargetMode="External"/><Relationship Id="rId367" Type="http://schemas.openxmlformats.org/officeDocument/2006/relationships/hyperlink" Target="https://espiganoticias.net/nacionales/el-infierno-de-tocuyito-los-presos-solo-tienen-derecho-a-dos-vasos-de-agua-por-dia/" TargetMode="External"/><Relationship Id="rId171" Type="http://schemas.openxmlformats.org/officeDocument/2006/relationships/hyperlink" Target="https://espaciopublico.ong/operadoras-de-internet-bloquean-portal-informativo-el-politico/" TargetMode="External"/><Relationship Id="rId227" Type="http://schemas.openxmlformats.org/officeDocument/2006/relationships/hyperlink" Target="https://www.amnesty.org/es/documents/pol10/7200/2024/es/" TargetMode="External"/><Relationship Id="rId269" Type="http://schemas.openxmlformats.org/officeDocument/2006/relationships/hyperlink" Target="https://www.unicef.org/media/160276/file/Venezuela-Situation-Report-No.1-(Mid-Year)-01-January-30-June-2024.pdf" TargetMode="External"/><Relationship Id="rId33" Type="http://schemas.openxmlformats.org/officeDocument/2006/relationships/hyperlink" Target="https://www.oas.org/es/CIDH/jsForm/?File=/es/cidh/prensa/comunicados/2024/184.asp&amp;utm_content=country-ven&amp;utm_term=class-mon" TargetMode="External"/><Relationship Id="rId129" Type="http://schemas.openxmlformats.org/officeDocument/2006/relationships/hyperlink" Target="https://rsf.org/es/venezuela-rsf-registra-70-ataques-la-libertad-de-prensa-en-15-d%C3%ADas" TargetMode="External"/><Relationship Id="rId280" Type="http://schemas.openxmlformats.org/officeDocument/2006/relationships/hyperlink" Target="https://elaragueno.com.ve/experto-advierte-sobre-la-alarma-del-embarazo-adolescente-en-venezuela/" TargetMode="External"/><Relationship Id="rId336" Type="http://schemas.openxmlformats.org/officeDocument/2006/relationships/hyperlink" Target="https://news.un.org/es/story/2024/07/1531671" TargetMode="External"/><Relationship Id="rId75" Type="http://schemas.openxmlformats.org/officeDocument/2006/relationships/hyperlink" Target="https://www.infobae.com/venezuela/2024/04/16/nueva-arremetida-contra-la-prensa-en-venezuela-detuvieron-a-un-periodista-y-otro-forcejeo-con-quienes-pretendieron-llevarselo/" TargetMode="External"/><Relationship Id="rId140" Type="http://schemas.openxmlformats.org/officeDocument/2006/relationships/hyperlink" Target="https://www.oas.org/es/cidh/expresion/docs/informes/2014_04_22_violencia_esp_web.pdf" TargetMode="External"/><Relationship Id="rId182" Type="http://schemas.openxmlformats.org/officeDocument/2006/relationships/hyperlink" Target="https://aulaabiertavenezuela.org/2024/02/13/detencion-de-la-profesora-y-defensora-de-derechos-humanos-rocio-san-miguel-vulnera-tambien-la-libertad-academica-y-la-democracia/" TargetMode="External"/><Relationship Id="rId378" Type="http://schemas.openxmlformats.org/officeDocument/2006/relationships/hyperlink" Target="https://www.unhcr.org/refugee-statistics/download?data_finder%5BdataGroup%5D=displacement&amp;data_finder%5Bdataset%5D=population&amp;data_finder%5BdisplayType%5D=totals&amp;data_finder%5BpopulationType%5D%5B%5D=REF&amp;data_finder%5BpopulationType%5D%5B%5D=ASY&amp;data_finder%5BpopulationType%5D%5B%5D=IDP&amp;data_finder%5BpopulationType%5D%5B%5D=OIP&amp;data_finder%5BpopulationType%5D%5B%5D=STA&amp;data_finder%5BpopulationType%5D%5B%5D=HST&amp;data_finder%5BpopulationType%5D%5B%5D=OOC&amp;data_finder%5Byear__filterType%5D=range&amp;data" TargetMode="External"/><Relationship Id="rId6" Type="http://schemas.openxmlformats.org/officeDocument/2006/relationships/hyperlink" Target="https://www.oas.org/es/CIDH/jsForm/?File=/es/cidh/prensa/comunicados/2022/085.asp&amp;utm_content=country-ven" TargetMode="External"/><Relationship Id="rId238" Type="http://schemas.openxmlformats.org/officeDocument/2006/relationships/hyperlink" Target="https://www.unicef.org/media/160276/file/Venezuela-Situation-Report-No.1-(Mid-Year)-01-January-30-June-2024.pdf" TargetMode="External"/><Relationship Id="rId291" Type="http://schemas.openxmlformats.org/officeDocument/2006/relationships/hyperlink" Target="https://www.amnistia.org/en/news/2024/09/27286/kennedy-tejeda-en-venezuela-hay-personas-defensoras-detenidas-arbitrariamente" TargetMode="External"/><Relationship Id="rId305" Type="http://schemas.openxmlformats.org/officeDocument/2006/relationships/hyperlink" Target="https://provea.org/wp-content/uploads/2024/10/odevida-informe-.pdf" TargetMode="External"/><Relationship Id="rId347" Type="http://schemas.openxmlformats.org/officeDocument/2006/relationships/hyperlink" Target="https://oveprisiones.com/informe-anual-2023-degradacion-desprecio-y-abandono-caracteristicas-del-sistema-penitenciario-venezolano/" TargetMode="External"/><Relationship Id="rId44" Type="http://schemas.openxmlformats.org/officeDocument/2006/relationships/hyperlink" Target="https://www.oas.org/es/CIDH/jsForm/?File=/es/cidh/prensa/comunicados/2024/212.asp&amp;utm_content=country-ven&amp;utm_term=class-mon" TargetMode="External"/><Relationship Id="rId86" Type="http://schemas.openxmlformats.org/officeDocument/2006/relationships/hyperlink" Target="https://www.dw.com/es/sntp-acusan-a-4-periodistas-de-terrorismo-en-venezuela/a-69883507" TargetMode="External"/><Relationship Id="rId151" Type="http://schemas.openxmlformats.org/officeDocument/2006/relationships/hyperlink" Target="https://www.vozdeamerica.com/a/venezuela-mas-de-400-medios-comunicacion-cerrados-en-dos-decadas/7431111.html" TargetMode="External"/><Relationship Id="rId389" Type="http://schemas.openxmlformats.org/officeDocument/2006/relationships/hyperlink" Target="https://documents.un.org/doc/undoc/gen/g24/153/27/pdf/g2415327.pdf" TargetMode="External"/><Relationship Id="rId193" Type="http://schemas.openxmlformats.org/officeDocument/2006/relationships/hyperlink" Target="https://provea.org/actualidad/venezuela-frente-al-espejo-del-fascismo-perspectivas-de-derechos-humanos-sobre-el-proyecto-ley-contra-el-fascismo-neofascismo-y-expresiones-similares-laboratorio-de-paz/" TargetMode="External"/><Relationship Id="rId207" Type="http://schemas.openxmlformats.org/officeDocument/2006/relationships/hyperlink" Target="https://es.wired.com/articulos/fuera-whatsapp-de-venezuela-nicolas-maduro-pide-que-la-app-sea-eliminada-de-forma-voluntaria" TargetMode="External"/><Relationship Id="rId249" Type="http://schemas.openxmlformats.org/officeDocument/2006/relationships/hyperlink" Target="https://www.ohchr.org/es/documents/country-reports/ahrc5663-situation-human-rights-bolivarian-republic-venezuela-report" TargetMode="External"/><Relationship Id="rId13" Type="http://schemas.openxmlformats.org/officeDocument/2006/relationships/hyperlink" Target="https://elpais.com/america/2024-07-27/solo-el-1-de-los-venezolanos-en-el-exterior-puede-votar-en-las-elecciones-presidenciales.html" TargetMode="External"/><Relationship Id="rId109" Type="http://schemas.openxmlformats.org/officeDocument/2006/relationships/hyperlink" Target="https://x.com/cnpven/status/1851323890867241092?t=kmlbWfCUJZEtgBVuontUaQ&amp;s=08" TargetMode="External"/><Relationship Id="rId260" Type="http://schemas.openxmlformats.org/officeDocument/2006/relationships/hyperlink" Target="https://elpais.com/america/2024-08-20/un-nuevo-derrame-de-crudo-de-pdvsa-contamina-las-playas-del-caribe-venezolano.html" TargetMode="External"/><Relationship Id="rId316" Type="http://schemas.openxmlformats.org/officeDocument/2006/relationships/hyperlink" Target="https://espaciopublico.ong/analisis-de-la-ley-de-fiscalizacion-regularizacion-actuacion-y-financiamiento-de-las-organizaciones-no-gubernamentales-y-organizaciones-sociales-sin-fines-de-lucro/" TargetMode="External"/><Relationship Id="rId55" Type="http://schemas.openxmlformats.org/officeDocument/2006/relationships/hyperlink" Target="https://espaciopublico.ong/fiscalia-ordena-detencion-de-periodista-sebastiana-barraez-y-defensora-tamara-suju/" TargetMode="External"/><Relationship Id="rId97" Type="http://schemas.openxmlformats.org/officeDocument/2006/relationships/hyperlink" Target="https://www.oas.org/es/cidh/decisiones/mc/2024/res_58-24_mc_907-24_ve_es.pdf" TargetMode="External"/><Relationship Id="rId120" Type="http://schemas.openxmlformats.org/officeDocument/2006/relationships/hyperlink" Target="https://espaciopublico.ong/situacion-general-del-derecho-a-la-libertad-de-expresion-e-informacion-enero-abril-2024/" TargetMode="External"/><Relationship Id="rId358" Type="http://schemas.openxmlformats.org/officeDocument/2006/relationships/hyperlink" Target="https://www.swissinfo.ch/spa/ong-dice-que-27-militares-presos-empezaron-una-huelga-de-hambre-ante-amenazas-en-la-c%C3%A1rcel/87779098" TargetMode="External"/><Relationship Id="rId162" Type="http://schemas.openxmlformats.org/officeDocument/2006/relationships/hyperlink" Target="https://x.com/sntpvenezuela/status/1764839651385184585" TargetMode="External"/><Relationship Id="rId218" Type="http://schemas.openxmlformats.org/officeDocument/2006/relationships/hyperlink" Target="https://www.elespectador.com/mundo/john-alvarez-el-estudiante-que-duro-cuatro-meses-preso-fue-liberado-en-venezuela/" TargetMode="External"/><Relationship Id="rId271" Type="http://schemas.openxmlformats.org/officeDocument/2006/relationships/hyperlink" Target="https://cepaz.org/observatorio-digital-de-femicidios-de-cepaz-documento-58-femicidios-consumados-y-27-frustrados-en-el-primer-cuatrimestre-de-2024/" TargetMode="External"/><Relationship Id="rId24" Type="http://schemas.openxmlformats.org/officeDocument/2006/relationships/hyperlink" Target="https://www.oas.org/es/CIDH/jsForm/?File=/es/cidh/prensa/comunicados/2024/159.asp&amp;utm_content=country-ven&amp;utm_term=class-mon" TargetMode="External"/><Relationship Id="rId66" Type="http://schemas.openxmlformats.org/officeDocument/2006/relationships/hyperlink" Target="https://espaciopublico.ong/detienen-al-creador-de-contenidos-oscar-alejandro-perez-en-el-aeropuerto-de-maiquetia/" TargetMode="External"/><Relationship Id="rId131" Type="http://schemas.openxmlformats.org/officeDocument/2006/relationships/hyperlink" Target="https://rsf.org/es/venezuela-rsf-registra-70-ataques-la-libertad-de-prensa-en-15-d%C3%ADas" TargetMode="External"/><Relationship Id="rId327" Type="http://schemas.openxmlformats.org/officeDocument/2006/relationships/hyperlink" Target="https://x.com/EnCiudadanoVzla/status/1831395738846425321?ref_src=twsrc%5Etfw%7Ctwcamp%5Etweetembed%7Ctwterm%5E1831395738846425321%7Ctwgr%5E4ad22bcb23f88a51d6a85ab1327ed7645de35ea1%7Ctwcon%5Es1_&amp;ref_url=https%3A%2F%2Ftalcualdigital.com%2Fdenuncian-traslados-de-detenidos-en-amazonas-y-carabobo-a-la-carcel-de-tocoron%2F" TargetMode="External"/><Relationship Id="rId369" Type="http://schemas.openxmlformats.org/officeDocument/2006/relationships/hyperlink" Target="https://oveprisiones.com/presos-del-conas-lara-conviven-entre-maltratos-y-hacinamiento/" TargetMode="External"/><Relationship Id="rId173" Type="http://schemas.openxmlformats.org/officeDocument/2006/relationships/hyperlink" Target="https://www.infobae.com/venezuela/2024/04/16/nueva-arremetida-contra-la-prensa-en-venezuela-detuvieron-a-un-periodista-y-otro-forcejeo-con-quienes-pretendieron-llevarselo/" TargetMode="External"/><Relationship Id="rId229" Type="http://schemas.openxmlformats.org/officeDocument/2006/relationships/hyperlink" Target="https://www.unicef.org/media/160276/file/Venezuela-Situation-Report-No.1-(Mid-Year)-01-January-30-June-2024.pdf" TargetMode="External"/><Relationship Id="rId380" Type="http://schemas.openxmlformats.org/officeDocument/2006/relationships/hyperlink" Target="https://mppre.gob.ve/publicacion/2716-venezuela-rechaza-las-injerencistas-acciones-y-declaraciones-de-un-grupo-de-gobiernos-de-derecha-que-pretenden-desconocer-resultados-electorales" TargetMode="External"/><Relationship Id="rId240" Type="http://schemas.openxmlformats.org/officeDocument/2006/relationships/hyperlink" Target="https://www.amnesty.org/es/documents/pol10/7200/2024/es/" TargetMode="External"/><Relationship Id="rId35" Type="http://schemas.openxmlformats.org/officeDocument/2006/relationships/hyperlink" Target="https://www.oas.org/es/CIDH/jsForm/?File=/es/cidh/prensa/comunicados/2024/184.asp&amp;utm_content=country-ven&amp;utm_term=class-mon" TargetMode="External"/><Relationship Id="rId77" Type="http://schemas.openxmlformats.org/officeDocument/2006/relationships/hyperlink" Target="https://x.com/MinpublicoVEN/status/1787899980641931629?t=pMQWCgoAkmc-hXwhZmKQ2g&amp;s=08" TargetMode="External"/><Relationship Id="rId100" Type="http://schemas.openxmlformats.org/officeDocument/2006/relationships/hyperlink" Target="https://www.el-carabobeno.com/detenido-editor-del-semanario-digital-la-sapa-del-orinoco/" TargetMode="External"/><Relationship Id="rId282" Type="http://schemas.openxmlformats.org/officeDocument/2006/relationships/hyperlink" Target="https://avesa.blog/2024/03/22/informe-sobre-el-progreso-y-las-brechas-en-la-implementacion-de-los-derechos-salud-y-justicia-sexual-y-reproductiva-en-el-10o-aniversario-del-consenso-de-montevideo-en-venezuela/" TargetMode="External"/><Relationship Id="rId338" Type="http://schemas.openxmlformats.org/officeDocument/2006/relationships/hyperlink" Target="https://oveprisiones.com/infografia-presos-venezolanos-viven-en-menos-espacio-del-que-ocupan-sus-propios-pies/" TargetMode="External"/><Relationship Id="rId8" Type="http://schemas.openxmlformats.org/officeDocument/2006/relationships/hyperlink" Target="https://elpais.com/america/2024-07-27/quienes-son-los-10-candidatos-a-la-presidencia-de-venezuela.html" TargetMode="External"/><Relationship Id="rId142" Type="http://schemas.openxmlformats.org/officeDocument/2006/relationships/hyperlink" Target="https://www.oas.org/es/cidh/expresion/informes/IA2023%20RELE_ES.pdf" TargetMode="External"/><Relationship Id="rId184" Type="http://schemas.openxmlformats.org/officeDocument/2006/relationships/hyperlink" Target="https://espaciopublico.ong/agosto-censura-y-represion-postelectoral/" TargetMode="External"/><Relationship Id="rId391" Type="http://schemas.openxmlformats.org/officeDocument/2006/relationships/hyperlink" Target="https://documents.un.org/doc/undoc/gen/g24/153/27/pdf/g2415327.pdf" TargetMode="External"/><Relationship Id="rId251" Type="http://schemas.openxmlformats.org/officeDocument/2006/relationships/hyperlink" Target="https://efe.com/economia/2024-03-17/el-salario-minimo-en-venezuela-dos-anos-en-caida-libre/" TargetMode="External"/><Relationship Id="rId46" Type="http://schemas.openxmlformats.org/officeDocument/2006/relationships/hyperlink" Target="https://www.oas.org/es/CIDH/jsForm/?File=/es/cidh/prensa/comunicados/2024/183.asp&amp;utm_content=country-ven&amp;utm_term=class-mc" TargetMode="External"/><Relationship Id="rId293" Type="http://schemas.openxmlformats.org/officeDocument/2006/relationships/hyperlink" Target="https://diarioversionfinal.com/politica-dinero/yo-me-mantengo-fuerte-el-escrito-que-edward-ocariz-detenido-en-tocuyito-envio-a-sus-familiares/" TargetMode="External"/><Relationship Id="rId307" Type="http://schemas.openxmlformats.org/officeDocument/2006/relationships/hyperlink" Target="https://www.oas.org/es/CIDH/jsForm/?File=/es/cidh/prensa/comunicados/2024/184.asp&amp;utm_content=country-ven&amp;utm_term=class-mon" TargetMode="External"/><Relationship Id="rId349" Type="http://schemas.openxmlformats.org/officeDocument/2006/relationships/hyperlink" Target="https://oveprisiones.com/informe-anual-2023-degradacion-desprecio-y-abandono-caracteristicas-del-sistema-penitenciario-venezolano/" TargetMode="External"/><Relationship Id="rId88" Type="http://schemas.openxmlformats.org/officeDocument/2006/relationships/hyperlink" Target="https://www.oas.org/es/cidh/decisiones/mc/2024/res_50-24_mc_883-24_ve_es.pdf" TargetMode="External"/><Relationship Id="rId111" Type="http://schemas.openxmlformats.org/officeDocument/2006/relationships/hyperlink" Target="https://noticiasdeaqui.co/2024/11/01/el-periodista-nelin-escalante-fue-puesto-en-libertad-y-se-encuentra-con-su-familia/" TargetMode="External"/><Relationship Id="rId153" Type="http://schemas.openxmlformats.org/officeDocument/2006/relationships/hyperlink" Target="https://x.com/sntpvenezuela/status/1749928253387579502" TargetMode="External"/><Relationship Id="rId195" Type="http://schemas.openxmlformats.org/officeDocument/2006/relationships/hyperlink" Target="https://cepaz.org/relatoras-especiales-onu-solicitan-a-venezuela-revisar-y-reconsiderar-el-proyecto-de-ley-contra-el-fascismo/" TargetMode="External"/><Relationship Id="rId209" Type="http://schemas.openxmlformats.org/officeDocument/2006/relationships/hyperlink" Target="https://www.accessnow.org/press-release/carta-abierta-violencia-politica-posibilitada-por-la-tecnologia-venezuela/" TargetMode="External"/><Relationship Id="rId360" Type="http://schemas.openxmlformats.org/officeDocument/2006/relationships/hyperlink" Target="https://oveprisiones.com/informe-anual-2023-degradacion-desprecio-y-abandono-caracteristicas-del-sistema-penitenciario-venezolano/" TargetMode="External"/><Relationship Id="rId220" Type="http://schemas.openxmlformats.org/officeDocument/2006/relationships/hyperlink" Target="https://elpais.com/america/2024-07-20/venezuela-experimenta-una-recuperacion-economica-en-tiempos-de-incertidumbre-electoral.html" TargetMode="External"/><Relationship Id="rId15" Type="http://schemas.openxmlformats.org/officeDocument/2006/relationships/hyperlink" Target="https://www.oas.org/es/CIDH/jsForm/?File=/es/cidh/prensa/comunicados/2024/141.asp&amp;utm_content=country-ven&amp;utm_term=class-mon" TargetMode="External"/><Relationship Id="rId57" Type="http://schemas.openxmlformats.org/officeDocument/2006/relationships/hyperlink" Target="https://x.com/reporteya/status/1753035060712738905?s=48&amp;t=058FybLgNCirdwkhUkjOkw" TargetMode="External"/><Relationship Id="rId262" Type="http://schemas.openxmlformats.org/officeDocument/2006/relationships/hyperlink" Target="https://documents.un.org/doc/undoc/gen/g24/153/27/pdf/g2415327.pdf" TargetMode="External"/><Relationship Id="rId318" Type="http://schemas.openxmlformats.org/officeDocument/2006/relationships/hyperlink" Target="https://www.oas.org/es/CIDH/jsForm/?File=/es/cidh/prensa/comunicados/2024/022.asp&amp;utm_content=country-ven&amp;utm_term=class-mon" TargetMode="External"/><Relationship Id="rId99" Type="http://schemas.openxmlformats.org/officeDocument/2006/relationships/hyperlink" Target="https://www.oas.org/es/CIDH/jsForm/?File=/es/cidh/prensa/comunicados/2024/196.asp&amp;utm_content=country-ven&amp;utm_term=class-mc" TargetMode="External"/><Relationship Id="rId122" Type="http://schemas.openxmlformats.org/officeDocument/2006/relationships/hyperlink" Target="https://ipysvenezuela.org/alerta/alerta-ipysve-efectivos-de-seguridad-del-estado-borraron-contenido-informativo-a-dos-comunicadores-en-barinas/" TargetMode="External"/><Relationship Id="rId164" Type="http://schemas.openxmlformats.org/officeDocument/2006/relationships/hyperlink" Target="https://awsbitlynews.com/internacionales/sntp-tras-salida-de-la-senal-de-la-dw-en-venezuela-esta-seria-la-segunda-vez-es-sacada-de-las-cableras-por-instrucciones-del-gobierno/" TargetMode="External"/><Relationship Id="rId371" Type="http://schemas.openxmlformats.org/officeDocument/2006/relationships/hyperlink" Target="https://cnnespanol.cnn.com/2024/10/07/detenidos-elecciones-venezuela-torturas-orix" TargetMode="External"/><Relationship Id="rId26" Type="http://schemas.openxmlformats.org/officeDocument/2006/relationships/hyperlink" Target="https://www.infobae.com/venezuela/2024/07/09/el-regimen-de-maduro-clausuro-otro-establecimiento-comercial-que-fue-visitado-por-el-opositor-edmundo-gonzalez/?utm_source=chatgpt.com" TargetMode="External"/><Relationship Id="rId231" Type="http://schemas.openxmlformats.org/officeDocument/2006/relationships/hyperlink" Target="https://www.ohchr.org/es/documents/country-reports/ahrc5663-situation-human-rights-bolivarian-republic-venezuela-report" TargetMode="External"/><Relationship Id="rId273" Type="http://schemas.openxmlformats.org/officeDocument/2006/relationships/hyperlink" Target="https://www.redhnna.org/noticias/entre-marzo-y-julio-se-registraron-1-254-violaciones-a-la-integridad-personal-y-los-derechos-de-nna-en-venezuela" TargetMode="External"/><Relationship Id="rId329" Type="http://schemas.openxmlformats.org/officeDocument/2006/relationships/hyperlink" Target="https://larepublica.pe/mundo/venezuela/2024/08/10/koddy-campos-encapuchados-de-nicolas-maduro-intentan-allanar-y-secuestrar-a-activista-lgbtiq-lrtmv-217650" TargetMode="External"/><Relationship Id="rId68" Type="http://schemas.openxmlformats.org/officeDocument/2006/relationships/hyperlink" Target="https://x.com/espaciopublico/status/1780051098922868919" TargetMode="External"/><Relationship Id="rId133" Type="http://schemas.openxmlformats.org/officeDocument/2006/relationships/hyperlink" Target="https://x.com/Adepargentina/status/1816479261236101274?t=ZDd8iiq8xvMsTaK9-c0_Bw&amp;s=08" TargetMode="External"/><Relationship Id="rId175" Type="http://schemas.openxmlformats.org/officeDocument/2006/relationships/hyperlink" Target="https://espaciopublico.ong/agosto-censura-y-represion-postelectoral/" TargetMode="External"/><Relationship Id="rId340" Type="http://schemas.openxmlformats.org/officeDocument/2006/relationships/hyperlink" Target="https://www.oas.org/es/cidh/docs/anual/2021/FB/Defaul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AA4A-4FED-4961-AAA4-C099DCBF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30591</Words>
  <Characters>168562</Characters>
  <Application>Microsoft Office Word</Application>
  <DocSecurity>0</DocSecurity>
  <Lines>2247</Lines>
  <Paragraphs>557</Paragraphs>
  <ScaleCrop>false</ScaleCrop>
  <Company/>
  <LinksUpToDate>false</LinksUpToDate>
  <CharactersWithSpaces>198596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2024</dc:title>
  <dc:subject>Capítulo IV B: Venezuela</dc:subject>
  <dc:creator/>
  <cp:keywords/>
  <dc:description/>
  <cp:lastModifiedBy/>
  <cp:revision>1</cp:revision>
  <dcterms:created xsi:type="dcterms:W3CDTF">2025-04-16T20:24:00Z</dcterms:created>
  <dcterms:modified xsi:type="dcterms:W3CDTF">2025-04-18T18:35:00Z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4B</vt:lpwstr>
  </property>
  <property fmtid="{D5CDD505-2E9C-101B-9397-08002B2CF9AE}" pid="4" name="Country">
    <vt:lpwstr>VEN</vt:lpwstr>
  </property>
  <property fmtid="{D5CDD505-2E9C-101B-9397-08002B2CF9AE}" pid="5" name="Language">
    <vt:lpwstr>ES</vt:lpwstr>
  </property>
  <property fmtid="{D5CDD505-2E9C-101B-9397-08002B2CF9AE}" pid="6" name="IA_Cover">
    <vt:bool>false</vt:bool>
  </property>
  <property fmtid="{D5CDD505-2E9C-101B-9397-08002B2CF9AE}" pid="7" name="IA_Header">
    <vt:bool>false</vt:bool>
  </property>
</Properties>
</file>