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793C8" w14:textId="3276B1A4" w:rsidR="00D8753A" w:rsidRDefault="00D8753A" w:rsidP="00D8753A">
      <w:r>
        <w:rPr>
          <w:noProof/>
        </w:rPr>
        <w:drawing>
          <wp:anchor distT="0" distB="0" distL="114300" distR="114300" simplePos="0" relativeHeight="251658240" behindDoc="0" locked="0" layoutInCell="1" allowOverlap="1" wp14:anchorId="0E89A5AA" wp14:editId="5CEE6AFA">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1971016085"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016085"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79AB56C4" w14:textId="77777777" w:rsidR="00D8753A" w:rsidRDefault="00D8753A" w:rsidP="00D8753A"/>
    <w:p w14:paraId="288DEF79" w14:textId="15CD2258" w:rsidR="00D8753A" w:rsidRDefault="00D8753A" w:rsidP="00D8753A">
      <w:pPr>
        <w:sectPr w:rsidR="00D8753A" w:rsidSect="00216518">
          <w:headerReference w:type="default" r:id="rId9"/>
          <w:footerReference w:type="even" r:id="rId10"/>
          <w:footerReference w:type="default" r:id="rId11"/>
          <w:headerReference w:type="first" r:id="rId12"/>
          <w:footerReference w:type="first" r:id="rId13"/>
          <w:pgSz w:w="12240" w:h="15840"/>
          <w:pgMar w:top="784" w:right="1440" w:bottom="1440" w:left="1440" w:header="708" w:footer="708" w:gutter="0"/>
          <w:pgNumType w:start="1101"/>
          <w:cols w:space="708"/>
          <w:titlePg/>
          <w:docGrid w:linePitch="360"/>
        </w:sectPr>
      </w:pPr>
      <w:bookmarkStart w:id="0" w:name="IA_Cover"/>
      <w:bookmarkEnd w:id="0"/>
    </w:p>
    <w:p w14:paraId="37F5EC20" w14:textId="43FCD2BD" w:rsidR="00D8753A" w:rsidRDefault="00D8753A" w:rsidP="00D8753A">
      <w:pPr>
        <w:pStyle w:val="TOCCaptulo"/>
      </w:pPr>
      <w:bookmarkStart w:id="1" w:name="Capítulo_V_México"/>
      <w:bookmarkEnd w:id="1"/>
      <w:r>
        <w:lastRenderedPageBreak/>
        <w:t xml:space="preserve">CAPÍTULO V: </w:t>
      </w:r>
      <w:r>
        <w:tab/>
        <w:t>MÉXICO</w:t>
      </w:r>
    </w:p>
    <w:bookmarkStart w:id="2" w:name="IA_TOC"/>
    <w:bookmarkEnd w:id="2"/>
    <w:p w14:paraId="57977011" w14:textId="243CCDC7" w:rsidR="00D8753A" w:rsidRDefault="00D8753A" w:rsidP="00D8753A">
      <w:pPr>
        <w:pStyle w:val="TOC1"/>
        <w:tabs>
          <w:tab w:val="right" w:leader="dot" w:pos="9350"/>
        </w:tabs>
        <w:rPr>
          <w:rFonts w:asciiTheme="minorHAnsi" w:hAnsiTheme="minorHAnsi"/>
          <w:b w:val="0"/>
          <w:caps w:val="0"/>
          <w:noProof/>
          <w:sz w:val="24"/>
        </w:rPr>
      </w:pPr>
      <w:r>
        <w:fldChar w:fldCharType="begin"/>
      </w:r>
      <w:r>
        <w:instrText xml:space="preserve"> TOC \o "1-9" \h \z \t "IA   Título,1,IA  Subtítulo 2,2,IA  Subtítulo 3,3" </w:instrText>
      </w:r>
      <w:r>
        <w:fldChar w:fldCharType="separate"/>
      </w:r>
      <w:hyperlink w:anchor="_Toc195618104" w:history="1">
        <w:r w:rsidRPr="00A3497A">
          <w:rPr>
            <w:rStyle w:val="Hyperlink"/>
            <w:noProof/>
            <w:lang w:val="es-ES"/>
          </w:rPr>
          <w:t>I.</w:t>
        </w:r>
        <w:r>
          <w:rPr>
            <w:rFonts w:asciiTheme="minorHAnsi" w:hAnsiTheme="minorHAnsi"/>
            <w:b w:val="0"/>
            <w:caps w:val="0"/>
            <w:noProof/>
            <w:sz w:val="24"/>
          </w:rPr>
          <w:tab/>
        </w:r>
        <w:r w:rsidRPr="00A3497A">
          <w:rPr>
            <w:rStyle w:val="Hyperlink"/>
            <w:noProof/>
            <w:lang w:val="es-ES"/>
          </w:rPr>
          <w:t>INTRODUCCIÓN</w:t>
        </w:r>
        <w:r>
          <w:rPr>
            <w:noProof/>
            <w:webHidden/>
          </w:rPr>
          <w:tab/>
        </w:r>
        <w:r>
          <w:rPr>
            <w:noProof/>
            <w:webHidden/>
          </w:rPr>
          <w:fldChar w:fldCharType="begin"/>
        </w:r>
        <w:r>
          <w:rPr>
            <w:noProof/>
            <w:webHidden/>
          </w:rPr>
          <w:instrText xml:space="preserve"> PAGEREF _Toc195618104 \h </w:instrText>
        </w:r>
        <w:r>
          <w:rPr>
            <w:noProof/>
            <w:webHidden/>
          </w:rPr>
        </w:r>
        <w:r>
          <w:rPr>
            <w:noProof/>
            <w:webHidden/>
          </w:rPr>
          <w:fldChar w:fldCharType="separate"/>
        </w:r>
        <w:r w:rsidR="0032190B">
          <w:rPr>
            <w:noProof/>
            <w:webHidden/>
          </w:rPr>
          <w:t>1101</w:t>
        </w:r>
        <w:r>
          <w:rPr>
            <w:noProof/>
            <w:webHidden/>
          </w:rPr>
          <w:fldChar w:fldCharType="end"/>
        </w:r>
      </w:hyperlink>
    </w:p>
    <w:p w14:paraId="67B33003" w14:textId="19081CD6" w:rsidR="00D8753A" w:rsidRDefault="00000000" w:rsidP="00D8753A">
      <w:pPr>
        <w:pStyle w:val="TOC1"/>
        <w:tabs>
          <w:tab w:val="right" w:leader="dot" w:pos="9350"/>
        </w:tabs>
        <w:rPr>
          <w:rFonts w:asciiTheme="minorHAnsi" w:hAnsiTheme="minorHAnsi"/>
          <w:b w:val="0"/>
          <w:caps w:val="0"/>
          <w:noProof/>
          <w:sz w:val="24"/>
        </w:rPr>
      </w:pPr>
      <w:hyperlink w:anchor="_Toc195618105" w:history="1">
        <w:r w:rsidR="00D8753A" w:rsidRPr="00A3497A">
          <w:rPr>
            <w:rStyle w:val="Hyperlink"/>
            <w:noProof/>
            <w:lang w:val="es-ES"/>
          </w:rPr>
          <w:t>II.</w:t>
        </w:r>
        <w:r w:rsidR="00D8753A">
          <w:rPr>
            <w:rFonts w:asciiTheme="minorHAnsi" w:hAnsiTheme="minorHAnsi"/>
            <w:b w:val="0"/>
            <w:caps w:val="0"/>
            <w:noProof/>
            <w:sz w:val="24"/>
          </w:rPr>
          <w:tab/>
        </w:r>
        <w:r w:rsidR="00D8753A" w:rsidRPr="00A3497A">
          <w:rPr>
            <w:rStyle w:val="Hyperlink"/>
            <w:noProof/>
            <w:lang w:val="es-ES"/>
          </w:rPr>
          <w:t>SEGUIMIENTO DE RECOMENDACIONES</w:t>
        </w:r>
        <w:r w:rsidR="00D8753A">
          <w:rPr>
            <w:noProof/>
            <w:webHidden/>
          </w:rPr>
          <w:tab/>
        </w:r>
        <w:r w:rsidR="00D8753A">
          <w:rPr>
            <w:noProof/>
            <w:webHidden/>
          </w:rPr>
          <w:fldChar w:fldCharType="begin"/>
        </w:r>
        <w:r w:rsidR="00D8753A">
          <w:rPr>
            <w:noProof/>
            <w:webHidden/>
          </w:rPr>
          <w:instrText xml:space="preserve"> PAGEREF _Toc195618105 \h </w:instrText>
        </w:r>
        <w:r w:rsidR="00D8753A">
          <w:rPr>
            <w:noProof/>
            <w:webHidden/>
          </w:rPr>
        </w:r>
        <w:r w:rsidR="00D8753A">
          <w:rPr>
            <w:noProof/>
            <w:webHidden/>
          </w:rPr>
          <w:fldChar w:fldCharType="separate"/>
        </w:r>
        <w:r w:rsidR="0032190B">
          <w:rPr>
            <w:noProof/>
            <w:webHidden/>
          </w:rPr>
          <w:t>1102</w:t>
        </w:r>
        <w:r w:rsidR="00D8753A">
          <w:rPr>
            <w:noProof/>
            <w:webHidden/>
          </w:rPr>
          <w:fldChar w:fldCharType="end"/>
        </w:r>
      </w:hyperlink>
    </w:p>
    <w:p w14:paraId="6045DC3F" w14:textId="2A75226D" w:rsidR="00D8753A" w:rsidRDefault="00000000" w:rsidP="00D8753A">
      <w:pPr>
        <w:pStyle w:val="TOC2"/>
        <w:tabs>
          <w:tab w:val="left" w:pos="1440"/>
          <w:tab w:val="right" w:leader="dot" w:pos="9350"/>
        </w:tabs>
        <w:rPr>
          <w:rFonts w:asciiTheme="minorHAnsi" w:hAnsiTheme="minorHAnsi"/>
          <w:noProof/>
          <w:sz w:val="24"/>
        </w:rPr>
      </w:pPr>
      <w:hyperlink w:anchor="_Toc195618106" w:history="1">
        <w:r w:rsidR="00D8753A" w:rsidRPr="00A3497A">
          <w:rPr>
            <w:rStyle w:val="Hyperlink"/>
            <w:noProof/>
            <w:lang w:val="es-ES"/>
          </w:rPr>
          <w:t>A.</w:t>
        </w:r>
        <w:r w:rsidR="00D8753A">
          <w:rPr>
            <w:rFonts w:asciiTheme="minorHAnsi" w:hAnsiTheme="minorHAnsi"/>
            <w:noProof/>
            <w:sz w:val="24"/>
          </w:rPr>
          <w:tab/>
        </w:r>
        <w:r w:rsidR="00D8753A" w:rsidRPr="00A3497A">
          <w:rPr>
            <w:rStyle w:val="Hyperlink"/>
            <w:noProof/>
            <w:lang w:val="es-ES"/>
          </w:rPr>
          <w:t>Seguridad ciudadana</w:t>
        </w:r>
        <w:r w:rsidR="00D8753A">
          <w:rPr>
            <w:noProof/>
            <w:webHidden/>
          </w:rPr>
          <w:tab/>
        </w:r>
        <w:r w:rsidR="00D8753A">
          <w:rPr>
            <w:noProof/>
            <w:webHidden/>
          </w:rPr>
          <w:fldChar w:fldCharType="begin"/>
        </w:r>
        <w:r w:rsidR="00D8753A">
          <w:rPr>
            <w:noProof/>
            <w:webHidden/>
          </w:rPr>
          <w:instrText xml:space="preserve"> PAGEREF _Toc195618106 \h </w:instrText>
        </w:r>
        <w:r w:rsidR="00D8753A">
          <w:rPr>
            <w:noProof/>
            <w:webHidden/>
          </w:rPr>
        </w:r>
        <w:r w:rsidR="00D8753A">
          <w:rPr>
            <w:noProof/>
            <w:webHidden/>
          </w:rPr>
          <w:fldChar w:fldCharType="separate"/>
        </w:r>
        <w:r w:rsidR="0032190B">
          <w:rPr>
            <w:noProof/>
            <w:webHidden/>
          </w:rPr>
          <w:t>1102</w:t>
        </w:r>
        <w:r w:rsidR="00D8753A">
          <w:rPr>
            <w:noProof/>
            <w:webHidden/>
          </w:rPr>
          <w:fldChar w:fldCharType="end"/>
        </w:r>
      </w:hyperlink>
    </w:p>
    <w:p w14:paraId="731F5212" w14:textId="774AA4CA" w:rsidR="00D8753A" w:rsidRDefault="00000000" w:rsidP="00D8753A">
      <w:pPr>
        <w:pStyle w:val="TOC2"/>
        <w:tabs>
          <w:tab w:val="left" w:pos="1440"/>
          <w:tab w:val="right" w:leader="dot" w:pos="9350"/>
        </w:tabs>
        <w:rPr>
          <w:rFonts w:asciiTheme="minorHAnsi" w:hAnsiTheme="minorHAnsi"/>
          <w:noProof/>
          <w:sz w:val="24"/>
        </w:rPr>
      </w:pPr>
      <w:hyperlink w:anchor="_Toc195618107" w:history="1">
        <w:r w:rsidR="00D8753A" w:rsidRPr="00A3497A">
          <w:rPr>
            <w:rStyle w:val="Hyperlink"/>
            <w:rFonts w:eastAsia="Cambria" w:cs="Cambria"/>
            <w:noProof/>
            <w:lang w:val="es-ES"/>
          </w:rPr>
          <w:t>B.</w:t>
        </w:r>
        <w:r w:rsidR="00D8753A">
          <w:rPr>
            <w:rFonts w:asciiTheme="minorHAnsi" w:hAnsiTheme="minorHAnsi"/>
            <w:noProof/>
            <w:sz w:val="24"/>
          </w:rPr>
          <w:tab/>
        </w:r>
        <w:r w:rsidR="00D8753A" w:rsidRPr="00A3497A">
          <w:rPr>
            <w:rStyle w:val="Hyperlink"/>
            <w:noProof/>
            <w:lang w:val="es-ES"/>
          </w:rPr>
          <w:t>Desapariciones y desapariciones forzadas</w:t>
        </w:r>
        <w:r w:rsidR="00D8753A">
          <w:rPr>
            <w:noProof/>
            <w:webHidden/>
          </w:rPr>
          <w:tab/>
        </w:r>
        <w:r w:rsidR="00D8753A">
          <w:rPr>
            <w:noProof/>
            <w:webHidden/>
          </w:rPr>
          <w:fldChar w:fldCharType="begin"/>
        </w:r>
        <w:r w:rsidR="00D8753A">
          <w:rPr>
            <w:noProof/>
            <w:webHidden/>
          </w:rPr>
          <w:instrText xml:space="preserve"> PAGEREF _Toc195618107 \h </w:instrText>
        </w:r>
        <w:r w:rsidR="00D8753A">
          <w:rPr>
            <w:noProof/>
            <w:webHidden/>
          </w:rPr>
        </w:r>
        <w:r w:rsidR="00D8753A">
          <w:rPr>
            <w:noProof/>
            <w:webHidden/>
          </w:rPr>
          <w:fldChar w:fldCharType="separate"/>
        </w:r>
        <w:r w:rsidR="0032190B">
          <w:rPr>
            <w:noProof/>
            <w:webHidden/>
          </w:rPr>
          <w:t>1112</w:t>
        </w:r>
        <w:r w:rsidR="00D8753A">
          <w:rPr>
            <w:noProof/>
            <w:webHidden/>
          </w:rPr>
          <w:fldChar w:fldCharType="end"/>
        </w:r>
      </w:hyperlink>
    </w:p>
    <w:p w14:paraId="139C800B" w14:textId="03E8425A" w:rsidR="00D8753A" w:rsidRDefault="00000000" w:rsidP="00D8753A">
      <w:pPr>
        <w:pStyle w:val="TOC2"/>
        <w:tabs>
          <w:tab w:val="left" w:pos="1440"/>
          <w:tab w:val="right" w:leader="dot" w:pos="9350"/>
        </w:tabs>
        <w:rPr>
          <w:rFonts w:asciiTheme="minorHAnsi" w:hAnsiTheme="minorHAnsi"/>
          <w:noProof/>
          <w:sz w:val="24"/>
        </w:rPr>
      </w:pPr>
      <w:hyperlink w:anchor="_Toc195618108" w:history="1">
        <w:r w:rsidR="00D8753A" w:rsidRPr="00A3497A">
          <w:rPr>
            <w:rStyle w:val="Hyperlink"/>
            <w:noProof/>
            <w:lang w:val="es-ES"/>
          </w:rPr>
          <w:t>C.</w:t>
        </w:r>
        <w:r w:rsidR="00D8753A">
          <w:rPr>
            <w:rFonts w:asciiTheme="minorHAnsi" w:hAnsiTheme="minorHAnsi"/>
            <w:noProof/>
            <w:sz w:val="24"/>
          </w:rPr>
          <w:tab/>
        </w:r>
        <w:r w:rsidR="00D8753A" w:rsidRPr="00A3497A">
          <w:rPr>
            <w:rStyle w:val="Hyperlink"/>
            <w:noProof/>
            <w:lang w:val="es-ES"/>
          </w:rPr>
          <w:t>Tortura</w:t>
        </w:r>
        <w:r w:rsidR="00D8753A">
          <w:rPr>
            <w:noProof/>
            <w:webHidden/>
          </w:rPr>
          <w:tab/>
        </w:r>
        <w:r w:rsidR="00D8753A">
          <w:rPr>
            <w:noProof/>
            <w:webHidden/>
          </w:rPr>
          <w:fldChar w:fldCharType="begin"/>
        </w:r>
        <w:r w:rsidR="00D8753A">
          <w:rPr>
            <w:noProof/>
            <w:webHidden/>
          </w:rPr>
          <w:instrText xml:space="preserve"> PAGEREF _Toc195618108 \h </w:instrText>
        </w:r>
        <w:r w:rsidR="00D8753A">
          <w:rPr>
            <w:noProof/>
            <w:webHidden/>
          </w:rPr>
        </w:r>
        <w:r w:rsidR="00D8753A">
          <w:rPr>
            <w:noProof/>
            <w:webHidden/>
          </w:rPr>
          <w:fldChar w:fldCharType="separate"/>
        </w:r>
        <w:r w:rsidR="0032190B">
          <w:rPr>
            <w:noProof/>
            <w:webHidden/>
          </w:rPr>
          <w:t>1124</w:t>
        </w:r>
        <w:r w:rsidR="00D8753A">
          <w:rPr>
            <w:noProof/>
            <w:webHidden/>
          </w:rPr>
          <w:fldChar w:fldCharType="end"/>
        </w:r>
      </w:hyperlink>
    </w:p>
    <w:p w14:paraId="75E8D114" w14:textId="1CE6E184" w:rsidR="00D8753A" w:rsidRDefault="00000000" w:rsidP="00D8753A">
      <w:pPr>
        <w:pStyle w:val="TOC2"/>
        <w:tabs>
          <w:tab w:val="left" w:pos="1440"/>
          <w:tab w:val="right" w:leader="dot" w:pos="9350"/>
        </w:tabs>
        <w:rPr>
          <w:rFonts w:asciiTheme="minorHAnsi" w:hAnsiTheme="minorHAnsi"/>
          <w:noProof/>
          <w:sz w:val="24"/>
        </w:rPr>
      </w:pPr>
      <w:hyperlink w:anchor="_Toc195618109" w:history="1">
        <w:r w:rsidR="00D8753A" w:rsidRPr="00A3497A">
          <w:rPr>
            <w:rStyle w:val="Hyperlink"/>
            <w:noProof/>
            <w:lang w:val="es-ES"/>
          </w:rPr>
          <w:t>D.</w:t>
        </w:r>
        <w:r w:rsidR="00D8753A">
          <w:rPr>
            <w:rFonts w:asciiTheme="minorHAnsi" w:hAnsiTheme="minorHAnsi"/>
            <w:noProof/>
            <w:sz w:val="24"/>
          </w:rPr>
          <w:tab/>
        </w:r>
        <w:r w:rsidR="00D8753A" w:rsidRPr="00A3497A">
          <w:rPr>
            <w:rStyle w:val="Hyperlink"/>
            <w:noProof/>
            <w:lang w:val="es-ES"/>
          </w:rPr>
          <w:t>Ejecuciones extrajudiciales</w:t>
        </w:r>
        <w:r w:rsidR="00D8753A">
          <w:rPr>
            <w:noProof/>
            <w:webHidden/>
          </w:rPr>
          <w:tab/>
        </w:r>
        <w:r w:rsidR="00D8753A">
          <w:rPr>
            <w:noProof/>
            <w:webHidden/>
          </w:rPr>
          <w:fldChar w:fldCharType="begin"/>
        </w:r>
        <w:r w:rsidR="00D8753A">
          <w:rPr>
            <w:noProof/>
            <w:webHidden/>
          </w:rPr>
          <w:instrText xml:space="preserve"> PAGEREF _Toc195618109 \h </w:instrText>
        </w:r>
        <w:r w:rsidR="00D8753A">
          <w:rPr>
            <w:noProof/>
            <w:webHidden/>
          </w:rPr>
        </w:r>
        <w:r w:rsidR="00D8753A">
          <w:rPr>
            <w:noProof/>
            <w:webHidden/>
          </w:rPr>
          <w:fldChar w:fldCharType="separate"/>
        </w:r>
        <w:r w:rsidR="0032190B">
          <w:rPr>
            <w:noProof/>
            <w:webHidden/>
          </w:rPr>
          <w:t>1130</w:t>
        </w:r>
        <w:r w:rsidR="00D8753A">
          <w:rPr>
            <w:noProof/>
            <w:webHidden/>
          </w:rPr>
          <w:fldChar w:fldCharType="end"/>
        </w:r>
      </w:hyperlink>
    </w:p>
    <w:p w14:paraId="7FA9D71C" w14:textId="4D618A94" w:rsidR="00D8753A" w:rsidRDefault="00000000" w:rsidP="00D8753A">
      <w:pPr>
        <w:pStyle w:val="TOC2"/>
        <w:tabs>
          <w:tab w:val="left" w:pos="1440"/>
          <w:tab w:val="right" w:leader="dot" w:pos="9350"/>
        </w:tabs>
        <w:rPr>
          <w:rFonts w:asciiTheme="minorHAnsi" w:hAnsiTheme="minorHAnsi"/>
          <w:noProof/>
          <w:sz w:val="24"/>
        </w:rPr>
      </w:pPr>
      <w:hyperlink w:anchor="_Toc195618110" w:history="1">
        <w:r w:rsidR="00D8753A" w:rsidRPr="00A3497A">
          <w:rPr>
            <w:rStyle w:val="Hyperlink"/>
            <w:noProof/>
            <w:lang w:val="es-ES"/>
          </w:rPr>
          <w:t>E.</w:t>
        </w:r>
        <w:r w:rsidR="00D8753A">
          <w:rPr>
            <w:rFonts w:asciiTheme="minorHAnsi" w:hAnsiTheme="minorHAnsi"/>
            <w:noProof/>
            <w:sz w:val="24"/>
          </w:rPr>
          <w:tab/>
        </w:r>
        <w:r w:rsidR="00D8753A" w:rsidRPr="00A3497A">
          <w:rPr>
            <w:rStyle w:val="Hyperlink"/>
            <w:noProof/>
            <w:lang w:val="es-ES"/>
          </w:rPr>
          <w:t>Acceso a la justicia</w:t>
        </w:r>
        <w:r w:rsidR="00D8753A">
          <w:rPr>
            <w:noProof/>
            <w:webHidden/>
          </w:rPr>
          <w:tab/>
        </w:r>
        <w:r w:rsidR="00D8753A">
          <w:rPr>
            <w:noProof/>
            <w:webHidden/>
          </w:rPr>
          <w:fldChar w:fldCharType="begin"/>
        </w:r>
        <w:r w:rsidR="00D8753A">
          <w:rPr>
            <w:noProof/>
            <w:webHidden/>
          </w:rPr>
          <w:instrText xml:space="preserve"> PAGEREF _Toc195618110 \h </w:instrText>
        </w:r>
        <w:r w:rsidR="00D8753A">
          <w:rPr>
            <w:noProof/>
            <w:webHidden/>
          </w:rPr>
        </w:r>
        <w:r w:rsidR="00D8753A">
          <w:rPr>
            <w:noProof/>
            <w:webHidden/>
          </w:rPr>
          <w:fldChar w:fldCharType="separate"/>
        </w:r>
        <w:r w:rsidR="0032190B">
          <w:rPr>
            <w:noProof/>
            <w:webHidden/>
          </w:rPr>
          <w:t>1139</w:t>
        </w:r>
        <w:r w:rsidR="00D8753A">
          <w:rPr>
            <w:noProof/>
            <w:webHidden/>
          </w:rPr>
          <w:fldChar w:fldCharType="end"/>
        </w:r>
      </w:hyperlink>
    </w:p>
    <w:p w14:paraId="31AE4E46" w14:textId="647E8F8E" w:rsidR="00D8753A" w:rsidRDefault="00000000" w:rsidP="00D8753A">
      <w:pPr>
        <w:pStyle w:val="TOC2"/>
        <w:tabs>
          <w:tab w:val="left" w:pos="1440"/>
          <w:tab w:val="right" w:leader="dot" w:pos="9350"/>
        </w:tabs>
        <w:rPr>
          <w:rFonts w:asciiTheme="minorHAnsi" w:hAnsiTheme="minorHAnsi"/>
          <w:noProof/>
          <w:sz w:val="24"/>
        </w:rPr>
      </w:pPr>
      <w:hyperlink w:anchor="_Toc195618111" w:history="1">
        <w:r w:rsidR="00D8753A" w:rsidRPr="00A3497A">
          <w:rPr>
            <w:rStyle w:val="Hyperlink"/>
            <w:noProof/>
            <w:lang w:val="es-ES"/>
          </w:rPr>
          <w:t>F.</w:t>
        </w:r>
        <w:r w:rsidR="00D8753A">
          <w:rPr>
            <w:rFonts w:asciiTheme="minorHAnsi" w:hAnsiTheme="minorHAnsi"/>
            <w:noProof/>
            <w:sz w:val="24"/>
          </w:rPr>
          <w:tab/>
        </w:r>
        <w:r w:rsidR="00D8753A" w:rsidRPr="00A3497A">
          <w:rPr>
            <w:rStyle w:val="Hyperlink"/>
            <w:noProof/>
            <w:lang w:val="es-ES"/>
          </w:rPr>
          <w:t>Afectación de grupos particulares</w:t>
        </w:r>
        <w:r w:rsidR="00D8753A">
          <w:rPr>
            <w:noProof/>
            <w:webHidden/>
          </w:rPr>
          <w:tab/>
        </w:r>
        <w:r w:rsidR="00D8753A">
          <w:rPr>
            <w:noProof/>
            <w:webHidden/>
          </w:rPr>
          <w:fldChar w:fldCharType="begin"/>
        </w:r>
        <w:r w:rsidR="00D8753A">
          <w:rPr>
            <w:noProof/>
            <w:webHidden/>
          </w:rPr>
          <w:instrText xml:space="preserve"> PAGEREF _Toc195618111 \h </w:instrText>
        </w:r>
        <w:r w:rsidR="00D8753A">
          <w:rPr>
            <w:noProof/>
            <w:webHidden/>
          </w:rPr>
        </w:r>
        <w:r w:rsidR="00D8753A">
          <w:rPr>
            <w:noProof/>
            <w:webHidden/>
          </w:rPr>
          <w:fldChar w:fldCharType="separate"/>
        </w:r>
        <w:r w:rsidR="0032190B">
          <w:rPr>
            <w:noProof/>
            <w:webHidden/>
          </w:rPr>
          <w:t>1148</w:t>
        </w:r>
        <w:r w:rsidR="00D8753A">
          <w:rPr>
            <w:noProof/>
            <w:webHidden/>
          </w:rPr>
          <w:fldChar w:fldCharType="end"/>
        </w:r>
      </w:hyperlink>
    </w:p>
    <w:p w14:paraId="06FDAC13" w14:textId="13FD95DC" w:rsidR="00D8753A" w:rsidRDefault="00000000" w:rsidP="00D875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8112" w:history="1">
        <w:r w:rsidR="00D8753A" w:rsidRPr="00A3497A">
          <w:rPr>
            <w:rStyle w:val="Hyperlink"/>
            <w:noProof/>
            <w:lang w:val="es-ES"/>
          </w:rPr>
          <w:t>1.</w:t>
        </w:r>
        <w:r w:rsidR="00D8753A">
          <w:rPr>
            <w:rFonts w:asciiTheme="minorHAnsi" w:eastAsiaTheme="minorEastAsia" w:hAnsiTheme="minorHAnsi" w:cstheme="minorBidi"/>
            <w:noProof/>
            <w:kern w:val="2"/>
            <w:sz w:val="24"/>
            <w14:ligatures w14:val="standardContextual"/>
          </w:rPr>
          <w:tab/>
        </w:r>
        <w:r w:rsidR="00D8753A" w:rsidRPr="00A3497A">
          <w:rPr>
            <w:rStyle w:val="Hyperlink"/>
            <w:noProof/>
            <w:lang w:val="es-ES"/>
          </w:rPr>
          <w:t>Personas LGBT</w:t>
        </w:r>
        <w:r w:rsidR="00D8753A">
          <w:rPr>
            <w:noProof/>
            <w:webHidden/>
          </w:rPr>
          <w:tab/>
        </w:r>
        <w:r w:rsidR="00D8753A">
          <w:rPr>
            <w:noProof/>
            <w:webHidden/>
          </w:rPr>
          <w:fldChar w:fldCharType="begin"/>
        </w:r>
        <w:r w:rsidR="00D8753A">
          <w:rPr>
            <w:noProof/>
            <w:webHidden/>
          </w:rPr>
          <w:instrText xml:space="preserve"> PAGEREF _Toc195618112 \h </w:instrText>
        </w:r>
        <w:r w:rsidR="00D8753A">
          <w:rPr>
            <w:noProof/>
            <w:webHidden/>
          </w:rPr>
        </w:r>
        <w:r w:rsidR="00D8753A">
          <w:rPr>
            <w:noProof/>
            <w:webHidden/>
          </w:rPr>
          <w:fldChar w:fldCharType="separate"/>
        </w:r>
        <w:r w:rsidR="0032190B">
          <w:rPr>
            <w:noProof/>
            <w:webHidden/>
          </w:rPr>
          <w:t>1148</w:t>
        </w:r>
        <w:r w:rsidR="00D8753A">
          <w:rPr>
            <w:noProof/>
            <w:webHidden/>
          </w:rPr>
          <w:fldChar w:fldCharType="end"/>
        </w:r>
      </w:hyperlink>
    </w:p>
    <w:p w14:paraId="4CBF03CF" w14:textId="59C52D78" w:rsidR="00D8753A" w:rsidRDefault="00000000" w:rsidP="00D875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8113" w:history="1">
        <w:r w:rsidR="00D8753A" w:rsidRPr="00A3497A">
          <w:rPr>
            <w:rStyle w:val="Hyperlink"/>
            <w:noProof/>
            <w:lang w:val="es-ES"/>
          </w:rPr>
          <w:t>2.</w:t>
        </w:r>
        <w:r w:rsidR="00D8753A">
          <w:rPr>
            <w:rFonts w:asciiTheme="minorHAnsi" w:eastAsiaTheme="minorEastAsia" w:hAnsiTheme="minorHAnsi" w:cstheme="minorBidi"/>
            <w:noProof/>
            <w:kern w:val="2"/>
            <w:sz w:val="24"/>
            <w14:ligatures w14:val="standardContextual"/>
          </w:rPr>
          <w:tab/>
        </w:r>
        <w:r w:rsidR="00D8753A" w:rsidRPr="00A3497A">
          <w:rPr>
            <w:rStyle w:val="Hyperlink"/>
            <w:noProof/>
            <w:lang w:val="es-ES"/>
          </w:rPr>
          <w:t>Mujeres</w:t>
        </w:r>
        <w:r w:rsidR="00D8753A">
          <w:rPr>
            <w:noProof/>
            <w:webHidden/>
          </w:rPr>
          <w:tab/>
        </w:r>
        <w:r w:rsidR="00D8753A">
          <w:rPr>
            <w:noProof/>
            <w:webHidden/>
          </w:rPr>
          <w:fldChar w:fldCharType="begin"/>
        </w:r>
        <w:r w:rsidR="00D8753A">
          <w:rPr>
            <w:noProof/>
            <w:webHidden/>
          </w:rPr>
          <w:instrText xml:space="preserve"> PAGEREF _Toc195618113 \h </w:instrText>
        </w:r>
        <w:r w:rsidR="00D8753A">
          <w:rPr>
            <w:noProof/>
            <w:webHidden/>
          </w:rPr>
        </w:r>
        <w:r w:rsidR="00D8753A">
          <w:rPr>
            <w:noProof/>
            <w:webHidden/>
          </w:rPr>
          <w:fldChar w:fldCharType="separate"/>
        </w:r>
        <w:r w:rsidR="0032190B">
          <w:rPr>
            <w:noProof/>
            <w:webHidden/>
          </w:rPr>
          <w:t>1151</w:t>
        </w:r>
        <w:r w:rsidR="00D8753A">
          <w:rPr>
            <w:noProof/>
            <w:webHidden/>
          </w:rPr>
          <w:fldChar w:fldCharType="end"/>
        </w:r>
      </w:hyperlink>
    </w:p>
    <w:p w14:paraId="5701EACC" w14:textId="2E1CF147" w:rsidR="00D8753A" w:rsidRDefault="00000000" w:rsidP="00D875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8114" w:history="1">
        <w:r w:rsidR="00D8753A" w:rsidRPr="00A3497A">
          <w:rPr>
            <w:rStyle w:val="Hyperlink"/>
            <w:noProof/>
            <w:lang w:val="es-ES"/>
          </w:rPr>
          <w:t>3.</w:t>
        </w:r>
        <w:r w:rsidR="00D8753A">
          <w:rPr>
            <w:rFonts w:asciiTheme="minorHAnsi" w:eastAsiaTheme="minorEastAsia" w:hAnsiTheme="minorHAnsi" w:cstheme="minorBidi"/>
            <w:noProof/>
            <w:kern w:val="2"/>
            <w:sz w:val="24"/>
            <w14:ligatures w14:val="standardContextual"/>
          </w:rPr>
          <w:tab/>
        </w:r>
        <w:r w:rsidR="00D8753A" w:rsidRPr="00A3497A">
          <w:rPr>
            <w:rStyle w:val="Hyperlink"/>
            <w:noProof/>
            <w:lang w:val="es-ES"/>
          </w:rPr>
          <w:t>Niñas, niños y adolescentes</w:t>
        </w:r>
        <w:r w:rsidR="00D8753A">
          <w:rPr>
            <w:noProof/>
            <w:webHidden/>
          </w:rPr>
          <w:tab/>
        </w:r>
        <w:r w:rsidR="00D8753A">
          <w:rPr>
            <w:noProof/>
            <w:webHidden/>
          </w:rPr>
          <w:fldChar w:fldCharType="begin"/>
        </w:r>
        <w:r w:rsidR="00D8753A">
          <w:rPr>
            <w:noProof/>
            <w:webHidden/>
          </w:rPr>
          <w:instrText xml:space="preserve"> PAGEREF _Toc195618114 \h </w:instrText>
        </w:r>
        <w:r w:rsidR="00D8753A">
          <w:rPr>
            <w:noProof/>
            <w:webHidden/>
          </w:rPr>
        </w:r>
        <w:r w:rsidR="00D8753A">
          <w:rPr>
            <w:noProof/>
            <w:webHidden/>
          </w:rPr>
          <w:fldChar w:fldCharType="separate"/>
        </w:r>
        <w:r w:rsidR="0032190B">
          <w:rPr>
            <w:noProof/>
            <w:webHidden/>
          </w:rPr>
          <w:t>1157</w:t>
        </w:r>
        <w:r w:rsidR="00D8753A">
          <w:rPr>
            <w:noProof/>
            <w:webHidden/>
          </w:rPr>
          <w:fldChar w:fldCharType="end"/>
        </w:r>
      </w:hyperlink>
    </w:p>
    <w:p w14:paraId="7F9982B3" w14:textId="518E32C3" w:rsidR="00D8753A" w:rsidRDefault="00000000" w:rsidP="00D875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8115" w:history="1">
        <w:r w:rsidR="00D8753A" w:rsidRPr="00A3497A">
          <w:rPr>
            <w:rStyle w:val="Hyperlink"/>
            <w:noProof/>
            <w:lang w:val="es-ES"/>
          </w:rPr>
          <w:t>4.</w:t>
        </w:r>
        <w:r w:rsidR="00D8753A">
          <w:rPr>
            <w:rFonts w:asciiTheme="minorHAnsi" w:eastAsiaTheme="minorEastAsia" w:hAnsiTheme="minorHAnsi" w:cstheme="minorBidi"/>
            <w:noProof/>
            <w:kern w:val="2"/>
            <w:sz w:val="24"/>
            <w14:ligatures w14:val="standardContextual"/>
          </w:rPr>
          <w:tab/>
        </w:r>
        <w:r w:rsidR="00D8753A" w:rsidRPr="00A3497A">
          <w:rPr>
            <w:rStyle w:val="Hyperlink"/>
            <w:noProof/>
            <w:lang w:val="es-ES"/>
          </w:rPr>
          <w:t>Pueblos indígenas</w:t>
        </w:r>
        <w:r w:rsidR="00D8753A">
          <w:rPr>
            <w:noProof/>
            <w:webHidden/>
          </w:rPr>
          <w:tab/>
        </w:r>
        <w:r w:rsidR="00D8753A">
          <w:rPr>
            <w:noProof/>
            <w:webHidden/>
          </w:rPr>
          <w:fldChar w:fldCharType="begin"/>
        </w:r>
        <w:r w:rsidR="00D8753A">
          <w:rPr>
            <w:noProof/>
            <w:webHidden/>
          </w:rPr>
          <w:instrText xml:space="preserve"> PAGEREF _Toc195618115 \h </w:instrText>
        </w:r>
        <w:r w:rsidR="00D8753A">
          <w:rPr>
            <w:noProof/>
            <w:webHidden/>
          </w:rPr>
        </w:r>
        <w:r w:rsidR="00D8753A">
          <w:rPr>
            <w:noProof/>
            <w:webHidden/>
          </w:rPr>
          <w:fldChar w:fldCharType="separate"/>
        </w:r>
        <w:r w:rsidR="0032190B">
          <w:rPr>
            <w:noProof/>
            <w:webHidden/>
          </w:rPr>
          <w:t>1159</w:t>
        </w:r>
        <w:r w:rsidR="00D8753A">
          <w:rPr>
            <w:noProof/>
            <w:webHidden/>
          </w:rPr>
          <w:fldChar w:fldCharType="end"/>
        </w:r>
      </w:hyperlink>
    </w:p>
    <w:p w14:paraId="3F381120" w14:textId="0CC9CCEF" w:rsidR="00D8753A" w:rsidRDefault="00000000" w:rsidP="00D875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8116" w:history="1">
        <w:r w:rsidR="00D8753A" w:rsidRPr="00A3497A">
          <w:rPr>
            <w:rStyle w:val="Hyperlink"/>
            <w:noProof/>
            <w:lang w:val="es-ES"/>
          </w:rPr>
          <w:t>5.</w:t>
        </w:r>
        <w:r w:rsidR="00D8753A">
          <w:rPr>
            <w:rFonts w:asciiTheme="minorHAnsi" w:eastAsiaTheme="minorEastAsia" w:hAnsiTheme="minorHAnsi" w:cstheme="minorBidi"/>
            <w:noProof/>
            <w:kern w:val="2"/>
            <w:sz w:val="24"/>
            <w14:ligatures w14:val="standardContextual"/>
          </w:rPr>
          <w:tab/>
        </w:r>
        <w:r w:rsidR="00D8753A" w:rsidRPr="00A3497A">
          <w:rPr>
            <w:rStyle w:val="Hyperlink"/>
            <w:noProof/>
            <w:lang w:val="es-ES"/>
          </w:rPr>
          <w:t>Personas privadas de libertad</w:t>
        </w:r>
        <w:r w:rsidR="00D8753A">
          <w:rPr>
            <w:noProof/>
            <w:webHidden/>
          </w:rPr>
          <w:tab/>
        </w:r>
        <w:r w:rsidR="00D8753A">
          <w:rPr>
            <w:noProof/>
            <w:webHidden/>
          </w:rPr>
          <w:fldChar w:fldCharType="begin"/>
        </w:r>
        <w:r w:rsidR="00D8753A">
          <w:rPr>
            <w:noProof/>
            <w:webHidden/>
          </w:rPr>
          <w:instrText xml:space="preserve"> PAGEREF _Toc195618116 \h </w:instrText>
        </w:r>
        <w:r w:rsidR="00D8753A">
          <w:rPr>
            <w:noProof/>
            <w:webHidden/>
          </w:rPr>
        </w:r>
        <w:r w:rsidR="00D8753A">
          <w:rPr>
            <w:noProof/>
            <w:webHidden/>
          </w:rPr>
          <w:fldChar w:fldCharType="separate"/>
        </w:r>
        <w:r w:rsidR="0032190B">
          <w:rPr>
            <w:noProof/>
            <w:webHidden/>
          </w:rPr>
          <w:t>1162</w:t>
        </w:r>
        <w:r w:rsidR="00D8753A">
          <w:rPr>
            <w:noProof/>
            <w:webHidden/>
          </w:rPr>
          <w:fldChar w:fldCharType="end"/>
        </w:r>
      </w:hyperlink>
    </w:p>
    <w:p w14:paraId="64F5DB74" w14:textId="6A15735E" w:rsidR="00D8753A" w:rsidRDefault="00000000" w:rsidP="00D875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8117" w:history="1">
        <w:r w:rsidR="00D8753A" w:rsidRPr="00A3497A">
          <w:rPr>
            <w:rStyle w:val="Hyperlink"/>
            <w:noProof/>
            <w:lang w:val="es-ES"/>
          </w:rPr>
          <w:t>6.</w:t>
        </w:r>
        <w:r w:rsidR="00D8753A">
          <w:rPr>
            <w:rFonts w:asciiTheme="minorHAnsi" w:eastAsiaTheme="minorEastAsia" w:hAnsiTheme="minorHAnsi" w:cstheme="minorBidi"/>
            <w:noProof/>
            <w:kern w:val="2"/>
            <w:sz w:val="24"/>
            <w14:ligatures w14:val="standardContextual"/>
          </w:rPr>
          <w:tab/>
        </w:r>
        <w:r w:rsidR="00D8753A" w:rsidRPr="00A3497A">
          <w:rPr>
            <w:rStyle w:val="Hyperlink"/>
            <w:noProof/>
            <w:lang w:val="es-ES"/>
          </w:rPr>
          <w:t>Personas migrantes y que enfrentan desplazamiento interno forzado</w:t>
        </w:r>
        <w:r w:rsidR="00D8753A">
          <w:rPr>
            <w:noProof/>
            <w:webHidden/>
          </w:rPr>
          <w:tab/>
        </w:r>
        <w:r w:rsidR="00D8753A">
          <w:rPr>
            <w:noProof/>
            <w:webHidden/>
          </w:rPr>
          <w:fldChar w:fldCharType="begin"/>
        </w:r>
        <w:r w:rsidR="00D8753A">
          <w:rPr>
            <w:noProof/>
            <w:webHidden/>
          </w:rPr>
          <w:instrText xml:space="preserve"> PAGEREF _Toc195618117 \h </w:instrText>
        </w:r>
        <w:r w:rsidR="00D8753A">
          <w:rPr>
            <w:noProof/>
            <w:webHidden/>
          </w:rPr>
        </w:r>
        <w:r w:rsidR="00D8753A">
          <w:rPr>
            <w:noProof/>
            <w:webHidden/>
          </w:rPr>
          <w:fldChar w:fldCharType="separate"/>
        </w:r>
        <w:r w:rsidR="0032190B">
          <w:rPr>
            <w:noProof/>
            <w:webHidden/>
          </w:rPr>
          <w:t>1169</w:t>
        </w:r>
        <w:r w:rsidR="00D8753A">
          <w:rPr>
            <w:noProof/>
            <w:webHidden/>
          </w:rPr>
          <w:fldChar w:fldCharType="end"/>
        </w:r>
      </w:hyperlink>
    </w:p>
    <w:p w14:paraId="46F0E162" w14:textId="61DA9214" w:rsidR="00D8753A" w:rsidRDefault="00000000" w:rsidP="00D875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8118" w:history="1">
        <w:r w:rsidR="00D8753A" w:rsidRPr="00A3497A">
          <w:rPr>
            <w:rStyle w:val="Hyperlink"/>
            <w:noProof/>
            <w:lang w:val="es-ES"/>
          </w:rPr>
          <w:t>7.</w:t>
        </w:r>
        <w:r w:rsidR="00D8753A">
          <w:rPr>
            <w:rFonts w:asciiTheme="minorHAnsi" w:eastAsiaTheme="minorEastAsia" w:hAnsiTheme="minorHAnsi" w:cstheme="minorBidi"/>
            <w:noProof/>
            <w:kern w:val="2"/>
            <w:sz w:val="24"/>
            <w14:ligatures w14:val="standardContextual"/>
          </w:rPr>
          <w:tab/>
        </w:r>
        <w:r w:rsidR="00D8753A" w:rsidRPr="00A3497A">
          <w:rPr>
            <w:rStyle w:val="Hyperlink"/>
            <w:noProof/>
            <w:lang w:val="es-ES"/>
          </w:rPr>
          <w:t>Defensores y defensoras de derechos humanos</w:t>
        </w:r>
        <w:r w:rsidR="00D8753A">
          <w:rPr>
            <w:noProof/>
            <w:webHidden/>
          </w:rPr>
          <w:tab/>
        </w:r>
        <w:r w:rsidR="00D8753A">
          <w:rPr>
            <w:noProof/>
            <w:webHidden/>
          </w:rPr>
          <w:fldChar w:fldCharType="begin"/>
        </w:r>
        <w:r w:rsidR="00D8753A">
          <w:rPr>
            <w:noProof/>
            <w:webHidden/>
          </w:rPr>
          <w:instrText xml:space="preserve"> PAGEREF _Toc195618118 \h </w:instrText>
        </w:r>
        <w:r w:rsidR="00D8753A">
          <w:rPr>
            <w:noProof/>
            <w:webHidden/>
          </w:rPr>
        </w:r>
        <w:r w:rsidR="00D8753A">
          <w:rPr>
            <w:noProof/>
            <w:webHidden/>
          </w:rPr>
          <w:fldChar w:fldCharType="separate"/>
        </w:r>
        <w:r w:rsidR="0032190B">
          <w:rPr>
            <w:noProof/>
            <w:webHidden/>
          </w:rPr>
          <w:t>1172</w:t>
        </w:r>
        <w:r w:rsidR="00D8753A">
          <w:rPr>
            <w:noProof/>
            <w:webHidden/>
          </w:rPr>
          <w:fldChar w:fldCharType="end"/>
        </w:r>
      </w:hyperlink>
    </w:p>
    <w:p w14:paraId="22034A30" w14:textId="6ECAA24D" w:rsidR="00D8753A" w:rsidRDefault="00000000" w:rsidP="00D875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8119" w:history="1">
        <w:r w:rsidR="00D8753A" w:rsidRPr="00A3497A">
          <w:rPr>
            <w:rStyle w:val="Hyperlink"/>
            <w:noProof/>
            <w:lang w:val="es-ES"/>
          </w:rPr>
          <w:t>8.</w:t>
        </w:r>
        <w:r w:rsidR="00D8753A">
          <w:rPr>
            <w:rFonts w:asciiTheme="minorHAnsi" w:eastAsiaTheme="minorEastAsia" w:hAnsiTheme="minorHAnsi" w:cstheme="minorBidi"/>
            <w:noProof/>
            <w:kern w:val="2"/>
            <w:sz w:val="24"/>
            <w14:ligatures w14:val="standardContextual"/>
          </w:rPr>
          <w:tab/>
        </w:r>
        <w:r w:rsidR="00D8753A" w:rsidRPr="00A3497A">
          <w:rPr>
            <w:rStyle w:val="Hyperlink"/>
            <w:noProof/>
            <w:lang w:val="es-ES"/>
          </w:rPr>
          <w:t>Libertad de expresión</w:t>
        </w:r>
        <w:r w:rsidR="00D8753A">
          <w:rPr>
            <w:noProof/>
            <w:webHidden/>
          </w:rPr>
          <w:tab/>
        </w:r>
        <w:r w:rsidR="00D8753A">
          <w:rPr>
            <w:noProof/>
            <w:webHidden/>
          </w:rPr>
          <w:fldChar w:fldCharType="begin"/>
        </w:r>
        <w:r w:rsidR="00D8753A">
          <w:rPr>
            <w:noProof/>
            <w:webHidden/>
          </w:rPr>
          <w:instrText xml:space="preserve"> PAGEREF _Toc195618119 \h </w:instrText>
        </w:r>
        <w:r w:rsidR="00D8753A">
          <w:rPr>
            <w:noProof/>
            <w:webHidden/>
          </w:rPr>
        </w:r>
        <w:r w:rsidR="00D8753A">
          <w:rPr>
            <w:noProof/>
            <w:webHidden/>
          </w:rPr>
          <w:fldChar w:fldCharType="separate"/>
        </w:r>
        <w:r w:rsidR="0032190B">
          <w:rPr>
            <w:noProof/>
            <w:webHidden/>
          </w:rPr>
          <w:t>1174</w:t>
        </w:r>
        <w:r w:rsidR="00D8753A">
          <w:rPr>
            <w:noProof/>
            <w:webHidden/>
          </w:rPr>
          <w:fldChar w:fldCharType="end"/>
        </w:r>
      </w:hyperlink>
    </w:p>
    <w:p w14:paraId="7341E841" w14:textId="083351E1" w:rsidR="00D8753A" w:rsidRDefault="00000000" w:rsidP="00D8753A">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8120" w:history="1">
        <w:r w:rsidR="00D8753A" w:rsidRPr="00A3497A">
          <w:rPr>
            <w:rStyle w:val="Hyperlink"/>
            <w:noProof/>
            <w:lang w:val="es-ES"/>
          </w:rPr>
          <w:t>9.</w:t>
        </w:r>
        <w:r w:rsidR="00D8753A">
          <w:rPr>
            <w:rFonts w:asciiTheme="minorHAnsi" w:eastAsiaTheme="minorEastAsia" w:hAnsiTheme="minorHAnsi" w:cstheme="minorBidi"/>
            <w:noProof/>
            <w:kern w:val="2"/>
            <w:sz w:val="24"/>
            <w14:ligatures w14:val="standardContextual"/>
          </w:rPr>
          <w:tab/>
        </w:r>
        <w:r w:rsidR="00D8753A" w:rsidRPr="00A3497A">
          <w:rPr>
            <w:rStyle w:val="Hyperlink"/>
            <w:noProof/>
            <w:lang w:val="es-ES"/>
          </w:rPr>
          <w:t>Acceso a la información</w:t>
        </w:r>
        <w:r w:rsidR="00D8753A">
          <w:rPr>
            <w:noProof/>
            <w:webHidden/>
          </w:rPr>
          <w:tab/>
        </w:r>
        <w:r w:rsidR="00D8753A">
          <w:rPr>
            <w:noProof/>
            <w:webHidden/>
          </w:rPr>
          <w:fldChar w:fldCharType="begin"/>
        </w:r>
        <w:r w:rsidR="00D8753A">
          <w:rPr>
            <w:noProof/>
            <w:webHidden/>
          </w:rPr>
          <w:instrText xml:space="preserve"> PAGEREF _Toc195618120 \h </w:instrText>
        </w:r>
        <w:r w:rsidR="00D8753A">
          <w:rPr>
            <w:noProof/>
            <w:webHidden/>
          </w:rPr>
        </w:r>
        <w:r w:rsidR="00D8753A">
          <w:rPr>
            <w:noProof/>
            <w:webHidden/>
          </w:rPr>
          <w:fldChar w:fldCharType="separate"/>
        </w:r>
        <w:r w:rsidR="0032190B">
          <w:rPr>
            <w:noProof/>
            <w:webHidden/>
          </w:rPr>
          <w:t>1182</w:t>
        </w:r>
        <w:r w:rsidR="00D8753A">
          <w:rPr>
            <w:noProof/>
            <w:webHidden/>
          </w:rPr>
          <w:fldChar w:fldCharType="end"/>
        </w:r>
      </w:hyperlink>
    </w:p>
    <w:p w14:paraId="4277F721" w14:textId="2210BA77" w:rsidR="00D8753A" w:rsidRDefault="00000000" w:rsidP="00D8753A">
      <w:pPr>
        <w:pStyle w:val="TOC2"/>
        <w:tabs>
          <w:tab w:val="left" w:pos="1440"/>
          <w:tab w:val="right" w:leader="dot" w:pos="9350"/>
        </w:tabs>
        <w:rPr>
          <w:rFonts w:asciiTheme="minorHAnsi" w:hAnsiTheme="minorHAnsi"/>
          <w:noProof/>
          <w:sz w:val="24"/>
        </w:rPr>
      </w:pPr>
      <w:hyperlink w:anchor="_Toc195618121" w:history="1">
        <w:r w:rsidR="00D8753A" w:rsidRPr="00A3497A">
          <w:rPr>
            <w:rStyle w:val="Hyperlink"/>
            <w:noProof/>
            <w:lang w:val="es-ES"/>
          </w:rPr>
          <w:t>G.</w:t>
        </w:r>
        <w:r w:rsidR="00D8753A">
          <w:rPr>
            <w:rFonts w:asciiTheme="minorHAnsi" w:hAnsiTheme="minorHAnsi"/>
            <w:noProof/>
            <w:sz w:val="24"/>
          </w:rPr>
          <w:tab/>
        </w:r>
        <w:r w:rsidR="00D8753A" w:rsidRPr="00A3497A">
          <w:rPr>
            <w:rStyle w:val="Hyperlink"/>
            <w:noProof/>
            <w:lang w:val="es-ES"/>
          </w:rPr>
          <w:t>Mecanismo de Protección para Personas Defensoras de Derechos Humanos y Periodistas</w:t>
        </w:r>
        <w:r w:rsidR="00D8753A">
          <w:rPr>
            <w:noProof/>
            <w:webHidden/>
          </w:rPr>
          <w:tab/>
        </w:r>
        <w:r w:rsidR="00D8753A">
          <w:rPr>
            <w:noProof/>
            <w:webHidden/>
          </w:rPr>
          <w:fldChar w:fldCharType="begin"/>
        </w:r>
        <w:r w:rsidR="00D8753A">
          <w:rPr>
            <w:noProof/>
            <w:webHidden/>
          </w:rPr>
          <w:instrText xml:space="preserve"> PAGEREF _Toc195618121 \h </w:instrText>
        </w:r>
        <w:r w:rsidR="00D8753A">
          <w:rPr>
            <w:noProof/>
            <w:webHidden/>
          </w:rPr>
        </w:r>
        <w:r w:rsidR="00D8753A">
          <w:rPr>
            <w:noProof/>
            <w:webHidden/>
          </w:rPr>
          <w:fldChar w:fldCharType="separate"/>
        </w:r>
        <w:r w:rsidR="0032190B">
          <w:rPr>
            <w:noProof/>
            <w:webHidden/>
          </w:rPr>
          <w:t>1186</w:t>
        </w:r>
        <w:r w:rsidR="00D8753A">
          <w:rPr>
            <w:noProof/>
            <w:webHidden/>
          </w:rPr>
          <w:fldChar w:fldCharType="end"/>
        </w:r>
      </w:hyperlink>
    </w:p>
    <w:p w14:paraId="0F508E06" w14:textId="5C11615B" w:rsidR="00D8753A" w:rsidRDefault="00000000" w:rsidP="00D8753A">
      <w:pPr>
        <w:pStyle w:val="TOC1"/>
        <w:tabs>
          <w:tab w:val="right" w:leader="dot" w:pos="9350"/>
        </w:tabs>
        <w:rPr>
          <w:rFonts w:asciiTheme="minorHAnsi" w:hAnsiTheme="minorHAnsi"/>
          <w:b w:val="0"/>
          <w:caps w:val="0"/>
          <w:noProof/>
          <w:sz w:val="24"/>
        </w:rPr>
      </w:pPr>
      <w:hyperlink w:anchor="_Toc195618122" w:history="1">
        <w:r w:rsidR="00D8753A" w:rsidRPr="00A3497A">
          <w:rPr>
            <w:rStyle w:val="Hyperlink"/>
            <w:noProof/>
            <w:lang w:val="es-ES"/>
          </w:rPr>
          <w:t>III.</w:t>
        </w:r>
        <w:r w:rsidR="00D8753A">
          <w:rPr>
            <w:rFonts w:asciiTheme="minorHAnsi" w:hAnsiTheme="minorHAnsi"/>
            <w:b w:val="0"/>
            <w:caps w:val="0"/>
            <w:noProof/>
            <w:sz w:val="24"/>
          </w:rPr>
          <w:tab/>
        </w:r>
        <w:r w:rsidR="00D8753A" w:rsidRPr="00A3497A">
          <w:rPr>
            <w:rStyle w:val="Hyperlink"/>
            <w:noProof/>
            <w:lang w:val="es-ES"/>
          </w:rPr>
          <w:t>CUADRO RESUMEN DE NIVEL DE CUMPLIMIENTO DE LAS RECOMENDACIONES</w:t>
        </w:r>
        <w:r w:rsidR="00D8753A">
          <w:rPr>
            <w:noProof/>
            <w:webHidden/>
          </w:rPr>
          <w:tab/>
        </w:r>
        <w:r w:rsidR="00D8753A">
          <w:rPr>
            <w:noProof/>
            <w:webHidden/>
          </w:rPr>
          <w:fldChar w:fldCharType="begin"/>
        </w:r>
        <w:r w:rsidR="00D8753A">
          <w:rPr>
            <w:noProof/>
            <w:webHidden/>
          </w:rPr>
          <w:instrText xml:space="preserve"> PAGEREF _Toc195618122 \h </w:instrText>
        </w:r>
        <w:r w:rsidR="00D8753A">
          <w:rPr>
            <w:noProof/>
            <w:webHidden/>
          </w:rPr>
        </w:r>
        <w:r w:rsidR="00D8753A">
          <w:rPr>
            <w:noProof/>
            <w:webHidden/>
          </w:rPr>
          <w:fldChar w:fldCharType="separate"/>
        </w:r>
        <w:r w:rsidR="0032190B">
          <w:rPr>
            <w:noProof/>
            <w:webHidden/>
          </w:rPr>
          <w:t>1197</w:t>
        </w:r>
        <w:r w:rsidR="00D8753A">
          <w:rPr>
            <w:noProof/>
            <w:webHidden/>
          </w:rPr>
          <w:fldChar w:fldCharType="end"/>
        </w:r>
      </w:hyperlink>
    </w:p>
    <w:p w14:paraId="20653846" w14:textId="610AEC1F" w:rsidR="00D8753A" w:rsidRDefault="00000000" w:rsidP="00D8753A">
      <w:pPr>
        <w:pStyle w:val="TOC1"/>
        <w:tabs>
          <w:tab w:val="right" w:leader="dot" w:pos="9350"/>
        </w:tabs>
        <w:rPr>
          <w:rFonts w:asciiTheme="minorHAnsi" w:hAnsiTheme="minorHAnsi"/>
          <w:b w:val="0"/>
          <w:caps w:val="0"/>
          <w:noProof/>
          <w:sz w:val="24"/>
        </w:rPr>
      </w:pPr>
      <w:hyperlink w:anchor="_Toc195618123" w:history="1">
        <w:r w:rsidR="00D8753A" w:rsidRPr="00A3497A">
          <w:rPr>
            <w:rStyle w:val="Hyperlink"/>
            <w:noProof/>
            <w:lang w:val="es-ES"/>
          </w:rPr>
          <w:t>IV.</w:t>
        </w:r>
        <w:r w:rsidR="00D8753A">
          <w:rPr>
            <w:rFonts w:asciiTheme="minorHAnsi" w:hAnsiTheme="minorHAnsi"/>
            <w:b w:val="0"/>
            <w:caps w:val="0"/>
            <w:noProof/>
            <w:sz w:val="24"/>
          </w:rPr>
          <w:tab/>
        </w:r>
        <w:r w:rsidR="00D8753A" w:rsidRPr="00A3497A">
          <w:rPr>
            <w:rStyle w:val="Hyperlink"/>
            <w:noProof/>
            <w:lang w:val="es-ES"/>
          </w:rPr>
          <w:t>CONCLUSIONES</w:t>
        </w:r>
        <w:r w:rsidR="00D8753A">
          <w:rPr>
            <w:noProof/>
            <w:webHidden/>
          </w:rPr>
          <w:tab/>
        </w:r>
        <w:r w:rsidR="00D8753A">
          <w:rPr>
            <w:noProof/>
            <w:webHidden/>
          </w:rPr>
          <w:fldChar w:fldCharType="begin"/>
        </w:r>
        <w:r w:rsidR="00D8753A">
          <w:rPr>
            <w:noProof/>
            <w:webHidden/>
          </w:rPr>
          <w:instrText xml:space="preserve"> PAGEREF _Toc195618123 \h </w:instrText>
        </w:r>
        <w:r w:rsidR="00D8753A">
          <w:rPr>
            <w:noProof/>
            <w:webHidden/>
          </w:rPr>
        </w:r>
        <w:r w:rsidR="00D8753A">
          <w:rPr>
            <w:noProof/>
            <w:webHidden/>
          </w:rPr>
          <w:fldChar w:fldCharType="separate"/>
        </w:r>
        <w:r w:rsidR="0032190B">
          <w:rPr>
            <w:noProof/>
            <w:webHidden/>
          </w:rPr>
          <w:t>1199</w:t>
        </w:r>
        <w:r w:rsidR="00D8753A">
          <w:rPr>
            <w:noProof/>
            <w:webHidden/>
          </w:rPr>
          <w:fldChar w:fldCharType="end"/>
        </w:r>
      </w:hyperlink>
    </w:p>
    <w:p w14:paraId="745857F1" w14:textId="662CA2D4" w:rsidR="00D8753A" w:rsidRDefault="00D8753A" w:rsidP="00D8753A">
      <w:pPr>
        <w:sectPr w:rsidR="00D8753A" w:rsidSect="00D8753A">
          <w:type w:val="oddPage"/>
          <w:pgSz w:w="12240" w:h="15840"/>
          <w:pgMar w:top="784" w:right="1440" w:bottom="1440" w:left="1440" w:header="708" w:footer="708" w:gutter="0"/>
          <w:pgNumType w:start="1101"/>
          <w:cols w:space="708"/>
          <w:titlePg/>
          <w:docGrid w:linePitch="360"/>
        </w:sectPr>
      </w:pPr>
      <w:r>
        <w:fldChar w:fldCharType="end"/>
      </w:r>
    </w:p>
    <w:p w14:paraId="17E2F645" w14:textId="13A4436C" w:rsidR="00F55FC1" w:rsidRPr="00FA506F" w:rsidRDefault="00F55FC1" w:rsidP="00B80A67">
      <w:pPr>
        <w:pStyle w:val="IACaptulo"/>
        <w:rPr>
          <w:lang w:val="es-ES"/>
        </w:rPr>
      </w:pPr>
      <w:r w:rsidRPr="00FA506F">
        <w:rPr>
          <w:lang w:val="es-ES"/>
        </w:rPr>
        <w:t>CAPÍTULO V</w:t>
      </w:r>
    </w:p>
    <w:p w14:paraId="790E780D" w14:textId="77777777" w:rsidR="00F55FC1" w:rsidRPr="00FA506F" w:rsidRDefault="00F55FC1" w:rsidP="00B80A67">
      <w:pPr>
        <w:pStyle w:val="IACaptulo"/>
        <w:rPr>
          <w:lang w:val="es-ES"/>
        </w:rPr>
      </w:pPr>
      <w:r w:rsidRPr="00FA506F">
        <w:rPr>
          <w:lang w:val="es-ES"/>
        </w:rPr>
        <w:t>SEGUIMIENTO DE RECOMENDACIONES FORMULADAS POR LA CIDH EN SUS INFORMES DE PAÍS O TEMÁTICOS</w:t>
      </w:r>
    </w:p>
    <w:p w14:paraId="3B207366" w14:textId="77EB2DA0" w:rsidR="00F55FC1" w:rsidRPr="00FA506F" w:rsidRDefault="22FE4613" w:rsidP="00B80A67">
      <w:pPr>
        <w:tabs>
          <w:tab w:val="left" w:pos="4111"/>
        </w:tabs>
        <w:spacing w:after="240"/>
        <w:jc w:val="center"/>
        <w:rPr>
          <w:rFonts w:ascii="Cambria" w:eastAsia="Cambria" w:hAnsi="Cambria" w:cs="Cambria"/>
          <w:b/>
          <w:bCs/>
          <w:sz w:val="22"/>
          <w:szCs w:val="22"/>
          <w:lang w:val="es-ES"/>
        </w:rPr>
      </w:pPr>
      <w:r w:rsidRPr="00FA506F">
        <w:rPr>
          <w:rFonts w:ascii="Cambria" w:eastAsia="Cambria" w:hAnsi="Cambria" w:cs="Cambria"/>
          <w:b/>
          <w:bCs/>
          <w:sz w:val="22"/>
          <w:szCs w:val="22"/>
          <w:lang w:val="es-ES"/>
        </w:rPr>
        <w:t xml:space="preserve">NOVENO </w:t>
      </w:r>
      <w:r w:rsidR="00F55FC1" w:rsidRPr="00FA506F">
        <w:rPr>
          <w:rFonts w:ascii="Cambria" w:eastAsia="Cambria" w:hAnsi="Cambria" w:cs="Cambria"/>
          <w:b/>
          <w:bCs/>
          <w:sz w:val="22"/>
          <w:szCs w:val="22"/>
          <w:lang w:val="es-ES"/>
        </w:rPr>
        <w:t>INFORME DE SEGUIMIENTO DE RECOMENDACIONES FORMULADAS POR LA CIDH EN EL INFORME SOBRE SITUACIÓN DE DERECHOS HUMANOS EN MÉXICO</w:t>
      </w:r>
      <w:r w:rsidR="0071247C" w:rsidRPr="00FA506F">
        <w:rPr>
          <w:rFonts w:ascii="Cambria" w:eastAsia="Cambria" w:hAnsi="Cambria" w:cs="Cambria"/>
          <w:b/>
          <w:bCs/>
          <w:sz w:val="22"/>
          <w:szCs w:val="22"/>
          <w:lang w:val="es-ES"/>
        </w:rPr>
        <w:t xml:space="preserve"> DE 2015</w:t>
      </w:r>
      <w:r w:rsidR="00F55FC1" w:rsidRPr="00FA506F">
        <w:rPr>
          <w:rFonts w:ascii="Cambria" w:eastAsia="Cambria" w:hAnsi="Cambria" w:cs="Cambria"/>
          <w:b/>
          <w:bCs/>
          <w:sz w:val="22"/>
          <w:szCs w:val="22"/>
          <w:vertAlign w:val="superscript"/>
          <w:lang w:val="es-ES"/>
        </w:rPr>
        <w:footnoteReference w:id="2"/>
      </w:r>
    </w:p>
    <w:p w14:paraId="66F7E073" w14:textId="77777777" w:rsidR="00F55FC1" w:rsidRPr="00FA506F" w:rsidRDefault="00F55FC1" w:rsidP="00B80A67">
      <w:pPr>
        <w:pStyle w:val="IATtulo"/>
        <w:numPr>
          <w:ilvl w:val="0"/>
          <w:numId w:val="1"/>
        </w:numPr>
        <w:tabs>
          <w:tab w:val="num" w:pos="720"/>
        </w:tabs>
        <w:rPr>
          <w:sz w:val="22"/>
          <w:szCs w:val="22"/>
          <w:lang w:val="es-ES"/>
        </w:rPr>
      </w:pPr>
      <w:bookmarkStart w:id="3" w:name="_Toc195618104"/>
      <w:r w:rsidRPr="00FA506F">
        <w:rPr>
          <w:sz w:val="22"/>
          <w:szCs w:val="22"/>
          <w:lang w:val="es-ES"/>
        </w:rPr>
        <w:t>INTRODUCCIÓN</w:t>
      </w:r>
      <w:bookmarkEnd w:id="3"/>
    </w:p>
    <w:p w14:paraId="4E6A9828" w14:textId="797FF0C3" w:rsidR="00F55FC1" w:rsidRPr="00032C24" w:rsidRDefault="00F55FC1" w:rsidP="41F8420D">
      <w:pPr>
        <w:pStyle w:val="IAPrrafo"/>
        <w:numPr>
          <w:ilvl w:val="0"/>
          <w:numId w:val="4"/>
        </w:numPr>
        <w:tabs>
          <w:tab w:val="num" w:pos="720"/>
        </w:tabs>
        <w:ind w:firstLine="720"/>
        <w:rPr>
          <w:lang w:val="es-ES"/>
        </w:rPr>
      </w:pPr>
      <w:r w:rsidRPr="00032C24">
        <w:rPr>
          <w:lang w:val="es-ES"/>
        </w:rPr>
        <w:t xml:space="preserve">El presente capítulo tiene como objetivo dar seguimiento a las recomendaciones emitidas en el informe “Situación de Derechos Humanos en México”, aprobado el 31 de diciembre de 2015 por la Comisión Interamericana de Derechos Humanos (en adelante </w:t>
      </w:r>
      <w:r w:rsidR="00B50C1C" w:rsidRPr="00032C24">
        <w:rPr>
          <w:lang w:val="es-ES"/>
        </w:rPr>
        <w:t>“</w:t>
      </w:r>
      <w:r w:rsidRPr="00032C24">
        <w:rPr>
          <w:lang w:val="es-ES"/>
        </w:rPr>
        <w:t>Comisión</w:t>
      </w:r>
      <w:r w:rsidR="00B50C1C" w:rsidRPr="00032C24">
        <w:rPr>
          <w:lang w:val="es-ES"/>
        </w:rPr>
        <w:t>”</w:t>
      </w:r>
      <w:r w:rsidRPr="00032C24">
        <w:rPr>
          <w:lang w:val="es-ES"/>
        </w:rPr>
        <w:t xml:space="preserve">, </w:t>
      </w:r>
      <w:r w:rsidR="00B50C1C" w:rsidRPr="00032C24">
        <w:rPr>
          <w:lang w:val="es-ES"/>
        </w:rPr>
        <w:t>“</w:t>
      </w:r>
      <w:r w:rsidRPr="00032C24">
        <w:rPr>
          <w:lang w:val="es-ES"/>
        </w:rPr>
        <w:t>Comisión Interamericana</w:t>
      </w:r>
      <w:r w:rsidR="00B50C1C" w:rsidRPr="00032C24">
        <w:rPr>
          <w:lang w:val="es-ES"/>
        </w:rPr>
        <w:t>”</w:t>
      </w:r>
      <w:r w:rsidRPr="00032C24">
        <w:rPr>
          <w:lang w:val="es-ES"/>
        </w:rPr>
        <w:t xml:space="preserve"> o </w:t>
      </w:r>
      <w:r w:rsidR="00B50C1C" w:rsidRPr="00032C24">
        <w:rPr>
          <w:lang w:val="es-ES"/>
        </w:rPr>
        <w:t>“</w:t>
      </w:r>
      <w:r w:rsidRPr="00032C24">
        <w:rPr>
          <w:lang w:val="es-ES"/>
        </w:rPr>
        <w:t>CIDH</w:t>
      </w:r>
      <w:r w:rsidR="00B50C1C" w:rsidRPr="00032C24">
        <w:rPr>
          <w:lang w:val="es-ES"/>
        </w:rPr>
        <w:t>”</w:t>
      </w:r>
      <w:r w:rsidRPr="00032C24">
        <w:rPr>
          <w:lang w:val="es-ES"/>
        </w:rPr>
        <w:t xml:space="preserve">) en cumplimiento al inciso 9 del artículo 59 de su Reglamento. Conforme a dicha disposición, a través del Capítulo V de su Informe Anual, la Comisión dará seguimiento a las medidas adoptadas para dar cumplimiento a las recomendaciones formuladas en el Informe de País. A través de dicho seguimiento, se abordan los principales problemas actuales identificados en materia de derechos humanos de los Estados Unidos Mexicanos (en adelante </w:t>
      </w:r>
      <w:r w:rsidR="00885DA0" w:rsidRPr="00032C24">
        <w:rPr>
          <w:lang w:val="es-ES"/>
        </w:rPr>
        <w:t>“</w:t>
      </w:r>
      <w:r w:rsidRPr="00032C24">
        <w:rPr>
          <w:lang w:val="es-ES"/>
        </w:rPr>
        <w:t>México</w:t>
      </w:r>
      <w:r w:rsidR="00885DA0" w:rsidRPr="00032C24">
        <w:rPr>
          <w:lang w:val="es-ES"/>
        </w:rPr>
        <w:t>”</w:t>
      </w:r>
      <w:r w:rsidRPr="00032C24">
        <w:rPr>
          <w:lang w:val="es-ES"/>
        </w:rPr>
        <w:t xml:space="preserve">, </w:t>
      </w:r>
      <w:r w:rsidR="00885DA0" w:rsidRPr="00032C24">
        <w:rPr>
          <w:lang w:val="es-ES"/>
        </w:rPr>
        <w:t>“</w:t>
      </w:r>
      <w:r w:rsidRPr="00032C24">
        <w:rPr>
          <w:lang w:val="es-ES"/>
        </w:rPr>
        <w:t>Estado mexicano</w:t>
      </w:r>
      <w:r w:rsidR="00885DA0" w:rsidRPr="00032C24">
        <w:rPr>
          <w:lang w:val="es-ES"/>
        </w:rPr>
        <w:t>”</w:t>
      </w:r>
      <w:r w:rsidRPr="00032C24">
        <w:rPr>
          <w:lang w:val="es-ES"/>
        </w:rPr>
        <w:t xml:space="preserve"> o </w:t>
      </w:r>
      <w:r w:rsidR="00885DA0" w:rsidRPr="00032C24">
        <w:rPr>
          <w:lang w:val="es-ES"/>
        </w:rPr>
        <w:t>“</w:t>
      </w:r>
      <w:r w:rsidRPr="00032C24">
        <w:rPr>
          <w:lang w:val="es-ES"/>
        </w:rPr>
        <w:t>Estado</w:t>
      </w:r>
      <w:r w:rsidR="00885DA0" w:rsidRPr="00032C24">
        <w:rPr>
          <w:lang w:val="es-ES"/>
        </w:rPr>
        <w:t>”</w:t>
      </w:r>
      <w:r w:rsidRPr="00032C24">
        <w:rPr>
          <w:lang w:val="es-ES"/>
        </w:rPr>
        <w:t>). Estos están relacionados con inseguridad ciudadana y militarización, desapariciones, tortura, acceso a la justicia e impunidad, situación de la libertad de expresión, así como</w:t>
      </w:r>
      <w:r w:rsidR="009D18E0" w:rsidRPr="00032C24">
        <w:rPr>
          <w:lang w:val="es-ES"/>
        </w:rPr>
        <w:t xml:space="preserve"> con</w:t>
      </w:r>
      <w:r w:rsidRPr="00032C24">
        <w:rPr>
          <w:lang w:val="es-ES"/>
        </w:rPr>
        <w:t xml:space="preserve"> la situación de grupos particulares.</w:t>
      </w:r>
    </w:p>
    <w:p w14:paraId="6A5C2473" w14:textId="42F64747" w:rsidR="00F55FC1" w:rsidRPr="00FA506F" w:rsidRDefault="00F55FC1" w:rsidP="00B80A67">
      <w:pPr>
        <w:pStyle w:val="IAPrrafo"/>
        <w:numPr>
          <w:ilvl w:val="0"/>
          <w:numId w:val="4"/>
        </w:numPr>
        <w:tabs>
          <w:tab w:val="num" w:pos="720"/>
        </w:tabs>
        <w:ind w:firstLine="720"/>
        <w:rPr>
          <w:lang w:val="es-ES"/>
        </w:rPr>
      </w:pPr>
      <w:r w:rsidRPr="00FA506F">
        <w:rPr>
          <w:lang w:val="es-ES"/>
        </w:rPr>
        <w:t xml:space="preserve">A invitación de México, la CIDH realizó una visita </w:t>
      </w:r>
      <w:r w:rsidRPr="00FA506F">
        <w:rPr>
          <w:i/>
          <w:iCs/>
          <w:lang w:val="es-ES"/>
        </w:rPr>
        <w:t>in loco</w:t>
      </w:r>
      <w:r w:rsidRPr="00FA506F">
        <w:rPr>
          <w:lang w:val="es-ES"/>
        </w:rPr>
        <w:t xml:space="preserve"> al país entre el 28 de septiembre y el 3 de octubre de 2015. La CIDH preparó el Informe sobre la Situación de Derechos Humanos en México (en adelante </w:t>
      </w:r>
      <w:r w:rsidR="007C2F54" w:rsidRPr="00FA506F">
        <w:rPr>
          <w:lang w:val="es-ES"/>
        </w:rPr>
        <w:t>“</w:t>
      </w:r>
      <w:r w:rsidRPr="00FA506F">
        <w:rPr>
          <w:lang w:val="es-ES"/>
        </w:rPr>
        <w:t>Informe de País</w:t>
      </w:r>
      <w:r w:rsidR="007C2F54" w:rsidRPr="00FA506F">
        <w:rPr>
          <w:lang w:val="es-ES"/>
        </w:rPr>
        <w:t>”</w:t>
      </w:r>
      <w:r w:rsidRPr="00FA506F">
        <w:rPr>
          <w:lang w:val="es-ES"/>
        </w:rPr>
        <w:t xml:space="preserve">) con una serie de recomendaciones al Estado mexicano, valiéndose de los hallazgos e información obtenida antes, durante y con posterioridad a la visita. </w:t>
      </w:r>
      <w:r w:rsidR="0081344B" w:rsidRPr="00FA506F">
        <w:rPr>
          <w:lang w:val="es-ES"/>
        </w:rPr>
        <w:t>El</w:t>
      </w:r>
      <w:r w:rsidRPr="00FA506F">
        <w:rPr>
          <w:lang w:val="es-ES"/>
        </w:rPr>
        <w:t xml:space="preserve"> Informe de País se basó en las investigaciones realizadas de oficio, la información proporcionada por el Estado, los insumos provenientes de los diferentes mecanismos a través de los cuales la CIDH ha dado seguimiento a la situación en el país, así como notas periodísticas, decisiones y recomendaciones de organismos internacionales especializados, entre otros, conforme a lo establecido por el artículo 59 inciso 5 de su Reglamento. </w:t>
      </w:r>
    </w:p>
    <w:p w14:paraId="6BEF3B86" w14:textId="72587B01" w:rsidR="00F55FC1" w:rsidRPr="00FA506F" w:rsidRDefault="00F55FC1" w:rsidP="00B80A67">
      <w:pPr>
        <w:pStyle w:val="IAPrrafo"/>
        <w:numPr>
          <w:ilvl w:val="0"/>
          <w:numId w:val="4"/>
        </w:numPr>
        <w:tabs>
          <w:tab w:val="num" w:pos="720"/>
        </w:tabs>
        <w:ind w:firstLine="720"/>
        <w:rPr>
          <w:lang w:val="es-ES"/>
        </w:rPr>
      </w:pPr>
      <w:r w:rsidRPr="00FA506F">
        <w:rPr>
          <w:lang w:val="es-ES"/>
        </w:rPr>
        <w:t>Durante los años siguientes a la publicación del Informe de País, la CIDH elaboró informes de seguimiento a las recomendaciones, los cuales fueron incorporados en los Capítulos V de los Informes Anuales de la Comisión correspondientes a los años transcurridos entre 2016 y 202</w:t>
      </w:r>
      <w:r w:rsidR="5E99AA6C" w:rsidRPr="00FA506F">
        <w:rPr>
          <w:lang w:val="es-ES"/>
        </w:rPr>
        <w:t>3</w:t>
      </w:r>
      <w:r w:rsidR="00AC730C" w:rsidRPr="00FA506F">
        <w:rPr>
          <w:lang w:val="es-ES"/>
        </w:rPr>
        <w:t xml:space="preserve">. </w:t>
      </w:r>
      <w:r w:rsidR="00AF2F31" w:rsidRPr="00FA506F">
        <w:rPr>
          <w:lang w:val="es-ES"/>
        </w:rPr>
        <w:t>Estos informes de seguimiento</w:t>
      </w:r>
      <w:r w:rsidRPr="00FA506F">
        <w:rPr>
          <w:lang w:val="es-ES"/>
        </w:rPr>
        <w:t xml:space="preserve"> incluyeron, en lo pertinente, las observaciones remitidas por el Estado mexicano y la sociedad civil.</w:t>
      </w:r>
    </w:p>
    <w:p w14:paraId="53CB6529" w14:textId="2A20F1C4" w:rsidR="00F55FC1" w:rsidRPr="00FA506F" w:rsidRDefault="00F55FC1" w:rsidP="00B80A67">
      <w:pPr>
        <w:pStyle w:val="IAPrrafo"/>
        <w:numPr>
          <w:ilvl w:val="0"/>
          <w:numId w:val="4"/>
        </w:numPr>
        <w:tabs>
          <w:tab w:val="num" w:pos="720"/>
        </w:tabs>
        <w:ind w:firstLine="720"/>
        <w:rPr>
          <w:lang w:val="es-ES"/>
        </w:rPr>
      </w:pPr>
      <w:r w:rsidRPr="00FA506F">
        <w:rPr>
          <w:lang w:val="es-ES"/>
        </w:rPr>
        <w:t xml:space="preserve">Para la elaboración de este </w:t>
      </w:r>
      <w:r w:rsidR="00D42D81" w:rsidRPr="00FA506F">
        <w:rPr>
          <w:lang w:val="es-ES"/>
        </w:rPr>
        <w:t xml:space="preserve">noveno </w:t>
      </w:r>
      <w:r w:rsidRPr="00FA506F">
        <w:rPr>
          <w:lang w:val="es-ES"/>
        </w:rPr>
        <w:t>informe de seguimiento, mediante comunicación enviada el</w:t>
      </w:r>
      <w:r w:rsidR="00BD2BAA" w:rsidRPr="00FA506F">
        <w:rPr>
          <w:lang w:val="es-ES"/>
        </w:rPr>
        <w:t xml:space="preserve"> 4 de septiembre de 2024</w:t>
      </w:r>
      <w:r w:rsidR="000B4953" w:rsidRPr="00FA506F">
        <w:rPr>
          <w:lang w:val="es-ES"/>
        </w:rPr>
        <w:t>,</w:t>
      </w:r>
      <w:r w:rsidRPr="00FA506F">
        <w:rPr>
          <w:lang w:val="es-ES"/>
        </w:rPr>
        <w:t xml:space="preserve"> </w:t>
      </w:r>
      <w:r w:rsidR="00BD2BAA" w:rsidRPr="00FA506F">
        <w:rPr>
          <w:lang w:val="es-ES"/>
        </w:rPr>
        <w:t>la</w:t>
      </w:r>
      <w:r w:rsidRPr="00FA506F">
        <w:rPr>
          <w:lang w:val="es-ES"/>
        </w:rPr>
        <w:t xml:space="preserve"> CIDH solicitó al Estado presentar la información sobre las medidas de cumplimiento adoptadas en el último año </w:t>
      </w:r>
      <w:r w:rsidR="00446046" w:rsidRPr="00FA506F">
        <w:rPr>
          <w:lang w:val="es-ES"/>
        </w:rPr>
        <w:t>sobre</w:t>
      </w:r>
      <w:r w:rsidRPr="00FA506F">
        <w:rPr>
          <w:lang w:val="es-ES"/>
        </w:rPr>
        <w:t xml:space="preserve"> las recomendaciones contenidas en el Informe de País. La respuesta de</w:t>
      </w:r>
      <w:r w:rsidR="004E377A" w:rsidRPr="00FA506F">
        <w:rPr>
          <w:lang w:val="es-ES"/>
        </w:rPr>
        <w:t xml:space="preserve"> México</w:t>
      </w:r>
      <w:r w:rsidRPr="00FA506F">
        <w:rPr>
          <w:lang w:val="es-ES"/>
        </w:rPr>
        <w:t xml:space="preserve"> fue recibida los días </w:t>
      </w:r>
      <w:r w:rsidR="00BD2BAA" w:rsidRPr="00FA506F">
        <w:rPr>
          <w:lang w:val="es-ES"/>
        </w:rPr>
        <w:t>30 de septiembre y 1 de octubre a</w:t>
      </w:r>
      <w:r w:rsidRPr="00FA506F">
        <w:rPr>
          <w:lang w:val="es-ES"/>
        </w:rPr>
        <w:t xml:space="preserve"> través del SIMORE Interamericano. La Comisión valora y agradece la información recibida que, en lo pertinente, fue incluida en el presente informe de seguimiento. </w:t>
      </w:r>
      <w:r w:rsidR="000B4953" w:rsidRPr="00FA506F">
        <w:rPr>
          <w:lang w:val="es-ES"/>
        </w:rPr>
        <w:t>Al mismo tiempo</w:t>
      </w:r>
      <w:r w:rsidRPr="00FA506F">
        <w:rPr>
          <w:lang w:val="es-ES"/>
        </w:rPr>
        <w:t>, la CIDH agradece la información suministrada por las organizaciones de la sociedad civil</w:t>
      </w:r>
      <w:r w:rsidRPr="00FA506F">
        <w:rPr>
          <w:vertAlign w:val="superscript"/>
          <w:lang w:val="es-ES"/>
        </w:rPr>
        <w:footnoteReference w:id="3"/>
      </w:r>
      <w:r w:rsidRPr="00FA506F">
        <w:rPr>
          <w:lang w:val="es-ES"/>
        </w:rPr>
        <w:t>.</w:t>
      </w:r>
    </w:p>
    <w:p w14:paraId="13D83C05" w14:textId="253F72D0" w:rsidR="00F55FC1" w:rsidRPr="00FA506F" w:rsidRDefault="000A093E" w:rsidP="00B80A67">
      <w:pPr>
        <w:pStyle w:val="IAPrrafo"/>
        <w:numPr>
          <w:ilvl w:val="0"/>
          <w:numId w:val="4"/>
        </w:numPr>
        <w:tabs>
          <w:tab w:val="num" w:pos="720"/>
        </w:tabs>
        <w:ind w:firstLine="720"/>
        <w:rPr>
          <w:lang w:val="es-ES"/>
        </w:rPr>
      </w:pPr>
      <w:r w:rsidRPr="00FA506F">
        <w:rPr>
          <w:lang w:val="es-ES"/>
        </w:rPr>
        <w:t>D</w:t>
      </w:r>
      <w:r w:rsidR="00F55FC1" w:rsidRPr="00FA506F">
        <w:rPr>
          <w:lang w:val="es-ES"/>
        </w:rPr>
        <w:t xml:space="preserve">e conformidad con el numeral 10 del artículo 59 de su Reglamento, </w:t>
      </w:r>
      <w:r w:rsidR="00175DE9">
        <w:rPr>
          <w:lang w:val="es-ES"/>
        </w:rPr>
        <w:t xml:space="preserve">el 16 de enero de 2025, </w:t>
      </w:r>
      <w:r w:rsidR="00F55FC1" w:rsidRPr="00FA506F">
        <w:rPr>
          <w:lang w:val="es-ES"/>
        </w:rPr>
        <w:t xml:space="preserve">la CIDH transmitió el </w:t>
      </w:r>
      <w:r w:rsidRPr="00FA506F">
        <w:rPr>
          <w:lang w:val="es-ES"/>
        </w:rPr>
        <w:t>informe</w:t>
      </w:r>
      <w:r w:rsidR="00181AE3" w:rsidRPr="00FA506F">
        <w:rPr>
          <w:lang w:val="es-ES"/>
        </w:rPr>
        <w:t xml:space="preserve"> </w:t>
      </w:r>
      <w:r w:rsidRPr="00FA506F">
        <w:rPr>
          <w:lang w:val="es-ES"/>
        </w:rPr>
        <w:t>a</w:t>
      </w:r>
      <w:r w:rsidR="00F55FC1" w:rsidRPr="00FA506F">
        <w:rPr>
          <w:lang w:val="es-ES"/>
        </w:rPr>
        <w:t xml:space="preserve">l Estado </w:t>
      </w:r>
      <w:r w:rsidRPr="00616692">
        <w:rPr>
          <w:lang w:val="es-ES"/>
        </w:rPr>
        <w:t xml:space="preserve">que </w:t>
      </w:r>
      <w:r w:rsidR="00F55FC1" w:rsidRPr="00616692">
        <w:rPr>
          <w:lang w:val="es-ES"/>
        </w:rPr>
        <w:t>remitió sus observaciones</w:t>
      </w:r>
      <w:r w:rsidR="00175DE9" w:rsidRPr="00616692">
        <w:rPr>
          <w:lang w:val="es-ES"/>
        </w:rPr>
        <w:t xml:space="preserve"> el 15 y 28 de febrero de 2025</w:t>
      </w:r>
      <w:r w:rsidR="002374CC" w:rsidRPr="00616692">
        <w:rPr>
          <w:rStyle w:val="FootnoteReference"/>
          <w:lang w:val="es-ES"/>
        </w:rPr>
        <w:footnoteReference w:id="4"/>
      </w:r>
      <w:r w:rsidR="00F55FC1" w:rsidRPr="00616692">
        <w:rPr>
          <w:lang w:val="es-ES"/>
        </w:rPr>
        <w:t xml:space="preserve">, cuyas partes pertinentes fueron incorporadas en la versión final del presente </w:t>
      </w:r>
      <w:r w:rsidR="003B2F30" w:rsidRPr="00616692">
        <w:rPr>
          <w:lang w:val="es-ES"/>
        </w:rPr>
        <w:t>I</w:t>
      </w:r>
      <w:r w:rsidR="00F55FC1" w:rsidRPr="00616692">
        <w:rPr>
          <w:lang w:val="es-ES"/>
        </w:rPr>
        <w:t>nforme.</w:t>
      </w:r>
      <w:r w:rsidR="00F55FC1" w:rsidRPr="00FA506F">
        <w:rPr>
          <w:lang w:val="es-ES"/>
        </w:rPr>
        <w:t xml:space="preserve"> Este informe de seguimiento fue finalmente aprobado por la CIDH el </w:t>
      </w:r>
      <w:r w:rsidR="0008319C">
        <w:rPr>
          <w:lang w:val="es-ES"/>
        </w:rPr>
        <w:t>19 de marzo de 2025</w:t>
      </w:r>
      <w:r w:rsidR="00F55FC1" w:rsidRPr="00FA506F">
        <w:rPr>
          <w:lang w:val="es-ES"/>
        </w:rPr>
        <w:t>.</w:t>
      </w:r>
    </w:p>
    <w:p w14:paraId="698355C5" w14:textId="2385ED77" w:rsidR="00F55FC1" w:rsidRPr="00FA506F" w:rsidRDefault="00F55FC1" w:rsidP="00B80A67">
      <w:pPr>
        <w:pStyle w:val="IAPrrafo"/>
        <w:numPr>
          <w:ilvl w:val="0"/>
          <w:numId w:val="4"/>
        </w:numPr>
        <w:tabs>
          <w:tab w:val="num" w:pos="720"/>
        </w:tabs>
        <w:ind w:firstLine="720"/>
        <w:rPr>
          <w:lang w:val="es-ES"/>
        </w:rPr>
      </w:pPr>
      <w:r w:rsidRPr="00FA506F">
        <w:rPr>
          <w:lang w:val="es-ES"/>
        </w:rPr>
        <w:t xml:space="preserve">El presente informe de seguimiento se divide en </w:t>
      </w:r>
      <w:r w:rsidR="007F7660" w:rsidRPr="00FA506F">
        <w:rPr>
          <w:lang w:val="es-ES"/>
        </w:rPr>
        <w:t>7</w:t>
      </w:r>
      <w:r w:rsidR="0A3EB612" w:rsidRPr="00FA506F">
        <w:rPr>
          <w:lang w:val="es-ES"/>
        </w:rPr>
        <w:t xml:space="preserve"> </w:t>
      </w:r>
      <w:r w:rsidRPr="00FA506F">
        <w:rPr>
          <w:lang w:val="es-ES"/>
        </w:rPr>
        <w:t>secciones dedicadas a la consideración de las medidas más recientes adoptadas por el Estado para dar cumplimiento a las recomendaciones de la Comisión</w:t>
      </w:r>
      <w:r w:rsidR="00371A35" w:rsidRPr="00FA506F">
        <w:rPr>
          <w:lang w:val="es-ES"/>
        </w:rPr>
        <w:t>,</w:t>
      </w:r>
      <w:r w:rsidRPr="00FA506F">
        <w:rPr>
          <w:lang w:val="es-ES"/>
        </w:rPr>
        <w:t xml:space="preserve"> y a los desafíos pendientes en materia de implementación. El cumplimiento de las recomendaciones ha sido evaluado de acuerdo con las Directrices Generales de Seguimiento de Recomendaciones y Decisiones de la CIDH</w:t>
      </w:r>
      <w:r w:rsidRPr="00FA506F">
        <w:rPr>
          <w:vertAlign w:val="superscript"/>
          <w:lang w:val="es-ES"/>
        </w:rPr>
        <w:footnoteReference w:id="5"/>
      </w:r>
      <w:r w:rsidRPr="00FA506F">
        <w:rPr>
          <w:lang w:val="es-ES"/>
        </w:rPr>
        <w:t>. Cada sección hace referencia a las recomendaciones emitidas por la CIDH</w:t>
      </w:r>
      <w:r w:rsidR="00CB5F95" w:rsidRPr="00FA506F">
        <w:rPr>
          <w:lang w:val="es-ES"/>
        </w:rPr>
        <w:t>,</w:t>
      </w:r>
      <w:r w:rsidRPr="00FA506F">
        <w:rPr>
          <w:lang w:val="es-ES"/>
        </w:rPr>
        <w:t xml:space="preserve"> de </w:t>
      </w:r>
      <w:r w:rsidR="0007792B" w:rsidRPr="00FA506F">
        <w:rPr>
          <w:lang w:val="es-ES"/>
        </w:rPr>
        <w:t xml:space="preserve">conformidad </w:t>
      </w:r>
      <w:r w:rsidRPr="00FA506F">
        <w:rPr>
          <w:lang w:val="es-ES"/>
        </w:rPr>
        <w:t>con</w:t>
      </w:r>
      <w:r w:rsidR="0007792B" w:rsidRPr="00FA506F">
        <w:rPr>
          <w:lang w:val="es-ES"/>
        </w:rPr>
        <w:t xml:space="preserve"> sus</w:t>
      </w:r>
      <w:r w:rsidRPr="00FA506F">
        <w:rPr>
          <w:lang w:val="es-ES"/>
        </w:rPr>
        <w:t xml:space="preserve"> ejes temáticos</w:t>
      </w:r>
      <w:r w:rsidR="0007792B" w:rsidRPr="00FA506F">
        <w:rPr>
          <w:lang w:val="es-ES"/>
        </w:rPr>
        <w:t>. E</w:t>
      </w:r>
      <w:r w:rsidRPr="00FA506F">
        <w:rPr>
          <w:lang w:val="es-ES"/>
        </w:rPr>
        <w:t>l informe presenta</w:t>
      </w:r>
      <w:r w:rsidR="00C007A0" w:rsidRPr="00FA506F">
        <w:rPr>
          <w:lang w:val="es-ES"/>
        </w:rPr>
        <w:t>,</w:t>
      </w:r>
      <w:r w:rsidRPr="00FA506F">
        <w:rPr>
          <w:lang w:val="es-ES"/>
        </w:rPr>
        <w:t xml:space="preserve"> en primer lugar,</w:t>
      </w:r>
      <w:r w:rsidR="009D646D" w:rsidRPr="00FA506F">
        <w:rPr>
          <w:lang w:val="es-ES"/>
        </w:rPr>
        <w:t xml:space="preserve"> una síntesis de la información conocida por la CIDH y su análisis en el </w:t>
      </w:r>
      <w:r w:rsidR="009A632B" w:rsidRPr="00FA506F">
        <w:rPr>
          <w:lang w:val="es-ES"/>
        </w:rPr>
        <w:t>último</w:t>
      </w:r>
      <w:r w:rsidR="009D646D" w:rsidRPr="00FA506F">
        <w:rPr>
          <w:lang w:val="es-ES"/>
        </w:rPr>
        <w:t xml:space="preserve"> informe de seguimiento correspondiente al año 202</w:t>
      </w:r>
      <w:r w:rsidR="45B91828" w:rsidRPr="00FA506F">
        <w:rPr>
          <w:lang w:val="es-ES"/>
        </w:rPr>
        <w:t>3</w:t>
      </w:r>
      <w:r w:rsidR="00660D40" w:rsidRPr="00FA506F">
        <w:rPr>
          <w:lang w:val="es-ES"/>
        </w:rPr>
        <w:t>. Después de esta síntesis, el informe</w:t>
      </w:r>
      <w:r w:rsidR="009A632B" w:rsidRPr="00FA506F">
        <w:rPr>
          <w:lang w:val="es-ES"/>
        </w:rPr>
        <w:t xml:space="preserve"> abarca </w:t>
      </w:r>
      <w:r w:rsidRPr="00FA506F">
        <w:rPr>
          <w:lang w:val="es-ES"/>
        </w:rPr>
        <w:t>la información que ha sido conocida por la CIDH</w:t>
      </w:r>
      <w:r w:rsidR="00660D40" w:rsidRPr="00FA506F">
        <w:rPr>
          <w:lang w:val="es-ES"/>
        </w:rPr>
        <w:t xml:space="preserve"> en 202</w:t>
      </w:r>
      <w:r w:rsidR="17F4E511" w:rsidRPr="00FA506F">
        <w:rPr>
          <w:lang w:val="es-ES"/>
        </w:rPr>
        <w:t>4</w:t>
      </w:r>
      <w:r w:rsidRPr="00FA506F">
        <w:rPr>
          <w:lang w:val="es-ES"/>
        </w:rPr>
        <w:t xml:space="preserve"> a través de distintas fuentes, incluido el Estado y las organizaciones de la sociedad civil, así </w:t>
      </w:r>
      <w:r w:rsidR="00CB5F95" w:rsidRPr="00FA506F">
        <w:rPr>
          <w:lang w:val="es-ES"/>
        </w:rPr>
        <w:t xml:space="preserve">como </w:t>
      </w:r>
      <w:r w:rsidRPr="00FA506F">
        <w:rPr>
          <w:lang w:val="es-ES"/>
        </w:rPr>
        <w:t>la información que la Comisión ha recabado en el monitoreo de la situación general de derechos humanos en el país</w:t>
      </w:r>
      <w:r w:rsidRPr="00FA506F">
        <w:rPr>
          <w:vertAlign w:val="superscript"/>
          <w:lang w:val="es-ES"/>
        </w:rPr>
        <w:footnoteReference w:id="6"/>
      </w:r>
      <w:r w:rsidRPr="00FA506F">
        <w:rPr>
          <w:lang w:val="es-ES"/>
        </w:rPr>
        <w:t>. Después, el informe presenta un análisis del nivel de cumplimiento y se refiere a los principales avances y desafíos de implementación identificados por la Comisión</w:t>
      </w:r>
      <w:r w:rsidR="009A632B" w:rsidRPr="00FA506F">
        <w:rPr>
          <w:lang w:val="es-ES"/>
        </w:rPr>
        <w:t>, de acuerdo con la información conocida durante el año 202</w:t>
      </w:r>
      <w:r w:rsidR="13EF6970" w:rsidRPr="00FA506F">
        <w:rPr>
          <w:lang w:val="es-ES"/>
        </w:rPr>
        <w:t>4</w:t>
      </w:r>
      <w:r w:rsidRPr="00FA506F">
        <w:rPr>
          <w:lang w:val="es-ES"/>
        </w:rPr>
        <w:t>. El análisis de cada recomendación culmina con un diagnóstico de la CIDH sobre la información específica que el Estado todavía no ha remitido o sobre las medidas que faltan por ser adoptadas para determinar un avance en el nivel de cumplimiento de la recomendación. Finalmente, la CIDH presenta sus conclusiones en torno a los avances y desafíos de cumplimiento de las recomendaciones del Informe de País, en su conjunto.</w:t>
      </w:r>
    </w:p>
    <w:p w14:paraId="6E7E4B1E" w14:textId="77777777" w:rsidR="00F55FC1" w:rsidRPr="00FA506F" w:rsidRDefault="00F55FC1" w:rsidP="00B80A67">
      <w:pPr>
        <w:pStyle w:val="IATtulo"/>
        <w:numPr>
          <w:ilvl w:val="0"/>
          <w:numId w:val="1"/>
        </w:numPr>
        <w:tabs>
          <w:tab w:val="num" w:pos="720"/>
        </w:tabs>
        <w:rPr>
          <w:sz w:val="22"/>
          <w:szCs w:val="22"/>
          <w:lang w:val="es-ES"/>
        </w:rPr>
      </w:pPr>
      <w:bookmarkStart w:id="4" w:name="_Toc195618105"/>
      <w:r w:rsidRPr="00FA506F">
        <w:rPr>
          <w:sz w:val="22"/>
          <w:szCs w:val="22"/>
          <w:lang w:val="es-ES"/>
        </w:rPr>
        <w:t>SEGUIMIENTO DE RECOMENDACIONES</w:t>
      </w:r>
      <w:bookmarkEnd w:id="4"/>
    </w:p>
    <w:p w14:paraId="7E14B4F5" w14:textId="1AE8922B" w:rsidR="00F55FC1" w:rsidRPr="00FA506F" w:rsidRDefault="00F55FC1" w:rsidP="00B80A67">
      <w:pPr>
        <w:pStyle w:val="IASubttulo2"/>
        <w:numPr>
          <w:ilvl w:val="0"/>
          <w:numId w:val="3"/>
        </w:numPr>
        <w:tabs>
          <w:tab w:val="num" w:pos="720"/>
        </w:tabs>
        <w:ind w:left="1440" w:hanging="720"/>
        <w:rPr>
          <w:sz w:val="22"/>
          <w:szCs w:val="22"/>
          <w:lang w:val="es-ES"/>
        </w:rPr>
      </w:pPr>
      <w:bookmarkStart w:id="5" w:name="_Toc195618106"/>
      <w:r w:rsidRPr="00FA506F">
        <w:rPr>
          <w:sz w:val="22"/>
          <w:szCs w:val="22"/>
          <w:lang w:val="es-ES"/>
        </w:rPr>
        <w:t xml:space="preserve">Seguridad </w:t>
      </w:r>
      <w:r w:rsidR="00B33934" w:rsidRPr="00FA506F">
        <w:rPr>
          <w:sz w:val="22"/>
          <w:szCs w:val="22"/>
          <w:lang w:val="es-ES"/>
        </w:rPr>
        <w:t>c</w:t>
      </w:r>
      <w:r w:rsidRPr="00FA506F">
        <w:rPr>
          <w:sz w:val="22"/>
          <w:szCs w:val="22"/>
          <w:lang w:val="es-ES"/>
        </w:rPr>
        <w:t>iudadana</w:t>
      </w:r>
      <w:bookmarkEnd w:id="5"/>
    </w:p>
    <w:p w14:paraId="7B6F0CF7" w14:textId="77777777" w:rsidR="00F55FC1" w:rsidRPr="00FA506F" w:rsidRDefault="00F55FC1"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Recomendación No. 1</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Desarrollar un plan concreto para el retiro gradual de las Fuerzas Armadas de tareas de seguridad pública y para la recuperación de éstas por parte de las policías civiles. </w:t>
      </w:r>
    </w:p>
    <w:p w14:paraId="70EEEEF1" w14:textId="77777777" w:rsidR="00F55FC1" w:rsidRPr="00FA506F" w:rsidRDefault="00F55FC1" w:rsidP="00B80A67">
      <w:pPr>
        <w:jc w:val="both"/>
        <w:rPr>
          <w:rFonts w:ascii="Cambria" w:eastAsia="Cambria" w:hAnsi="Cambria" w:cs="Cambria"/>
          <w:i/>
          <w:iCs/>
          <w:color w:val="000000" w:themeColor="text1"/>
          <w:sz w:val="20"/>
          <w:szCs w:val="20"/>
          <w:lang w:val="es-ES"/>
        </w:rPr>
      </w:pPr>
    </w:p>
    <w:p w14:paraId="37CDF393" w14:textId="483D1679" w:rsidR="0032647B" w:rsidRPr="002374CC" w:rsidRDefault="7E69AB02" w:rsidP="002374CC">
      <w:pPr>
        <w:pStyle w:val="IAPrrafo"/>
        <w:numPr>
          <w:ilvl w:val="0"/>
          <w:numId w:val="4"/>
        </w:numPr>
        <w:tabs>
          <w:tab w:val="num" w:pos="720"/>
        </w:tabs>
        <w:ind w:firstLine="720"/>
        <w:rPr>
          <w:lang w:val="es-ES"/>
        </w:rPr>
      </w:pPr>
      <w:r w:rsidRPr="00FA506F">
        <w:rPr>
          <w:lang w:val="es-ES"/>
        </w:rPr>
        <w:t xml:space="preserve">En el Capítulo V del Informe Anual de 2023, la CIDH recibió información de que la Suprema Corte de Justicia de la Nación (SCJN) invalidó la transferencia de las facultades de la Guardia Nacional (GN) a la Secretaría de la Defensa Nacional (SEDENA), resaltando que la GN </w:t>
      </w:r>
      <w:r w:rsidR="00B33934" w:rsidRPr="00FA506F">
        <w:rPr>
          <w:lang w:val="es-ES"/>
        </w:rPr>
        <w:t xml:space="preserve">debía </w:t>
      </w:r>
      <w:r w:rsidRPr="00FA506F">
        <w:rPr>
          <w:lang w:val="es-ES"/>
        </w:rPr>
        <w:t xml:space="preserve">estar bajo control civil conforme al artículo 21 constitucional. A pesar de ello, la CIDH fue informada por organizaciones de la sociedad civil que, en la práctica, la GN </w:t>
      </w:r>
      <w:r w:rsidR="00B93835" w:rsidRPr="00FA506F">
        <w:rPr>
          <w:lang w:val="es-ES"/>
        </w:rPr>
        <w:t xml:space="preserve">seguía </w:t>
      </w:r>
      <w:r w:rsidRPr="00FA506F">
        <w:rPr>
          <w:lang w:val="es-ES"/>
        </w:rPr>
        <w:t xml:space="preserve">bajo control de la SEDENA, y que el </w:t>
      </w:r>
      <w:r w:rsidR="00B33BDA">
        <w:rPr>
          <w:lang w:val="es-ES"/>
        </w:rPr>
        <w:t>p</w:t>
      </w:r>
      <w:r w:rsidRPr="00FA506F">
        <w:rPr>
          <w:lang w:val="es-ES"/>
        </w:rPr>
        <w:t>residente de la República ha</w:t>
      </w:r>
      <w:r w:rsidR="00B93835" w:rsidRPr="00FA506F">
        <w:rPr>
          <w:lang w:val="es-ES"/>
        </w:rPr>
        <w:t>bía</w:t>
      </w:r>
      <w:r w:rsidRPr="00FA506F">
        <w:rPr>
          <w:lang w:val="es-ES"/>
        </w:rPr>
        <w:t xml:space="preserve"> expresado su intención de presentar una nueva iniciativa </w:t>
      </w:r>
      <w:r w:rsidR="007874C6" w:rsidRPr="00FA506F">
        <w:rPr>
          <w:lang w:val="es-ES"/>
        </w:rPr>
        <w:t xml:space="preserve">constitucional </w:t>
      </w:r>
      <w:r w:rsidRPr="00FA506F">
        <w:rPr>
          <w:lang w:val="es-ES"/>
        </w:rPr>
        <w:t xml:space="preserve">para adscribir la GN </w:t>
      </w:r>
      <w:r w:rsidR="00B33934" w:rsidRPr="00FA506F">
        <w:rPr>
          <w:lang w:val="es-ES"/>
        </w:rPr>
        <w:t xml:space="preserve">otra vez </w:t>
      </w:r>
      <w:r w:rsidRPr="00FA506F">
        <w:rPr>
          <w:lang w:val="es-ES"/>
        </w:rPr>
        <w:t>a la SEDENA</w:t>
      </w:r>
      <w:r w:rsidR="00236827" w:rsidRPr="00FA506F">
        <w:rPr>
          <w:lang w:val="es-ES"/>
        </w:rPr>
        <w:t>;</w:t>
      </w:r>
      <w:r w:rsidR="006B4F48" w:rsidRPr="00FA506F">
        <w:rPr>
          <w:lang w:val="es-ES"/>
        </w:rPr>
        <w:t xml:space="preserve"> y </w:t>
      </w:r>
      <w:r w:rsidRPr="00FA506F">
        <w:rPr>
          <w:lang w:val="es-ES"/>
        </w:rPr>
        <w:t>destacó que la participación de las Fuerzas Armadas en tareas de seguridad pública se ha</w:t>
      </w:r>
      <w:r w:rsidR="00E67482" w:rsidRPr="00FA506F">
        <w:rPr>
          <w:lang w:val="es-ES"/>
        </w:rPr>
        <w:t>bía</w:t>
      </w:r>
      <w:r w:rsidRPr="00FA506F">
        <w:rPr>
          <w:lang w:val="es-ES"/>
        </w:rPr>
        <w:t xml:space="preserve"> extendido, lo que ha</w:t>
      </w:r>
      <w:r w:rsidR="00E67482" w:rsidRPr="00FA506F">
        <w:rPr>
          <w:lang w:val="es-ES"/>
        </w:rPr>
        <w:t>bía</w:t>
      </w:r>
      <w:r w:rsidRPr="00FA506F">
        <w:rPr>
          <w:lang w:val="es-ES"/>
        </w:rPr>
        <w:t xml:space="preserve"> generado preocupaciones en la comunidad internacional. La CIDH valoró positivamente la decisión de la SCJN, pero expresó su preocupación de que las reformas legislativas recientes podrían contravenir los estándares internacionales y fortalecer la presencia militar en labores de seguridad pública. Por ello, la Comisión reiteró su llamado al Estado mexicano para limitar la militarización de la seguridad ciudadana y fortalecer las fuerzas de seguridad de carácter civil, en línea con los compromisos internacionales en materia de derechos humanos</w:t>
      </w:r>
      <w:r w:rsidR="0010173F" w:rsidRPr="00FA506F">
        <w:rPr>
          <w:rStyle w:val="FootnoteReference"/>
          <w:lang w:val="es-ES"/>
        </w:rPr>
        <w:footnoteReference w:id="7"/>
      </w:r>
      <w:r w:rsidR="00753BF5" w:rsidRPr="00FA506F">
        <w:rPr>
          <w:lang w:val="es-ES"/>
        </w:rPr>
        <w:t>, y concluyó que la recomendación se encontrab</w:t>
      </w:r>
      <w:r w:rsidR="0081344B" w:rsidRPr="00FA506F">
        <w:rPr>
          <w:lang w:val="es-ES"/>
        </w:rPr>
        <w:t>a pendiente de cumplimiento.</w:t>
      </w:r>
    </w:p>
    <w:p w14:paraId="5645ADAD" w14:textId="327B9773" w:rsidR="00780614" w:rsidRPr="00FA506F" w:rsidRDefault="00780614" w:rsidP="004254B2">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7A960E87" w14:textId="77777777" w:rsidR="00780614" w:rsidRPr="00FA506F" w:rsidRDefault="00780614" w:rsidP="00B80A67">
      <w:pPr>
        <w:pStyle w:val="parrafos"/>
        <w:numPr>
          <w:ilvl w:val="0"/>
          <w:numId w:val="0"/>
        </w:numPr>
        <w:tabs>
          <w:tab w:val="clear" w:pos="0"/>
        </w:tabs>
        <w:ind w:left="709"/>
        <w:rPr>
          <w:lang w:val="es-ES"/>
        </w:rPr>
      </w:pPr>
    </w:p>
    <w:p w14:paraId="774A229C" w14:textId="5E761E26" w:rsidR="00BA3B4F" w:rsidRPr="00FA506F" w:rsidRDefault="00BA3B4F" w:rsidP="00B80A67">
      <w:pPr>
        <w:pStyle w:val="IAPrrafo"/>
        <w:numPr>
          <w:ilvl w:val="0"/>
          <w:numId w:val="4"/>
        </w:numPr>
        <w:tabs>
          <w:tab w:val="num" w:pos="720"/>
        </w:tabs>
        <w:ind w:firstLine="720"/>
        <w:rPr>
          <w:lang w:val="es-ES"/>
        </w:rPr>
      </w:pPr>
      <w:r w:rsidRPr="00FA506F">
        <w:rPr>
          <w:lang w:val="es-ES"/>
        </w:rPr>
        <w:t xml:space="preserve">En 2024 el Estado </w:t>
      </w:r>
      <w:r w:rsidR="00454AE0" w:rsidRPr="00FA506F">
        <w:rPr>
          <w:lang w:val="es-ES"/>
        </w:rPr>
        <w:t>remitió información</w:t>
      </w:r>
      <w:r w:rsidRPr="00FA506F">
        <w:rPr>
          <w:lang w:val="es-ES"/>
        </w:rPr>
        <w:t xml:space="preserve"> sobre la</w:t>
      </w:r>
      <w:r w:rsidR="000F7C82" w:rsidRPr="00FA506F">
        <w:rPr>
          <w:lang w:val="es-ES"/>
        </w:rPr>
        <w:t xml:space="preserve"> Estrategia Nacional de Seguridad Pública</w:t>
      </w:r>
      <w:r w:rsidRPr="00FA506F">
        <w:rPr>
          <w:lang w:val="es-ES"/>
        </w:rPr>
        <w:t xml:space="preserve">, refiriendo que ésta habría </w:t>
      </w:r>
      <w:r w:rsidR="000F7C82" w:rsidRPr="00FA506F">
        <w:rPr>
          <w:lang w:val="es-ES"/>
        </w:rPr>
        <w:t xml:space="preserve">permitido reconstruir el tejido social de comunidades afectadas por la violencia, así como recuperar la confianza de la sociedad en las instituciones policiales. </w:t>
      </w:r>
      <w:r w:rsidR="00446F81" w:rsidRPr="00FA506F">
        <w:rPr>
          <w:lang w:val="es-ES"/>
        </w:rPr>
        <w:t>El Estado</w:t>
      </w:r>
      <w:r w:rsidRPr="00FA506F">
        <w:rPr>
          <w:lang w:val="es-ES"/>
        </w:rPr>
        <w:t xml:space="preserve"> </w:t>
      </w:r>
      <w:r w:rsidR="00454AE0" w:rsidRPr="00FA506F">
        <w:rPr>
          <w:lang w:val="es-ES"/>
        </w:rPr>
        <w:t>reportó</w:t>
      </w:r>
      <w:r w:rsidRPr="00FA506F">
        <w:rPr>
          <w:lang w:val="es-ES"/>
        </w:rPr>
        <w:t xml:space="preserve"> e</w:t>
      </w:r>
      <w:r w:rsidR="000F7C82" w:rsidRPr="00FA506F">
        <w:rPr>
          <w:lang w:val="es-ES"/>
        </w:rPr>
        <w:t>l esfuerzo de coordinación y trabajo permanente del Gabinete de Seguridad y de las Mesas para la Construcción de Paz</w:t>
      </w:r>
      <w:r w:rsidRPr="00FA506F">
        <w:rPr>
          <w:lang w:val="es-ES"/>
        </w:rPr>
        <w:t xml:space="preserve">, </w:t>
      </w:r>
      <w:r w:rsidR="00EB47D0" w:rsidRPr="00FA506F">
        <w:rPr>
          <w:lang w:val="es-ES"/>
        </w:rPr>
        <w:t>(</w:t>
      </w:r>
      <w:r w:rsidRPr="00FA506F">
        <w:rPr>
          <w:lang w:val="es-ES"/>
        </w:rPr>
        <w:t xml:space="preserve">estas mesas se habrían </w:t>
      </w:r>
      <w:r w:rsidR="001A1211" w:rsidRPr="00FA506F">
        <w:rPr>
          <w:lang w:val="es-ES"/>
        </w:rPr>
        <w:t xml:space="preserve">impulsado </w:t>
      </w:r>
      <w:r w:rsidR="00EB47D0" w:rsidRPr="00FA506F">
        <w:rPr>
          <w:lang w:val="es-ES"/>
        </w:rPr>
        <w:t xml:space="preserve">en </w:t>
      </w:r>
      <w:r w:rsidRPr="00FA506F">
        <w:rPr>
          <w:lang w:val="es-ES"/>
        </w:rPr>
        <w:t xml:space="preserve">las 32 entidades federativas y </w:t>
      </w:r>
      <w:r w:rsidR="00EB47D0" w:rsidRPr="00FA506F">
        <w:rPr>
          <w:lang w:val="es-ES"/>
        </w:rPr>
        <w:t xml:space="preserve">en </w:t>
      </w:r>
      <w:r w:rsidRPr="00FA506F">
        <w:rPr>
          <w:lang w:val="es-ES"/>
        </w:rPr>
        <w:t>266 regiones del país</w:t>
      </w:r>
      <w:r w:rsidR="00EB47D0" w:rsidRPr="00FA506F">
        <w:rPr>
          <w:lang w:val="es-ES"/>
        </w:rPr>
        <w:t>)</w:t>
      </w:r>
      <w:r w:rsidRPr="00FA506F">
        <w:rPr>
          <w:lang w:val="es-ES"/>
        </w:rPr>
        <w:t>, así como la coordinación con procuradurías y fiscalías en los estados</w:t>
      </w:r>
      <w:r w:rsidR="00C26622" w:rsidRPr="00FA506F">
        <w:rPr>
          <w:lang w:val="es-ES"/>
        </w:rPr>
        <w:t>.</w:t>
      </w:r>
      <w:r w:rsidRPr="00FA506F">
        <w:rPr>
          <w:lang w:val="es-ES"/>
        </w:rPr>
        <w:t xml:space="preserve"> </w:t>
      </w:r>
      <w:r w:rsidR="00F80DEB" w:rsidRPr="00FA506F">
        <w:rPr>
          <w:lang w:val="es-ES"/>
        </w:rPr>
        <w:t>México</w:t>
      </w:r>
      <w:r w:rsidRPr="00FA506F">
        <w:rPr>
          <w:lang w:val="es-ES"/>
        </w:rPr>
        <w:t xml:space="preserve"> </w:t>
      </w:r>
      <w:r w:rsidR="00F80DEB" w:rsidRPr="00FA506F">
        <w:rPr>
          <w:lang w:val="es-ES"/>
        </w:rPr>
        <w:t xml:space="preserve">destacó </w:t>
      </w:r>
      <w:r w:rsidRPr="00FA506F">
        <w:rPr>
          <w:lang w:val="es-ES"/>
        </w:rPr>
        <w:t>que</w:t>
      </w:r>
      <w:r w:rsidR="00F80DEB" w:rsidRPr="00FA506F">
        <w:rPr>
          <w:lang w:val="es-ES"/>
        </w:rPr>
        <w:t>,</w:t>
      </w:r>
      <w:r w:rsidRPr="00FA506F">
        <w:rPr>
          <w:lang w:val="es-ES"/>
        </w:rPr>
        <w:t xml:space="preserve"> comparando las</w:t>
      </w:r>
      <w:r w:rsidR="000F7C82" w:rsidRPr="00FA506F">
        <w:rPr>
          <w:lang w:val="es-ES"/>
        </w:rPr>
        <w:t xml:space="preserve"> cifras de junio de 2024 con las de diciembre 2018</w:t>
      </w:r>
      <w:r w:rsidRPr="00FA506F">
        <w:rPr>
          <w:lang w:val="es-ES"/>
        </w:rPr>
        <w:t xml:space="preserve">, </w:t>
      </w:r>
      <w:r w:rsidR="000F7C82" w:rsidRPr="00FA506F">
        <w:rPr>
          <w:lang w:val="es-ES"/>
        </w:rPr>
        <w:t xml:space="preserve">el robo de hidrocarburos se </w:t>
      </w:r>
      <w:r w:rsidRPr="00FA506F">
        <w:rPr>
          <w:lang w:val="es-ES"/>
        </w:rPr>
        <w:t xml:space="preserve">habría reducido en un </w:t>
      </w:r>
      <w:r w:rsidR="000F7C82" w:rsidRPr="00FA506F">
        <w:rPr>
          <w:lang w:val="es-ES"/>
        </w:rPr>
        <w:t>94</w:t>
      </w:r>
      <w:r w:rsidR="006924C8" w:rsidRPr="00FA506F">
        <w:rPr>
          <w:lang w:val="es-ES"/>
        </w:rPr>
        <w:t>,</w:t>
      </w:r>
      <w:r w:rsidR="000F7C82" w:rsidRPr="00FA506F">
        <w:rPr>
          <w:lang w:val="es-ES"/>
        </w:rPr>
        <w:t xml:space="preserve">2%; el secuestro </w:t>
      </w:r>
      <w:r w:rsidRPr="00FA506F">
        <w:rPr>
          <w:lang w:val="es-ES"/>
        </w:rPr>
        <w:t>en un</w:t>
      </w:r>
      <w:r w:rsidR="000F7C82" w:rsidRPr="00FA506F">
        <w:rPr>
          <w:lang w:val="es-ES"/>
        </w:rPr>
        <w:t xml:space="preserve"> 62</w:t>
      </w:r>
      <w:r w:rsidR="006924C8" w:rsidRPr="00FA506F">
        <w:rPr>
          <w:lang w:val="es-ES"/>
        </w:rPr>
        <w:t>,</w:t>
      </w:r>
      <w:r w:rsidR="000F7C82" w:rsidRPr="00FA506F">
        <w:rPr>
          <w:lang w:val="es-ES"/>
        </w:rPr>
        <w:t xml:space="preserve">9%; el robo total </w:t>
      </w:r>
      <w:r w:rsidRPr="00FA506F">
        <w:rPr>
          <w:lang w:val="es-ES"/>
        </w:rPr>
        <w:t xml:space="preserve">en un </w:t>
      </w:r>
      <w:r w:rsidR="000F7C82" w:rsidRPr="00FA506F">
        <w:rPr>
          <w:lang w:val="es-ES"/>
        </w:rPr>
        <w:t>34</w:t>
      </w:r>
      <w:r w:rsidR="006924C8" w:rsidRPr="00FA506F">
        <w:rPr>
          <w:lang w:val="es-ES"/>
        </w:rPr>
        <w:t>,</w:t>
      </w:r>
      <w:r w:rsidR="000F7C82" w:rsidRPr="00FA506F">
        <w:rPr>
          <w:lang w:val="es-ES"/>
        </w:rPr>
        <w:t xml:space="preserve">8%; y el robo de vehículo decreció </w:t>
      </w:r>
      <w:r w:rsidRPr="00FA506F">
        <w:rPr>
          <w:lang w:val="es-ES"/>
        </w:rPr>
        <w:t xml:space="preserve">un </w:t>
      </w:r>
      <w:r w:rsidR="000F7C82" w:rsidRPr="00FA506F">
        <w:rPr>
          <w:lang w:val="es-ES"/>
        </w:rPr>
        <w:t>50</w:t>
      </w:r>
      <w:r w:rsidR="00CA47C7" w:rsidRPr="00FA506F">
        <w:rPr>
          <w:lang w:val="es-ES"/>
        </w:rPr>
        <w:t>,</w:t>
      </w:r>
      <w:r w:rsidR="000F7C82" w:rsidRPr="00FA506F">
        <w:rPr>
          <w:lang w:val="es-ES"/>
        </w:rPr>
        <w:t xml:space="preserve">3%. </w:t>
      </w:r>
      <w:r w:rsidR="008C2DA5" w:rsidRPr="00FA506F">
        <w:rPr>
          <w:lang w:val="es-ES"/>
        </w:rPr>
        <w:t>El</w:t>
      </w:r>
      <w:r w:rsidR="000F7C82" w:rsidRPr="00FA506F">
        <w:rPr>
          <w:lang w:val="es-ES"/>
        </w:rPr>
        <w:t xml:space="preserve"> promedio diario de víctimas de homicidio doloso </w:t>
      </w:r>
      <w:r w:rsidRPr="00FA506F">
        <w:rPr>
          <w:lang w:val="es-ES"/>
        </w:rPr>
        <w:t xml:space="preserve">habría disminuido </w:t>
      </w:r>
      <w:r w:rsidR="000F7C82" w:rsidRPr="00FA506F">
        <w:rPr>
          <w:lang w:val="es-ES"/>
        </w:rPr>
        <w:t xml:space="preserve">18% en el mismo periodo. </w:t>
      </w:r>
      <w:r w:rsidRPr="00FA506F">
        <w:rPr>
          <w:lang w:val="es-ES"/>
        </w:rPr>
        <w:t xml:space="preserve">En el mismo sentido, el Estado destacó la </w:t>
      </w:r>
      <w:r w:rsidR="000F7C82" w:rsidRPr="00FA506F">
        <w:rPr>
          <w:lang w:val="es-ES"/>
        </w:rPr>
        <w:t xml:space="preserve">creación en 2019 de la </w:t>
      </w:r>
      <w:r w:rsidR="00CB0E7A" w:rsidRPr="00FA506F">
        <w:rPr>
          <w:lang w:val="es-ES"/>
        </w:rPr>
        <w:t>GN</w:t>
      </w:r>
      <w:r w:rsidR="002B4674" w:rsidRPr="00FA506F">
        <w:rPr>
          <w:lang w:val="es-ES"/>
        </w:rPr>
        <w:t xml:space="preserve">; fuerza que, </w:t>
      </w:r>
      <w:r w:rsidRPr="00FA506F">
        <w:rPr>
          <w:lang w:val="es-ES"/>
        </w:rPr>
        <w:t xml:space="preserve">al </w:t>
      </w:r>
      <w:r w:rsidR="000F7C82" w:rsidRPr="00FA506F">
        <w:rPr>
          <w:lang w:val="es-ES"/>
        </w:rPr>
        <w:t>30 de junio de 2024</w:t>
      </w:r>
      <w:r w:rsidR="002B4674" w:rsidRPr="00FA506F">
        <w:rPr>
          <w:lang w:val="es-ES"/>
        </w:rPr>
        <w:t>,</w:t>
      </w:r>
      <w:r w:rsidR="000F7C82" w:rsidRPr="00FA506F">
        <w:rPr>
          <w:lang w:val="es-ES"/>
        </w:rPr>
        <w:t xml:space="preserve"> c</w:t>
      </w:r>
      <w:r w:rsidRPr="00FA506F">
        <w:rPr>
          <w:lang w:val="es-ES"/>
        </w:rPr>
        <w:t>ontaría</w:t>
      </w:r>
      <w:r w:rsidR="000F7C82" w:rsidRPr="00FA506F">
        <w:rPr>
          <w:lang w:val="es-ES"/>
        </w:rPr>
        <w:t xml:space="preserve"> con 133</w:t>
      </w:r>
      <w:r w:rsidR="002B4674" w:rsidRPr="00FA506F">
        <w:rPr>
          <w:lang w:val="es-ES"/>
        </w:rPr>
        <w:t>.</w:t>
      </w:r>
      <w:r w:rsidR="000F7C82" w:rsidRPr="00FA506F">
        <w:rPr>
          <w:lang w:val="es-ES"/>
        </w:rPr>
        <w:t>102 elementos, de los cuales el 81</w:t>
      </w:r>
      <w:r w:rsidR="006924C8" w:rsidRPr="00FA506F">
        <w:rPr>
          <w:lang w:val="es-ES"/>
        </w:rPr>
        <w:t>,</w:t>
      </w:r>
      <w:r w:rsidR="000F7C82" w:rsidRPr="00FA506F">
        <w:rPr>
          <w:lang w:val="es-ES"/>
        </w:rPr>
        <w:t xml:space="preserve">5% está desplegado en todo el territorio nacional para proteger la vida, integridad y patrimonio de las y los mexicanos. </w:t>
      </w:r>
      <w:r w:rsidR="007B4113" w:rsidRPr="00FA506F">
        <w:rPr>
          <w:lang w:val="es-ES"/>
        </w:rPr>
        <w:t xml:space="preserve">Añadió </w:t>
      </w:r>
      <w:r w:rsidR="00C26987" w:rsidRPr="00FA506F">
        <w:rPr>
          <w:lang w:val="es-ES"/>
        </w:rPr>
        <w:t>que,</w:t>
      </w:r>
      <w:r w:rsidRPr="00FA506F">
        <w:rPr>
          <w:lang w:val="es-ES"/>
        </w:rPr>
        <w:t xml:space="preserve"> en diciembre de 2018, el 73</w:t>
      </w:r>
      <w:r w:rsidR="006924C8" w:rsidRPr="00FA506F">
        <w:rPr>
          <w:lang w:val="es-ES"/>
        </w:rPr>
        <w:t>,</w:t>
      </w:r>
      <w:r w:rsidRPr="00FA506F">
        <w:rPr>
          <w:lang w:val="es-ES"/>
        </w:rPr>
        <w:t>7% de la población consideraba insegura su ciudad</w:t>
      </w:r>
      <w:r w:rsidR="001A1211" w:rsidRPr="00FA506F">
        <w:rPr>
          <w:lang w:val="es-ES"/>
        </w:rPr>
        <w:t>;</w:t>
      </w:r>
      <w:r w:rsidRPr="00FA506F">
        <w:rPr>
          <w:lang w:val="es-ES"/>
        </w:rPr>
        <w:t xml:space="preserve"> </w:t>
      </w:r>
      <w:r w:rsidR="009E4E37" w:rsidRPr="00FA506F">
        <w:rPr>
          <w:lang w:val="es-ES"/>
        </w:rPr>
        <w:t>mientras que</w:t>
      </w:r>
      <w:r w:rsidR="001A1211" w:rsidRPr="00FA506F">
        <w:rPr>
          <w:lang w:val="es-ES"/>
        </w:rPr>
        <w:t>,</w:t>
      </w:r>
      <w:r w:rsidR="009E4E37" w:rsidRPr="00FA506F">
        <w:rPr>
          <w:lang w:val="es-ES"/>
        </w:rPr>
        <w:t xml:space="preserve"> </w:t>
      </w:r>
      <w:r w:rsidRPr="00FA506F">
        <w:rPr>
          <w:lang w:val="es-ES"/>
        </w:rPr>
        <w:t>para marzo de 2024</w:t>
      </w:r>
      <w:r w:rsidR="001A1211" w:rsidRPr="00FA506F">
        <w:rPr>
          <w:lang w:val="es-ES"/>
        </w:rPr>
        <w:t>,</w:t>
      </w:r>
      <w:r w:rsidRPr="00FA506F">
        <w:rPr>
          <w:lang w:val="es-ES"/>
        </w:rPr>
        <w:t xml:space="preserve"> esta cifra habría disminuido a 61%, de acuerdo con cifras del Instituto Nacional de Geografía y Estadística (INEGI)</w:t>
      </w:r>
      <w:r w:rsidR="00E20A7E" w:rsidRPr="00FA506F">
        <w:rPr>
          <w:rStyle w:val="FootnoteReference"/>
          <w:lang w:val="es-ES"/>
        </w:rPr>
        <w:footnoteReference w:id="8"/>
      </w:r>
      <w:r w:rsidRPr="00FA506F">
        <w:rPr>
          <w:lang w:val="es-ES"/>
        </w:rPr>
        <w:t>.</w:t>
      </w:r>
    </w:p>
    <w:p w14:paraId="25A2B48B" w14:textId="72E612EC" w:rsidR="00BA3B4F" w:rsidRPr="00FA506F" w:rsidRDefault="00BA3B4F" w:rsidP="00B80A67">
      <w:pPr>
        <w:pStyle w:val="IAPrrafo"/>
        <w:numPr>
          <w:ilvl w:val="0"/>
          <w:numId w:val="4"/>
        </w:numPr>
        <w:tabs>
          <w:tab w:val="num" w:pos="720"/>
        </w:tabs>
        <w:ind w:firstLine="720"/>
        <w:rPr>
          <w:lang w:val="es-ES"/>
        </w:rPr>
      </w:pPr>
      <w:r w:rsidRPr="00FA506F">
        <w:rPr>
          <w:lang w:val="es-ES"/>
        </w:rPr>
        <w:t>El Estado resaltó que la</w:t>
      </w:r>
      <w:r w:rsidR="000F7C82" w:rsidRPr="00FA506F">
        <w:rPr>
          <w:lang w:val="es-ES"/>
        </w:rPr>
        <w:t xml:space="preserve"> Estrategia Especial de Construcción de la Paz prioriza</w:t>
      </w:r>
      <w:r w:rsidRPr="00FA506F">
        <w:rPr>
          <w:lang w:val="es-ES"/>
        </w:rPr>
        <w:t>ría</w:t>
      </w:r>
      <w:r w:rsidR="000F7C82" w:rsidRPr="00FA506F">
        <w:rPr>
          <w:lang w:val="es-ES"/>
        </w:rPr>
        <w:t xml:space="preserve"> la atención a las causas de </w:t>
      </w:r>
      <w:r w:rsidR="006C4912" w:rsidRPr="00FA506F">
        <w:rPr>
          <w:lang w:val="es-ES"/>
        </w:rPr>
        <w:t xml:space="preserve">la </w:t>
      </w:r>
      <w:r w:rsidR="000F7C82" w:rsidRPr="00FA506F">
        <w:rPr>
          <w:lang w:val="es-ES"/>
        </w:rPr>
        <w:t xml:space="preserve">violencia mediante programas sociales, recuperación de espacios públicos y redes comunitarias. En diciembre de 2020, el </w:t>
      </w:r>
      <w:r w:rsidR="00E5208D" w:rsidRPr="00FA506F">
        <w:rPr>
          <w:lang w:val="es-ES"/>
        </w:rPr>
        <w:t>Estado</w:t>
      </w:r>
      <w:r w:rsidR="000F7C82" w:rsidRPr="00FA506F">
        <w:rPr>
          <w:lang w:val="es-ES"/>
        </w:rPr>
        <w:t xml:space="preserve"> impulsó dicha estrategia de seguridad en los 15 municipios con mayor índice de homicidio</w:t>
      </w:r>
      <w:r w:rsidR="007D728A" w:rsidRPr="00FA506F">
        <w:rPr>
          <w:lang w:val="es-ES"/>
        </w:rPr>
        <w:t>s</w:t>
      </w:r>
      <w:r w:rsidR="000F7C82" w:rsidRPr="00FA506F">
        <w:rPr>
          <w:lang w:val="es-ES"/>
        </w:rPr>
        <w:t xml:space="preserve"> doloso</w:t>
      </w:r>
      <w:r w:rsidR="007D728A" w:rsidRPr="00FA506F">
        <w:rPr>
          <w:lang w:val="es-ES"/>
        </w:rPr>
        <w:t>s</w:t>
      </w:r>
      <w:r w:rsidR="000F7C82" w:rsidRPr="00FA506F">
        <w:rPr>
          <w:lang w:val="es-ES"/>
        </w:rPr>
        <w:t xml:space="preserve">; para 2021 esta estrategia se amplió a los 50 municipios que concentran el 49% de la incidencia de este delito. </w:t>
      </w:r>
      <w:r w:rsidRPr="00FA506F">
        <w:rPr>
          <w:lang w:val="es-ES"/>
        </w:rPr>
        <w:t xml:space="preserve">En relación con las Fuerzas Armadas (FFAA), el Estado únicamente refirió que </w:t>
      </w:r>
      <w:r w:rsidR="0019228A" w:rsidRPr="00FA506F">
        <w:rPr>
          <w:lang w:val="es-ES"/>
        </w:rPr>
        <w:t xml:space="preserve">estas </w:t>
      </w:r>
      <w:r w:rsidRPr="00FA506F">
        <w:rPr>
          <w:lang w:val="es-ES"/>
        </w:rPr>
        <w:t>auxilian a la población civil en casos de desastre y coadyuvan en labores de seguridad pública</w:t>
      </w:r>
      <w:r w:rsidR="00446F81" w:rsidRPr="00FA506F">
        <w:rPr>
          <w:lang w:val="es-ES"/>
        </w:rPr>
        <w:t xml:space="preserve"> y</w:t>
      </w:r>
      <w:r w:rsidRPr="00FA506F">
        <w:rPr>
          <w:lang w:val="es-ES"/>
        </w:rPr>
        <w:t xml:space="preserve"> apoya</w:t>
      </w:r>
      <w:r w:rsidR="008F5680" w:rsidRPr="00FA506F">
        <w:rPr>
          <w:lang w:val="es-ES"/>
        </w:rPr>
        <w:t>n</w:t>
      </w:r>
      <w:r w:rsidRPr="00FA506F">
        <w:rPr>
          <w:lang w:val="es-ES"/>
        </w:rPr>
        <w:t xml:space="preserve"> en la construcción de infraestructura y obras públicas. </w:t>
      </w:r>
    </w:p>
    <w:p w14:paraId="41C6E226" w14:textId="77777777" w:rsidR="00E27FA9" w:rsidRDefault="008F5680" w:rsidP="00852144">
      <w:pPr>
        <w:pStyle w:val="IAPrrafo"/>
        <w:numPr>
          <w:ilvl w:val="0"/>
          <w:numId w:val="4"/>
        </w:numPr>
        <w:tabs>
          <w:tab w:val="num" w:pos="720"/>
        </w:tabs>
        <w:ind w:firstLine="720"/>
        <w:rPr>
          <w:lang w:val="es-ES"/>
        </w:rPr>
      </w:pPr>
      <w:r w:rsidRPr="00FA506F">
        <w:rPr>
          <w:lang w:val="es-ES"/>
        </w:rPr>
        <w:t>Por su parte, l</w:t>
      </w:r>
      <w:r w:rsidR="00446046" w:rsidRPr="00FA506F">
        <w:rPr>
          <w:lang w:val="es-ES"/>
        </w:rPr>
        <w:t>as</w:t>
      </w:r>
      <w:r w:rsidR="00E15AAE" w:rsidRPr="00FA506F">
        <w:rPr>
          <w:lang w:val="es-ES"/>
        </w:rPr>
        <w:t xml:space="preserve"> organizaciones de la sociedad civil informaron que el 5 de febrero de 2024, el ex</w:t>
      </w:r>
      <w:r w:rsidR="00F74783" w:rsidRPr="00FA506F">
        <w:rPr>
          <w:lang w:val="es-ES"/>
        </w:rPr>
        <w:t>titular del Ejecutivo</w:t>
      </w:r>
      <w:r w:rsidR="00E15AAE" w:rsidRPr="00FA506F">
        <w:rPr>
          <w:lang w:val="es-ES"/>
        </w:rPr>
        <w:t xml:space="preserve"> presentó un paquete de iniciativas de reformas constitucionales al Congreso de la Unión, entre las que se encontraba </w:t>
      </w:r>
      <w:r w:rsidR="00433AFD" w:rsidRPr="00FA506F">
        <w:rPr>
          <w:lang w:val="es-ES"/>
        </w:rPr>
        <w:t>la</w:t>
      </w:r>
      <w:r w:rsidR="00E15AAE" w:rsidRPr="00FA506F">
        <w:rPr>
          <w:lang w:val="es-ES"/>
        </w:rPr>
        <w:t xml:space="preserve"> adscri</w:t>
      </w:r>
      <w:r w:rsidR="00433AFD" w:rsidRPr="00FA506F">
        <w:rPr>
          <w:lang w:val="es-ES"/>
        </w:rPr>
        <w:t>pción</w:t>
      </w:r>
      <w:r w:rsidR="00E15AAE" w:rsidRPr="00FA506F">
        <w:rPr>
          <w:lang w:val="es-ES"/>
        </w:rPr>
        <w:t xml:space="preserve"> </w:t>
      </w:r>
      <w:r w:rsidR="00433AFD" w:rsidRPr="00FA506F">
        <w:rPr>
          <w:lang w:val="es-ES"/>
        </w:rPr>
        <w:t>de</w:t>
      </w:r>
      <w:r w:rsidR="00E15AAE" w:rsidRPr="00FA506F">
        <w:rPr>
          <w:lang w:val="es-ES"/>
        </w:rPr>
        <w:t xml:space="preserve"> la </w:t>
      </w:r>
      <w:r w:rsidR="00CB0E7A" w:rsidRPr="00FA506F">
        <w:rPr>
          <w:lang w:val="es-ES"/>
        </w:rPr>
        <w:t>GN</w:t>
      </w:r>
      <w:r w:rsidR="00E15AAE" w:rsidRPr="00FA506F">
        <w:rPr>
          <w:lang w:val="es-ES"/>
        </w:rPr>
        <w:t xml:space="preserve"> a la SEDENA. </w:t>
      </w:r>
      <w:r w:rsidR="00C75CA0" w:rsidRPr="00FA506F">
        <w:rPr>
          <w:lang w:val="es-ES"/>
        </w:rPr>
        <w:t>L</w:t>
      </w:r>
      <w:r w:rsidR="00E15AAE" w:rsidRPr="00FA506F">
        <w:rPr>
          <w:lang w:val="es-ES"/>
        </w:rPr>
        <w:t xml:space="preserve">uego de las elecciones de 2024, en las cuales el partido político </w:t>
      </w:r>
      <w:r w:rsidR="00F74783" w:rsidRPr="00FA506F">
        <w:rPr>
          <w:lang w:val="es-ES"/>
        </w:rPr>
        <w:t>oficial</w:t>
      </w:r>
      <w:r w:rsidR="00331BA6" w:rsidRPr="00FA506F">
        <w:rPr>
          <w:lang w:val="es-ES"/>
        </w:rPr>
        <w:t>ista</w:t>
      </w:r>
      <w:r w:rsidR="00E15AAE" w:rsidRPr="00FA506F">
        <w:rPr>
          <w:lang w:val="es-ES"/>
        </w:rPr>
        <w:t xml:space="preserve"> obtuvo la mayoría</w:t>
      </w:r>
      <w:r w:rsidR="00331BA6" w:rsidRPr="00FA506F">
        <w:rPr>
          <w:lang w:val="es-ES"/>
        </w:rPr>
        <w:t xml:space="preserve"> calificada</w:t>
      </w:r>
      <w:r w:rsidR="00E15AAE" w:rsidRPr="00FA506F">
        <w:rPr>
          <w:lang w:val="es-ES"/>
        </w:rPr>
        <w:t xml:space="preserve"> en el poder legislativo, </w:t>
      </w:r>
      <w:r w:rsidR="00331BA6" w:rsidRPr="00FA506F">
        <w:rPr>
          <w:lang w:val="es-ES"/>
        </w:rPr>
        <w:t>la</w:t>
      </w:r>
      <w:r w:rsidR="00E15AAE" w:rsidRPr="00FA506F">
        <w:rPr>
          <w:lang w:val="es-ES"/>
        </w:rPr>
        <w:t xml:space="preserve"> reforma </w:t>
      </w:r>
      <w:r w:rsidR="006951B6" w:rsidRPr="00FA506F">
        <w:rPr>
          <w:lang w:val="es-ES"/>
        </w:rPr>
        <w:t xml:space="preserve">constitucional </w:t>
      </w:r>
      <w:r w:rsidR="00E15AAE" w:rsidRPr="00FA506F">
        <w:rPr>
          <w:lang w:val="es-ES"/>
        </w:rPr>
        <w:t>que convirtiera a la GN en parte de la SEDENA</w:t>
      </w:r>
      <w:r w:rsidR="00191936" w:rsidRPr="00FA506F">
        <w:rPr>
          <w:lang w:val="es-ES"/>
        </w:rPr>
        <w:t xml:space="preserve"> fue aprobada</w:t>
      </w:r>
      <w:r w:rsidR="00E15AAE" w:rsidRPr="00FA506F">
        <w:rPr>
          <w:lang w:val="es-ES"/>
        </w:rPr>
        <w:t xml:space="preserve">. </w:t>
      </w:r>
      <w:r w:rsidR="00B839CB" w:rsidRPr="00FA506F">
        <w:rPr>
          <w:lang w:val="es-ES"/>
        </w:rPr>
        <w:t>E</w:t>
      </w:r>
      <w:r w:rsidR="00E15AAE" w:rsidRPr="00FA506F">
        <w:rPr>
          <w:lang w:val="es-ES"/>
        </w:rPr>
        <w:t xml:space="preserve">sta reforma prevé que: </w:t>
      </w:r>
      <w:r w:rsidR="00F74783" w:rsidRPr="00FA506F">
        <w:rPr>
          <w:lang w:val="es-ES"/>
        </w:rPr>
        <w:t>la persona titular del ejecutivo</w:t>
      </w:r>
      <w:r w:rsidR="00E15AAE" w:rsidRPr="00FA506F">
        <w:rPr>
          <w:lang w:val="es-ES"/>
        </w:rPr>
        <w:t xml:space="preserve"> podrá usar discrecionalmente y en cualquier momento a la Fuerza Armada Permanente en tareas de seguridad pública, seguridad interior y defensa exterior, aún en tiempos de paz; la incorporación de la </w:t>
      </w:r>
      <w:r w:rsidR="00CB0E7A" w:rsidRPr="00FA506F">
        <w:rPr>
          <w:lang w:val="es-ES"/>
        </w:rPr>
        <w:t>GN</w:t>
      </w:r>
      <w:r w:rsidR="00E15AAE" w:rsidRPr="00FA506F">
        <w:rPr>
          <w:lang w:val="es-ES"/>
        </w:rPr>
        <w:t xml:space="preserve"> a la Fuerza Armada Permanente; la facultad de la </w:t>
      </w:r>
      <w:r w:rsidR="00CB0E7A" w:rsidRPr="00FA506F">
        <w:rPr>
          <w:lang w:val="es-ES"/>
        </w:rPr>
        <w:t>GN</w:t>
      </w:r>
      <w:r w:rsidR="00E15AAE" w:rsidRPr="00FA506F">
        <w:rPr>
          <w:lang w:val="es-ES"/>
        </w:rPr>
        <w:t xml:space="preserve"> de realizar labores de investigación bajo el mando del Ministerio Público; la aplicación del fuero militar a la </w:t>
      </w:r>
      <w:r w:rsidR="00CB0E7A" w:rsidRPr="00FA506F">
        <w:rPr>
          <w:lang w:val="es-ES"/>
        </w:rPr>
        <w:t>GN</w:t>
      </w:r>
      <w:r w:rsidR="00E15AAE" w:rsidRPr="00FA506F">
        <w:rPr>
          <w:lang w:val="es-ES"/>
        </w:rPr>
        <w:t xml:space="preserve">; la facultad del Poder Legislativo de expedir disposiciones secundarias sobre la participación de las Fuerzas Armadas en labores de seguridad interior y seguridad pública; </w:t>
      </w:r>
      <w:r w:rsidR="00A71A39" w:rsidRPr="00FA506F">
        <w:rPr>
          <w:lang w:val="es-ES"/>
        </w:rPr>
        <w:t xml:space="preserve">contempla que </w:t>
      </w:r>
      <w:r w:rsidR="00E15AAE" w:rsidRPr="00FA506F">
        <w:rPr>
          <w:lang w:val="es-ES"/>
        </w:rPr>
        <w:t xml:space="preserve">aún en tiempos de paz, el Congreso y el Ejecutivo podrán otorgar todo tipo de funciones a la Fuerza Armada Permanente; </w:t>
      </w:r>
      <w:r w:rsidR="00A71A39" w:rsidRPr="00FA506F">
        <w:rPr>
          <w:lang w:val="es-ES"/>
        </w:rPr>
        <w:t xml:space="preserve">y admite </w:t>
      </w:r>
      <w:r w:rsidR="00E15AAE" w:rsidRPr="00FA506F">
        <w:rPr>
          <w:lang w:val="es-ES"/>
        </w:rPr>
        <w:t>la posibilidad de que un militar participe en las elecciones presidenciales, con el hecho simple de no estar en activo seis meses antes de la elección</w:t>
      </w:r>
      <w:r w:rsidR="00F74783" w:rsidRPr="00FA506F">
        <w:rPr>
          <w:lang w:val="es-ES"/>
        </w:rPr>
        <w:t xml:space="preserve">. </w:t>
      </w:r>
      <w:r w:rsidR="008C2DA5" w:rsidRPr="00FA506F">
        <w:rPr>
          <w:lang w:val="es-ES"/>
        </w:rPr>
        <w:t>El</w:t>
      </w:r>
      <w:r w:rsidR="00E15AAE" w:rsidRPr="00FA506F">
        <w:rPr>
          <w:lang w:val="es-ES"/>
        </w:rPr>
        <w:t xml:space="preserve"> nuevo titular de la </w:t>
      </w:r>
      <w:r w:rsidR="00CB0E7A" w:rsidRPr="00FA506F">
        <w:rPr>
          <w:lang w:val="es-ES"/>
        </w:rPr>
        <w:t>GN</w:t>
      </w:r>
      <w:r w:rsidR="00E15AAE" w:rsidRPr="00FA506F">
        <w:rPr>
          <w:lang w:val="es-ES"/>
        </w:rPr>
        <w:t xml:space="preserve"> será un General de División, designado por el </w:t>
      </w:r>
      <w:r w:rsidR="00331BA6" w:rsidRPr="00FA506F">
        <w:rPr>
          <w:lang w:val="es-ES"/>
        </w:rPr>
        <w:t>titular del Ejecutivo Federal</w:t>
      </w:r>
      <w:r w:rsidR="00E15AAE" w:rsidRPr="00FA506F">
        <w:rPr>
          <w:lang w:val="es-ES"/>
        </w:rPr>
        <w:t xml:space="preserve"> a propuesta del titular de la S</w:t>
      </w:r>
      <w:r w:rsidR="00A20747" w:rsidRPr="00FA506F">
        <w:rPr>
          <w:lang w:val="es-ES"/>
        </w:rPr>
        <w:t>EDENA</w:t>
      </w:r>
      <w:r w:rsidR="00E15AAE" w:rsidRPr="00FA506F">
        <w:rPr>
          <w:lang w:val="es-ES"/>
        </w:rPr>
        <w:t>.</w:t>
      </w:r>
    </w:p>
    <w:p w14:paraId="44728667" w14:textId="17876F56" w:rsidR="00E15AAE" w:rsidRPr="00E27FA9" w:rsidRDefault="00E15AAE" w:rsidP="00852144">
      <w:pPr>
        <w:pStyle w:val="IAPrrafo"/>
        <w:numPr>
          <w:ilvl w:val="0"/>
          <w:numId w:val="4"/>
        </w:numPr>
        <w:tabs>
          <w:tab w:val="num" w:pos="720"/>
        </w:tabs>
        <w:ind w:firstLine="720"/>
        <w:rPr>
          <w:lang w:val="es-ES"/>
        </w:rPr>
      </w:pPr>
      <w:r w:rsidRPr="00E27FA9">
        <w:rPr>
          <w:lang w:val="es-ES"/>
        </w:rPr>
        <w:t>Las organizaciones de la sociedad civil expresaron su preocupación ante la aprobación de la reforma</w:t>
      </w:r>
      <w:r w:rsidR="009254C5" w:rsidRPr="00E27FA9">
        <w:rPr>
          <w:lang w:val="es-ES"/>
        </w:rPr>
        <w:t xml:space="preserve"> porque evidencia avances en la militarización de México</w:t>
      </w:r>
      <w:r w:rsidRPr="00E27FA9">
        <w:rPr>
          <w:lang w:val="es-ES"/>
        </w:rPr>
        <w:t xml:space="preserve">. En ese sentido, las organizaciones refirieron que el impacto del traspaso de la GN a la SEDENA reforzaría una lógica de seguridad y contención en lugar de un enfoque de protección de los derechos humanos, </w:t>
      </w:r>
      <w:r w:rsidR="00DE5A05" w:rsidRPr="00E27FA9">
        <w:rPr>
          <w:lang w:val="es-ES"/>
        </w:rPr>
        <w:t>lo que podría generar</w:t>
      </w:r>
      <w:r w:rsidR="00DE5A05" w:rsidRPr="00E27FA9">
        <w:rPr>
          <w:rStyle w:val="CommentReference"/>
          <w:sz w:val="20"/>
          <w:szCs w:val="24"/>
          <w:lang w:val="es-ES"/>
        </w:rPr>
        <w:t xml:space="preserve"> u</w:t>
      </w:r>
      <w:r w:rsidRPr="00E27FA9">
        <w:rPr>
          <w:lang w:val="es-ES"/>
        </w:rPr>
        <w:t>n incremento en las prácticas de hostigamiento, represión y violación de derechos.</w:t>
      </w:r>
      <w:r w:rsidR="00852144" w:rsidRPr="00E27FA9">
        <w:rPr>
          <w:lang w:val="es-ES"/>
        </w:rPr>
        <w:t xml:space="preserve"> </w:t>
      </w:r>
    </w:p>
    <w:p w14:paraId="6DAD129A" w14:textId="77777777" w:rsidR="00F55FC1" w:rsidRPr="00FA506F" w:rsidRDefault="00F55FC1" w:rsidP="006D54B6">
      <w:pPr>
        <w:ind w:firstLine="720"/>
        <w:jc w:val="both"/>
        <w:rPr>
          <w:rFonts w:ascii="Cambria" w:eastAsia="Cambria" w:hAnsi="Cambria" w:cs="Cambria"/>
          <w:i/>
          <w:iCs/>
          <w:color w:val="000000" w:themeColor="text1"/>
          <w:sz w:val="20"/>
          <w:szCs w:val="20"/>
          <w:lang w:val="es-ES"/>
        </w:rPr>
      </w:pPr>
      <w:bookmarkStart w:id="6" w:name="_Toc146037753"/>
      <w:r w:rsidRPr="00FA506F">
        <w:rPr>
          <w:rFonts w:ascii="Cambria" w:eastAsia="Cambria" w:hAnsi="Cambria" w:cs="Cambria"/>
          <w:i/>
          <w:iCs/>
          <w:color w:val="000000" w:themeColor="text1"/>
          <w:sz w:val="20"/>
          <w:szCs w:val="20"/>
          <w:lang w:val="es-ES"/>
        </w:rPr>
        <w:t>Análisis y nivel de cumplimiento de la recomendación</w:t>
      </w:r>
      <w:bookmarkEnd w:id="6"/>
    </w:p>
    <w:p w14:paraId="23AF9203"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486E76D6" w14:textId="2CCB2FBB" w:rsidR="000E3E4C" w:rsidRPr="00FA506F" w:rsidRDefault="000E3E4C" w:rsidP="00B80A67">
      <w:pPr>
        <w:pStyle w:val="IAPrrafo"/>
        <w:numPr>
          <w:ilvl w:val="0"/>
          <w:numId w:val="4"/>
        </w:numPr>
        <w:tabs>
          <w:tab w:val="num" w:pos="720"/>
        </w:tabs>
        <w:ind w:firstLine="720"/>
        <w:rPr>
          <w:b/>
          <w:bCs/>
          <w:lang w:val="es-ES"/>
        </w:rPr>
      </w:pPr>
      <w:r w:rsidRPr="00FA506F">
        <w:rPr>
          <w:lang w:val="es-ES"/>
        </w:rPr>
        <w:t>La Comisión destaca que la presente recomendación establece la necesidad de desarrollar un plan concreto para el retiro gradual de las Fuerzas Armadas de tareas de seguridad pública y su transferencia a las policías civiles. Este mandato busca salvaguardar el carácter civil de las instituciones encargadas de garantizar la seguridad pública. Sin embargo, el reciente marco normativo en México, que militariza a la Guardia Nacional al integrarla a la SEDENA</w:t>
      </w:r>
      <w:r w:rsidR="00166DA5" w:rsidRPr="00FA506F">
        <w:rPr>
          <w:lang w:val="es-ES"/>
        </w:rPr>
        <w:t>,</w:t>
      </w:r>
      <w:r w:rsidRPr="00FA506F">
        <w:rPr>
          <w:lang w:val="es-ES"/>
        </w:rPr>
        <w:t xml:space="preserve"> representa un incumplimiento directo de esta </w:t>
      </w:r>
      <w:r w:rsidR="00437AED" w:rsidRPr="00FA506F">
        <w:rPr>
          <w:lang w:val="es-ES"/>
        </w:rPr>
        <w:t>r</w:t>
      </w:r>
      <w:r w:rsidRPr="00FA506F">
        <w:rPr>
          <w:lang w:val="es-ES"/>
        </w:rPr>
        <w:t>ecomendación.</w:t>
      </w:r>
      <w:r w:rsidRPr="00FA506F">
        <w:rPr>
          <w:rFonts w:ascii="-webkit-standard" w:eastAsia="Times New Roman" w:hAnsi="-webkit-standard" w:cs="Times New Roman"/>
          <w:sz w:val="27"/>
          <w:szCs w:val="27"/>
          <w:lang w:val="es-ES"/>
        </w:rPr>
        <w:t xml:space="preserve"> </w:t>
      </w:r>
      <w:r w:rsidRPr="00FA506F">
        <w:rPr>
          <w:lang w:val="es-ES"/>
        </w:rPr>
        <w:t xml:space="preserve">El Estado mexicano ha optado por consolidar un modelo de seguridad basado en la militarización, como lo evidencia la reforma de 2024 que transfiere el control operativo y administrativo de la Guardia Nacional a la SEDENA. Este enfoque contraviene las recomendaciones de organismos internacionales como la CIDH, que </w:t>
      </w:r>
      <w:r w:rsidR="00454AE0" w:rsidRPr="00FA506F">
        <w:rPr>
          <w:lang w:val="es-ES"/>
        </w:rPr>
        <w:t>refirieron</w:t>
      </w:r>
      <w:r w:rsidRPr="00FA506F">
        <w:rPr>
          <w:lang w:val="es-ES"/>
        </w:rPr>
        <w:t xml:space="preserve"> reiteradamente los riesgos inherentes al uso de fuerzas militares en tareas de seguridad pública, entre ellos, la falta de capacitación en derechos humanos y el incremento de violaciones a estos derechos</w:t>
      </w:r>
      <w:r w:rsidRPr="00FA506F">
        <w:rPr>
          <w:rStyle w:val="FootnoteReference"/>
          <w:lang w:val="es-ES"/>
        </w:rPr>
        <w:footnoteReference w:id="9"/>
      </w:r>
      <w:r w:rsidRPr="00FA506F">
        <w:rPr>
          <w:lang w:val="es-ES"/>
        </w:rPr>
        <w:t>. En el mismo sentido, se destaca que la Oficina del Alto Comisionado de las Naciones Unidas para los Derechos Humanos (OACNUDH) expresó “el potencial impacto de esta modificación en el aumento de las desapariciones forzadas y la impunidad es extremadamente preocupante”</w:t>
      </w:r>
      <w:r w:rsidRPr="00FA506F">
        <w:rPr>
          <w:rStyle w:val="FootnoteReference"/>
          <w:lang w:val="es-ES"/>
        </w:rPr>
        <w:footnoteReference w:id="10"/>
      </w:r>
      <w:r w:rsidRPr="00FA506F">
        <w:rPr>
          <w:lang w:val="es-ES"/>
        </w:rPr>
        <w:t>.</w:t>
      </w:r>
    </w:p>
    <w:p w14:paraId="04799C51" w14:textId="7F8E6A84" w:rsidR="000E3E4C" w:rsidRPr="00FA506F" w:rsidRDefault="000E3E4C" w:rsidP="00B80A67">
      <w:pPr>
        <w:pStyle w:val="IAPrrafo"/>
        <w:numPr>
          <w:ilvl w:val="0"/>
          <w:numId w:val="4"/>
        </w:numPr>
        <w:tabs>
          <w:tab w:val="num" w:pos="720"/>
        </w:tabs>
        <w:ind w:firstLine="720"/>
        <w:rPr>
          <w:b/>
          <w:bCs/>
          <w:szCs w:val="20"/>
          <w:lang w:val="es-ES"/>
        </w:rPr>
      </w:pPr>
      <w:r w:rsidRPr="00FA506F">
        <w:rPr>
          <w:szCs w:val="20"/>
          <w:lang w:val="es-ES"/>
        </w:rPr>
        <w:t xml:space="preserve">A pesar de las recomendaciones internacionales, México carece de un plan claro y estructurado para devolver las tareas de seguridad pública a las policías civiles. En lugar de avanzar hacia la profesionalización de estas instituciones, el presupuesto y los recursos destinados a su fortalecimiento han disminuido, mientras que los recursos asignados a las Fuerzas Armadas </w:t>
      </w:r>
      <w:r w:rsidR="00BD6351" w:rsidRPr="00FA506F">
        <w:rPr>
          <w:szCs w:val="20"/>
          <w:lang w:val="es-ES"/>
        </w:rPr>
        <w:t xml:space="preserve">se </w:t>
      </w:r>
      <w:r w:rsidRPr="00FA506F">
        <w:rPr>
          <w:szCs w:val="20"/>
          <w:lang w:val="es-ES"/>
        </w:rPr>
        <w:t>han incrementado significativamente</w:t>
      </w:r>
      <w:r w:rsidRPr="00FA506F">
        <w:rPr>
          <w:rStyle w:val="FootnoteReference"/>
          <w:szCs w:val="20"/>
          <w:lang w:val="es-ES"/>
        </w:rPr>
        <w:footnoteReference w:id="11"/>
      </w:r>
      <w:r w:rsidRPr="00FA506F">
        <w:rPr>
          <w:szCs w:val="20"/>
          <w:lang w:val="es-ES"/>
        </w:rPr>
        <w:t xml:space="preserve">. Esta tendencia evidencia un </w:t>
      </w:r>
      <w:r w:rsidR="00F34DC0" w:rsidRPr="00FA506F">
        <w:rPr>
          <w:szCs w:val="20"/>
          <w:lang w:val="es-ES"/>
        </w:rPr>
        <w:t xml:space="preserve">claro </w:t>
      </w:r>
      <w:r w:rsidRPr="00FA506F">
        <w:rPr>
          <w:szCs w:val="20"/>
          <w:lang w:val="es-ES"/>
        </w:rPr>
        <w:t>incumplimiento</w:t>
      </w:r>
      <w:r w:rsidR="00F34DC0" w:rsidRPr="00FA506F">
        <w:rPr>
          <w:szCs w:val="20"/>
          <w:lang w:val="es-ES"/>
        </w:rPr>
        <w:t xml:space="preserve"> de</w:t>
      </w:r>
      <w:r w:rsidRPr="00FA506F">
        <w:rPr>
          <w:szCs w:val="20"/>
          <w:lang w:val="es-ES"/>
        </w:rPr>
        <w:t xml:space="preserve"> la recomendación de la CIDH.</w:t>
      </w:r>
      <w:r w:rsidRPr="00FA506F">
        <w:rPr>
          <w:rFonts w:eastAsia="Times New Roman" w:cs="Times New Roman"/>
          <w:szCs w:val="20"/>
          <w:lang w:val="es-ES"/>
        </w:rPr>
        <w:t xml:space="preserve"> </w:t>
      </w:r>
      <w:r w:rsidR="00BD6351" w:rsidRPr="00FA506F">
        <w:rPr>
          <w:rFonts w:eastAsia="Times New Roman" w:cs="Times New Roman"/>
          <w:szCs w:val="20"/>
          <w:lang w:val="es-ES"/>
        </w:rPr>
        <w:t xml:space="preserve">A su vez, </w:t>
      </w:r>
      <w:r w:rsidR="00D1101C" w:rsidRPr="00FA506F">
        <w:rPr>
          <w:szCs w:val="20"/>
          <w:lang w:val="es-ES"/>
        </w:rPr>
        <w:t>e</w:t>
      </w:r>
      <w:r w:rsidRPr="00FA506F">
        <w:rPr>
          <w:szCs w:val="20"/>
          <w:lang w:val="es-ES"/>
        </w:rPr>
        <w:t>l debilitamiento estructural de las policías civiles refleja una omisión grave del Estado en su deber de garantizar la seguridad pública mediante instituciones civiles competentes. Según datos del INEGI</w:t>
      </w:r>
      <w:r w:rsidRPr="00FA506F">
        <w:rPr>
          <w:rStyle w:val="FootnoteReference"/>
          <w:szCs w:val="20"/>
          <w:lang w:val="es-ES"/>
        </w:rPr>
        <w:footnoteReference w:id="12"/>
      </w:r>
      <w:r w:rsidRPr="00FA506F">
        <w:rPr>
          <w:szCs w:val="20"/>
          <w:lang w:val="es-ES"/>
        </w:rPr>
        <w:t xml:space="preserve">, menos del 30% de las policías municipales cuentan con los niveles básicos de certificación profesional. Este rezago, lejos de ser atendido, se agrava con la dependencia creciente del modelo militar. La militarización de la GN y la falta de un plan concreto para el retiro gradual de las Fuerzas Armadas de tareas de seguridad pública constituyen un incumplimiento directo de la Recomendación No. 1 de este informe. Esta situación perpetúa un modelo de seguridad ineficaz y contrario a los derechos humanos. </w:t>
      </w:r>
      <w:r w:rsidR="001401AD" w:rsidRPr="00FA506F">
        <w:rPr>
          <w:szCs w:val="20"/>
          <w:lang w:val="es-ES"/>
        </w:rPr>
        <w:t>Por lo</w:t>
      </w:r>
      <w:r w:rsidRPr="00FA506F">
        <w:rPr>
          <w:szCs w:val="20"/>
          <w:lang w:val="es-ES"/>
        </w:rPr>
        <w:t xml:space="preserve"> anterior, </w:t>
      </w:r>
      <w:r w:rsidR="00F660C6" w:rsidRPr="00FA506F">
        <w:rPr>
          <w:szCs w:val="20"/>
          <w:lang w:val="es-ES"/>
        </w:rPr>
        <w:t xml:space="preserve">teniendo en consideración </w:t>
      </w:r>
      <w:r w:rsidRPr="00FA506F">
        <w:rPr>
          <w:szCs w:val="20"/>
          <w:lang w:val="es-ES"/>
        </w:rPr>
        <w:t>las Directrices Generales de seguimiento de recomendaciones y decisiones de la Comisión Interamericana de Derechos Humanos</w:t>
      </w:r>
      <w:r w:rsidRPr="00FA506F">
        <w:rPr>
          <w:rStyle w:val="FootnoteReference"/>
          <w:szCs w:val="20"/>
          <w:lang w:val="es-ES"/>
        </w:rPr>
        <w:footnoteReference w:id="13"/>
      </w:r>
      <w:r w:rsidR="00493501" w:rsidRPr="00FA506F">
        <w:rPr>
          <w:szCs w:val="20"/>
          <w:lang w:val="es-ES"/>
        </w:rPr>
        <w:t>, y advirtiendo que e</w:t>
      </w:r>
      <w:r w:rsidRPr="00FA506F">
        <w:rPr>
          <w:szCs w:val="20"/>
          <w:lang w:val="es-ES"/>
        </w:rPr>
        <w:t xml:space="preserve">l Estado mexicano ha implementado una serie de acciones y conductas que reiteradamente ignoran, obstaculizan o impiden el cumplimiento de </w:t>
      </w:r>
      <w:r w:rsidR="00493501" w:rsidRPr="00FA506F">
        <w:rPr>
          <w:szCs w:val="20"/>
          <w:lang w:val="es-ES"/>
        </w:rPr>
        <w:t xml:space="preserve">esta </w:t>
      </w:r>
      <w:r w:rsidRPr="00FA506F">
        <w:rPr>
          <w:szCs w:val="20"/>
          <w:lang w:val="es-ES"/>
        </w:rPr>
        <w:t xml:space="preserve">recomendación, </w:t>
      </w:r>
      <w:r w:rsidR="00493501" w:rsidRPr="00FA506F">
        <w:rPr>
          <w:szCs w:val="20"/>
          <w:lang w:val="es-ES"/>
        </w:rPr>
        <w:t xml:space="preserve">la CIDH concluye que </w:t>
      </w:r>
      <w:r w:rsidRPr="00FA506F">
        <w:rPr>
          <w:szCs w:val="20"/>
          <w:lang w:val="es-ES"/>
        </w:rPr>
        <w:t xml:space="preserve">la recomendación se encuentra </w:t>
      </w:r>
      <w:r w:rsidRPr="00FA506F">
        <w:rPr>
          <w:b/>
          <w:bCs/>
          <w:szCs w:val="20"/>
          <w:lang w:val="es-ES"/>
        </w:rPr>
        <w:t>incumplida.</w:t>
      </w:r>
    </w:p>
    <w:p w14:paraId="3576AB63" w14:textId="77777777" w:rsidR="00F55FC1" w:rsidRPr="00FA506F" w:rsidRDefault="00F55FC1" w:rsidP="00B33BDA">
      <w:pPr>
        <w:ind w:firstLine="720"/>
        <w:jc w:val="both"/>
        <w:rPr>
          <w:rFonts w:ascii="Cambria" w:eastAsia="Cambria" w:hAnsi="Cambria" w:cs="Cambria"/>
          <w:i/>
          <w:iCs/>
          <w:color w:val="000000" w:themeColor="text1"/>
          <w:sz w:val="20"/>
          <w:szCs w:val="20"/>
          <w:lang w:val="es-ES"/>
        </w:rPr>
      </w:pPr>
      <w:bookmarkStart w:id="7" w:name="_Toc146037754"/>
      <w:r w:rsidRPr="00FA506F">
        <w:rPr>
          <w:rFonts w:ascii="Cambria" w:eastAsia="Cambria" w:hAnsi="Cambria" w:cs="Cambria"/>
          <w:i/>
          <w:iCs/>
          <w:color w:val="000000" w:themeColor="text1"/>
          <w:sz w:val="20"/>
          <w:szCs w:val="20"/>
          <w:lang w:val="es-ES"/>
        </w:rPr>
        <w:t>Medidas e información para avanzar en el cumplimiento de la recomendación</w:t>
      </w:r>
      <w:bookmarkEnd w:id="7"/>
      <w:r w:rsidRPr="00FA506F">
        <w:rPr>
          <w:rFonts w:ascii="Cambria" w:eastAsia="Cambria" w:hAnsi="Cambria" w:cs="Cambria"/>
          <w:i/>
          <w:iCs/>
          <w:color w:val="000000" w:themeColor="text1"/>
          <w:sz w:val="20"/>
          <w:szCs w:val="20"/>
          <w:lang w:val="es-ES"/>
        </w:rPr>
        <w:t xml:space="preserve"> </w:t>
      </w:r>
    </w:p>
    <w:p w14:paraId="2499BC39"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40EE4499" w14:textId="32AAEA21" w:rsidR="000E3E4C" w:rsidRPr="00FA506F" w:rsidRDefault="00916690" w:rsidP="00B80A67">
      <w:pPr>
        <w:pStyle w:val="IAPrrafo"/>
        <w:numPr>
          <w:ilvl w:val="0"/>
          <w:numId w:val="4"/>
        </w:numPr>
        <w:tabs>
          <w:tab w:val="num" w:pos="720"/>
        </w:tabs>
        <w:ind w:firstLine="720"/>
        <w:rPr>
          <w:lang w:val="es-ES"/>
        </w:rPr>
      </w:pPr>
      <w:r w:rsidRPr="00FA506F">
        <w:rPr>
          <w:lang w:val="es-ES"/>
        </w:rPr>
        <w:t xml:space="preserve">La Comisión </w:t>
      </w:r>
      <w:r w:rsidR="00DE5A05" w:rsidRPr="00FA506F">
        <w:rPr>
          <w:lang w:val="es-ES"/>
        </w:rPr>
        <w:t>toma nota de la</w:t>
      </w:r>
      <w:r w:rsidRPr="00FA506F">
        <w:rPr>
          <w:lang w:val="es-ES"/>
        </w:rPr>
        <w:t xml:space="preserve"> información aportada en materia de la estrategia nacional de seguridad</w:t>
      </w:r>
      <w:r w:rsidR="009F34E0" w:rsidRPr="00FA506F">
        <w:rPr>
          <w:lang w:val="es-ES"/>
        </w:rPr>
        <w:t>. S</w:t>
      </w:r>
      <w:r w:rsidRPr="00FA506F">
        <w:rPr>
          <w:lang w:val="es-ES"/>
        </w:rPr>
        <w:t xml:space="preserve">in embargo, dicha estrategia, al igual que las medidas reportadas por el Estado no hacen referencia ni prevén el diseño e implementación de un </w:t>
      </w:r>
      <w:r w:rsidR="004D07DF" w:rsidRPr="00FA506F">
        <w:rPr>
          <w:lang w:val="es-ES"/>
        </w:rPr>
        <w:t>p</w:t>
      </w:r>
      <w:r w:rsidRPr="00FA506F">
        <w:rPr>
          <w:lang w:val="es-ES"/>
        </w:rPr>
        <w:t>lan que permita el retiro de las FFAA de las funciones de seguridad pública. En ese sentido, la CIDH invita a que el Estado remita información relacionada con el objeto específico de la recomendación</w:t>
      </w:r>
      <w:r w:rsidR="00F74783" w:rsidRPr="00FA506F">
        <w:rPr>
          <w:lang w:val="es-ES"/>
        </w:rPr>
        <w:t>.</w:t>
      </w:r>
      <w:r w:rsidRPr="00FA506F">
        <w:rPr>
          <w:lang w:val="es-ES"/>
        </w:rPr>
        <w:t xml:space="preserve"> </w:t>
      </w:r>
      <w:r w:rsidR="00F74783" w:rsidRPr="00FA506F">
        <w:rPr>
          <w:lang w:val="es-ES"/>
        </w:rPr>
        <w:t>M</w:t>
      </w:r>
      <w:r w:rsidRPr="00FA506F">
        <w:rPr>
          <w:lang w:val="es-ES"/>
        </w:rPr>
        <w:t xml:space="preserve">ás allá de una estrategia de seguridad en </w:t>
      </w:r>
      <w:r w:rsidR="00BE2DA7" w:rsidRPr="00FA506F">
        <w:rPr>
          <w:lang w:val="es-ES"/>
        </w:rPr>
        <w:t xml:space="preserve">términos </w:t>
      </w:r>
      <w:r w:rsidRPr="00FA506F">
        <w:rPr>
          <w:lang w:val="es-ES"/>
        </w:rPr>
        <w:t>abstracto</w:t>
      </w:r>
      <w:r w:rsidR="00BE2DA7" w:rsidRPr="00FA506F">
        <w:rPr>
          <w:lang w:val="es-ES"/>
        </w:rPr>
        <w:t>s</w:t>
      </w:r>
      <w:r w:rsidRPr="00FA506F">
        <w:rPr>
          <w:lang w:val="es-ES"/>
        </w:rPr>
        <w:t xml:space="preserve">, es necesario que el Estado reporte cómo dicha estrategia o cualquier otra acción reportada estarían garantizando un </w:t>
      </w:r>
      <w:r w:rsidR="004D07DF" w:rsidRPr="00FA506F">
        <w:rPr>
          <w:lang w:val="es-ES"/>
        </w:rPr>
        <w:t>p</w:t>
      </w:r>
      <w:r w:rsidRPr="00FA506F">
        <w:rPr>
          <w:lang w:val="es-ES"/>
        </w:rPr>
        <w:t>lan de retiro gradual de las FFAA.</w:t>
      </w:r>
    </w:p>
    <w:p w14:paraId="1DC16DBC" w14:textId="77777777" w:rsidR="00F55FC1" w:rsidRPr="00FA506F" w:rsidRDefault="00F55FC1"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2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Fortalecer la capacidad de la policía para realizar las tareas de seguridad pública conforme con los estándares internacionales en derechos humanos. </w:t>
      </w:r>
    </w:p>
    <w:p w14:paraId="6E92E0EA" w14:textId="77777777" w:rsidR="00F55FC1" w:rsidRPr="00FA506F" w:rsidRDefault="00F55FC1" w:rsidP="00B80A67">
      <w:pPr>
        <w:jc w:val="both"/>
        <w:rPr>
          <w:rFonts w:ascii="Cambria" w:eastAsia="Cambria" w:hAnsi="Cambria" w:cs="Cambria"/>
          <w:i/>
          <w:iCs/>
          <w:color w:val="000000" w:themeColor="text1"/>
          <w:sz w:val="20"/>
          <w:szCs w:val="20"/>
          <w:lang w:val="es-ES"/>
        </w:rPr>
      </w:pPr>
    </w:p>
    <w:p w14:paraId="6D67855F" w14:textId="5D7DC0DC" w:rsidR="00780614" w:rsidRPr="00FA506F" w:rsidRDefault="6D0F22C1" w:rsidP="00B80A67">
      <w:pPr>
        <w:pStyle w:val="IAPrrafo"/>
        <w:numPr>
          <w:ilvl w:val="0"/>
          <w:numId w:val="4"/>
        </w:numPr>
        <w:tabs>
          <w:tab w:val="num" w:pos="720"/>
        </w:tabs>
        <w:ind w:firstLine="720"/>
        <w:rPr>
          <w:lang w:val="es-ES"/>
        </w:rPr>
      </w:pPr>
      <w:r w:rsidRPr="00FA506F">
        <w:rPr>
          <w:lang w:val="es-ES"/>
        </w:rPr>
        <w:t>En 2023, el Estado reportó a la CIDH que capacitó a miles de elementos en derechos humanos y destinó recursos para la formación de personal de seguridad pública</w:t>
      </w:r>
      <w:r w:rsidR="00733908" w:rsidRPr="00FA506F">
        <w:rPr>
          <w:lang w:val="es-ES"/>
        </w:rPr>
        <w:t>;</w:t>
      </w:r>
      <w:r w:rsidRPr="00FA506F">
        <w:rPr>
          <w:lang w:val="es-ES"/>
        </w:rPr>
        <w:t xml:space="preserve"> pero la CIDH recibió información de que la Secretaría de Seguridad y Protección Ciudadana carec</w:t>
      </w:r>
      <w:r w:rsidR="00733908" w:rsidRPr="00FA506F">
        <w:rPr>
          <w:lang w:val="es-ES"/>
        </w:rPr>
        <w:t>ía</w:t>
      </w:r>
      <w:r w:rsidRPr="00FA506F">
        <w:rPr>
          <w:lang w:val="es-ES"/>
        </w:rPr>
        <w:t xml:space="preserve"> de infraestructura para controlar a la G</w:t>
      </w:r>
      <w:r w:rsidR="00CB0E7A" w:rsidRPr="00FA506F">
        <w:rPr>
          <w:lang w:val="es-ES"/>
        </w:rPr>
        <w:t>N</w:t>
      </w:r>
      <w:r w:rsidRPr="00FA506F">
        <w:rPr>
          <w:lang w:val="es-ES"/>
        </w:rPr>
        <w:t>, lo que ha</w:t>
      </w:r>
      <w:r w:rsidR="00B97A72" w:rsidRPr="00FA506F">
        <w:rPr>
          <w:lang w:val="es-ES"/>
        </w:rPr>
        <w:t>bía</w:t>
      </w:r>
      <w:r w:rsidRPr="00FA506F">
        <w:rPr>
          <w:lang w:val="es-ES"/>
        </w:rPr>
        <w:t xml:space="preserve"> llevado a un fortalecimiento de la SEDENA en detrimento de los cuerpos civiles. A pesar de las capacitaciones, la CIDH consideró que estas </w:t>
      </w:r>
      <w:r w:rsidR="00733908" w:rsidRPr="00FA506F">
        <w:rPr>
          <w:lang w:val="es-ES"/>
        </w:rPr>
        <w:t>era</w:t>
      </w:r>
      <w:r w:rsidRPr="00FA506F">
        <w:rPr>
          <w:lang w:val="es-ES"/>
        </w:rPr>
        <w:t>n insuficientes debido a la falta de garantías laborales, presupuesto y recursos humanos para los órganos civiles, manteniendo la recomendación como pendiente de cumplimiento. La CIDH instó al Estado a proporcionar más información sobre las medidas para fortalecer los cuerpos policiales y a garantizar que las fuerzas civiles tengan las condiciones necesarias para desempeñar sus funciones de manera adecuada y segura</w:t>
      </w:r>
      <w:r w:rsidR="00E20A7E" w:rsidRPr="00FA506F">
        <w:rPr>
          <w:rStyle w:val="FootnoteReference"/>
          <w:lang w:val="es-ES"/>
        </w:rPr>
        <w:footnoteReference w:id="14"/>
      </w:r>
      <w:r w:rsidR="00F55FC1" w:rsidRPr="00FA506F">
        <w:rPr>
          <w:lang w:val="es-ES"/>
        </w:rPr>
        <w:t>.</w:t>
      </w:r>
      <w:r w:rsidR="00733908" w:rsidRPr="00FA506F">
        <w:rPr>
          <w:lang w:val="es-ES"/>
        </w:rPr>
        <w:t xml:space="preserve"> </w:t>
      </w:r>
    </w:p>
    <w:p w14:paraId="0CCC7E79" w14:textId="55915A35" w:rsidR="00780614" w:rsidRPr="00FA506F" w:rsidRDefault="00780614" w:rsidP="003D0CF0">
      <w:pPr>
        <w:ind w:firstLine="81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2AF6030A" w14:textId="77777777" w:rsidR="00780614" w:rsidRPr="00FA506F" w:rsidRDefault="00780614" w:rsidP="00B80A67">
      <w:pPr>
        <w:ind w:firstLine="360"/>
        <w:jc w:val="both"/>
        <w:rPr>
          <w:rFonts w:ascii="Cambria" w:eastAsia="Cambria" w:hAnsi="Cambria" w:cs="Cambria"/>
          <w:i/>
          <w:iCs/>
          <w:color w:val="000000" w:themeColor="text1"/>
          <w:sz w:val="20"/>
          <w:szCs w:val="20"/>
          <w:lang w:val="es-ES"/>
        </w:rPr>
      </w:pPr>
    </w:p>
    <w:p w14:paraId="2510D598" w14:textId="3E144E17" w:rsidR="00616560" w:rsidRPr="00FA506F" w:rsidRDefault="00916690" w:rsidP="00B80A67">
      <w:pPr>
        <w:pStyle w:val="IAPrrafo"/>
        <w:numPr>
          <w:ilvl w:val="0"/>
          <w:numId w:val="4"/>
        </w:numPr>
        <w:tabs>
          <w:tab w:val="num" w:pos="720"/>
        </w:tabs>
        <w:ind w:firstLine="720"/>
        <w:rPr>
          <w:lang w:val="es-ES"/>
        </w:rPr>
      </w:pPr>
      <w:r w:rsidRPr="00FA506F">
        <w:rPr>
          <w:lang w:val="es-ES"/>
        </w:rPr>
        <w:t xml:space="preserve">En 2024 el Estado refirió que la </w:t>
      </w:r>
      <w:r w:rsidR="000F7C82" w:rsidRPr="00FA506F">
        <w:rPr>
          <w:lang w:val="es-ES"/>
        </w:rPr>
        <w:t>profesionalización de los cuerpos de seguridad pública se enfoc</w:t>
      </w:r>
      <w:r w:rsidR="00F02A6E" w:rsidRPr="00FA506F">
        <w:rPr>
          <w:lang w:val="es-ES"/>
        </w:rPr>
        <w:t>ó</w:t>
      </w:r>
      <w:r w:rsidR="000F7C82" w:rsidRPr="00FA506F">
        <w:rPr>
          <w:lang w:val="es-ES"/>
        </w:rPr>
        <w:t xml:space="preserve"> en fortalecer la estandarización de la capacitación y certificación, para elevar la calidad de los cuerpos policiales. </w:t>
      </w:r>
      <w:r w:rsidR="00F02A6E" w:rsidRPr="00FA506F">
        <w:rPr>
          <w:lang w:val="es-ES"/>
        </w:rPr>
        <w:t>I</w:t>
      </w:r>
      <w:r w:rsidRPr="00FA506F">
        <w:rPr>
          <w:lang w:val="es-ES"/>
        </w:rPr>
        <w:t>nformó que e</w:t>
      </w:r>
      <w:r w:rsidR="000F7C82" w:rsidRPr="00FA506F">
        <w:rPr>
          <w:lang w:val="es-ES"/>
        </w:rPr>
        <w:t>l Certificado Único Policial (CUP) valida</w:t>
      </w:r>
      <w:r w:rsidRPr="00FA506F">
        <w:rPr>
          <w:lang w:val="es-ES"/>
        </w:rPr>
        <w:t>ría</w:t>
      </w:r>
      <w:r w:rsidR="000F7C82" w:rsidRPr="00FA506F">
        <w:rPr>
          <w:lang w:val="es-ES"/>
        </w:rPr>
        <w:t xml:space="preserve"> que los elementos cumplan con requisitos como formación inicial, evaluación de competencias, desempeño académico y control de confianza.</w:t>
      </w:r>
      <w:r w:rsidR="00890E8C" w:rsidRPr="00FA506F">
        <w:rPr>
          <w:lang w:val="es-ES"/>
        </w:rPr>
        <w:t xml:space="preserve"> Aclaró que, </w:t>
      </w:r>
      <w:r w:rsidRPr="00FA506F">
        <w:rPr>
          <w:lang w:val="es-ES"/>
        </w:rPr>
        <w:t>h</w:t>
      </w:r>
      <w:r w:rsidR="000F7C82" w:rsidRPr="00FA506F">
        <w:rPr>
          <w:lang w:val="es-ES"/>
        </w:rPr>
        <w:t>asta marzo de 2024, se ha</w:t>
      </w:r>
      <w:r w:rsidRPr="00FA506F">
        <w:rPr>
          <w:lang w:val="es-ES"/>
        </w:rPr>
        <w:t>bría</w:t>
      </w:r>
      <w:r w:rsidR="000F7C82" w:rsidRPr="00FA506F">
        <w:rPr>
          <w:lang w:val="es-ES"/>
        </w:rPr>
        <w:t>n emitido 390</w:t>
      </w:r>
      <w:r w:rsidR="00226BCC" w:rsidRPr="00FA506F">
        <w:rPr>
          <w:lang w:val="es-ES"/>
        </w:rPr>
        <w:t>.</w:t>
      </w:r>
      <w:r w:rsidR="000F7C82" w:rsidRPr="00FA506F">
        <w:rPr>
          <w:lang w:val="es-ES"/>
        </w:rPr>
        <w:t>694 certificados, alcanzando un 75</w:t>
      </w:r>
      <w:r w:rsidR="00C55CDE" w:rsidRPr="00FA506F">
        <w:rPr>
          <w:lang w:val="es-ES"/>
        </w:rPr>
        <w:t>,</w:t>
      </w:r>
      <w:r w:rsidR="000F7C82" w:rsidRPr="00FA506F">
        <w:rPr>
          <w:lang w:val="es-ES"/>
        </w:rPr>
        <w:t>7% del total de 515</w:t>
      </w:r>
      <w:r w:rsidR="00C55CDE" w:rsidRPr="00FA506F">
        <w:rPr>
          <w:lang w:val="es-ES"/>
        </w:rPr>
        <w:t>.</w:t>
      </w:r>
      <w:r w:rsidR="000F7C82" w:rsidRPr="00FA506F">
        <w:rPr>
          <w:lang w:val="es-ES"/>
        </w:rPr>
        <w:t>862 elementos. Este avance</w:t>
      </w:r>
      <w:r w:rsidR="00890E8C" w:rsidRPr="00FA506F">
        <w:rPr>
          <w:lang w:val="es-ES"/>
        </w:rPr>
        <w:t>, según México,</w:t>
      </w:r>
      <w:r w:rsidR="000F7C82" w:rsidRPr="00FA506F">
        <w:rPr>
          <w:lang w:val="es-ES"/>
        </w:rPr>
        <w:t xml:space="preserve"> incluye </w:t>
      </w:r>
      <w:r w:rsidR="00890E8C" w:rsidRPr="00FA506F">
        <w:rPr>
          <w:lang w:val="es-ES"/>
        </w:rPr>
        <w:t xml:space="preserve">el </w:t>
      </w:r>
      <w:r w:rsidR="000F7C82" w:rsidRPr="00FA506F">
        <w:rPr>
          <w:lang w:val="es-ES"/>
        </w:rPr>
        <w:t>59% en la policía federal, 88</w:t>
      </w:r>
      <w:r w:rsidR="00C55CDE" w:rsidRPr="00FA506F">
        <w:rPr>
          <w:lang w:val="es-ES"/>
        </w:rPr>
        <w:t>,</w:t>
      </w:r>
      <w:r w:rsidR="000F7C82" w:rsidRPr="00FA506F">
        <w:rPr>
          <w:lang w:val="es-ES"/>
        </w:rPr>
        <w:t>4% en la estatal, y 78</w:t>
      </w:r>
      <w:r w:rsidR="00C55CDE" w:rsidRPr="00FA506F">
        <w:rPr>
          <w:lang w:val="es-ES"/>
        </w:rPr>
        <w:t>,</w:t>
      </w:r>
      <w:r w:rsidR="000F7C82" w:rsidRPr="00FA506F">
        <w:rPr>
          <w:lang w:val="es-ES"/>
        </w:rPr>
        <w:t xml:space="preserve">9% en la municipal. En cuanto a la capacitación, </w:t>
      </w:r>
      <w:r w:rsidRPr="00FA506F">
        <w:rPr>
          <w:lang w:val="es-ES"/>
        </w:rPr>
        <w:t xml:space="preserve">el Estado </w:t>
      </w:r>
      <w:r w:rsidR="00454AE0" w:rsidRPr="00FA506F">
        <w:rPr>
          <w:lang w:val="es-ES"/>
        </w:rPr>
        <w:t>reportó</w:t>
      </w:r>
      <w:r w:rsidRPr="00FA506F">
        <w:rPr>
          <w:lang w:val="es-ES"/>
        </w:rPr>
        <w:t xml:space="preserve"> que </w:t>
      </w:r>
      <w:r w:rsidR="000F7C82" w:rsidRPr="00FA506F">
        <w:rPr>
          <w:lang w:val="es-ES"/>
        </w:rPr>
        <w:t xml:space="preserve">entre 2019 y 2024 se </w:t>
      </w:r>
      <w:r w:rsidR="00644C18" w:rsidRPr="00FA506F">
        <w:rPr>
          <w:lang w:val="es-ES"/>
        </w:rPr>
        <w:t xml:space="preserve">habrían validado </w:t>
      </w:r>
      <w:r w:rsidR="000F7C82" w:rsidRPr="00FA506F">
        <w:rPr>
          <w:lang w:val="es-ES"/>
        </w:rPr>
        <w:t xml:space="preserve">más de 20 mil planes de estudio, beneficiando a más de un millón de elementos. </w:t>
      </w:r>
      <w:r w:rsidR="00446F81" w:rsidRPr="00FA506F">
        <w:rPr>
          <w:lang w:val="es-ES"/>
        </w:rPr>
        <w:t>Se</w:t>
      </w:r>
      <w:r w:rsidR="000F7C82" w:rsidRPr="00FA506F">
        <w:rPr>
          <w:lang w:val="es-ES"/>
        </w:rPr>
        <w:t xml:space="preserve"> implementar</w:t>
      </w:r>
      <w:r w:rsidR="009B60C3" w:rsidRPr="00FA506F">
        <w:rPr>
          <w:lang w:val="es-ES"/>
        </w:rPr>
        <w:t>o</w:t>
      </w:r>
      <w:r w:rsidR="000F7C82" w:rsidRPr="00FA506F">
        <w:rPr>
          <w:lang w:val="es-ES"/>
        </w:rPr>
        <w:t xml:space="preserve">n </w:t>
      </w:r>
      <w:r w:rsidR="005020F0" w:rsidRPr="00FA506F">
        <w:rPr>
          <w:lang w:val="es-ES"/>
        </w:rPr>
        <w:t>16.</w:t>
      </w:r>
      <w:r w:rsidR="000F7C82" w:rsidRPr="00FA506F">
        <w:rPr>
          <w:lang w:val="es-ES"/>
        </w:rPr>
        <w:t xml:space="preserve">301 programas de formación continua, abarcando temas esenciales como función policial, primer respondiente, ciencia forense, eficacia en los primeros actos de investigación, violencia de género, atención a víctimas, derechos humanos, justicia cívica y prevención del delito. Aunado a ello, </w:t>
      </w:r>
      <w:r w:rsidR="00890E8C" w:rsidRPr="00FA506F">
        <w:rPr>
          <w:lang w:val="es-ES"/>
        </w:rPr>
        <w:t xml:space="preserve">resaltó que </w:t>
      </w:r>
      <w:r w:rsidR="000F7C82" w:rsidRPr="00FA506F">
        <w:rPr>
          <w:lang w:val="es-ES"/>
        </w:rPr>
        <w:t>el Servicio Profesional de Carrera prom</w:t>
      </w:r>
      <w:r w:rsidR="002F437F" w:rsidRPr="00FA506F">
        <w:rPr>
          <w:lang w:val="es-ES"/>
        </w:rPr>
        <w:t>ueve</w:t>
      </w:r>
      <w:r w:rsidR="000F7C82" w:rsidRPr="00FA506F">
        <w:rPr>
          <w:lang w:val="es-ES"/>
        </w:rPr>
        <w:t xml:space="preserve"> la estabilidad y profesionalización en las instituciones de seguridad pública, con la implementación de reglamentos y manuales en varias entidades y municipios para asegurar la calidad y confianza en el servicio policial. Por otro lado, el </w:t>
      </w:r>
      <w:r w:rsidR="00D34294" w:rsidRPr="00FA506F">
        <w:rPr>
          <w:lang w:val="es-ES"/>
        </w:rPr>
        <w:t>Estado</w:t>
      </w:r>
      <w:r w:rsidR="000F7C82" w:rsidRPr="00FA506F">
        <w:rPr>
          <w:lang w:val="es-ES"/>
        </w:rPr>
        <w:t xml:space="preserve"> </w:t>
      </w:r>
      <w:r w:rsidR="00616560" w:rsidRPr="00FA506F">
        <w:rPr>
          <w:lang w:val="es-ES"/>
        </w:rPr>
        <w:t xml:space="preserve">enfatizó que el </w:t>
      </w:r>
      <w:r w:rsidR="000F7C82" w:rsidRPr="00FA506F">
        <w:rPr>
          <w:lang w:val="es-ES"/>
        </w:rPr>
        <w:t>Modelo Nacional de Policía y Justicia Cívica</w:t>
      </w:r>
      <w:r w:rsidR="00616560" w:rsidRPr="00FA506F">
        <w:rPr>
          <w:lang w:val="es-ES"/>
        </w:rPr>
        <w:t xml:space="preserve"> </w:t>
      </w:r>
      <w:r w:rsidR="000F7C82" w:rsidRPr="00FA506F">
        <w:rPr>
          <w:lang w:val="es-ES"/>
        </w:rPr>
        <w:t>prom</w:t>
      </w:r>
      <w:r w:rsidR="00616560" w:rsidRPr="00FA506F">
        <w:rPr>
          <w:lang w:val="es-ES"/>
        </w:rPr>
        <w:t>overía</w:t>
      </w:r>
      <w:r w:rsidR="000F7C82" w:rsidRPr="00FA506F">
        <w:rPr>
          <w:lang w:val="es-ES"/>
        </w:rPr>
        <w:t xml:space="preserve"> la coordinación entre los tres niveles de gobierno para fortalecer las policías locales</w:t>
      </w:r>
      <w:r w:rsidR="00E20A7E" w:rsidRPr="00FA506F">
        <w:rPr>
          <w:rStyle w:val="FootnoteReference"/>
          <w:lang w:val="es-ES"/>
        </w:rPr>
        <w:footnoteReference w:id="15"/>
      </w:r>
      <w:r w:rsidR="00616560" w:rsidRPr="00FA506F">
        <w:rPr>
          <w:lang w:val="es-ES"/>
        </w:rPr>
        <w:t xml:space="preserve">. </w:t>
      </w:r>
    </w:p>
    <w:p w14:paraId="1E0BDA6E" w14:textId="63BEAEB6" w:rsidR="00616560" w:rsidRPr="00FA506F" w:rsidRDefault="00616560" w:rsidP="00820E30">
      <w:pPr>
        <w:pStyle w:val="IAPrrafo"/>
        <w:numPr>
          <w:ilvl w:val="0"/>
          <w:numId w:val="4"/>
        </w:numPr>
        <w:tabs>
          <w:tab w:val="num" w:pos="720"/>
        </w:tabs>
        <w:ind w:firstLine="720"/>
        <w:rPr>
          <w:rFonts w:eastAsia="Cambria" w:cs="Cambria"/>
          <w:i/>
          <w:iCs/>
          <w:color w:val="000000" w:themeColor="text1"/>
          <w:szCs w:val="20"/>
          <w:lang w:val="es-ES"/>
        </w:rPr>
      </w:pPr>
      <w:r w:rsidRPr="00FA506F">
        <w:rPr>
          <w:lang w:val="es-ES"/>
        </w:rPr>
        <w:t>Por otra parte, el Estado informó que l</w:t>
      </w:r>
      <w:r w:rsidR="000F7C82" w:rsidRPr="00FA506F">
        <w:rPr>
          <w:lang w:val="es-ES"/>
        </w:rPr>
        <w:t>a estrategi</w:t>
      </w:r>
      <w:r w:rsidR="005076DB" w:rsidRPr="00FA506F">
        <w:rPr>
          <w:lang w:val="es-ES"/>
        </w:rPr>
        <w:t>a</w:t>
      </w:r>
      <w:r w:rsidR="000F7C82" w:rsidRPr="00FA506F">
        <w:rPr>
          <w:lang w:val="es-ES"/>
        </w:rPr>
        <w:t xml:space="preserve"> se ha</w:t>
      </w:r>
      <w:r w:rsidRPr="00FA506F">
        <w:rPr>
          <w:lang w:val="es-ES"/>
        </w:rPr>
        <w:t>bría</w:t>
      </w:r>
      <w:r w:rsidR="000F7C82" w:rsidRPr="00FA506F">
        <w:rPr>
          <w:lang w:val="es-ES"/>
        </w:rPr>
        <w:t xml:space="preserve"> centrado en la prevención, con un incremento del 25</w:t>
      </w:r>
      <w:r w:rsidR="00CB6EE7" w:rsidRPr="00FA506F">
        <w:rPr>
          <w:lang w:val="es-ES"/>
        </w:rPr>
        <w:t>,</w:t>
      </w:r>
      <w:r w:rsidR="000F7C82" w:rsidRPr="00FA506F">
        <w:rPr>
          <w:lang w:val="es-ES"/>
        </w:rPr>
        <w:t>7% en los recursos del Fondo de Aportaciones para la Seguridad Pública (FASP) y la incorporación del Fondo para el Fortalecimiento de las Instituciones de Seguridad Pública (FOFISP). La inversión en infraestructura para mujeres víctimas de violencia de género ha aumentado la capacidad de atención en un 43</w:t>
      </w:r>
      <w:r w:rsidR="00CB6EE7" w:rsidRPr="00FA506F">
        <w:rPr>
          <w:lang w:val="es-ES"/>
        </w:rPr>
        <w:t>,</w:t>
      </w:r>
      <w:r w:rsidR="000F7C82" w:rsidRPr="00FA506F">
        <w:rPr>
          <w:lang w:val="es-ES"/>
        </w:rPr>
        <w:t>5%, pasando de 287</w:t>
      </w:r>
      <w:r w:rsidR="00CA47C7" w:rsidRPr="00FA506F">
        <w:rPr>
          <w:lang w:val="es-ES"/>
        </w:rPr>
        <w:t>.</w:t>
      </w:r>
      <w:r w:rsidR="000F7C82" w:rsidRPr="00FA506F">
        <w:rPr>
          <w:lang w:val="es-ES"/>
        </w:rPr>
        <w:t>000 mujeres atendidas en 2018 a más de 412</w:t>
      </w:r>
      <w:r w:rsidR="00CB6EE7" w:rsidRPr="00FA506F">
        <w:rPr>
          <w:lang w:val="es-ES"/>
        </w:rPr>
        <w:t>.</w:t>
      </w:r>
      <w:r w:rsidR="000F7C82" w:rsidRPr="00FA506F">
        <w:rPr>
          <w:lang w:val="es-ES"/>
        </w:rPr>
        <w:t>000 en 2023</w:t>
      </w:r>
      <w:r w:rsidR="00E20A7E" w:rsidRPr="00FA506F">
        <w:rPr>
          <w:rStyle w:val="FootnoteReference"/>
          <w:lang w:val="es-ES"/>
        </w:rPr>
        <w:footnoteReference w:id="16"/>
      </w:r>
      <w:r w:rsidR="000F7C82" w:rsidRPr="00FA506F">
        <w:rPr>
          <w:lang w:val="es-ES"/>
        </w:rPr>
        <w:t xml:space="preserve">. </w:t>
      </w:r>
      <w:bookmarkStart w:id="8" w:name="_Toc146037755"/>
    </w:p>
    <w:p w14:paraId="74E4BE15" w14:textId="68F20E28" w:rsidR="00F55FC1" w:rsidRPr="00FA506F" w:rsidRDefault="00F55FC1" w:rsidP="00417918">
      <w:pPr>
        <w:pStyle w:val="IAPrrafo"/>
        <w:ind w:left="360" w:firstLine="360"/>
        <w:rPr>
          <w:rFonts w:eastAsia="Cambria" w:cs="Cambria"/>
          <w:i/>
          <w:iCs/>
          <w:color w:val="000000" w:themeColor="text1"/>
          <w:szCs w:val="20"/>
          <w:lang w:val="es-ES"/>
        </w:rPr>
      </w:pPr>
      <w:r w:rsidRPr="00FA506F">
        <w:rPr>
          <w:rFonts w:eastAsia="Cambria" w:cs="Cambria"/>
          <w:i/>
          <w:iCs/>
          <w:color w:val="000000" w:themeColor="text1"/>
          <w:szCs w:val="20"/>
          <w:lang w:val="es-ES"/>
        </w:rPr>
        <w:t>Análisis y nivel de cumplimiento de la recomendación</w:t>
      </w:r>
      <w:bookmarkEnd w:id="8"/>
    </w:p>
    <w:p w14:paraId="5F5B508D" w14:textId="399324F4" w:rsidR="00E44B33" w:rsidRPr="00FA506F" w:rsidRDefault="00E14A25" w:rsidP="00E44B33">
      <w:pPr>
        <w:pStyle w:val="IAPrrafo"/>
        <w:numPr>
          <w:ilvl w:val="0"/>
          <w:numId w:val="4"/>
        </w:numPr>
        <w:tabs>
          <w:tab w:val="num" w:pos="720"/>
        </w:tabs>
        <w:ind w:firstLine="720"/>
        <w:rPr>
          <w:lang w:val="es-ES"/>
        </w:rPr>
      </w:pPr>
      <w:r w:rsidRPr="00FA506F">
        <w:rPr>
          <w:lang w:val="es-ES"/>
        </w:rPr>
        <w:t>L</w:t>
      </w:r>
      <w:r w:rsidR="0050439D" w:rsidRPr="00FA506F">
        <w:rPr>
          <w:lang w:val="es-ES"/>
        </w:rPr>
        <w:t xml:space="preserve">a </w:t>
      </w:r>
      <w:r w:rsidR="00DB4C5C" w:rsidRPr="00FA506F">
        <w:rPr>
          <w:lang w:val="es-ES"/>
        </w:rPr>
        <w:t xml:space="preserve">información proporcionada por el Estado permite dar cuenta que se ha fortalecido la capacidad de la policía </w:t>
      </w:r>
      <w:r w:rsidR="00E44B33" w:rsidRPr="00FA506F">
        <w:rPr>
          <w:lang w:val="es-ES"/>
        </w:rPr>
        <w:t>mediante</w:t>
      </w:r>
      <w:r w:rsidR="00DB4C5C" w:rsidRPr="00FA506F">
        <w:rPr>
          <w:lang w:val="es-ES"/>
        </w:rPr>
        <w:t xml:space="preserve"> el aumento en su presupuesto, garantías de seguridad social y programas de capacitación</w:t>
      </w:r>
      <w:r w:rsidR="00E44B33" w:rsidRPr="00FA506F">
        <w:rPr>
          <w:lang w:val="es-ES"/>
        </w:rPr>
        <w:t xml:space="preserve">. Sin embargo, la decisión estatal de continuar el despliegue de fuerzas armadas para funciones de seguridad pública refleja que persisten desafíos que impiden a la policía asumir la totalidad de dichas funciones </w:t>
      </w:r>
      <w:r w:rsidRPr="00FA506F">
        <w:rPr>
          <w:lang w:val="es-ES"/>
        </w:rPr>
        <w:t xml:space="preserve">por lo que </w:t>
      </w:r>
      <w:r w:rsidR="00DB4C5C" w:rsidRPr="00FA506F">
        <w:rPr>
          <w:lang w:val="es-ES"/>
        </w:rPr>
        <w:t xml:space="preserve">la recomendación </w:t>
      </w:r>
      <w:r w:rsidR="00E44B33" w:rsidRPr="00FA506F">
        <w:rPr>
          <w:lang w:val="es-ES"/>
        </w:rPr>
        <w:t>permanece</w:t>
      </w:r>
      <w:r w:rsidR="00DB4C5C" w:rsidRPr="00FA506F">
        <w:rPr>
          <w:lang w:val="es-ES"/>
        </w:rPr>
        <w:t xml:space="preserve"> </w:t>
      </w:r>
      <w:r w:rsidR="00E44B33" w:rsidRPr="00FA506F">
        <w:rPr>
          <w:b/>
          <w:bCs/>
          <w:lang w:val="es-ES"/>
        </w:rPr>
        <w:t>pendiente de cumplimiento.</w:t>
      </w:r>
      <w:r w:rsidR="00DB4C5C" w:rsidRPr="00FA506F">
        <w:rPr>
          <w:b/>
          <w:bCs/>
          <w:lang w:val="es-ES"/>
        </w:rPr>
        <w:t xml:space="preserve"> </w:t>
      </w:r>
    </w:p>
    <w:p w14:paraId="7E33EAE6" w14:textId="592777B9" w:rsidR="00E44B33" w:rsidRDefault="00E44B33" w:rsidP="00820E30">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6E27297B" w14:textId="77777777" w:rsidR="00820E30" w:rsidRPr="00820E30" w:rsidRDefault="00820E30" w:rsidP="00820E30">
      <w:pPr>
        <w:ind w:firstLine="720"/>
        <w:jc w:val="both"/>
        <w:rPr>
          <w:rFonts w:ascii="Cambria" w:eastAsia="Cambria" w:hAnsi="Cambria" w:cs="Cambria"/>
          <w:i/>
          <w:iCs/>
          <w:color w:val="000000" w:themeColor="text1"/>
          <w:sz w:val="20"/>
          <w:szCs w:val="20"/>
          <w:lang w:val="es-ES"/>
        </w:rPr>
      </w:pPr>
    </w:p>
    <w:p w14:paraId="1546B358" w14:textId="111CAE56" w:rsidR="00E44B33" w:rsidRPr="00FA506F" w:rsidRDefault="00CB0958" w:rsidP="00820E30">
      <w:pPr>
        <w:pStyle w:val="IAPrrafo"/>
        <w:numPr>
          <w:ilvl w:val="0"/>
          <w:numId w:val="4"/>
        </w:numPr>
        <w:tabs>
          <w:tab w:val="num" w:pos="720"/>
        </w:tabs>
        <w:ind w:firstLine="720"/>
        <w:rPr>
          <w:lang w:val="es-ES"/>
        </w:rPr>
      </w:pPr>
      <w:r w:rsidRPr="00CB0958">
        <w:rPr>
          <w:lang w:val="es-ES"/>
        </w:rPr>
        <w:t>La Comisión reitera su llamado al Estado mexicano a cumplir con sus compromisos internacionales en materia de derechos humanos, adoptando las medidas necesarias para limitar la militarización de la seguridad ciudadana. Asimismo, insta al Estado a replantear su estrategia de seguridad, fortaleciendo las fuerzas de seguridad de carácter civil conforme a los estándares internacionales y estableciendo un plan para su retiro gradual de las Fuerzas Armadas</w:t>
      </w:r>
      <w:r w:rsidR="00672DEF">
        <w:rPr>
          <w:lang w:val="es-ES"/>
        </w:rPr>
        <w:t>.</w:t>
      </w:r>
    </w:p>
    <w:p w14:paraId="407358BC" w14:textId="319D67C1" w:rsidR="00F55FC1" w:rsidRPr="00FA506F" w:rsidRDefault="00F55FC1"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4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Tomar medidas para que funcionarios federales y estatales se abstengan de emitir declaraciones públicas sobre la legalidad de la actuación de las fuerzas de seguridad en casos que puedan constituir un uso indebido de la fuerza antes de contar con los resultados de una investigación. </w:t>
      </w:r>
    </w:p>
    <w:p w14:paraId="7B42AC6D"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6BF87321" w14:textId="2EB98AD6" w:rsidR="00DB4C5C" w:rsidRPr="00FA506F" w:rsidRDefault="00F55FC1" w:rsidP="00B80A67">
      <w:pPr>
        <w:pStyle w:val="IAPrrafo"/>
        <w:numPr>
          <w:ilvl w:val="0"/>
          <w:numId w:val="4"/>
        </w:numPr>
        <w:tabs>
          <w:tab w:val="num" w:pos="720"/>
        </w:tabs>
        <w:ind w:firstLine="720"/>
        <w:rPr>
          <w:lang w:val="es-ES"/>
        </w:rPr>
      </w:pPr>
      <w:r w:rsidRPr="00FA506F">
        <w:rPr>
          <w:lang w:val="es-ES"/>
        </w:rPr>
        <w:t>En el Capítulo V del Informe Anual de 202</w:t>
      </w:r>
      <w:r w:rsidR="24768E8E" w:rsidRPr="00FA506F">
        <w:rPr>
          <w:lang w:val="es-ES"/>
        </w:rPr>
        <w:t>3</w:t>
      </w:r>
      <w:r w:rsidRPr="00FA506F">
        <w:rPr>
          <w:lang w:val="es-ES"/>
        </w:rPr>
        <w:t xml:space="preserve">, </w:t>
      </w:r>
      <w:r w:rsidR="7B896D6F" w:rsidRPr="00FA506F">
        <w:rPr>
          <w:lang w:val="es-ES"/>
        </w:rPr>
        <w:t xml:space="preserve">el Estado informó </w:t>
      </w:r>
      <w:r w:rsidR="00C80503" w:rsidRPr="00FA506F">
        <w:rPr>
          <w:lang w:val="es-ES"/>
        </w:rPr>
        <w:t>sobre</w:t>
      </w:r>
      <w:r w:rsidR="00DB4C5C" w:rsidRPr="00FA506F">
        <w:rPr>
          <w:lang w:val="es-ES"/>
        </w:rPr>
        <w:t xml:space="preserve"> la capacitación</w:t>
      </w:r>
      <w:r w:rsidR="7B896D6F" w:rsidRPr="00FA506F">
        <w:rPr>
          <w:lang w:val="es-ES"/>
        </w:rPr>
        <w:t xml:space="preserve"> a 154 funcionarios de la </w:t>
      </w:r>
      <w:r w:rsidR="00CB0E7A" w:rsidRPr="00FA506F">
        <w:rPr>
          <w:lang w:val="es-ES"/>
        </w:rPr>
        <w:t>Fiscalía General de la República (</w:t>
      </w:r>
      <w:r w:rsidR="7B896D6F" w:rsidRPr="00FA506F">
        <w:rPr>
          <w:lang w:val="es-ES"/>
        </w:rPr>
        <w:t>FGR</w:t>
      </w:r>
      <w:r w:rsidR="00CB0E7A" w:rsidRPr="00FA506F">
        <w:rPr>
          <w:lang w:val="es-ES"/>
        </w:rPr>
        <w:t>)</w:t>
      </w:r>
      <w:r w:rsidR="7B896D6F" w:rsidRPr="00FA506F">
        <w:rPr>
          <w:lang w:val="es-ES"/>
        </w:rPr>
        <w:t xml:space="preserve"> en derechos humanos</w:t>
      </w:r>
      <w:r w:rsidR="00C80503" w:rsidRPr="00FA506F">
        <w:rPr>
          <w:lang w:val="es-ES"/>
        </w:rPr>
        <w:t>. Por su parte, las</w:t>
      </w:r>
      <w:r w:rsidR="7B896D6F" w:rsidRPr="00FA506F">
        <w:rPr>
          <w:lang w:val="es-ES"/>
        </w:rPr>
        <w:t xml:space="preserve"> organizaciones de la sociedad civil </w:t>
      </w:r>
      <w:r w:rsidR="00BE6519" w:rsidRPr="00FA506F">
        <w:rPr>
          <w:lang w:val="es-ES"/>
        </w:rPr>
        <w:t>refirieron</w:t>
      </w:r>
      <w:r w:rsidR="7B896D6F" w:rsidRPr="00FA506F">
        <w:rPr>
          <w:lang w:val="es-ES"/>
        </w:rPr>
        <w:t xml:space="preserve"> que el titular del Ejecutivo </w:t>
      </w:r>
      <w:r w:rsidR="00C80503" w:rsidRPr="00FA506F">
        <w:rPr>
          <w:lang w:val="es-ES"/>
        </w:rPr>
        <w:t>hizo</w:t>
      </w:r>
      <w:r w:rsidR="7B896D6F" w:rsidRPr="00FA506F">
        <w:rPr>
          <w:lang w:val="es-ES"/>
        </w:rPr>
        <w:t xml:space="preserve"> declaraciones públicas anticipadas defendiendo la actuación de las FFAA en casos de violaciones a derechos humanos, incluso ante evidencias de su participación en crímenes como homicidios y desapariciones. La CIDH valoró las capacitaciones, pero expresó su preocupación por las declaraciones anticipadas de altos funcionarios sobre la legalidad de las acciones de las FFAA antes de una resolución judicial y mantuvo la recomendación como parcialmente cumplida. La Comisión inst</w:t>
      </w:r>
      <w:r w:rsidR="006D5185" w:rsidRPr="00FA506F">
        <w:rPr>
          <w:lang w:val="es-ES"/>
        </w:rPr>
        <w:t>ó</w:t>
      </w:r>
      <w:r w:rsidR="7B896D6F" w:rsidRPr="00FA506F">
        <w:rPr>
          <w:lang w:val="es-ES"/>
        </w:rPr>
        <w:t xml:space="preserve"> al Estado a evitar estas declaraciones y a informar sobre las medidas adoptadas para limitar este tipo de posicionamientos, en línea con las recomendaciones internacionales</w:t>
      </w:r>
      <w:r w:rsidRPr="00FA506F">
        <w:rPr>
          <w:rStyle w:val="FootnoteReference"/>
          <w:lang w:val="es-ES"/>
        </w:rPr>
        <w:footnoteReference w:id="17"/>
      </w:r>
      <w:r w:rsidRPr="00FA506F">
        <w:rPr>
          <w:lang w:val="es-ES"/>
        </w:rPr>
        <w:t>.</w:t>
      </w:r>
      <w:r w:rsidR="009F6C8B" w:rsidRPr="00FA506F">
        <w:rPr>
          <w:lang w:val="es-ES"/>
        </w:rPr>
        <w:t xml:space="preserve"> </w:t>
      </w:r>
    </w:p>
    <w:p w14:paraId="0376D6D3" w14:textId="351842F9" w:rsidR="00780614" w:rsidRPr="00616692" w:rsidRDefault="00780614" w:rsidP="005074D2">
      <w:pPr>
        <w:ind w:firstLine="720"/>
        <w:jc w:val="both"/>
        <w:rPr>
          <w:rFonts w:ascii="Cambria" w:eastAsia="Cambria" w:hAnsi="Cambria" w:cs="Cambria"/>
          <w:i/>
          <w:iCs/>
          <w:color w:val="000000" w:themeColor="text1"/>
          <w:sz w:val="20"/>
          <w:szCs w:val="20"/>
          <w:lang w:val="es-ES"/>
        </w:rPr>
      </w:pPr>
      <w:r w:rsidRPr="00616692">
        <w:rPr>
          <w:rFonts w:ascii="Cambria" w:eastAsia="Cambria" w:hAnsi="Cambria" w:cs="Cambria"/>
          <w:i/>
          <w:iCs/>
          <w:color w:val="000000" w:themeColor="text1"/>
          <w:sz w:val="20"/>
          <w:szCs w:val="20"/>
          <w:lang w:val="es-ES"/>
        </w:rPr>
        <w:t>Información sobre el cumplimiento</w:t>
      </w:r>
    </w:p>
    <w:p w14:paraId="44CF0F3B" w14:textId="77777777" w:rsidR="00780614" w:rsidRPr="00616692" w:rsidRDefault="00780614" w:rsidP="00B80A67">
      <w:pPr>
        <w:ind w:firstLine="360"/>
        <w:jc w:val="both"/>
        <w:rPr>
          <w:rFonts w:ascii="Cambria" w:eastAsia="Cambria" w:hAnsi="Cambria" w:cs="Cambria"/>
          <w:i/>
          <w:iCs/>
          <w:color w:val="000000" w:themeColor="text1"/>
          <w:sz w:val="20"/>
          <w:szCs w:val="20"/>
          <w:lang w:val="es-ES"/>
        </w:rPr>
      </w:pPr>
    </w:p>
    <w:p w14:paraId="539C83FD" w14:textId="16D108B3" w:rsidR="00391C23" w:rsidRPr="00616692" w:rsidRDefault="00DB4C5C" w:rsidP="00B80A67">
      <w:pPr>
        <w:pStyle w:val="IAPrrafo"/>
        <w:numPr>
          <w:ilvl w:val="0"/>
          <w:numId w:val="4"/>
        </w:numPr>
        <w:tabs>
          <w:tab w:val="num" w:pos="720"/>
        </w:tabs>
        <w:ind w:firstLine="720"/>
        <w:rPr>
          <w:lang w:val="es-ES"/>
        </w:rPr>
      </w:pPr>
      <w:r w:rsidRPr="00616692">
        <w:rPr>
          <w:lang w:val="es-ES"/>
        </w:rPr>
        <w:t>En 2024 el Estado</w:t>
      </w:r>
      <w:r w:rsidR="00175DE9" w:rsidRPr="00616692">
        <w:rPr>
          <w:lang w:val="es-ES"/>
        </w:rPr>
        <w:t xml:space="preserve"> informó que la FGR capacitó a 5</w:t>
      </w:r>
      <w:r w:rsidR="00120EDD" w:rsidRPr="00616692">
        <w:rPr>
          <w:lang w:val="es-ES"/>
        </w:rPr>
        <w:t>.</w:t>
      </w:r>
      <w:r w:rsidR="00175DE9" w:rsidRPr="00616692">
        <w:rPr>
          <w:lang w:val="es-ES"/>
        </w:rPr>
        <w:t>274 personas servidoras públicas de dicha institución en materia de derechos humanos</w:t>
      </w:r>
      <w:r w:rsidR="00175DE9" w:rsidRPr="00616692">
        <w:rPr>
          <w:rStyle w:val="FootnoteReference"/>
          <w:lang w:val="es-ES"/>
        </w:rPr>
        <w:footnoteReference w:id="18"/>
      </w:r>
      <w:r w:rsidR="00175DE9" w:rsidRPr="00616692">
        <w:rPr>
          <w:lang w:val="es-ES"/>
        </w:rPr>
        <w:t xml:space="preserve">. Asimismo, el Estado </w:t>
      </w:r>
      <w:r w:rsidR="00454AE0" w:rsidRPr="00616692">
        <w:rPr>
          <w:lang w:val="es-ES"/>
        </w:rPr>
        <w:t>reportó</w:t>
      </w:r>
      <w:r w:rsidRPr="00616692">
        <w:rPr>
          <w:lang w:val="es-ES"/>
        </w:rPr>
        <w:t xml:space="preserve"> que no se permitiría que </w:t>
      </w:r>
      <w:r w:rsidR="00391C23" w:rsidRPr="00616692">
        <w:rPr>
          <w:lang w:val="es-ES"/>
        </w:rPr>
        <w:t xml:space="preserve">funcionarios federales y estatales emitan declaraciones públicas sobre la legalidad de la actuación de las fuerzas de seguridad. </w:t>
      </w:r>
      <w:r w:rsidR="00446046" w:rsidRPr="00616692">
        <w:rPr>
          <w:lang w:val="es-ES"/>
        </w:rPr>
        <w:t>El Estado</w:t>
      </w:r>
      <w:r w:rsidRPr="00616692">
        <w:rPr>
          <w:lang w:val="es-ES"/>
        </w:rPr>
        <w:t xml:space="preserve"> refirió que d</w:t>
      </w:r>
      <w:r w:rsidR="00391C23" w:rsidRPr="00616692">
        <w:rPr>
          <w:lang w:val="es-ES"/>
        </w:rPr>
        <w:t>ichos funcionarios deben apegarse a lo establecido en la Ley General de Comunicación Social y al acuerdo por el que se establece la Política de Comunicación Social del Gobierno Federal, publicado en el Diario Oficial de la Federación el 17 de mayo de 2019</w:t>
      </w:r>
      <w:r w:rsidR="00EB5E94" w:rsidRPr="00616692">
        <w:rPr>
          <w:lang w:val="es-ES"/>
        </w:rPr>
        <w:t>;</w:t>
      </w:r>
      <w:r w:rsidR="00391C23" w:rsidRPr="00616692">
        <w:rPr>
          <w:lang w:val="es-ES"/>
        </w:rPr>
        <w:t xml:space="preserve"> el cual te</w:t>
      </w:r>
      <w:r w:rsidRPr="00616692">
        <w:rPr>
          <w:lang w:val="es-ES"/>
        </w:rPr>
        <w:t>ndría</w:t>
      </w:r>
      <w:r w:rsidR="00391C23" w:rsidRPr="00616692">
        <w:rPr>
          <w:lang w:val="es-ES"/>
        </w:rPr>
        <w:t xml:space="preserve"> como finalidad establecer la política pública de comunicación social que las dependencias y entidades de la Administración Pública Federal</w:t>
      </w:r>
      <w:r w:rsidR="004942F1" w:rsidRPr="00616692">
        <w:rPr>
          <w:lang w:val="es-ES"/>
        </w:rPr>
        <w:t xml:space="preserve"> deben observar</w:t>
      </w:r>
      <w:r w:rsidR="00391C23" w:rsidRPr="00616692">
        <w:rPr>
          <w:lang w:val="es-ES"/>
        </w:rPr>
        <w:t xml:space="preserve">. </w:t>
      </w:r>
      <w:r w:rsidR="00AF4DD5" w:rsidRPr="00616692">
        <w:rPr>
          <w:lang w:val="es-ES"/>
        </w:rPr>
        <w:t>México precisó que l</w:t>
      </w:r>
      <w:r w:rsidR="00391C23" w:rsidRPr="00616692">
        <w:rPr>
          <w:lang w:val="es-ES"/>
        </w:rPr>
        <w:t xml:space="preserve">a Carta Magna, en su artículo 20, inciso B, fracción I, prevé </w:t>
      </w:r>
      <w:r w:rsidR="004A3F10" w:rsidRPr="00616692">
        <w:rPr>
          <w:lang w:val="es-ES"/>
        </w:rPr>
        <w:t>e</w:t>
      </w:r>
      <w:r w:rsidR="00391C23" w:rsidRPr="00616692">
        <w:rPr>
          <w:lang w:val="es-ES"/>
        </w:rPr>
        <w:t>l derecho de toda persona imputada a que se presuma su inocencia</w:t>
      </w:r>
      <w:r w:rsidR="004A3F10" w:rsidRPr="00616692">
        <w:rPr>
          <w:lang w:val="es-ES"/>
        </w:rPr>
        <w:t>,</w:t>
      </w:r>
      <w:r w:rsidR="00391C23" w:rsidRPr="00616692">
        <w:rPr>
          <w:lang w:val="es-ES"/>
        </w:rPr>
        <w:t xml:space="preserve"> hasta que se demuestre lo contrario</w:t>
      </w:r>
      <w:r w:rsidRPr="00616692">
        <w:rPr>
          <w:lang w:val="es-ES"/>
        </w:rPr>
        <w:t xml:space="preserve">. De igual forma, </w:t>
      </w:r>
      <w:r w:rsidR="0086568C" w:rsidRPr="00616692">
        <w:rPr>
          <w:lang w:val="es-ES"/>
        </w:rPr>
        <w:t xml:space="preserve">aclaró que </w:t>
      </w:r>
      <w:r w:rsidR="00391C23" w:rsidRPr="00616692">
        <w:rPr>
          <w:lang w:val="es-ES"/>
        </w:rPr>
        <w:t>el Código Nacional de Procedimientos Penales señala en su numeral 113 fracción X</w:t>
      </w:r>
      <w:r w:rsidR="00175DE9" w:rsidRPr="00616692">
        <w:rPr>
          <w:lang w:val="es-ES"/>
        </w:rPr>
        <w:t>VI</w:t>
      </w:r>
      <w:r w:rsidR="00391C23" w:rsidRPr="00616692">
        <w:rPr>
          <w:lang w:val="es-ES"/>
        </w:rPr>
        <w:t xml:space="preserve"> que toda persona imputada tiene derecho a no ser expuesta a los medios de comunicación</w:t>
      </w:r>
      <w:r w:rsidR="000A1DFE" w:rsidRPr="00616692">
        <w:rPr>
          <w:rStyle w:val="FootnoteReference"/>
          <w:lang w:val="es-ES"/>
        </w:rPr>
        <w:footnoteReference w:id="19"/>
      </w:r>
      <w:r w:rsidR="00391C23" w:rsidRPr="00616692">
        <w:rPr>
          <w:lang w:val="es-ES"/>
        </w:rPr>
        <w:t>.</w:t>
      </w:r>
    </w:p>
    <w:p w14:paraId="3F858B4A" w14:textId="1B1E9DA4" w:rsidR="00F938DE" w:rsidRPr="00FA506F" w:rsidRDefault="00DB4C5C" w:rsidP="00B80A67">
      <w:pPr>
        <w:pStyle w:val="IAPrrafo"/>
        <w:numPr>
          <w:ilvl w:val="0"/>
          <w:numId w:val="4"/>
        </w:numPr>
        <w:tabs>
          <w:tab w:val="num" w:pos="720"/>
        </w:tabs>
        <w:ind w:firstLine="720"/>
        <w:rPr>
          <w:szCs w:val="20"/>
          <w:lang w:val="es-ES"/>
        </w:rPr>
      </w:pPr>
      <w:r w:rsidRPr="00616692">
        <w:rPr>
          <w:szCs w:val="20"/>
          <w:lang w:val="es-ES"/>
        </w:rPr>
        <w:t xml:space="preserve">Por su parte, organizaciones de la sociedad civil expresaron que las declaraciones anticipadas sobre la legalidad de la actuación de diversas fuerzas de seguridad </w:t>
      </w:r>
      <w:r w:rsidR="0041441B" w:rsidRPr="00616692">
        <w:rPr>
          <w:szCs w:val="20"/>
          <w:lang w:val="es-ES"/>
        </w:rPr>
        <w:t xml:space="preserve">continúan </w:t>
      </w:r>
      <w:r w:rsidRPr="00616692">
        <w:rPr>
          <w:szCs w:val="20"/>
          <w:lang w:val="es-ES"/>
        </w:rPr>
        <w:t>realizándose</w:t>
      </w:r>
      <w:r w:rsidR="005F699D" w:rsidRPr="00616692">
        <w:rPr>
          <w:szCs w:val="20"/>
          <w:lang w:val="es-ES"/>
        </w:rPr>
        <w:t>. En particular</w:t>
      </w:r>
      <w:r w:rsidR="00446046" w:rsidRPr="00616692">
        <w:rPr>
          <w:szCs w:val="20"/>
          <w:lang w:val="es-ES"/>
        </w:rPr>
        <w:t xml:space="preserve"> </w:t>
      </w:r>
      <w:r w:rsidRPr="00616692">
        <w:rPr>
          <w:szCs w:val="20"/>
          <w:lang w:val="es-ES"/>
        </w:rPr>
        <w:t xml:space="preserve">hicieron referencia </w:t>
      </w:r>
      <w:r w:rsidR="00C80503" w:rsidRPr="00616692">
        <w:rPr>
          <w:szCs w:val="20"/>
          <w:lang w:val="es-ES"/>
        </w:rPr>
        <w:t>a</w:t>
      </w:r>
      <w:r w:rsidR="00F938DE" w:rsidRPr="00616692">
        <w:rPr>
          <w:szCs w:val="20"/>
          <w:lang w:val="es-ES"/>
        </w:rPr>
        <w:t xml:space="preserve"> los hechos relacionados con la privación arbitraria de la vida de un grupo de migrantes en Chiapas, cometida el 2 de octubre de 2024, y respecto de l</w:t>
      </w:r>
      <w:r w:rsidR="00AF4DD5" w:rsidRPr="00616692">
        <w:rPr>
          <w:szCs w:val="20"/>
          <w:lang w:val="es-ES"/>
        </w:rPr>
        <w:t>os</w:t>
      </w:r>
      <w:r w:rsidR="00F938DE" w:rsidRPr="00616692">
        <w:rPr>
          <w:szCs w:val="20"/>
          <w:lang w:val="es-ES"/>
        </w:rPr>
        <w:t xml:space="preserve"> cual</w:t>
      </w:r>
      <w:r w:rsidR="00AF4DD5" w:rsidRPr="00616692">
        <w:rPr>
          <w:szCs w:val="20"/>
          <w:lang w:val="es-ES"/>
        </w:rPr>
        <w:t>es</w:t>
      </w:r>
      <w:r w:rsidR="00F938DE" w:rsidRPr="00616692">
        <w:rPr>
          <w:szCs w:val="20"/>
          <w:lang w:val="es-ES"/>
        </w:rPr>
        <w:t xml:space="preserve">, </w:t>
      </w:r>
      <w:r w:rsidRPr="00616692">
        <w:rPr>
          <w:szCs w:val="20"/>
          <w:lang w:val="es-ES"/>
        </w:rPr>
        <w:t>la</w:t>
      </w:r>
      <w:r w:rsidR="00F938DE" w:rsidRPr="00616692">
        <w:rPr>
          <w:szCs w:val="20"/>
          <w:lang w:val="es-ES"/>
        </w:rPr>
        <w:t xml:space="preserve"> </w:t>
      </w:r>
      <w:r w:rsidRPr="00616692">
        <w:rPr>
          <w:szCs w:val="20"/>
          <w:lang w:val="es-ES"/>
        </w:rPr>
        <w:t xml:space="preserve">SEDENA </w:t>
      </w:r>
      <w:r w:rsidR="00F938DE" w:rsidRPr="00616692">
        <w:rPr>
          <w:szCs w:val="20"/>
          <w:lang w:val="es-ES"/>
        </w:rPr>
        <w:t xml:space="preserve">habría dado a </w:t>
      </w:r>
      <w:r w:rsidRPr="00616692">
        <w:rPr>
          <w:szCs w:val="20"/>
          <w:lang w:val="es-ES"/>
        </w:rPr>
        <w:t>conocer un comunicado de prensa en el que informó que un día antes</w:t>
      </w:r>
      <w:r w:rsidR="00C31F17" w:rsidRPr="00616692">
        <w:rPr>
          <w:szCs w:val="20"/>
          <w:lang w:val="es-ES"/>
        </w:rPr>
        <w:t>,</w:t>
      </w:r>
      <w:r w:rsidRPr="00616692">
        <w:rPr>
          <w:szCs w:val="20"/>
          <w:lang w:val="es-ES"/>
        </w:rPr>
        <w:t xml:space="preserve"> en un patrullaje, elementos</w:t>
      </w:r>
      <w:r w:rsidR="00F938DE" w:rsidRPr="00616692">
        <w:rPr>
          <w:szCs w:val="20"/>
          <w:lang w:val="es-ES"/>
        </w:rPr>
        <w:t xml:space="preserve"> </w:t>
      </w:r>
      <w:r w:rsidRPr="00616692">
        <w:rPr>
          <w:szCs w:val="20"/>
          <w:lang w:val="es-ES"/>
        </w:rPr>
        <w:t xml:space="preserve">del Ejército habrían detectado dos camionetas de redilas </w:t>
      </w:r>
      <w:r w:rsidR="008431B3" w:rsidRPr="00616692">
        <w:rPr>
          <w:szCs w:val="20"/>
          <w:lang w:val="es-ES"/>
        </w:rPr>
        <w:t>“</w:t>
      </w:r>
      <w:r w:rsidRPr="00616692">
        <w:rPr>
          <w:szCs w:val="20"/>
          <w:lang w:val="es-ES"/>
        </w:rPr>
        <w:t>como las que usan</w:t>
      </w:r>
      <w:r w:rsidRPr="00FA506F">
        <w:rPr>
          <w:szCs w:val="20"/>
          <w:lang w:val="es-ES"/>
        </w:rPr>
        <w:t xml:space="preserve"> grupos</w:t>
      </w:r>
      <w:r w:rsidR="00F938DE" w:rsidRPr="00FA506F">
        <w:rPr>
          <w:szCs w:val="20"/>
          <w:lang w:val="es-ES"/>
        </w:rPr>
        <w:t xml:space="preserve"> </w:t>
      </w:r>
      <w:r w:rsidRPr="00FA506F">
        <w:rPr>
          <w:szCs w:val="20"/>
          <w:lang w:val="es-ES"/>
        </w:rPr>
        <w:t>delincuenciales en esa región”</w:t>
      </w:r>
      <w:r w:rsidR="00C31F17" w:rsidRPr="00FA506F">
        <w:rPr>
          <w:szCs w:val="20"/>
          <w:lang w:val="es-ES"/>
        </w:rPr>
        <w:t>,</w:t>
      </w:r>
      <w:r w:rsidRPr="00FA506F">
        <w:rPr>
          <w:szCs w:val="20"/>
          <w:lang w:val="es-ES"/>
        </w:rPr>
        <w:t xml:space="preserve"> y que </w:t>
      </w:r>
      <w:r w:rsidR="00251DC1" w:rsidRPr="00FA506F">
        <w:rPr>
          <w:szCs w:val="20"/>
          <w:lang w:val="es-ES"/>
        </w:rPr>
        <w:t xml:space="preserve">al </w:t>
      </w:r>
      <w:r w:rsidR="007B7222" w:rsidRPr="00FA506F">
        <w:rPr>
          <w:szCs w:val="20"/>
          <w:lang w:val="es-ES"/>
        </w:rPr>
        <w:t>escuchar detonaciones,</w:t>
      </w:r>
      <w:r w:rsidR="00A25DCA" w:rsidRPr="00FA506F">
        <w:rPr>
          <w:szCs w:val="20"/>
          <w:lang w:val="es-ES"/>
        </w:rPr>
        <w:t xml:space="preserve"> </w:t>
      </w:r>
      <w:r w:rsidR="000E08FC" w:rsidRPr="00FA506F">
        <w:rPr>
          <w:szCs w:val="20"/>
          <w:lang w:val="es-ES"/>
        </w:rPr>
        <w:t xml:space="preserve">dos </w:t>
      </w:r>
      <w:r w:rsidRPr="00FA506F">
        <w:rPr>
          <w:szCs w:val="20"/>
          <w:lang w:val="es-ES"/>
        </w:rPr>
        <w:t>elementos</w:t>
      </w:r>
      <w:r w:rsidR="004510AC" w:rsidRPr="00FA506F">
        <w:rPr>
          <w:szCs w:val="20"/>
          <w:lang w:val="es-ES"/>
        </w:rPr>
        <w:t xml:space="preserve"> del </w:t>
      </w:r>
      <w:r w:rsidR="000E08FC" w:rsidRPr="00FA506F">
        <w:rPr>
          <w:szCs w:val="20"/>
          <w:lang w:val="es-ES"/>
        </w:rPr>
        <w:t>E</w:t>
      </w:r>
      <w:r w:rsidR="004510AC" w:rsidRPr="00FA506F">
        <w:rPr>
          <w:szCs w:val="20"/>
          <w:lang w:val="es-ES"/>
        </w:rPr>
        <w:t>jército</w:t>
      </w:r>
      <w:r w:rsidRPr="00FA506F">
        <w:rPr>
          <w:szCs w:val="20"/>
          <w:lang w:val="es-ES"/>
        </w:rPr>
        <w:t xml:space="preserve"> accionaron su armamento, deteniendo </w:t>
      </w:r>
      <w:r w:rsidR="00C61B50" w:rsidRPr="00FA506F">
        <w:rPr>
          <w:szCs w:val="20"/>
          <w:lang w:val="es-ES"/>
        </w:rPr>
        <w:t>la</w:t>
      </w:r>
      <w:r w:rsidRPr="00FA506F">
        <w:rPr>
          <w:szCs w:val="20"/>
          <w:lang w:val="es-ES"/>
        </w:rPr>
        <w:t xml:space="preserve"> marcha de </w:t>
      </w:r>
      <w:r w:rsidR="00C61B50" w:rsidRPr="00FA506F">
        <w:rPr>
          <w:szCs w:val="20"/>
          <w:lang w:val="es-ES"/>
        </w:rPr>
        <w:t xml:space="preserve">una de </w:t>
      </w:r>
      <w:r w:rsidRPr="00FA506F">
        <w:rPr>
          <w:szCs w:val="20"/>
          <w:lang w:val="es-ES"/>
        </w:rPr>
        <w:t>las camionetas de redilas</w:t>
      </w:r>
      <w:r w:rsidR="00F938DE" w:rsidRPr="00FA506F">
        <w:rPr>
          <w:rStyle w:val="FootnoteReference"/>
          <w:szCs w:val="20"/>
          <w:lang w:val="es-ES"/>
        </w:rPr>
        <w:footnoteReference w:id="20"/>
      </w:r>
      <w:r w:rsidR="00F938DE" w:rsidRPr="00FA506F">
        <w:rPr>
          <w:szCs w:val="20"/>
          <w:lang w:val="es-ES"/>
        </w:rPr>
        <w:t xml:space="preserve">. </w:t>
      </w:r>
      <w:r w:rsidRPr="00FA506F">
        <w:rPr>
          <w:szCs w:val="20"/>
          <w:lang w:val="es-ES"/>
        </w:rPr>
        <w:t>De acuerdo con el comunicado</w:t>
      </w:r>
      <w:r w:rsidR="000E08FC" w:rsidRPr="00FA506F">
        <w:rPr>
          <w:szCs w:val="20"/>
          <w:lang w:val="es-ES"/>
        </w:rPr>
        <w:t xml:space="preserve"> oficial</w:t>
      </w:r>
      <w:r w:rsidRPr="00FA506F">
        <w:rPr>
          <w:szCs w:val="20"/>
          <w:lang w:val="es-ES"/>
        </w:rPr>
        <w:t xml:space="preserve">, en la camioneta había 33 migrantes, de los que </w:t>
      </w:r>
      <w:r w:rsidR="006D1282" w:rsidRPr="00FA506F">
        <w:rPr>
          <w:szCs w:val="20"/>
          <w:lang w:val="es-ES"/>
        </w:rPr>
        <w:t xml:space="preserve">cuatro </w:t>
      </w:r>
      <w:r w:rsidRPr="00FA506F">
        <w:rPr>
          <w:szCs w:val="20"/>
          <w:lang w:val="es-ES"/>
        </w:rPr>
        <w:t>fueron privados de la</w:t>
      </w:r>
      <w:r w:rsidR="00F938DE" w:rsidRPr="00FA506F">
        <w:rPr>
          <w:szCs w:val="20"/>
          <w:lang w:val="es-ES"/>
        </w:rPr>
        <w:t xml:space="preserve"> </w:t>
      </w:r>
      <w:r w:rsidRPr="00FA506F">
        <w:rPr>
          <w:szCs w:val="20"/>
          <w:lang w:val="es-ES"/>
        </w:rPr>
        <w:t xml:space="preserve">vida en el instante y </w:t>
      </w:r>
      <w:r w:rsidR="006D1282" w:rsidRPr="00FA506F">
        <w:rPr>
          <w:szCs w:val="20"/>
          <w:lang w:val="es-ES"/>
        </w:rPr>
        <w:t xml:space="preserve">dos </w:t>
      </w:r>
      <w:r w:rsidRPr="00FA506F">
        <w:rPr>
          <w:szCs w:val="20"/>
          <w:lang w:val="es-ES"/>
        </w:rPr>
        <w:t>más fallecieron en el hospital</w:t>
      </w:r>
      <w:r w:rsidR="00F938DE" w:rsidRPr="00FA506F">
        <w:rPr>
          <w:rStyle w:val="FootnoteReference"/>
          <w:szCs w:val="20"/>
          <w:lang w:val="es-ES"/>
        </w:rPr>
        <w:footnoteReference w:id="21"/>
      </w:r>
      <w:r w:rsidRPr="00FA506F">
        <w:rPr>
          <w:szCs w:val="20"/>
          <w:lang w:val="es-ES"/>
        </w:rPr>
        <w:t>.</w:t>
      </w:r>
      <w:r w:rsidR="00146883" w:rsidRPr="00FA506F">
        <w:rPr>
          <w:szCs w:val="20"/>
          <w:lang w:val="es-ES"/>
        </w:rPr>
        <w:t xml:space="preserve"> En relación con este caso, la CIDH reconoce que la </w:t>
      </w:r>
      <w:r w:rsidR="005074D2">
        <w:rPr>
          <w:szCs w:val="20"/>
          <w:lang w:val="es-ES"/>
        </w:rPr>
        <w:t>p</w:t>
      </w:r>
      <w:r w:rsidR="00146883" w:rsidRPr="00FA506F">
        <w:rPr>
          <w:szCs w:val="20"/>
          <w:lang w:val="es-ES"/>
        </w:rPr>
        <w:t xml:space="preserve">residenta electa </w:t>
      </w:r>
      <w:r w:rsidR="00146883" w:rsidRPr="00FA506F">
        <w:rPr>
          <w:rFonts w:eastAsia="Times New Roman"/>
          <w:color w:val="191919"/>
          <w:szCs w:val="20"/>
          <w:shd w:val="clear" w:color="auto" w:fill="FFFFFF"/>
          <w:lang w:val="es-ES"/>
        </w:rPr>
        <w:t>Claudia Sheinbaum expresó dos días después que se trataba de un “hecho lamentable y tiene que ser investigado y sancionado”</w:t>
      </w:r>
      <w:r w:rsidR="00C070E7" w:rsidRPr="00FA506F">
        <w:rPr>
          <w:rFonts w:eastAsia="Times New Roman"/>
          <w:color w:val="191919"/>
          <w:szCs w:val="20"/>
          <w:shd w:val="clear" w:color="auto" w:fill="FFFFFF"/>
          <w:lang w:val="es-ES"/>
        </w:rPr>
        <w:t>; y que</w:t>
      </w:r>
      <w:r w:rsidR="00146883" w:rsidRPr="00FA506F">
        <w:rPr>
          <w:rFonts w:eastAsia="Times New Roman"/>
          <w:color w:val="191919"/>
          <w:szCs w:val="20"/>
          <w:shd w:val="clear" w:color="auto" w:fill="FFFFFF"/>
          <w:lang w:val="es-ES"/>
        </w:rPr>
        <w:t xml:space="preserve"> “No puede repetirse una situación as</w:t>
      </w:r>
      <w:r w:rsidR="00E05C93" w:rsidRPr="00FA506F">
        <w:rPr>
          <w:rFonts w:eastAsia="Times New Roman"/>
          <w:color w:val="191919"/>
          <w:szCs w:val="20"/>
          <w:shd w:val="clear" w:color="auto" w:fill="FFFFFF"/>
          <w:lang w:val="es-ES"/>
        </w:rPr>
        <w:t>í</w:t>
      </w:r>
      <w:r w:rsidR="00146883" w:rsidRPr="00FA506F">
        <w:rPr>
          <w:rFonts w:eastAsia="Times New Roman"/>
          <w:color w:val="191919"/>
          <w:szCs w:val="20"/>
          <w:shd w:val="clear" w:color="auto" w:fill="FFFFFF"/>
          <w:lang w:val="es-ES"/>
        </w:rPr>
        <w:t>”</w:t>
      </w:r>
      <w:r w:rsidR="00DD372E" w:rsidRPr="00FA506F">
        <w:rPr>
          <w:rStyle w:val="FootnoteReference"/>
          <w:rFonts w:eastAsia="Times New Roman"/>
          <w:color w:val="191919"/>
          <w:szCs w:val="20"/>
          <w:shd w:val="clear" w:color="auto" w:fill="FFFFFF"/>
          <w:lang w:val="es-ES"/>
        </w:rPr>
        <w:footnoteReference w:id="22"/>
      </w:r>
      <w:r w:rsidR="00146883" w:rsidRPr="00FA506F">
        <w:rPr>
          <w:rFonts w:eastAsia="Times New Roman"/>
          <w:color w:val="191919"/>
          <w:szCs w:val="20"/>
          <w:shd w:val="clear" w:color="auto" w:fill="FFFFFF"/>
          <w:lang w:val="es-ES"/>
        </w:rPr>
        <w:t>.</w:t>
      </w:r>
    </w:p>
    <w:p w14:paraId="16C418FD" w14:textId="2032E1A0" w:rsidR="00650E95" w:rsidRPr="00FA506F" w:rsidRDefault="00F938DE" w:rsidP="00B80A67">
      <w:pPr>
        <w:pStyle w:val="IAPrrafo"/>
        <w:numPr>
          <w:ilvl w:val="0"/>
          <w:numId w:val="4"/>
        </w:numPr>
        <w:tabs>
          <w:tab w:val="num" w:pos="720"/>
        </w:tabs>
        <w:ind w:firstLine="720"/>
        <w:rPr>
          <w:lang w:val="es-ES"/>
        </w:rPr>
      </w:pPr>
      <w:r w:rsidRPr="00FA506F">
        <w:rPr>
          <w:lang w:val="es-ES"/>
        </w:rPr>
        <w:t>Otro ejemplo referido por organizaciones de la sociedad civil está relacionado con el pronunciamiento emitido en septiembre de 2024 por parte de la Comisión Nacional de Derechos Humanos (CNDH), sobre el caso de la ejecución extrajudicial de la niña Heidi Mariana, cometida por agentes militares en Nuevo Laredo, Tamaulipas en 2022</w:t>
      </w:r>
      <w:r w:rsidR="006D1282" w:rsidRPr="00FA506F">
        <w:rPr>
          <w:lang w:val="es-ES"/>
        </w:rPr>
        <w:t>;</w:t>
      </w:r>
      <w:r w:rsidRPr="00FA506F">
        <w:rPr>
          <w:lang w:val="es-ES"/>
        </w:rPr>
        <w:t xml:space="preserve"> en el cual el organismo afirmó que “no cuenta con pruebas que vinculen directamente a la SEDENA con los hechos que derivaron en la trágica muerte de la menor”</w:t>
      </w:r>
      <w:r w:rsidRPr="00FA506F">
        <w:rPr>
          <w:rStyle w:val="FootnoteReference"/>
          <w:lang w:val="es-ES"/>
        </w:rPr>
        <w:footnoteReference w:id="23"/>
      </w:r>
      <w:r w:rsidRPr="00FA506F">
        <w:rPr>
          <w:lang w:val="es-ES"/>
        </w:rPr>
        <w:t>, sin que hubiera emitido una recomendación</w:t>
      </w:r>
      <w:r w:rsidR="000A1DFE" w:rsidRPr="00FA506F">
        <w:rPr>
          <w:rStyle w:val="FootnoteReference"/>
          <w:lang w:val="es-ES"/>
        </w:rPr>
        <w:footnoteReference w:id="24"/>
      </w:r>
      <w:r w:rsidRPr="00FA506F">
        <w:rPr>
          <w:lang w:val="es-ES"/>
        </w:rPr>
        <w:t>.</w:t>
      </w:r>
      <w:r w:rsidR="00650E95" w:rsidRPr="00FA506F">
        <w:rPr>
          <w:lang w:val="es-ES"/>
        </w:rPr>
        <w:t xml:space="preserve"> </w:t>
      </w:r>
    </w:p>
    <w:p w14:paraId="0FB4E2FD" w14:textId="77777777" w:rsidR="00F55FC1" w:rsidRPr="00FA506F" w:rsidRDefault="00F55FC1" w:rsidP="00D1134A">
      <w:pPr>
        <w:ind w:firstLine="720"/>
        <w:jc w:val="both"/>
        <w:rPr>
          <w:rFonts w:ascii="Cambria" w:eastAsia="Cambria" w:hAnsi="Cambria" w:cs="Cambria"/>
          <w:i/>
          <w:iCs/>
          <w:color w:val="000000" w:themeColor="text1"/>
          <w:sz w:val="20"/>
          <w:szCs w:val="20"/>
          <w:lang w:val="es-ES"/>
        </w:rPr>
      </w:pPr>
      <w:bookmarkStart w:id="9" w:name="_Toc146037759"/>
      <w:r w:rsidRPr="00FA506F">
        <w:rPr>
          <w:rFonts w:ascii="Cambria" w:eastAsia="Cambria" w:hAnsi="Cambria" w:cs="Cambria"/>
          <w:i/>
          <w:iCs/>
          <w:color w:val="000000" w:themeColor="text1"/>
          <w:sz w:val="20"/>
          <w:szCs w:val="20"/>
          <w:lang w:val="es-ES"/>
        </w:rPr>
        <w:t>Análisis y nivel de cumplimiento de la recomendación</w:t>
      </w:r>
      <w:bookmarkEnd w:id="9"/>
    </w:p>
    <w:p w14:paraId="2974B5F7"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75176667" w14:textId="15978839" w:rsidR="5D40A20B" w:rsidRPr="00FA506F" w:rsidRDefault="00446046" w:rsidP="00B80A67">
      <w:pPr>
        <w:pStyle w:val="IAPrrafo"/>
        <w:numPr>
          <w:ilvl w:val="0"/>
          <w:numId w:val="4"/>
        </w:numPr>
        <w:tabs>
          <w:tab w:val="num" w:pos="720"/>
        </w:tabs>
        <w:ind w:firstLine="720"/>
        <w:rPr>
          <w:lang w:val="es-ES"/>
        </w:rPr>
      </w:pPr>
      <w:r w:rsidRPr="00FA506F">
        <w:rPr>
          <w:lang w:val="es-ES"/>
        </w:rPr>
        <w:t>Si</w:t>
      </w:r>
      <w:r w:rsidR="00F938DE" w:rsidRPr="00FA506F">
        <w:rPr>
          <w:lang w:val="es-ES"/>
        </w:rPr>
        <w:t xml:space="preserve"> bien la Comisión valora la información reportada en relación con la normativa que regula y prohíbe las declaraciones públicas, de funcionarios/as estatales, sobre la legalidad de las FFAA, </w:t>
      </w:r>
      <w:r w:rsidR="005C4F88" w:rsidRPr="00FA506F">
        <w:rPr>
          <w:lang w:val="es-ES"/>
        </w:rPr>
        <w:t>la información reportada por las organizaciones de la sociedad civil da</w:t>
      </w:r>
      <w:r w:rsidR="00F938DE" w:rsidRPr="00FA506F">
        <w:rPr>
          <w:lang w:val="es-ES"/>
        </w:rPr>
        <w:t xml:space="preserve"> cuenta de que en la práctica la regulación referida por el Estado no estaría siendo aplicada, debido a que continúan las declaraciones anticipadas sobre la actuación de las FFAA</w:t>
      </w:r>
      <w:r w:rsidR="005C4F88" w:rsidRPr="00FA506F">
        <w:rPr>
          <w:lang w:val="es-ES"/>
        </w:rPr>
        <w:t xml:space="preserve"> por diversos actores</w:t>
      </w:r>
      <w:r w:rsidR="00454AE0" w:rsidRPr="00FA506F">
        <w:rPr>
          <w:lang w:val="es-ES"/>
        </w:rPr>
        <w:t xml:space="preserve">. </w:t>
      </w:r>
      <w:r w:rsidR="00A57D0C" w:rsidRPr="00FA506F">
        <w:rPr>
          <w:lang w:val="es-ES"/>
        </w:rPr>
        <w:t>Por lo anterio</w:t>
      </w:r>
      <w:r w:rsidR="008A74F5" w:rsidRPr="00FA506F">
        <w:rPr>
          <w:lang w:val="es-ES"/>
        </w:rPr>
        <w:t>r</w:t>
      </w:r>
      <w:r w:rsidR="005C4F88" w:rsidRPr="00FA506F">
        <w:rPr>
          <w:lang w:val="es-ES"/>
        </w:rPr>
        <w:t xml:space="preserve">, la CIDH mantiene la recomendación en </w:t>
      </w:r>
      <w:r w:rsidR="005C4F88" w:rsidRPr="00FA506F">
        <w:rPr>
          <w:b/>
          <w:bCs/>
          <w:lang w:val="es-ES"/>
        </w:rPr>
        <w:t>cumplimiento parcial.</w:t>
      </w:r>
    </w:p>
    <w:p w14:paraId="207FC4AF" w14:textId="77777777" w:rsidR="00F55FC1" w:rsidRPr="00FA506F" w:rsidRDefault="00F55FC1" w:rsidP="00D1134A">
      <w:pPr>
        <w:ind w:firstLine="720"/>
        <w:jc w:val="both"/>
        <w:rPr>
          <w:rFonts w:ascii="Cambria" w:eastAsia="Cambria" w:hAnsi="Cambria" w:cs="Cambria"/>
          <w:i/>
          <w:iCs/>
          <w:color w:val="000000" w:themeColor="text1"/>
          <w:sz w:val="20"/>
          <w:szCs w:val="20"/>
          <w:lang w:val="es-ES"/>
        </w:rPr>
      </w:pPr>
      <w:bookmarkStart w:id="10" w:name="_Toc146037760"/>
      <w:r w:rsidRPr="00FA506F">
        <w:rPr>
          <w:rFonts w:ascii="Cambria" w:eastAsia="Cambria" w:hAnsi="Cambria" w:cs="Cambria"/>
          <w:i/>
          <w:iCs/>
          <w:color w:val="000000" w:themeColor="text1"/>
          <w:sz w:val="20"/>
          <w:szCs w:val="20"/>
          <w:lang w:val="es-ES"/>
        </w:rPr>
        <w:t>Medidas e información para avanzar en el cumplimiento de la recomendación</w:t>
      </w:r>
      <w:bookmarkEnd w:id="10"/>
      <w:r w:rsidRPr="00FA506F">
        <w:rPr>
          <w:rFonts w:ascii="Cambria" w:eastAsia="Cambria" w:hAnsi="Cambria" w:cs="Cambria"/>
          <w:i/>
          <w:iCs/>
          <w:color w:val="000000" w:themeColor="text1"/>
          <w:sz w:val="20"/>
          <w:szCs w:val="20"/>
          <w:lang w:val="es-ES"/>
        </w:rPr>
        <w:t xml:space="preserve"> </w:t>
      </w:r>
    </w:p>
    <w:p w14:paraId="60A934D4"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565C9F40" w14:textId="0FC1897E" w:rsidR="00F55FC1" w:rsidRPr="00FA506F" w:rsidRDefault="005C4F88" w:rsidP="00B80A67">
      <w:pPr>
        <w:pStyle w:val="IAPrrafo"/>
        <w:numPr>
          <w:ilvl w:val="0"/>
          <w:numId w:val="4"/>
        </w:numPr>
        <w:tabs>
          <w:tab w:val="num" w:pos="720"/>
        </w:tabs>
        <w:ind w:firstLine="720"/>
        <w:rPr>
          <w:lang w:val="es-ES"/>
        </w:rPr>
      </w:pPr>
      <w:r w:rsidRPr="00FA506F">
        <w:rPr>
          <w:lang w:val="es-ES"/>
        </w:rPr>
        <w:t>La CIDH invita al Estado a proporcionar información específica</w:t>
      </w:r>
      <w:r w:rsidR="00446046" w:rsidRPr="00FA506F">
        <w:rPr>
          <w:lang w:val="es-ES"/>
        </w:rPr>
        <w:t xml:space="preserve"> sobre</w:t>
      </w:r>
      <w:r w:rsidRPr="00FA506F">
        <w:rPr>
          <w:lang w:val="es-ES"/>
        </w:rPr>
        <w:t xml:space="preserve"> cómo estaría atendiendo aquellos casos donde se acreditó un posicionamiento anticipado de la legalidad del actuar de las </w:t>
      </w:r>
      <w:r w:rsidR="00C414A5" w:rsidRPr="00FA506F">
        <w:rPr>
          <w:lang w:val="es-ES"/>
        </w:rPr>
        <w:t>f</w:t>
      </w:r>
      <w:r w:rsidR="00650E95" w:rsidRPr="00FA506F">
        <w:rPr>
          <w:lang w:val="es-ES"/>
        </w:rPr>
        <w:t xml:space="preserve">uerzas de </w:t>
      </w:r>
      <w:r w:rsidR="00C414A5" w:rsidRPr="00FA506F">
        <w:rPr>
          <w:lang w:val="es-ES"/>
        </w:rPr>
        <w:t>s</w:t>
      </w:r>
      <w:r w:rsidR="00650E95" w:rsidRPr="00FA506F">
        <w:rPr>
          <w:lang w:val="es-ES"/>
        </w:rPr>
        <w:t>eguridad.</w:t>
      </w:r>
      <w:r w:rsidRPr="00FA506F">
        <w:rPr>
          <w:lang w:val="es-ES"/>
        </w:rPr>
        <w:t xml:space="preserve"> </w:t>
      </w:r>
      <w:r w:rsidR="008C2DA5" w:rsidRPr="00FA506F">
        <w:rPr>
          <w:lang w:val="es-ES"/>
        </w:rPr>
        <w:t>Es</w:t>
      </w:r>
      <w:r w:rsidRPr="00FA506F">
        <w:rPr>
          <w:lang w:val="es-ES"/>
        </w:rPr>
        <w:t xml:space="preserve"> importante que</w:t>
      </w:r>
      <w:r w:rsidR="00C414A5" w:rsidRPr="00FA506F">
        <w:rPr>
          <w:lang w:val="es-ES"/>
        </w:rPr>
        <w:t>,</w:t>
      </w:r>
      <w:r w:rsidRPr="00FA506F">
        <w:rPr>
          <w:lang w:val="es-ES"/>
        </w:rPr>
        <w:t xml:space="preserve"> más allá de la regulación existente, se sensibilice al funcionariado público </w:t>
      </w:r>
      <w:r w:rsidR="00446046" w:rsidRPr="00FA506F">
        <w:rPr>
          <w:lang w:val="es-ES"/>
        </w:rPr>
        <w:t>sobre</w:t>
      </w:r>
      <w:r w:rsidRPr="00FA506F">
        <w:rPr>
          <w:lang w:val="es-ES"/>
        </w:rPr>
        <w:t xml:space="preserve"> las implicaciones que tiene una declaración pública validando la legalidad de un hecho que no ha sido </w:t>
      </w:r>
      <w:r w:rsidR="00A05AF0" w:rsidRPr="00FA506F">
        <w:rPr>
          <w:lang w:val="es-ES"/>
        </w:rPr>
        <w:t xml:space="preserve">dilucidado aún en el marco </w:t>
      </w:r>
      <w:r w:rsidRPr="00FA506F">
        <w:rPr>
          <w:lang w:val="es-ES"/>
        </w:rPr>
        <w:t>de un proceso judicial.</w:t>
      </w:r>
    </w:p>
    <w:p w14:paraId="3A564C37" w14:textId="1ACB0F5C" w:rsidR="00F55FC1" w:rsidRPr="00FA506F" w:rsidRDefault="00F55FC1"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5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Adoptar e implementar medidas de rendición de cuentas por un cuerpo independiente de todas las fuerzas de seguridad </w:t>
      </w:r>
      <w:r w:rsidR="00780614"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en relación con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operativos y tareas de seguridad pública en donde haya privación de la vida. </w:t>
      </w:r>
    </w:p>
    <w:p w14:paraId="7B801956" w14:textId="77777777" w:rsidR="00F55FC1" w:rsidRPr="00FA506F" w:rsidRDefault="00F55FC1" w:rsidP="00B80A67">
      <w:pPr>
        <w:jc w:val="both"/>
        <w:rPr>
          <w:rFonts w:ascii="Cambria" w:eastAsia="Cambria" w:hAnsi="Cambria" w:cs="Cambria"/>
          <w:i/>
          <w:iCs/>
          <w:color w:val="000000" w:themeColor="text1"/>
          <w:sz w:val="20"/>
          <w:szCs w:val="20"/>
          <w:lang w:val="es-ES"/>
        </w:rPr>
      </w:pPr>
    </w:p>
    <w:p w14:paraId="5933CC90" w14:textId="7648DFDD" w:rsidR="00780614" w:rsidRPr="00FA506F" w:rsidRDefault="00F55FC1" w:rsidP="00B80A67">
      <w:pPr>
        <w:pStyle w:val="IAPrrafo"/>
        <w:numPr>
          <w:ilvl w:val="0"/>
          <w:numId w:val="4"/>
        </w:numPr>
        <w:tabs>
          <w:tab w:val="num" w:pos="720"/>
        </w:tabs>
        <w:ind w:firstLine="720"/>
        <w:rPr>
          <w:lang w:val="es-ES"/>
        </w:rPr>
      </w:pPr>
      <w:r w:rsidRPr="00FA506F">
        <w:rPr>
          <w:lang w:val="es-ES"/>
        </w:rPr>
        <w:t>En el Capítulo V del Informe Anual de 202</w:t>
      </w:r>
      <w:r w:rsidR="274912FD" w:rsidRPr="00FA506F">
        <w:rPr>
          <w:lang w:val="es-ES"/>
        </w:rPr>
        <w:t>3</w:t>
      </w:r>
      <w:r w:rsidRPr="00FA506F">
        <w:rPr>
          <w:lang w:val="es-ES"/>
        </w:rPr>
        <w:t xml:space="preserve">, </w:t>
      </w:r>
      <w:r w:rsidR="5D7131B2" w:rsidRPr="00FA506F">
        <w:rPr>
          <w:lang w:val="es-ES"/>
        </w:rPr>
        <w:t>el Estado informó a la CIDH sobre la adopción de directrices para el uso legítimo de la fuerza por parte de la Policía Federal Ministerial y la capacitación correspondiente</w:t>
      </w:r>
      <w:r w:rsidR="56B474A3" w:rsidRPr="00FA506F">
        <w:rPr>
          <w:lang w:val="es-ES"/>
        </w:rPr>
        <w:t>. Al mismo tiempo,</w:t>
      </w:r>
      <w:r w:rsidR="5D7131B2" w:rsidRPr="00FA506F">
        <w:rPr>
          <w:lang w:val="es-ES"/>
        </w:rPr>
        <w:t xml:space="preserve"> organizaciones de la sociedad civil </w:t>
      </w:r>
      <w:r w:rsidR="00BE6519" w:rsidRPr="00FA506F">
        <w:rPr>
          <w:lang w:val="es-ES"/>
        </w:rPr>
        <w:t>destacaron</w:t>
      </w:r>
      <w:r w:rsidR="5D7131B2" w:rsidRPr="00FA506F">
        <w:rPr>
          <w:lang w:val="es-ES"/>
        </w:rPr>
        <w:t xml:space="preserve"> un incumplimiento en la emisión de los reportes detallados sobre el uso de la fuerza, ya que se registraron solo 40 reportes de los 421 que debieron emitirse según la normativa.</w:t>
      </w:r>
      <w:r w:rsidR="00446F81" w:rsidRPr="00FA506F">
        <w:rPr>
          <w:lang w:val="es-ES"/>
        </w:rPr>
        <w:t xml:space="preserve"> Las organizaciones refirieron</w:t>
      </w:r>
      <w:r w:rsidR="00101C61" w:rsidRPr="00FA506F">
        <w:rPr>
          <w:lang w:val="es-ES"/>
        </w:rPr>
        <w:t xml:space="preserve"> que </w:t>
      </w:r>
      <w:r w:rsidR="5D7131B2" w:rsidRPr="00FA506F">
        <w:rPr>
          <w:lang w:val="es-ES"/>
        </w:rPr>
        <w:t>el Estado no ha</w:t>
      </w:r>
      <w:r w:rsidR="00D5335F" w:rsidRPr="00FA506F">
        <w:rPr>
          <w:lang w:val="es-ES"/>
        </w:rPr>
        <w:t>bía</w:t>
      </w:r>
      <w:r w:rsidR="5D7131B2" w:rsidRPr="00FA506F">
        <w:rPr>
          <w:lang w:val="es-ES"/>
        </w:rPr>
        <w:t xml:space="preserve"> implementado la creación de un observatorio independiente ordenado por la Corte Interamericana en el caso </w:t>
      </w:r>
      <w:r w:rsidR="00027957" w:rsidRPr="00FA506F">
        <w:rPr>
          <w:lang w:val="es-ES"/>
        </w:rPr>
        <w:t>“</w:t>
      </w:r>
      <w:r w:rsidR="5D7131B2" w:rsidRPr="00FA506F">
        <w:rPr>
          <w:lang w:val="es-ES"/>
        </w:rPr>
        <w:t>Mujeres</w:t>
      </w:r>
      <w:r w:rsidR="00E96A81" w:rsidRPr="00FA506F">
        <w:rPr>
          <w:lang w:val="es-ES"/>
        </w:rPr>
        <w:t xml:space="preserve"> víctimas de tortura sexual</w:t>
      </w:r>
      <w:r w:rsidR="5D7131B2" w:rsidRPr="00FA506F">
        <w:rPr>
          <w:lang w:val="es-ES"/>
        </w:rPr>
        <w:t xml:space="preserve"> e</w:t>
      </w:r>
      <w:r w:rsidR="00E96A81" w:rsidRPr="00FA506F">
        <w:rPr>
          <w:lang w:val="es-ES"/>
        </w:rPr>
        <w:t>n</w:t>
      </w:r>
      <w:r w:rsidR="5D7131B2" w:rsidRPr="00FA506F">
        <w:rPr>
          <w:lang w:val="es-ES"/>
        </w:rPr>
        <w:t xml:space="preserve"> Atenco</w:t>
      </w:r>
      <w:r w:rsidR="00027957" w:rsidRPr="00FA506F">
        <w:rPr>
          <w:lang w:val="es-ES"/>
        </w:rPr>
        <w:t>”</w:t>
      </w:r>
      <w:r w:rsidR="5D7131B2" w:rsidRPr="00FA506F">
        <w:rPr>
          <w:lang w:val="es-ES"/>
        </w:rPr>
        <w:t xml:space="preserve">, para monitorear la rendición de cuentas en el uso de la fuerza. La CIDH </w:t>
      </w:r>
      <w:r w:rsidR="00FB7656" w:rsidRPr="00FA506F">
        <w:rPr>
          <w:lang w:val="es-ES"/>
        </w:rPr>
        <w:t xml:space="preserve">remarcó </w:t>
      </w:r>
      <w:r w:rsidR="5D7131B2" w:rsidRPr="00FA506F">
        <w:rPr>
          <w:lang w:val="es-ES"/>
        </w:rPr>
        <w:t xml:space="preserve">la discrepancia entre la información estatal y la proporcionada por la sociedad civil, determinando que la recomendación </w:t>
      </w:r>
      <w:r w:rsidR="468A62FF" w:rsidRPr="00FA506F">
        <w:rPr>
          <w:lang w:val="es-ES"/>
        </w:rPr>
        <w:t>est</w:t>
      </w:r>
      <w:r w:rsidR="00FB7656" w:rsidRPr="00FA506F">
        <w:rPr>
          <w:lang w:val="es-ES"/>
        </w:rPr>
        <w:t>aba</w:t>
      </w:r>
      <w:r w:rsidR="468A62FF" w:rsidRPr="00FA506F">
        <w:rPr>
          <w:lang w:val="es-ES"/>
        </w:rPr>
        <w:t xml:space="preserve"> </w:t>
      </w:r>
      <w:r w:rsidR="5D7131B2" w:rsidRPr="00FA506F">
        <w:rPr>
          <w:lang w:val="es-ES"/>
        </w:rPr>
        <w:t>pendiente de cumplimiento. La Comisión inst</w:t>
      </w:r>
      <w:r w:rsidR="0EAC0A75" w:rsidRPr="00FA506F">
        <w:rPr>
          <w:lang w:val="es-ES"/>
        </w:rPr>
        <w:t>ó</w:t>
      </w:r>
      <w:r w:rsidR="5D7131B2" w:rsidRPr="00FA506F">
        <w:rPr>
          <w:lang w:val="es-ES"/>
        </w:rPr>
        <w:t xml:space="preserve"> al Estado a garantizar un compromiso no solo normativo, sino en la implementación efectiva, y a establecer un cuerpo independiente que asegure la imparcialidad en la rendición de cuentas y el procesamiento de la información sobre el uso de la fuerza</w:t>
      </w:r>
      <w:r w:rsidRPr="00FA506F">
        <w:rPr>
          <w:rStyle w:val="FootnoteReference"/>
          <w:lang w:val="es-ES"/>
        </w:rPr>
        <w:footnoteReference w:id="25"/>
      </w:r>
      <w:r w:rsidRPr="00FA506F">
        <w:rPr>
          <w:lang w:val="es-ES"/>
        </w:rPr>
        <w:t>.</w:t>
      </w:r>
    </w:p>
    <w:p w14:paraId="0E0A6D86" w14:textId="75FB8F89" w:rsidR="00780614" w:rsidRPr="00FA506F" w:rsidRDefault="00780614" w:rsidP="00D1134A">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7B91DEDC" w14:textId="77777777" w:rsidR="00780614" w:rsidRPr="00FA506F" w:rsidRDefault="00780614" w:rsidP="00B80A67">
      <w:pPr>
        <w:ind w:firstLine="360"/>
        <w:jc w:val="both"/>
        <w:rPr>
          <w:rFonts w:ascii="Cambria" w:eastAsia="Cambria" w:hAnsi="Cambria" w:cs="Cambria"/>
          <w:i/>
          <w:iCs/>
          <w:color w:val="000000" w:themeColor="text1"/>
          <w:sz w:val="20"/>
          <w:szCs w:val="20"/>
          <w:lang w:val="es-ES"/>
        </w:rPr>
      </w:pPr>
    </w:p>
    <w:p w14:paraId="677D36FA" w14:textId="778301FC" w:rsidR="00C7097A" w:rsidRPr="00FA506F" w:rsidRDefault="005C4F88" w:rsidP="00D1134A">
      <w:pPr>
        <w:pStyle w:val="IAPrrafo"/>
        <w:numPr>
          <w:ilvl w:val="0"/>
          <w:numId w:val="4"/>
        </w:numPr>
        <w:tabs>
          <w:tab w:val="num" w:pos="720"/>
        </w:tabs>
        <w:ind w:firstLine="720"/>
        <w:rPr>
          <w:rFonts w:eastAsia="Cambria" w:cs="Cambria"/>
          <w:i/>
          <w:iCs/>
          <w:color w:val="000000" w:themeColor="text1"/>
          <w:szCs w:val="20"/>
          <w:lang w:val="es-ES"/>
        </w:rPr>
      </w:pPr>
      <w:bookmarkStart w:id="11" w:name="_Toc146037761"/>
      <w:r w:rsidRPr="00FA506F">
        <w:rPr>
          <w:lang w:val="es-ES"/>
        </w:rPr>
        <w:t xml:space="preserve">En 2024 el Estado reiteró la adopción de </w:t>
      </w:r>
      <w:r w:rsidR="00391C23" w:rsidRPr="00FA506F">
        <w:rPr>
          <w:lang w:val="es-ES"/>
        </w:rPr>
        <w:t>un enfoque centrado en la inteligencia para combatir la violencia</w:t>
      </w:r>
      <w:r w:rsidRPr="00FA506F">
        <w:rPr>
          <w:lang w:val="es-ES"/>
        </w:rPr>
        <w:t xml:space="preserve">. El Estado </w:t>
      </w:r>
      <w:r w:rsidR="00844189" w:rsidRPr="00FA506F">
        <w:rPr>
          <w:lang w:val="es-ES"/>
        </w:rPr>
        <w:t>precisó</w:t>
      </w:r>
      <w:r w:rsidRPr="00FA506F">
        <w:rPr>
          <w:lang w:val="es-ES"/>
        </w:rPr>
        <w:t xml:space="preserve"> la</w:t>
      </w:r>
      <w:r w:rsidR="00391C23" w:rsidRPr="00FA506F">
        <w:rPr>
          <w:lang w:val="es-ES"/>
        </w:rPr>
        <w:t xml:space="preserve"> reducción del 36</w:t>
      </w:r>
      <w:r w:rsidR="00CB6EE7" w:rsidRPr="00FA506F">
        <w:rPr>
          <w:lang w:val="es-ES"/>
        </w:rPr>
        <w:t>,</w:t>
      </w:r>
      <w:r w:rsidR="00391C23" w:rsidRPr="00FA506F">
        <w:rPr>
          <w:lang w:val="es-ES"/>
        </w:rPr>
        <w:t>7% en el número de feminicidios y del 21</w:t>
      </w:r>
      <w:r w:rsidR="00CB6EE7" w:rsidRPr="00FA506F">
        <w:rPr>
          <w:lang w:val="es-ES"/>
        </w:rPr>
        <w:t>,</w:t>
      </w:r>
      <w:r w:rsidR="00391C23" w:rsidRPr="00FA506F">
        <w:rPr>
          <w:lang w:val="es-ES"/>
        </w:rPr>
        <w:t>4% en homicidios dolosos entre diciembre de 2018 y julio de 2024</w:t>
      </w:r>
      <w:r w:rsidRPr="00FA506F">
        <w:rPr>
          <w:lang w:val="es-ES"/>
        </w:rPr>
        <w:t xml:space="preserve">. </w:t>
      </w:r>
      <w:r w:rsidR="005076DB" w:rsidRPr="00FA506F">
        <w:rPr>
          <w:lang w:val="es-ES"/>
        </w:rPr>
        <w:t xml:space="preserve">El Estado </w:t>
      </w:r>
      <w:r w:rsidR="00844189" w:rsidRPr="00FA506F">
        <w:rPr>
          <w:lang w:val="es-ES"/>
        </w:rPr>
        <w:t xml:space="preserve">explicitó </w:t>
      </w:r>
      <w:r w:rsidRPr="00FA506F">
        <w:rPr>
          <w:lang w:val="es-ES"/>
        </w:rPr>
        <w:t xml:space="preserve">el </w:t>
      </w:r>
      <w:r w:rsidR="00391C23" w:rsidRPr="00FA506F">
        <w:rPr>
          <w:lang w:val="es-ES"/>
        </w:rPr>
        <w:t xml:space="preserve">descenso del 82% en los secuestros. </w:t>
      </w:r>
      <w:r w:rsidR="007C7D18" w:rsidRPr="00FA506F">
        <w:rPr>
          <w:lang w:val="es-ES"/>
        </w:rPr>
        <w:t xml:space="preserve">Añadió </w:t>
      </w:r>
      <w:r w:rsidRPr="00FA506F">
        <w:rPr>
          <w:lang w:val="es-ES"/>
        </w:rPr>
        <w:t xml:space="preserve">que el </w:t>
      </w:r>
      <w:r w:rsidR="00391C23" w:rsidRPr="00FA506F">
        <w:rPr>
          <w:lang w:val="es-ES"/>
        </w:rPr>
        <w:t xml:space="preserve">Fondo de Aportaciones para la Seguridad Pública (FASP) </w:t>
      </w:r>
      <w:r w:rsidRPr="00FA506F">
        <w:rPr>
          <w:lang w:val="es-ES"/>
        </w:rPr>
        <w:t>habría</w:t>
      </w:r>
      <w:r w:rsidR="00391C23" w:rsidRPr="00FA506F">
        <w:rPr>
          <w:lang w:val="es-ES"/>
        </w:rPr>
        <w:t xml:space="preserve"> mejorado los sistemas de información y </w:t>
      </w:r>
      <w:r w:rsidRPr="00FA506F">
        <w:rPr>
          <w:lang w:val="es-ES"/>
        </w:rPr>
        <w:t xml:space="preserve">con ello </w:t>
      </w:r>
      <w:r w:rsidR="00391C23" w:rsidRPr="00FA506F">
        <w:rPr>
          <w:lang w:val="es-ES"/>
        </w:rPr>
        <w:t>se ha</w:t>
      </w:r>
      <w:r w:rsidRPr="00FA506F">
        <w:rPr>
          <w:lang w:val="es-ES"/>
        </w:rPr>
        <w:t>bría</w:t>
      </w:r>
      <w:r w:rsidR="00391C23" w:rsidRPr="00FA506F">
        <w:rPr>
          <w:lang w:val="es-ES"/>
        </w:rPr>
        <w:t xml:space="preserve"> logrado disminuir la incidencia delictiva.</w:t>
      </w:r>
      <w:r w:rsidRPr="00FA506F">
        <w:rPr>
          <w:lang w:val="es-ES"/>
        </w:rPr>
        <w:t xml:space="preserve"> El Estado expresó que diversos</w:t>
      </w:r>
      <w:r w:rsidR="00391C23" w:rsidRPr="00FA506F">
        <w:rPr>
          <w:lang w:val="es-ES"/>
        </w:rPr>
        <w:t xml:space="preserve"> Protocolos de actuación y manuales sobre el uso de la fuerza ha</w:t>
      </w:r>
      <w:r w:rsidRPr="00FA506F">
        <w:rPr>
          <w:lang w:val="es-ES"/>
        </w:rPr>
        <w:t>bría</w:t>
      </w:r>
      <w:r w:rsidR="00391C23" w:rsidRPr="00FA506F">
        <w:rPr>
          <w:lang w:val="es-ES"/>
        </w:rPr>
        <w:t xml:space="preserve">n sido implementados por la </w:t>
      </w:r>
      <w:r w:rsidRPr="00FA506F">
        <w:rPr>
          <w:lang w:val="es-ES"/>
        </w:rPr>
        <w:t>GN. En el mismo sentido, l</w:t>
      </w:r>
      <w:r w:rsidR="00391C23" w:rsidRPr="00FA506F">
        <w:rPr>
          <w:lang w:val="es-ES"/>
        </w:rPr>
        <w:t>a Estrategia Nacional de Seguridad Pública busca</w:t>
      </w:r>
      <w:r w:rsidRPr="00FA506F">
        <w:rPr>
          <w:lang w:val="es-ES"/>
        </w:rPr>
        <w:t>ría</w:t>
      </w:r>
      <w:r w:rsidR="00391C23" w:rsidRPr="00FA506F">
        <w:rPr>
          <w:lang w:val="es-ES"/>
        </w:rPr>
        <w:t xml:space="preserve"> coordinar esfuerzos y priorizar el respeto a los derechos humanos. El Registro Nacional de Detenciones reporta más de 1</w:t>
      </w:r>
      <w:r w:rsidR="00644632" w:rsidRPr="00FA506F">
        <w:rPr>
          <w:lang w:val="es-ES"/>
        </w:rPr>
        <w:t>,</w:t>
      </w:r>
      <w:r w:rsidR="00391C23" w:rsidRPr="00FA506F">
        <w:rPr>
          <w:lang w:val="es-ES"/>
        </w:rPr>
        <w:t>4 millones de capturas, mostrando un ligero descenso en comparación con periodos anteriores. El Instituto Federal de Defensoría Pública ha</w:t>
      </w:r>
      <w:r w:rsidR="00C7097A" w:rsidRPr="00FA506F">
        <w:rPr>
          <w:lang w:val="es-ES"/>
        </w:rPr>
        <w:t>bría</w:t>
      </w:r>
      <w:r w:rsidR="00391C23" w:rsidRPr="00FA506F">
        <w:rPr>
          <w:lang w:val="es-ES"/>
        </w:rPr>
        <w:t xml:space="preserve"> proporcionado servicios legales y apoyo a personas detenidas, resultando en numerosas liberaciones y mejoras en las condiciones carcelarias. </w:t>
      </w:r>
      <w:r w:rsidR="00446F81" w:rsidRPr="00FA506F">
        <w:rPr>
          <w:lang w:val="es-ES"/>
        </w:rPr>
        <w:t>El</w:t>
      </w:r>
      <w:r w:rsidR="00391C23" w:rsidRPr="00FA506F">
        <w:rPr>
          <w:lang w:val="es-ES"/>
        </w:rPr>
        <w:t xml:space="preserve"> </w:t>
      </w:r>
      <w:r w:rsidR="00C7097A" w:rsidRPr="00FA506F">
        <w:rPr>
          <w:lang w:val="es-ES"/>
        </w:rPr>
        <w:t xml:space="preserve">Estado </w:t>
      </w:r>
      <w:r w:rsidR="00527161" w:rsidRPr="00FA506F">
        <w:rPr>
          <w:lang w:val="es-ES"/>
        </w:rPr>
        <w:t xml:space="preserve">sostuvo </w:t>
      </w:r>
      <w:r w:rsidR="00C7097A" w:rsidRPr="00FA506F">
        <w:rPr>
          <w:lang w:val="es-ES"/>
        </w:rPr>
        <w:t xml:space="preserve">que el </w:t>
      </w:r>
      <w:r w:rsidR="00391C23" w:rsidRPr="00FA506F">
        <w:rPr>
          <w:lang w:val="es-ES"/>
        </w:rPr>
        <w:t>Programa Nacional de Seguridad Pública 2022-2024 inclu</w:t>
      </w:r>
      <w:r w:rsidR="00C7097A" w:rsidRPr="00FA506F">
        <w:rPr>
          <w:lang w:val="es-ES"/>
        </w:rPr>
        <w:t>iría</w:t>
      </w:r>
      <w:r w:rsidR="00391C23" w:rsidRPr="00FA506F">
        <w:rPr>
          <w:lang w:val="es-ES"/>
        </w:rPr>
        <w:t xml:space="preserve"> indicadores que evalúan el desempeño de las fuerzas de seguridad en relación con la reducción del crimen y el respeto a los derechos humanos</w:t>
      </w:r>
      <w:r w:rsidR="00C7097A" w:rsidRPr="00FA506F">
        <w:rPr>
          <w:lang w:val="es-ES"/>
        </w:rPr>
        <w:t xml:space="preserve">, e </w:t>
      </w:r>
      <w:r w:rsidR="00454AE0" w:rsidRPr="00FA506F">
        <w:rPr>
          <w:lang w:val="es-ES"/>
        </w:rPr>
        <w:t>informó</w:t>
      </w:r>
      <w:r w:rsidR="00C7097A" w:rsidRPr="00FA506F">
        <w:rPr>
          <w:lang w:val="es-ES"/>
        </w:rPr>
        <w:t xml:space="preserve"> que la CNDH es el órgano responsable de recibir quejas en contra de funcionarios públicos</w:t>
      </w:r>
      <w:r w:rsidR="000A1DFE" w:rsidRPr="00FA506F">
        <w:rPr>
          <w:rStyle w:val="FootnoteReference"/>
          <w:lang w:val="es-ES"/>
        </w:rPr>
        <w:footnoteReference w:id="26"/>
      </w:r>
      <w:r w:rsidR="00C7097A" w:rsidRPr="00FA506F">
        <w:rPr>
          <w:lang w:val="es-ES"/>
        </w:rPr>
        <w:t>.</w:t>
      </w:r>
    </w:p>
    <w:p w14:paraId="590B2E73" w14:textId="5E9F6CF8" w:rsidR="00F55FC1" w:rsidRPr="00FA506F" w:rsidRDefault="00F55FC1" w:rsidP="004F7182">
      <w:pPr>
        <w:pStyle w:val="IAPrrafo"/>
        <w:ind w:left="360" w:firstLine="360"/>
        <w:rPr>
          <w:rFonts w:eastAsia="Cambria" w:cs="Cambria"/>
          <w:i/>
          <w:iCs/>
          <w:color w:val="000000" w:themeColor="text1"/>
          <w:szCs w:val="20"/>
          <w:lang w:val="es-ES"/>
        </w:rPr>
      </w:pPr>
      <w:r w:rsidRPr="00FA506F">
        <w:rPr>
          <w:rFonts w:eastAsia="Cambria" w:cs="Cambria"/>
          <w:i/>
          <w:iCs/>
          <w:color w:val="000000" w:themeColor="text1"/>
          <w:szCs w:val="20"/>
          <w:lang w:val="es-ES"/>
        </w:rPr>
        <w:t>Análisis y nivel de cumplimiento de la recomendación</w:t>
      </w:r>
      <w:bookmarkEnd w:id="11"/>
    </w:p>
    <w:p w14:paraId="3333682D" w14:textId="7BCF62DD" w:rsidR="619CD798" w:rsidRPr="00FA506F" w:rsidRDefault="00C7097A" w:rsidP="00B80A67">
      <w:pPr>
        <w:pStyle w:val="IAPrrafo"/>
        <w:numPr>
          <w:ilvl w:val="0"/>
          <w:numId w:val="4"/>
        </w:numPr>
        <w:tabs>
          <w:tab w:val="num" w:pos="720"/>
        </w:tabs>
        <w:ind w:firstLine="720"/>
        <w:rPr>
          <w:lang w:val="es-ES"/>
        </w:rPr>
      </w:pPr>
      <w:r w:rsidRPr="00FA506F">
        <w:rPr>
          <w:lang w:val="es-ES"/>
        </w:rPr>
        <w:t>La información reportada da cuenta de una estrategia de seguridad y de cifras relacionadas con la reducción de algunos delitos. Sin embargo, esta recomendación solicita al Estado la implementación de medidas de rendición de cuentas por un cuerpo independiente</w:t>
      </w:r>
      <w:r w:rsidR="002D60E8" w:rsidRPr="00FA506F">
        <w:rPr>
          <w:lang w:val="es-ES"/>
        </w:rPr>
        <w:t xml:space="preserve"> en casos de privación de la vida por parte de fuerzas de seguridad</w:t>
      </w:r>
      <w:r w:rsidRPr="00FA506F">
        <w:rPr>
          <w:lang w:val="es-ES"/>
        </w:rPr>
        <w:t xml:space="preserve">. </w:t>
      </w:r>
      <w:r w:rsidR="00446046" w:rsidRPr="00FA506F">
        <w:rPr>
          <w:lang w:val="es-ES"/>
        </w:rPr>
        <w:t>La</w:t>
      </w:r>
      <w:r w:rsidRPr="00FA506F">
        <w:rPr>
          <w:lang w:val="es-ES"/>
        </w:rPr>
        <w:t xml:space="preserve"> información proporcionada por el Estado no reporta acciones, ni avances relacionados con la conformación de un cuerpo independiente de rendición de cuentas. En cuanto a la labor de la CNDH, si bien se trata de un órgano constitucional autónomo, la CNDH no es el órgano competente para procesos de rendición de cuentas, ya que </w:t>
      </w:r>
      <w:r w:rsidR="00594391" w:rsidRPr="00FA506F">
        <w:rPr>
          <w:lang w:val="es-ES"/>
        </w:rPr>
        <w:t xml:space="preserve">sus funciones se enfocan prioritariamente en la recepción de quejas sobre presuntas violaciones a derechos humanos, formulación de recomendaciones y procesos de conciliación. </w:t>
      </w:r>
      <w:r w:rsidR="000E7B1F" w:rsidRPr="00FA506F">
        <w:rPr>
          <w:lang w:val="es-ES"/>
        </w:rPr>
        <w:t xml:space="preserve">Tampoco la Defensoría Pública </w:t>
      </w:r>
      <w:r w:rsidR="00805DC7" w:rsidRPr="00FA506F">
        <w:rPr>
          <w:lang w:val="es-ES"/>
        </w:rPr>
        <w:t xml:space="preserve">es el órgano encargado de esa función. </w:t>
      </w:r>
      <w:r w:rsidR="00594391" w:rsidRPr="00FA506F">
        <w:rPr>
          <w:lang w:val="es-ES"/>
        </w:rPr>
        <w:t xml:space="preserve">En virtud de lo anterior, la CIDH mantiene la recomendación como </w:t>
      </w:r>
      <w:r w:rsidR="00594391" w:rsidRPr="00FA506F">
        <w:rPr>
          <w:b/>
          <w:bCs/>
          <w:lang w:val="es-ES"/>
        </w:rPr>
        <w:t>pendiente de cumplimiento.</w:t>
      </w:r>
    </w:p>
    <w:p w14:paraId="6B574243" w14:textId="77777777" w:rsidR="00F55FC1" w:rsidRPr="00FA506F" w:rsidRDefault="00F55FC1" w:rsidP="009D1CE2">
      <w:pPr>
        <w:ind w:firstLine="720"/>
        <w:jc w:val="both"/>
        <w:rPr>
          <w:rFonts w:ascii="Cambria" w:eastAsia="Cambria" w:hAnsi="Cambria" w:cs="Cambria"/>
          <w:i/>
          <w:iCs/>
          <w:color w:val="000000" w:themeColor="text1"/>
          <w:sz w:val="20"/>
          <w:szCs w:val="20"/>
          <w:lang w:val="es-ES"/>
        </w:rPr>
      </w:pPr>
      <w:bookmarkStart w:id="12" w:name="_Toc146037762"/>
      <w:r w:rsidRPr="00FA506F">
        <w:rPr>
          <w:rFonts w:ascii="Cambria" w:eastAsia="Cambria" w:hAnsi="Cambria" w:cs="Cambria"/>
          <w:i/>
          <w:iCs/>
          <w:color w:val="000000" w:themeColor="text1"/>
          <w:sz w:val="20"/>
          <w:szCs w:val="20"/>
          <w:lang w:val="es-ES"/>
        </w:rPr>
        <w:t>Medidas e información para avanzar en el cumplimiento de la recomendación</w:t>
      </w:r>
      <w:bookmarkEnd w:id="12"/>
    </w:p>
    <w:p w14:paraId="0D96006D"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 </w:t>
      </w:r>
    </w:p>
    <w:p w14:paraId="0431FFA0" w14:textId="2A95F95C" w:rsidR="00594391" w:rsidRPr="00FA506F" w:rsidRDefault="00594391" w:rsidP="00B80A67">
      <w:pPr>
        <w:pStyle w:val="IAPrrafo"/>
        <w:numPr>
          <w:ilvl w:val="0"/>
          <w:numId w:val="4"/>
        </w:numPr>
        <w:tabs>
          <w:tab w:val="num" w:pos="720"/>
        </w:tabs>
        <w:ind w:firstLine="720"/>
        <w:rPr>
          <w:lang w:val="es-ES"/>
        </w:rPr>
      </w:pPr>
      <w:r w:rsidRPr="00FA506F">
        <w:rPr>
          <w:lang w:val="es-ES"/>
        </w:rPr>
        <w:t xml:space="preserve">Para avanzar en el cumplimiento de la recomendación, </w:t>
      </w:r>
      <w:r w:rsidR="00446F81" w:rsidRPr="00FA506F">
        <w:rPr>
          <w:lang w:val="es-ES"/>
        </w:rPr>
        <w:t>se requiere de</w:t>
      </w:r>
      <w:r w:rsidRPr="00FA506F">
        <w:rPr>
          <w:lang w:val="es-ES"/>
        </w:rPr>
        <w:t xml:space="preserve"> un compromiso estatal, no solo en el marco normativo, sino en la implementación de la regulación prevista en la materia. La CIDH enfatiza que la rendición de cuentas debe ser encabezada por un cuerpo independiente de las fuerzas de seguridad para asegurar la imparcialidad del procesamiento de la información reportada. De igual forma, es </w:t>
      </w:r>
      <w:r w:rsidR="00195476" w:rsidRPr="00FA506F">
        <w:rPr>
          <w:lang w:val="es-ES"/>
        </w:rPr>
        <w:t xml:space="preserve">indispensable </w:t>
      </w:r>
      <w:r w:rsidRPr="00FA506F">
        <w:rPr>
          <w:lang w:val="es-ES"/>
        </w:rPr>
        <w:t xml:space="preserve">que los </w:t>
      </w:r>
      <w:r w:rsidR="00F37E9E" w:rsidRPr="00FA506F">
        <w:rPr>
          <w:lang w:val="es-ES"/>
        </w:rPr>
        <w:t xml:space="preserve">registros en los que </w:t>
      </w:r>
      <w:r w:rsidRPr="00FA506F">
        <w:rPr>
          <w:lang w:val="es-ES"/>
        </w:rPr>
        <w:t xml:space="preserve">se acredite la existencia del uso de la fuerza </w:t>
      </w:r>
      <w:r w:rsidR="00F37E9E" w:rsidRPr="00FA506F">
        <w:rPr>
          <w:lang w:val="es-ES"/>
        </w:rPr>
        <w:t xml:space="preserve">sean elaborados </w:t>
      </w:r>
      <w:r w:rsidRPr="00FA506F">
        <w:rPr>
          <w:lang w:val="es-ES"/>
        </w:rPr>
        <w:t xml:space="preserve">de conformidad con los reportes emitidos por las instituciones competentes y que estos sean verificados y utilizados a fin de adoptar las medidas de investigación </w:t>
      </w:r>
      <w:r w:rsidR="00695C81" w:rsidRPr="00FA506F">
        <w:rPr>
          <w:lang w:val="es-ES"/>
        </w:rPr>
        <w:t>que correspondan</w:t>
      </w:r>
      <w:r w:rsidRPr="00FA506F">
        <w:rPr>
          <w:lang w:val="es-ES"/>
        </w:rPr>
        <w:t>.</w:t>
      </w:r>
    </w:p>
    <w:p w14:paraId="2B8CFD07" w14:textId="1EF685F9" w:rsidR="00F55FC1" w:rsidRPr="00FA506F" w:rsidRDefault="002C6673"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Recomendación</w:t>
      </w:r>
      <w:r w:rsidR="00F55FC1"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 No. 6 </w:t>
      </w:r>
      <w:r w:rsidR="00F55FC1"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Asegurar que, en casos de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desaparición</w:t>
      </w:r>
      <w:r w:rsidR="00F55FC1"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forzada, ejecuciones extrajudiciales y tortura, las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líneas</w:t>
      </w:r>
      <w:r w:rsidR="00F55FC1"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de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investigación</w:t>
      </w:r>
      <w:r w:rsidR="00F55FC1"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no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sólo</w:t>
      </w:r>
      <w:r w:rsidR="00F55FC1"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respondan a la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autoría</w:t>
      </w:r>
      <w:r w:rsidR="00F55FC1"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material, sino que incluya</w:t>
      </w:r>
      <w:r w:rsidR="00031891"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n</w:t>
      </w:r>
      <w:r w:rsidR="00F55FC1"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la responsabilidad de la cadena de mando. </w:t>
      </w:r>
    </w:p>
    <w:p w14:paraId="7015DDD5" w14:textId="77777777" w:rsidR="00F55FC1" w:rsidRPr="00FA506F" w:rsidRDefault="00F55FC1" w:rsidP="00B80A67">
      <w:pPr>
        <w:jc w:val="both"/>
        <w:rPr>
          <w:rFonts w:ascii="Cambria" w:eastAsia="Cambria" w:hAnsi="Cambria" w:cs="Cambria"/>
          <w:i/>
          <w:iCs/>
          <w:color w:val="000000" w:themeColor="text1"/>
          <w:sz w:val="20"/>
          <w:szCs w:val="20"/>
          <w:lang w:val="es-ES"/>
        </w:rPr>
      </w:pPr>
    </w:p>
    <w:p w14:paraId="07FA0DBF" w14:textId="568BFD49" w:rsidR="00780614" w:rsidRPr="00FA506F" w:rsidRDefault="00F55FC1" w:rsidP="00B80A67">
      <w:pPr>
        <w:pStyle w:val="IAPrrafo"/>
        <w:numPr>
          <w:ilvl w:val="0"/>
          <w:numId w:val="4"/>
        </w:numPr>
        <w:tabs>
          <w:tab w:val="num" w:pos="720"/>
        </w:tabs>
        <w:ind w:firstLine="720"/>
        <w:rPr>
          <w:lang w:val="es-ES"/>
        </w:rPr>
      </w:pPr>
      <w:r w:rsidRPr="00FA506F">
        <w:rPr>
          <w:lang w:val="es-ES"/>
        </w:rPr>
        <w:t>De acuerdo con el Capítulo V del Informe Anual del 202</w:t>
      </w:r>
      <w:r w:rsidR="05FC58BA" w:rsidRPr="00FA506F">
        <w:rPr>
          <w:lang w:val="es-ES"/>
        </w:rPr>
        <w:t>3</w:t>
      </w:r>
      <w:r w:rsidRPr="00FA506F">
        <w:rPr>
          <w:lang w:val="es-ES"/>
        </w:rPr>
        <w:t xml:space="preserve">, </w:t>
      </w:r>
      <w:r w:rsidR="1B348BED" w:rsidRPr="00FA506F">
        <w:rPr>
          <w:lang w:val="es-ES"/>
        </w:rPr>
        <w:t xml:space="preserve">el Estado informó a la CIDH que las reglas </w:t>
      </w:r>
      <w:r w:rsidR="006D28DE" w:rsidRPr="00FA506F">
        <w:rPr>
          <w:lang w:val="es-ES"/>
        </w:rPr>
        <w:t xml:space="preserve">generales </w:t>
      </w:r>
      <w:r w:rsidR="1B348BED" w:rsidRPr="00FA506F">
        <w:rPr>
          <w:lang w:val="es-ES"/>
        </w:rPr>
        <w:t>de autoría y participación en materia penal se aplican</w:t>
      </w:r>
      <w:r w:rsidR="006D28DE" w:rsidRPr="00FA506F">
        <w:rPr>
          <w:lang w:val="es-ES"/>
        </w:rPr>
        <w:t xml:space="preserve"> también</w:t>
      </w:r>
      <w:r w:rsidR="1B348BED" w:rsidRPr="00FA506F">
        <w:rPr>
          <w:lang w:val="es-ES"/>
        </w:rPr>
        <w:t xml:space="preserve"> para determinar la responsabilidad en delitos de desaparición forzada, tortura y otros tratos inhumanos, y destacó la publicación de protocolos para la investigación de estos delitos. Sin embargo, organizaciones de la sociedad civil </w:t>
      </w:r>
      <w:r w:rsidR="006D28DE" w:rsidRPr="00FA506F">
        <w:rPr>
          <w:lang w:val="es-ES"/>
        </w:rPr>
        <w:t xml:space="preserve">resaltaron </w:t>
      </w:r>
      <w:r w:rsidR="1B348BED" w:rsidRPr="00FA506F">
        <w:rPr>
          <w:lang w:val="es-ES"/>
        </w:rPr>
        <w:t>la falta de avances en la investigación de la cadena de mando en casos emblemáticos como el de las Mujeres de Atenco, y reportaron que, en 2020 y 2021, ningún alto mando fue sentenciado por tortura o desaparición forzada. La CIDH consideró que la información proporcionada por el Estado era reiterativa y no reflejaba avances concretos en la práctica, manteniendo la recomendación con cumplimiento parcial. La Comisión instó al Estado a adoptar medidas que asegur</w:t>
      </w:r>
      <w:r w:rsidR="000C6ED1" w:rsidRPr="00FA506F">
        <w:rPr>
          <w:lang w:val="es-ES"/>
        </w:rPr>
        <w:t>aran</w:t>
      </w:r>
      <w:r w:rsidR="1B348BED" w:rsidRPr="00FA506F">
        <w:rPr>
          <w:lang w:val="es-ES"/>
        </w:rPr>
        <w:t xml:space="preserve"> la investigación efectiva de la cadena de mando y a reportar acciones, protocolos y datos que </w:t>
      </w:r>
      <w:r w:rsidR="000C6ED1" w:rsidRPr="00FA506F">
        <w:rPr>
          <w:lang w:val="es-ES"/>
        </w:rPr>
        <w:t xml:space="preserve">demostraran </w:t>
      </w:r>
      <w:r w:rsidR="1B348BED" w:rsidRPr="00FA506F">
        <w:rPr>
          <w:lang w:val="es-ES"/>
        </w:rPr>
        <w:t>avances en la implementación de esta recomendación, incluyendo precedentes judiciales aplicables</w:t>
      </w:r>
      <w:r w:rsidRPr="00FA506F">
        <w:rPr>
          <w:rStyle w:val="FootnoteReference"/>
          <w:lang w:val="es-ES"/>
        </w:rPr>
        <w:footnoteReference w:id="27"/>
      </w:r>
      <w:r w:rsidRPr="00FA506F">
        <w:rPr>
          <w:lang w:val="es-ES"/>
        </w:rPr>
        <w:t>.</w:t>
      </w:r>
    </w:p>
    <w:p w14:paraId="2D0AB1CE" w14:textId="44B03A75" w:rsidR="00780614" w:rsidRPr="00FA506F" w:rsidRDefault="00780614" w:rsidP="00EA132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44DF7CA9" w14:textId="77777777" w:rsidR="00780614" w:rsidRPr="00FA506F" w:rsidRDefault="00780614" w:rsidP="00B80A67">
      <w:pPr>
        <w:ind w:firstLine="360"/>
        <w:jc w:val="both"/>
        <w:rPr>
          <w:rFonts w:ascii="Cambria" w:eastAsia="Cambria" w:hAnsi="Cambria" w:cs="Cambria"/>
          <w:i/>
          <w:iCs/>
          <w:color w:val="000000" w:themeColor="text1"/>
          <w:sz w:val="20"/>
          <w:szCs w:val="20"/>
          <w:lang w:val="es-ES"/>
        </w:rPr>
      </w:pPr>
    </w:p>
    <w:p w14:paraId="2941A58F" w14:textId="0DB527D8" w:rsidR="00594391" w:rsidRPr="00FA506F" w:rsidRDefault="00594391" w:rsidP="00B80A67">
      <w:pPr>
        <w:pStyle w:val="IAPrrafo"/>
        <w:numPr>
          <w:ilvl w:val="0"/>
          <w:numId w:val="4"/>
        </w:numPr>
        <w:tabs>
          <w:tab w:val="num" w:pos="720"/>
        </w:tabs>
        <w:ind w:firstLine="720"/>
        <w:rPr>
          <w:lang w:val="es-ES"/>
        </w:rPr>
      </w:pPr>
      <w:r w:rsidRPr="00FA506F">
        <w:rPr>
          <w:lang w:val="es-ES"/>
        </w:rPr>
        <w:t>En 2024 el Estado informó que e</w:t>
      </w:r>
      <w:r w:rsidR="00391C23" w:rsidRPr="00FA506F">
        <w:rPr>
          <w:lang w:val="es-ES"/>
        </w:rPr>
        <w:t>l Código Nacional de Procedimientos Penales (CNPP) establece en su artículo 258 el derecho de las víctimas y ofendidos a impugnar las omisiones del Ministerio Público durante la investigación inicial. Esto inclu</w:t>
      </w:r>
      <w:r w:rsidRPr="00FA506F">
        <w:rPr>
          <w:lang w:val="es-ES"/>
        </w:rPr>
        <w:t>iría</w:t>
      </w:r>
      <w:r w:rsidR="00391C23" w:rsidRPr="00FA506F">
        <w:rPr>
          <w:lang w:val="es-ES"/>
        </w:rPr>
        <w:t xml:space="preserve"> las omisiones que impidan esclarecer los hechos y asignar responsabilidades en la cadena de mando, lo que </w:t>
      </w:r>
      <w:r w:rsidR="008643FA" w:rsidRPr="00FA506F">
        <w:rPr>
          <w:lang w:val="es-ES"/>
        </w:rPr>
        <w:t xml:space="preserve">abarcaría </w:t>
      </w:r>
      <w:r w:rsidR="00391C23" w:rsidRPr="00FA506F">
        <w:rPr>
          <w:lang w:val="es-ES"/>
        </w:rPr>
        <w:t>a quienes ejecutaron directamente los actos</w:t>
      </w:r>
      <w:r w:rsidR="005076DB" w:rsidRPr="00FA506F">
        <w:rPr>
          <w:lang w:val="es-ES"/>
        </w:rPr>
        <w:t xml:space="preserve"> y</w:t>
      </w:r>
      <w:r w:rsidR="00391C23" w:rsidRPr="00FA506F">
        <w:rPr>
          <w:lang w:val="es-ES"/>
        </w:rPr>
        <w:t xml:space="preserve"> a aquellos que, por su jerarquía, tenían el deber legal de actuar. </w:t>
      </w:r>
      <w:r w:rsidR="00446F81" w:rsidRPr="00FA506F">
        <w:rPr>
          <w:lang w:val="es-ES"/>
        </w:rPr>
        <w:t>La</w:t>
      </w:r>
      <w:r w:rsidR="00391C23" w:rsidRPr="00FA506F">
        <w:rPr>
          <w:lang w:val="es-ES"/>
        </w:rPr>
        <w:t xml:space="preserve"> SCJN</w:t>
      </w:r>
      <w:r w:rsidR="00454AE0" w:rsidRPr="00FA506F">
        <w:rPr>
          <w:lang w:val="es-ES"/>
        </w:rPr>
        <w:t xml:space="preserve"> refirió </w:t>
      </w:r>
      <w:r w:rsidR="00391C23" w:rsidRPr="00FA506F">
        <w:rPr>
          <w:lang w:val="es-ES"/>
        </w:rPr>
        <w:t xml:space="preserve">que las omisiones del Ministerio Público pueden afectar la debida diligencia, y ha interpretado que los jueces de control deben asegurarse </w:t>
      </w:r>
      <w:r w:rsidR="00E96A81" w:rsidRPr="00FA506F">
        <w:rPr>
          <w:lang w:val="es-ES"/>
        </w:rPr>
        <w:t xml:space="preserve">de </w:t>
      </w:r>
      <w:r w:rsidR="00391C23" w:rsidRPr="00FA506F">
        <w:rPr>
          <w:lang w:val="es-ES"/>
        </w:rPr>
        <w:t xml:space="preserve">que la investigación observe los estándares de debida diligencia de los artículos 8.1 y 25 de la Convención Americana sobre Derechos Humanos (CADH). </w:t>
      </w:r>
      <w:r w:rsidR="007B4023" w:rsidRPr="00FA506F">
        <w:rPr>
          <w:lang w:val="es-ES"/>
        </w:rPr>
        <w:t xml:space="preserve">Según el Estado, estas normas y precedentes </w:t>
      </w:r>
      <w:r w:rsidR="00391C23" w:rsidRPr="00FA506F">
        <w:rPr>
          <w:lang w:val="es-ES"/>
        </w:rPr>
        <w:t>garantiza</w:t>
      </w:r>
      <w:r w:rsidRPr="00FA506F">
        <w:rPr>
          <w:lang w:val="es-ES"/>
        </w:rPr>
        <w:t>ría</w:t>
      </w:r>
      <w:r w:rsidR="007B4023" w:rsidRPr="00FA506F">
        <w:rPr>
          <w:lang w:val="es-ES"/>
        </w:rPr>
        <w:t>n</w:t>
      </w:r>
      <w:r w:rsidR="00391C23" w:rsidRPr="00FA506F">
        <w:rPr>
          <w:lang w:val="es-ES"/>
        </w:rPr>
        <w:t xml:space="preserve"> que se investigue tanto a los autores directos como a quienes, en virtud de su posición jerárquica, pudieron facilitar o permitir los actos violatorios de derechos humanos</w:t>
      </w:r>
      <w:r w:rsidR="000A1DFE" w:rsidRPr="00FA506F">
        <w:rPr>
          <w:rStyle w:val="FootnoteReference"/>
          <w:lang w:val="es-ES"/>
        </w:rPr>
        <w:footnoteReference w:id="28"/>
      </w:r>
      <w:r w:rsidR="00391C23" w:rsidRPr="00FA506F">
        <w:rPr>
          <w:lang w:val="es-ES"/>
        </w:rPr>
        <w:t xml:space="preserve">. </w:t>
      </w:r>
    </w:p>
    <w:p w14:paraId="3B3A1952" w14:textId="75A8282F" w:rsidR="00594391" w:rsidRPr="00616692" w:rsidRDefault="008C2DA5" w:rsidP="00B80A67">
      <w:pPr>
        <w:pStyle w:val="IAPrrafo"/>
        <w:numPr>
          <w:ilvl w:val="0"/>
          <w:numId w:val="4"/>
        </w:numPr>
        <w:tabs>
          <w:tab w:val="num" w:pos="720"/>
        </w:tabs>
        <w:ind w:firstLine="720"/>
        <w:rPr>
          <w:lang w:val="es-ES"/>
        </w:rPr>
      </w:pPr>
      <w:r w:rsidRPr="00FA506F">
        <w:rPr>
          <w:lang w:val="es-ES"/>
        </w:rPr>
        <w:t>El</w:t>
      </w:r>
      <w:r w:rsidR="00594391" w:rsidRPr="00FA506F">
        <w:rPr>
          <w:lang w:val="es-ES"/>
        </w:rPr>
        <w:t xml:space="preserve"> Estado </w:t>
      </w:r>
      <w:r w:rsidR="007B4023" w:rsidRPr="00FA506F">
        <w:rPr>
          <w:lang w:val="es-ES"/>
        </w:rPr>
        <w:t xml:space="preserve">a su vez </w:t>
      </w:r>
      <w:r w:rsidR="00594391" w:rsidRPr="00FA506F">
        <w:rPr>
          <w:lang w:val="es-ES"/>
        </w:rPr>
        <w:t xml:space="preserve">refirió que </w:t>
      </w:r>
      <w:r w:rsidR="00391C23" w:rsidRPr="00FA506F">
        <w:rPr>
          <w:lang w:val="es-ES"/>
        </w:rPr>
        <w:t xml:space="preserve">la SCJN </w:t>
      </w:r>
      <w:r w:rsidR="00594391" w:rsidRPr="00FA506F">
        <w:rPr>
          <w:lang w:val="es-ES"/>
        </w:rPr>
        <w:t>actualizó</w:t>
      </w:r>
      <w:r w:rsidR="00391C23" w:rsidRPr="00FA506F">
        <w:rPr>
          <w:lang w:val="es-ES"/>
        </w:rPr>
        <w:t xml:space="preserve"> el Protocolo para Juzgar Casos de Tortura y Malos Tratos, que proporciona una guía de actuación para las personas juzgadoras fundamentada en estándares de prot</w:t>
      </w:r>
      <w:r w:rsidR="00391C23" w:rsidRPr="00616692">
        <w:rPr>
          <w:lang w:val="es-ES"/>
        </w:rPr>
        <w:t>ección de derechos al debido proceso, integridad y acceso a la justicia. El protocolo subraya la prohibición del uso de pruebas ilícitas obtenidas mediante tortura</w:t>
      </w:r>
      <w:r w:rsidR="000C766A" w:rsidRPr="00616692">
        <w:rPr>
          <w:lang w:val="es-ES"/>
        </w:rPr>
        <w:t>,</w:t>
      </w:r>
      <w:r w:rsidR="00391C23" w:rsidRPr="00616692">
        <w:rPr>
          <w:lang w:val="es-ES"/>
        </w:rPr>
        <w:t xml:space="preserve"> y exige que las investigaciones incluyan la identificación de responsabilidades en la cadena de mando, tal como se establece en los artículos 8.1 y 25 de la CADH. </w:t>
      </w:r>
      <w:r w:rsidR="00446F81" w:rsidRPr="00616692">
        <w:rPr>
          <w:lang w:val="es-ES"/>
        </w:rPr>
        <w:t>La</w:t>
      </w:r>
      <w:r w:rsidR="00391C23" w:rsidRPr="00616692">
        <w:rPr>
          <w:lang w:val="es-ES"/>
        </w:rPr>
        <w:t xml:space="preserve"> SCJN ha</w:t>
      </w:r>
      <w:r w:rsidR="00594391" w:rsidRPr="00616692">
        <w:rPr>
          <w:lang w:val="es-ES"/>
        </w:rPr>
        <w:t>bría</w:t>
      </w:r>
      <w:r w:rsidR="00391C23" w:rsidRPr="00616692">
        <w:rPr>
          <w:lang w:val="es-ES"/>
        </w:rPr>
        <w:t xml:space="preserve"> promovido capacitaciones para el personal jurisdiccional sobre el Protocolo de Estambul, fortaleciendo así la aplicación de estas normas y asegurando que las investigaciones de tortura y violaciones a derechos humanos cumplan con los estándares internacionales de debida diligencia y justicia, </w:t>
      </w:r>
      <w:r w:rsidR="000C766A" w:rsidRPr="00616692">
        <w:rPr>
          <w:lang w:val="es-ES"/>
        </w:rPr>
        <w:t xml:space="preserve">contemplando </w:t>
      </w:r>
      <w:r w:rsidR="00391C23" w:rsidRPr="00616692">
        <w:rPr>
          <w:lang w:val="es-ES"/>
        </w:rPr>
        <w:t>la adecuada investigación de la responsabilidad en la cadena de mando</w:t>
      </w:r>
      <w:r w:rsidR="000A1DFE" w:rsidRPr="00616692">
        <w:rPr>
          <w:rStyle w:val="FootnoteReference"/>
          <w:lang w:val="es-ES"/>
        </w:rPr>
        <w:footnoteReference w:id="29"/>
      </w:r>
      <w:r w:rsidR="00391C23" w:rsidRPr="00616692">
        <w:rPr>
          <w:lang w:val="es-ES"/>
        </w:rPr>
        <w:t>.</w:t>
      </w:r>
      <w:r w:rsidR="000E3E4C" w:rsidRPr="00616692">
        <w:rPr>
          <w:lang w:val="es-ES"/>
        </w:rPr>
        <w:t xml:space="preserve"> </w:t>
      </w:r>
      <w:r w:rsidR="00446046" w:rsidRPr="00616692">
        <w:rPr>
          <w:lang w:val="es-ES"/>
        </w:rPr>
        <w:t>Las</w:t>
      </w:r>
      <w:r w:rsidR="00594391" w:rsidRPr="00616692">
        <w:rPr>
          <w:lang w:val="es-ES"/>
        </w:rPr>
        <w:t xml:space="preserve"> organizaciones de la sociedad civil</w:t>
      </w:r>
      <w:r w:rsidR="00487FED" w:rsidRPr="00616692">
        <w:rPr>
          <w:lang w:val="es-ES"/>
        </w:rPr>
        <w:t>, por su parte,</w:t>
      </w:r>
      <w:r w:rsidR="00594391" w:rsidRPr="00616692">
        <w:rPr>
          <w:lang w:val="es-ES"/>
        </w:rPr>
        <w:t xml:space="preserve"> refirieron que, en el Caso </w:t>
      </w:r>
      <w:r w:rsidR="00594391" w:rsidRPr="00616692">
        <w:rPr>
          <w:i/>
          <w:iCs/>
          <w:lang w:val="es-ES"/>
        </w:rPr>
        <w:t>Rosendo Radilla</w:t>
      </w:r>
      <w:r w:rsidR="00594391" w:rsidRPr="00616692">
        <w:rPr>
          <w:lang w:val="es-ES"/>
        </w:rPr>
        <w:t>, ningún alto mando civil o militar habría sido sentenciado por tortura o desaparición forzada, según las sentencias públicas y que, la investigación por desaparición seguiría centrándose en buscar autorías materiales directas</w:t>
      </w:r>
      <w:r w:rsidR="00594391" w:rsidRPr="00616692">
        <w:rPr>
          <w:rStyle w:val="FootnoteReference"/>
          <w:lang w:val="es-ES"/>
        </w:rPr>
        <w:footnoteReference w:id="30"/>
      </w:r>
      <w:r w:rsidR="00594391" w:rsidRPr="00616692">
        <w:rPr>
          <w:lang w:val="es-ES"/>
        </w:rPr>
        <w:t>.</w:t>
      </w:r>
      <w:r w:rsidR="002374CC" w:rsidRPr="00616692">
        <w:rPr>
          <w:lang w:val="es-ES"/>
        </w:rPr>
        <w:t xml:space="preserve"> El Estado agregó en sus observaciones al presente Informe que en 2023 se publicó una obra que analiza el marco jurídico en materia de obligaciones estatales respecto a actos de desaparición forzada. </w:t>
      </w:r>
      <w:r w:rsidR="00EA132B" w:rsidRPr="00616692">
        <w:rPr>
          <w:lang w:val="es-ES"/>
        </w:rPr>
        <w:t>Además,</w:t>
      </w:r>
      <w:r w:rsidR="002374CC" w:rsidRPr="00616692">
        <w:rPr>
          <w:lang w:val="es-ES"/>
        </w:rPr>
        <w:t xml:space="preserve"> </w:t>
      </w:r>
      <w:r w:rsidR="00AB6367" w:rsidRPr="00616692">
        <w:rPr>
          <w:lang w:val="es-ES"/>
        </w:rPr>
        <w:t>informó de la resolución de diversas acciones judiciales que desarrollan criterios en materia de desaparición</w:t>
      </w:r>
      <w:r w:rsidR="00AB6367" w:rsidRPr="00616692">
        <w:rPr>
          <w:rStyle w:val="FootnoteReference"/>
          <w:lang w:val="es-ES"/>
        </w:rPr>
        <w:footnoteReference w:id="31"/>
      </w:r>
      <w:r w:rsidR="00AB6367" w:rsidRPr="00616692">
        <w:rPr>
          <w:lang w:val="es-ES"/>
        </w:rPr>
        <w:t>.</w:t>
      </w:r>
    </w:p>
    <w:p w14:paraId="189DFA2F" w14:textId="77777777" w:rsidR="00F55FC1" w:rsidRPr="00616692" w:rsidRDefault="00F55FC1" w:rsidP="00EA132B">
      <w:pPr>
        <w:ind w:firstLine="720"/>
        <w:jc w:val="both"/>
        <w:rPr>
          <w:rFonts w:ascii="Cambria" w:eastAsia="Cambria" w:hAnsi="Cambria" w:cs="Cambria"/>
          <w:i/>
          <w:iCs/>
          <w:color w:val="000000" w:themeColor="text1"/>
          <w:sz w:val="20"/>
          <w:szCs w:val="20"/>
          <w:lang w:val="es-ES"/>
        </w:rPr>
      </w:pPr>
      <w:r w:rsidRPr="00616692">
        <w:rPr>
          <w:rFonts w:ascii="Cambria" w:eastAsia="Cambria" w:hAnsi="Cambria" w:cs="Cambria"/>
          <w:i/>
          <w:iCs/>
          <w:color w:val="000000" w:themeColor="text1"/>
          <w:sz w:val="20"/>
          <w:szCs w:val="20"/>
          <w:lang w:val="es-ES"/>
        </w:rPr>
        <w:t>Análisis y nivel de cumplimiento de la recomendación</w:t>
      </w:r>
    </w:p>
    <w:p w14:paraId="7F9399EA" w14:textId="77777777" w:rsidR="00F55FC1" w:rsidRPr="00616692" w:rsidRDefault="00F55FC1" w:rsidP="00B80A67">
      <w:pPr>
        <w:ind w:firstLine="360"/>
        <w:jc w:val="both"/>
        <w:rPr>
          <w:rFonts w:ascii="Cambria" w:eastAsia="Cambria" w:hAnsi="Cambria" w:cs="Cambria"/>
          <w:i/>
          <w:iCs/>
          <w:color w:val="000000" w:themeColor="text1"/>
          <w:sz w:val="20"/>
          <w:szCs w:val="20"/>
          <w:lang w:val="es-ES"/>
        </w:rPr>
      </w:pPr>
    </w:p>
    <w:p w14:paraId="6064D7B2" w14:textId="37DAE034" w:rsidR="002E40BC" w:rsidRPr="00FA506F" w:rsidRDefault="00446046" w:rsidP="00B80A67">
      <w:pPr>
        <w:pStyle w:val="IAPrrafo"/>
        <w:numPr>
          <w:ilvl w:val="0"/>
          <w:numId w:val="4"/>
        </w:numPr>
        <w:tabs>
          <w:tab w:val="num" w:pos="720"/>
        </w:tabs>
        <w:ind w:firstLine="720"/>
        <w:rPr>
          <w:lang w:val="es-ES"/>
        </w:rPr>
      </w:pPr>
      <w:r w:rsidRPr="00616692">
        <w:rPr>
          <w:lang w:val="es-ES"/>
        </w:rPr>
        <w:t>Para la Comisión resulta</w:t>
      </w:r>
      <w:r w:rsidR="00594391" w:rsidRPr="00616692">
        <w:rPr>
          <w:lang w:val="es-ES"/>
        </w:rPr>
        <w:t xml:space="preserve"> pertinente analizar el contenido de la recomendación para determinar el nivel de cumplimiento del Estado. En ese sentido, la recomendación prevé la necesidad de asegurar que las líneas de investigación no sólo respondan a </w:t>
      </w:r>
      <w:r w:rsidR="00791941" w:rsidRPr="00616692">
        <w:rPr>
          <w:lang w:val="es-ES"/>
        </w:rPr>
        <w:t xml:space="preserve">la </w:t>
      </w:r>
      <w:r w:rsidR="00594391" w:rsidRPr="00616692">
        <w:rPr>
          <w:lang w:val="es-ES"/>
        </w:rPr>
        <w:t>autoría material</w:t>
      </w:r>
      <w:r w:rsidR="00791941" w:rsidRPr="00616692">
        <w:rPr>
          <w:lang w:val="es-ES"/>
        </w:rPr>
        <w:t xml:space="preserve"> de los hechos</w:t>
      </w:r>
      <w:r w:rsidR="00594391" w:rsidRPr="00616692">
        <w:rPr>
          <w:lang w:val="es-ES"/>
        </w:rPr>
        <w:t xml:space="preserve">, </w:t>
      </w:r>
      <w:r w:rsidR="00791941" w:rsidRPr="00616692">
        <w:rPr>
          <w:lang w:val="es-ES"/>
        </w:rPr>
        <w:t xml:space="preserve">sino que además se debe garantizar la </w:t>
      </w:r>
      <w:r w:rsidR="003C2FDB" w:rsidRPr="00616692">
        <w:rPr>
          <w:lang w:val="es-ES"/>
        </w:rPr>
        <w:t>investigación de las responsabilidades jerárquicas</w:t>
      </w:r>
      <w:r w:rsidRPr="00616692">
        <w:rPr>
          <w:lang w:val="es-ES"/>
        </w:rPr>
        <w:t>.</w:t>
      </w:r>
      <w:r w:rsidR="00175DE9" w:rsidRPr="00616692">
        <w:rPr>
          <w:lang w:val="es-ES"/>
        </w:rPr>
        <w:t xml:space="preserve"> La CIDH destaca que la mera regulación normativa</w:t>
      </w:r>
      <w:r w:rsidR="005B7446" w:rsidRPr="00616692">
        <w:rPr>
          <w:lang w:val="es-ES"/>
        </w:rPr>
        <w:t xml:space="preserve"> a nivel federal</w:t>
      </w:r>
      <w:r w:rsidR="00175DE9" w:rsidRPr="00616692">
        <w:rPr>
          <w:lang w:val="es-ES"/>
        </w:rPr>
        <w:t xml:space="preserve"> no asegura </w:t>
      </w:r>
      <w:r w:rsidR="00175DE9" w:rsidRPr="00616692">
        <w:rPr>
          <w:i/>
          <w:iCs/>
          <w:lang w:val="es-ES"/>
        </w:rPr>
        <w:t>per se</w:t>
      </w:r>
      <w:r w:rsidRPr="00616692">
        <w:rPr>
          <w:lang w:val="es-ES"/>
        </w:rPr>
        <w:t xml:space="preserve"> </w:t>
      </w:r>
      <w:r w:rsidR="005B7446" w:rsidRPr="00616692">
        <w:rPr>
          <w:lang w:val="es-ES"/>
        </w:rPr>
        <w:t>que el Estado garantice el agotamiento de dicha línea de investigación.</w:t>
      </w:r>
      <w:r w:rsidR="00175DE9" w:rsidRPr="00616692">
        <w:rPr>
          <w:lang w:val="es-ES"/>
        </w:rPr>
        <w:t xml:space="preserve"> </w:t>
      </w:r>
      <w:r w:rsidRPr="00616692">
        <w:rPr>
          <w:lang w:val="es-ES"/>
        </w:rPr>
        <w:t>La</w:t>
      </w:r>
      <w:r w:rsidR="00594391" w:rsidRPr="00616692">
        <w:rPr>
          <w:lang w:val="es-ES"/>
        </w:rPr>
        <w:t xml:space="preserve"> CIDH </w:t>
      </w:r>
      <w:r w:rsidR="002E40BC" w:rsidRPr="00616692">
        <w:rPr>
          <w:lang w:val="es-ES"/>
        </w:rPr>
        <w:t>destaca que la</w:t>
      </w:r>
      <w:r w:rsidR="002E40BC" w:rsidRPr="00FA506F">
        <w:rPr>
          <w:lang w:val="es-ES"/>
        </w:rPr>
        <w:t xml:space="preserve"> posibilidad de las víctimas de impugnar omisiones en la investigación no representa un avance en el cumplimiento de la recomendación. Sin perjuicio de lo anterior, la CIDH valora de manera positiva la información reportada en relación con la actualización del Protocolo </w:t>
      </w:r>
      <w:r w:rsidR="00D74B5F" w:rsidRPr="00FA506F">
        <w:rPr>
          <w:lang w:val="es-ES"/>
        </w:rPr>
        <w:t xml:space="preserve">de la SCJN </w:t>
      </w:r>
      <w:r w:rsidR="002E40BC" w:rsidRPr="00FA506F">
        <w:rPr>
          <w:lang w:val="es-ES"/>
        </w:rPr>
        <w:t xml:space="preserve">para Juzgar Casos de Tortura y Malos Tratos, el cual exige que las investigaciones </w:t>
      </w:r>
      <w:r w:rsidR="00D74B5F" w:rsidRPr="00FA506F">
        <w:rPr>
          <w:lang w:val="es-ES"/>
        </w:rPr>
        <w:t xml:space="preserve">abarquen </w:t>
      </w:r>
      <w:r w:rsidR="002E40BC" w:rsidRPr="00FA506F">
        <w:rPr>
          <w:lang w:val="es-ES"/>
        </w:rPr>
        <w:t>la identificación de responsabilidades en la cadena de mando, en casos de tortura</w:t>
      </w:r>
      <w:r w:rsidR="000D67FF" w:rsidRPr="00FA506F">
        <w:rPr>
          <w:lang w:val="es-ES"/>
        </w:rPr>
        <w:t>. S</w:t>
      </w:r>
      <w:r w:rsidR="002E40BC" w:rsidRPr="00FA506F">
        <w:rPr>
          <w:lang w:val="es-ES"/>
        </w:rPr>
        <w:t xml:space="preserve">in embargo, no se </w:t>
      </w:r>
      <w:r w:rsidR="000A1DFE" w:rsidRPr="00FA506F">
        <w:rPr>
          <w:lang w:val="es-ES"/>
        </w:rPr>
        <w:t>menciona</w:t>
      </w:r>
      <w:r w:rsidR="00D74B5F" w:rsidRPr="00FA506F">
        <w:rPr>
          <w:lang w:val="es-ES"/>
        </w:rPr>
        <w:t>n instrucciones o capacitaciones</w:t>
      </w:r>
      <w:r w:rsidR="00E75143" w:rsidRPr="00FA506F">
        <w:rPr>
          <w:lang w:val="es-ES"/>
        </w:rPr>
        <w:t xml:space="preserve"> similares</w:t>
      </w:r>
      <w:r w:rsidR="002E40BC" w:rsidRPr="00FA506F">
        <w:rPr>
          <w:lang w:val="es-ES"/>
        </w:rPr>
        <w:t xml:space="preserve"> para los casos de desaparición forzada</w:t>
      </w:r>
      <w:r w:rsidR="000D67FF" w:rsidRPr="00FA506F">
        <w:rPr>
          <w:lang w:val="es-ES"/>
        </w:rPr>
        <w:t xml:space="preserve"> o</w:t>
      </w:r>
      <w:r w:rsidR="002E40BC" w:rsidRPr="00FA506F">
        <w:rPr>
          <w:lang w:val="es-ES"/>
        </w:rPr>
        <w:t xml:space="preserve"> ejecuciones extrajudiciales</w:t>
      </w:r>
      <w:r w:rsidR="00E75143" w:rsidRPr="00FA506F">
        <w:rPr>
          <w:lang w:val="es-ES"/>
        </w:rPr>
        <w:t>, y tampoco se identifican decisiones judiciales relevantes</w:t>
      </w:r>
      <w:r w:rsidR="002E40BC" w:rsidRPr="00FA506F">
        <w:rPr>
          <w:lang w:val="es-ES"/>
        </w:rPr>
        <w:t xml:space="preserve">. Por tanto, la CIDH determina que la recomendación continúa en </w:t>
      </w:r>
      <w:r w:rsidR="002E40BC" w:rsidRPr="00FA506F">
        <w:rPr>
          <w:b/>
          <w:bCs/>
          <w:lang w:val="es-ES"/>
        </w:rPr>
        <w:t>cumplimiento parcial.</w:t>
      </w:r>
      <w:r w:rsidR="002E40BC" w:rsidRPr="00FA506F">
        <w:rPr>
          <w:lang w:val="es-ES"/>
        </w:rPr>
        <w:t xml:space="preserve"> </w:t>
      </w:r>
    </w:p>
    <w:p w14:paraId="797A3F91" w14:textId="77777777" w:rsidR="00F55FC1" w:rsidRPr="00FA506F" w:rsidRDefault="00F55FC1" w:rsidP="00EA132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61E59FD3"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34C8CEAE" w14:textId="1A1983FA" w:rsidR="000677D9" w:rsidRPr="00FA506F" w:rsidRDefault="000677D9" w:rsidP="00B80A67">
      <w:pPr>
        <w:pStyle w:val="IAPrrafo"/>
        <w:numPr>
          <w:ilvl w:val="0"/>
          <w:numId w:val="4"/>
        </w:numPr>
        <w:tabs>
          <w:tab w:val="num" w:pos="720"/>
        </w:tabs>
        <w:ind w:firstLine="720"/>
        <w:rPr>
          <w:lang w:val="es-ES"/>
        </w:rPr>
      </w:pPr>
      <w:r w:rsidRPr="00FA506F">
        <w:rPr>
          <w:lang w:val="es-ES"/>
        </w:rPr>
        <w:t xml:space="preserve">Con el fin de orientar la implementación de esta recomendación, la Comisión reitera al Estado la necesidad de adoptar medidas que aseguren en la práctica la investigación de las cadenas de mando en los casos de </w:t>
      </w:r>
      <w:r w:rsidR="005A59CE" w:rsidRPr="00FA506F">
        <w:rPr>
          <w:lang w:val="es-ES"/>
        </w:rPr>
        <w:t xml:space="preserve">tortura, </w:t>
      </w:r>
      <w:r w:rsidRPr="00FA506F">
        <w:rPr>
          <w:lang w:val="es-ES"/>
        </w:rPr>
        <w:t xml:space="preserve">desaparición forzada y ejecuciones extrajudiciales. </w:t>
      </w:r>
      <w:r w:rsidR="00446046" w:rsidRPr="00FA506F">
        <w:rPr>
          <w:lang w:val="es-ES"/>
        </w:rPr>
        <w:t>La</w:t>
      </w:r>
      <w:r w:rsidRPr="00FA506F">
        <w:rPr>
          <w:lang w:val="es-ES"/>
        </w:rPr>
        <w:t xml:space="preserve"> CIDH </w:t>
      </w:r>
      <w:r w:rsidR="00353A1D" w:rsidRPr="00FA506F">
        <w:rPr>
          <w:lang w:val="es-ES"/>
        </w:rPr>
        <w:t>invita al Estado y a la sociedad civil a reportar</w:t>
      </w:r>
      <w:r w:rsidRPr="00FA506F">
        <w:rPr>
          <w:lang w:val="es-ES"/>
        </w:rPr>
        <w:t xml:space="preserve"> las acciones y medidas adoptadas, incluyendo protocolos o cualquier acción de fortalecimiento institucional en este sentido, así como los datos desagregados que permitan </w:t>
      </w:r>
      <w:r w:rsidR="00454AE0" w:rsidRPr="00FA506F">
        <w:rPr>
          <w:lang w:val="es-ES"/>
        </w:rPr>
        <w:t>evaluar</w:t>
      </w:r>
      <w:r w:rsidRPr="00FA506F">
        <w:rPr>
          <w:lang w:val="es-ES"/>
        </w:rPr>
        <w:t xml:space="preserve"> cuantitativamente los avances en las investigaciones y la previsión de la responsabilidad de la cadena de mando en las hipótesis investigativas. </w:t>
      </w:r>
      <w:r w:rsidR="008C2DA5" w:rsidRPr="00FA506F">
        <w:rPr>
          <w:lang w:val="es-ES"/>
        </w:rPr>
        <w:t>La Comisión</w:t>
      </w:r>
      <w:r w:rsidRPr="00FA506F">
        <w:rPr>
          <w:lang w:val="es-ES"/>
        </w:rPr>
        <w:t xml:space="preserve"> invita a proporcionar </w:t>
      </w:r>
      <w:r w:rsidR="004F792F" w:rsidRPr="00FA506F">
        <w:rPr>
          <w:lang w:val="es-ES"/>
        </w:rPr>
        <w:t xml:space="preserve">ejemplos </w:t>
      </w:r>
      <w:r w:rsidRPr="00FA506F">
        <w:rPr>
          <w:lang w:val="es-ES"/>
        </w:rPr>
        <w:t>sobre precedentes judiciales que apliquen la responsabilidad de la cadena de mando frente a casos de desaparición forzada, tortura y ejecuciones extrajudiciales.</w:t>
      </w:r>
    </w:p>
    <w:p w14:paraId="1BB54090" w14:textId="62B8823A" w:rsidR="00F55FC1" w:rsidRPr="00FA506F" w:rsidRDefault="00F55FC1"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7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Crear sistemas de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información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w:t>
      </w:r>
      <w:r w:rsidR="00B46670"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recopilación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y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análisis</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de datos respecto de la violencia que afecta a los distintos grupos abordados en el presente informe como mujeres,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niñas</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niños</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y adolescentes, personas migrantes, defensoras y defensores de derechos humanos, operadores de justicia, personas LGBT, pueblos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indígenas</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y personas privadas de libertad. </w:t>
      </w:r>
    </w:p>
    <w:p w14:paraId="6FD1FD3D" w14:textId="77777777" w:rsidR="00F55FC1" w:rsidRPr="00FA506F" w:rsidRDefault="00F55FC1" w:rsidP="00B80A67">
      <w:pPr>
        <w:jc w:val="both"/>
        <w:rPr>
          <w:rFonts w:ascii="Cambria" w:eastAsia="Cambria" w:hAnsi="Cambria" w:cs="Cambria"/>
          <w:i/>
          <w:iCs/>
          <w:color w:val="000000" w:themeColor="text1"/>
          <w:sz w:val="20"/>
          <w:szCs w:val="20"/>
          <w:lang w:val="es-ES"/>
        </w:rPr>
      </w:pPr>
    </w:p>
    <w:p w14:paraId="0E729298" w14:textId="043623B1" w:rsidR="00780614" w:rsidRPr="00FA506F" w:rsidRDefault="00685C1D" w:rsidP="00B80A67">
      <w:pPr>
        <w:pStyle w:val="IAPrrafo"/>
        <w:numPr>
          <w:ilvl w:val="0"/>
          <w:numId w:val="4"/>
        </w:numPr>
        <w:tabs>
          <w:tab w:val="num" w:pos="720"/>
        </w:tabs>
        <w:ind w:firstLine="720"/>
        <w:rPr>
          <w:lang w:val="es-ES"/>
        </w:rPr>
      </w:pPr>
      <w:r w:rsidRPr="00FA506F">
        <w:rPr>
          <w:rStyle w:val="selectable-text"/>
          <w:lang w:val="es-ES"/>
        </w:rPr>
        <w:t>E</w:t>
      </w:r>
      <w:r w:rsidR="00F55FC1" w:rsidRPr="00FA506F">
        <w:rPr>
          <w:rStyle w:val="selectable-text"/>
          <w:lang w:val="es-ES"/>
        </w:rPr>
        <w:t>n el Capítulo V del Informe Anual de 202</w:t>
      </w:r>
      <w:r w:rsidR="5FEEDC7D" w:rsidRPr="00FA506F">
        <w:rPr>
          <w:rStyle w:val="selectable-text"/>
          <w:lang w:val="es-ES"/>
        </w:rPr>
        <w:t>3</w:t>
      </w:r>
      <w:r w:rsidR="00F55FC1" w:rsidRPr="00FA506F">
        <w:rPr>
          <w:rStyle w:val="selectable-text"/>
          <w:lang w:val="es-ES"/>
        </w:rPr>
        <w:t xml:space="preserve">, </w:t>
      </w:r>
      <w:r w:rsidR="00174BA2" w:rsidRPr="00FA506F">
        <w:rPr>
          <w:rStyle w:val="selectable-text"/>
          <w:lang w:val="es-ES"/>
        </w:rPr>
        <w:t xml:space="preserve">se reportó que </w:t>
      </w:r>
      <w:r w:rsidR="0905247C" w:rsidRPr="00FA506F">
        <w:rPr>
          <w:rStyle w:val="selectable-text"/>
          <w:lang w:val="es-ES"/>
        </w:rPr>
        <w:t xml:space="preserve">el Estado </w:t>
      </w:r>
      <w:r w:rsidR="00174BA2" w:rsidRPr="00FA506F">
        <w:rPr>
          <w:rStyle w:val="selectable-text"/>
          <w:lang w:val="es-ES"/>
        </w:rPr>
        <w:t>había</w:t>
      </w:r>
      <w:r w:rsidR="006D3B20" w:rsidRPr="00FA506F">
        <w:rPr>
          <w:rStyle w:val="selectable-text"/>
          <w:lang w:val="es-ES"/>
        </w:rPr>
        <w:t xml:space="preserve"> transmitido</w:t>
      </w:r>
      <w:r w:rsidR="00174BA2" w:rsidRPr="00FA506F">
        <w:rPr>
          <w:rStyle w:val="selectable-text"/>
          <w:lang w:val="es-ES"/>
        </w:rPr>
        <w:t xml:space="preserve"> </w:t>
      </w:r>
      <w:r w:rsidR="0905247C" w:rsidRPr="00FA506F">
        <w:rPr>
          <w:rStyle w:val="selectable-text"/>
          <w:lang w:val="es-ES"/>
        </w:rPr>
        <w:t xml:space="preserve">a la CIDH sobre la publicación de cuadernos de información penitenciaria desagregada y documentos estadísticos sobre violencia contra la mujer y discriminación. </w:t>
      </w:r>
      <w:r w:rsidR="005076DB" w:rsidRPr="00FA506F">
        <w:rPr>
          <w:rStyle w:val="selectable-text"/>
          <w:lang w:val="es-ES"/>
        </w:rPr>
        <w:t>El Estado</w:t>
      </w:r>
      <w:r w:rsidR="0905247C" w:rsidRPr="00FA506F">
        <w:rPr>
          <w:rStyle w:val="selectable-text"/>
          <w:lang w:val="es-ES"/>
        </w:rPr>
        <w:t xml:space="preserve"> mencionó la resolución de la SCJN sobre la Ley Nacional del Registro de Detenciones y la implementación de un enfoque diferencial en el Protocolo Homologado de Investigación para delitos de desaparición forzada y tortura. Sin embargo, organizaciones de la sociedad civil reportaron la falta de datos desagregados por parte de SEDENA y FGR, </w:t>
      </w:r>
      <w:r w:rsidR="00DF3077" w:rsidRPr="00FA506F">
        <w:rPr>
          <w:rStyle w:val="selectable-text"/>
          <w:lang w:val="es-ES"/>
        </w:rPr>
        <w:t xml:space="preserve">y </w:t>
      </w:r>
      <w:r w:rsidR="0905247C" w:rsidRPr="00FA506F">
        <w:rPr>
          <w:rStyle w:val="selectable-text"/>
          <w:lang w:val="es-ES"/>
        </w:rPr>
        <w:t xml:space="preserve">negaron la existencia de registros completos sobre víctimas. </w:t>
      </w:r>
      <w:r w:rsidR="00954B26" w:rsidRPr="00FA506F">
        <w:rPr>
          <w:rStyle w:val="selectable-text"/>
          <w:lang w:val="es-ES"/>
        </w:rPr>
        <w:t xml:space="preserve">También </w:t>
      </w:r>
      <w:r w:rsidR="0905247C" w:rsidRPr="00FA506F">
        <w:rPr>
          <w:rStyle w:val="selectable-text"/>
          <w:lang w:val="es-ES"/>
        </w:rPr>
        <w:t xml:space="preserve">destacaron el retroceso en la transparencia con la suspensión de informes estadísticos de la Unidad de Investigación de delitos para personas migrantes. La CIDH valoró las publicaciones </w:t>
      </w:r>
      <w:r w:rsidR="00C9560B" w:rsidRPr="00FA506F">
        <w:rPr>
          <w:rStyle w:val="selectable-text"/>
          <w:lang w:val="es-ES"/>
        </w:rPr>
        <w:t>mencionadas</w:t>
      </w:r>
      <w:r w:rsidR="0905247C" w:rsidRPr="00FA506F">
        <w:rPr>
          <w:rStyle w:val="selectable-text"/>
          <w:lang w:val="es-ES"/>
        </w:rPr>
        <w:t xml:space="preserve">, pero </w:t>
      </w:r>
      <w:r w:rsidR="00BE6519" w:rsidRPr="00FA506F">
        <w:rPr>
          <w:rStyle w:val="selectable-text"/>
          <w:lang w:val="es-ES"/>
        </w:rPr>
        <w:t>destacó</w:t>
      </w:r>
      <w:r w:rsidR="0905247C" w:rsidRPr="00FA506F">
        <w:rPr>
          <w:rStyle w:val="selectable-text"/>
          <w:lang w:val="es-ES"/>
        </w:rPr>
        <w:t xml:space="preserve"> que la recomendación </w:t>
      </w:r>
      <w:r w:rsidR="00C9560B" w:rsidRPr="00FA506F">
        <w:rPr>
          <w:rStyle w:val="selectable-text"/>
          <w:lang w:val="es-ES"/>
        </w:rPr>
        <w:t xml:space="preserve">seguía </w:t>
      </w:r>
      <w:r w:rsidR="0905247C" w:rsidRPr="00FA506F">
        <w:rPr>
          <w:rStyle w:val="selectable-text"/>
          <w:lang w:val="es-ES"/>
        </w:rPr>
        <w:t>con cumplimiento parcial debido a la falta de sistemas de información adecuados y la insuficiencia de datos desagregados por parte de las instituciones de seguridad y justicia. La Comisión instó al Estado a diseñar diagnósticos institucionales con metodologías que permitan una recolección y análisis de datos desagregados, y a garantizar la coordinación entre las instituciones para actualizar un registro uniforme que refleje el contexto actual de los derechos humanos en México</w:t>
      </w:r>
      <w:r w:rsidR="00F55FC1" w:rsidRPr="00FA506F">
        <w:rPr>
          <w:rStyle w:val="FootnoteReference"/>
          <w:lang w:val="es-ES"/>
        </w:rPr>
        <w:footnoteReference w:id="32"/>
      </w:r>
      <w:r w:rsidR="00F55FC1" w:rsidRPr="00FA506F">
        <w:rPr>
          <w:lang w:val="es-ES"/>
        </w:rPr>
        <w:t>.</w:t>
      </w:r>
    </w:p>
    <w:p w14:paraId="184FA20B" w14:textId="7033737D" w:rsidR="00780614" w:rsidRPr="00FA506F" w:rsidRDefault="00780614" w:rsidP="00EA132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0BD39D22" w14:textId="77777777" w:rsidR="00780614" w:rsidRPr="00FA506F" w:rsidRDefault="00780614" w:rsidP="00B80A67">
      <w:pPr>
        <w:ind w:firstLine="360"/>
        <w:jc w:val="both"/>
        <w:rPr>
          <w:rFonts w:ascii="Cambria" w:eastAsia="Cambria" w:hAnsi="Cambria" w:cs="Cambria"/>
          <w:i/>
          <w:iCs/>
          <w:color w:val="000000" w:themeColor="text1"/>
          <w:sz w:val="20"/>
          <w:szCs w:val="20"/>
          <w:lang w:val="es-ES"/>
        </w:rPr>
      </w:pPr>
    </w:p>
    <w:p w14:paraId="7AB7F815" w14:textId="17F46126" w:rsidR="00391C23" w:rsidRPr="00FA506F" w:rsidRDefault="000677D9" w:rsidP="00B80A67">
      <w:pPr>
        <w:pStyle w:val="IAPrrafo"/>
        <w:numPr>
          <w:ilvl w:val="0"/>
          <w:numId w:val="4"/>
        </w:numPr>
        <w:tabs>
          <w:tab w:val="num" w:pos="720"/>
        </w:tabs>
        <w:ind w:firstLine="720"/>
        <w:rPr>
          <w:lang w:val="es-ES"/>
        </w:rPr>
      </w:pPr>
      <w:r w:rsidRPr="00FA506F">
        <w:rPr>
          <w:lang w:val="es-ES"/>
        </w:rPr>
        <w:t xml:space="preserve">En 2024, el Estado </w:t>
      </w:r>
      <w:r w:rsidR="00F82BF8" w:rsidRPr="00FA506F">
        <w:rPr>
          <w:lang w:val="es-ES"/>
        </w:rPr>
        <w:t xml:space="preserve">resaltó </w:t>
      </w:r>
      <w:r w:rsidRPr="00FA506F">
        <w:rPr>
          <w:lang w:val="es-ES"/>
        </w:rPr>
        <w:t xml:space="preserve">que habría </w:t>
      </w:r>
      <w:r w:rsidR="00391C23" w:rsidRPr="00FA506F">
        <w:rPr>
          <w:lang w:val="es-ES"/>
        </w:rPr>
        <w:t xml:space="preserve">implementado sistemas de información y análisis de datos apoyados en los censos e indicadores del Instituto Nacional de Estadística y Geografía (INEGI) para abordar la violencia que afecta a mujeres, niñas, niños, adolescentes, personas migrantes, </w:t>
      </w:r>
      <w:r w:rsidR="000E0151" w:rsidRPr="00FA506F">
        <w:rPr>
          <w:lang w:val="es-ES"/>
        </w:rPr>
        <w:t>personas defensoras</w:t>
      </w:r>
      <w:r w:rsidR="00391C23" w:rsidRPr="00FA506F">
        <w:rPr>
          <w:lang w:val="es-ES"/>
        </w:rPr>
        <w:t xml:space="preserve">, personas LGBT, pueblos indígenas y personas privadas de libertad. El Censo Nacional de Derechos Humanos Federal y el Censo Nacional de Procuración de Justicia Federal del INEGI proporcionan datos sobre la violencia que afecta a estos grupos. </w:t>
      </w:r>
      <w:r w:rsidR="00446F81" w:rsidRPr="00FA506F">
        <w:rPr>
          <w:lang w:val="es-ES"/>
        </w:rPr>
        <w:t>El</w:t>
      </w:r>
      <w:r w:rsidR="00391C23" w:rsidRPr="00FA506F">
        <w:rPr>
          <w:lang w:val="es-ES"/>
        </w:rPr>
        <w:t xml:space="preserve"> Censo Nacional de Sistema Penitenciario Federal brinda</w:t>
      </w:r>
      <w:r w:rsidRPr="00FA506F">
        <w:rPr>
          <w:lang w:val="es-ES"/>
        </w:rPr>
        <w:t>ría</w:t>
      </w:r>
      <w:r w:rsidR="00391C23" w:rsidRPr="00FA506F">
        <w:rPr>
          <w:lang w:val="es-ES"/>
        </w:rPr>
        <w:t xml:space="preserve"> información sobre las personas privadas de libertad, incluyendo datos desagregados por género y etnia, lo que permite identificar patrones de violencia y discriminación que afectan a grupos específicos como los pueblos indígenas y las personas LGBT. </w:t>
      </w:r>
      <w:r w:rsidRPr="00FA506F">
        <w:rPr>
          <w:lang w:val="es-ES"/>
        </w:rPr>
        <w:t xml:space="preserve">El Estado </w:t>
      </w:r>
      <w:r w:rsidR="009E3A8A" w:rsidRPr="00FA506F">
        <w:rPr>
          <w:lang w:val="es-ES"/>
        </w:rPr>
        <w:t xml:space="preserve">precisó </w:t>
      </w:r>
      <w:r w:rsidRPr="00FA506F">
        <w:rPr>
          <w:lang w:val="es-ES"/>
        </w:rPr>
        <w:t>que e</w:t>
      </w:r>
      <w:r w:rsidR="00391C23" w:rsidRPr="00FA506F">
        <w:rPr>
          <w:lang w:val="es-ES"/>
        </w:rPr>
        <w:t xml:space="preserve">l Censo Nacional de Población y Vivienda y la Encuesta Nacional sobre la Dinámica de las Relaciones en los Hogares (ENDIREH) son herramientas fundamentales para obtener </w:t>
      </w:r>
      <w:r w:rsidR="0057466C" w:rsidRPr="00FA506F">
        <w:rPr>
          <w:lang w:val="es-ES"/>
        </w:rPr>
        <w:t xml:space="preserve">datos </w:t>
      </w:r>
      <w:r w:rsidR="00391C23" w:rsidRPr="00FA506F">
        <w:rPr>
          <w:lang w:val="es-ES"/>
        </w:rPr>
        <w:t>de violencia intrafamiliar, de género y contra niñas, niños y adolescentes. La ENDIREH, por ejemplo, permit</w:t>
      </w:r>
      <w:r w:rsidRPr="00FA506F">
        <w:rPr>
          <w:lang w:val="es-ES"/>
        </w:rPr>
        <w:t>iría</w:t>
      </w:r>
      <w:r w:rsidR="00391C23" w:rsidRPr="00FA506F">
        <w:rPr>
          <w:lang w:val="es-ES"/>
        </w:rPr>
        <w:t xml:space="preserve"> analizar la violencia de pareja y otras formas de violencia a las que se enfrentan las mujeres en sus hogares y comunidades. La Encuesta Nacional sobre Discriminación (ENADIS) ofrece datos sobre la discriminación y violencia estructural que afecta a personas LGBT</w:t>
      </w:r>
      <w:r w:rsidRPr="00FA506F">
        <w:rPr>
          <w:lang w:val="es-ES"/>
        </w:rPr>
        <w:t>I</w:t>
      </w:r>
      <w:r w:rsidR="00391C23" w:rsidRPr="00FA506F">
        <w:rPr>
          <w:lang w:val="es-ES"/>
        </w:rPr>
        <w:t>, indígenas, migrantes y otros grupos vulnerables</w:t>
      </w:r>
      <w:r w:rsidRPr="00FA506F">
        <w:rPr>
          <w:lang w:val="es-ES"/>
        </w:rPr>
        <w:t>. El Estado informó que</w:t>
      </w:r>
      <w:r w:rsidR="00391C23" w:rsidRPr="00FA506F">
        <w:rPr>
          <w:lang w:val="es-ES"/>
        </w:rPr>
        <w:t>, el Programa Nacional de Seguridad Pública 2022-2024 cuenta con indicadores de cumplimiento, que evalúan la reducción de delitos como homicidios, feminicidios y secuestros, así como la implementación efectiva de protocolos de actuación, como el uso proporcional de la fuerza y el respeto a los derechos humanos</w:t>
      </w:r>
      <w:r w:rsidR="000A1DFE" w:rsidRPr="00FA506F">
        <w:rPr>
          <w:rStyle w:val="FootnoteReference"/>
          <w:lang w:val="es-ES"/>
        </w:rPr>
        <w:footnoteReference w:id="33"/>
      </w:r>
      <w:r w:rsidR="00391C23" w:rsidRPr="00FA506F">
        <w:rPr>
          <w:lang w:val="es-ES"/>
        </w:rPr>
        <w:t xml:space="preserve">. </w:t>
      </w:r>
    </w:p>
    <w:p w14:paraId="555FED57" w14:textId="77777777" w:rsidR="00F55FC1" w:rsidRPr="00FA506F" w:rsidRDefault="00F55FC1" w:rsidP="00EA132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5C210A9B"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4862175E" w14:textId="2C03F68C" w:rsidR="18B41DC7" w:rsidRPr="00FA506F" w:rsidRDefault="000677D9" w:rsidP="00B80A67">
      <w:pPr>
        <w:pStyle w:val="IAPrrafo"/>
        <w:numPr>
          <w:ilvl w:val="0"/>
          <w:numId w:val="4"/>
        </w:numPr>
        <w:tabs>
          <w:tab w:val="num" w:pos="720"/>
        </w:tabs>
        <w:ind w:firstLine="720"/>
        <w:rPr>
          <w:lang w:val="es-ES"/>
        </w:rPr>
      </w:pPr>
      <w:r w:rsidRPr="00FA506F">
        <w:rPr>
          <w:lang w:val="es-ES"/>
        </w:rPr>
        <w:t xml:space="preserve">La Comisión valora en sentido positivo la información proporcionada por el Estado, la cual permite dar cuenta de un sistema de información sólido que abona al análisis de datos respecto de violencia en contra de grupos en situación de vulnerabilidad. La CIDH invita al Estado a garantizar y fortalecer el funcionamiento del INEGI, el cual es una institución ejemplo de buenas prácticas en materia de sistematización y procesamiento de la información. En ese sentido, la Comisión concluye que esta recomendación </w:t>
      </w:r>
      <w:r w:rsidR="00C76498" w:rsidRPr="00FA506F">
        <w:rPr>
          <w:lang w:val="es-ES"/>
        </w:rPr>
        <w:t xml:space="preserve">avanza a </w:t>
      </w:r>
      <w:r w:rsidRPr="00FA506F">
        <w:rPr>
          <w:b/>
          <w:bCs/>
          <w:lang w:val="es-ES"/>
        </w:rPr>
        <w:t>cumplimiento total</w:t>
      </w:r>
      <w:r w:rsidR="00100A51" w:rsidRPr="00FA506F">
        <w:rPr>
          <w:lang w:val="es-ES"/>
        </w:rPr>
        <w:t xml:space="preserve"> y cesa su supervisión.</w:t>
      </w:r>
    </w:p>
    <w:p w14:paraId="5FBF4546" w14:textId="3A4A62F2" w:rsidR="00F55FC1" w:rsidRPr="00FA506F" w:rsidRDefault="00F55FC1"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8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Reorientar el abordaje del tema de drogas en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México</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de un enfoque de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militarización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y “combate frontal” usando la fuerza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pública</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a uno con perspectiva integral, de derechos humanos y salud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pública</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sobre las adicciones y el consumo sin fines de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distribución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w:t>
      </w:r>
    </w:p>
    <w:p w14:paraId="32D504C9" w14:textId="77777777" w:rsidR="00F55FC1" w:rsidRPr="00FA506F" w:rsidRDefault="00F55FC1" w:rsidP="00B80A67">
      <w:pPr>
        <w:jc w:val="both"/>
        <w:rPr>
          <w:rFonts w:ascii="Cambria" w:eastAsia="Cambria" w:hAnsi="Cambria" w:cs="Cambria"/>
          <w:i/>
          <w:iCs/>
          <w:color w:val="000000" w:themeColor="text1"/>
          <w:sz w:val="20"/>
          <w:szCs w:val="20"/>
          <w:lang w:val="es-ES"/>
        </w:rPr>
      </w:pPr>
    </w:p>
    <w:p w14:paraId="3A78D5D7" w14:textId="6133350F" w:rsidR="00780614" w:rsidRPr="00FA506F" w:rsidRDefault="00F55FC1" w:rsidP="00B80A67">
      <w:pPr>
        <w:pStyle w:val="IAPrrafo"/>
        <w:numPr>
          <w:ilvl w:val="0"/>
          <w:numId w:val="4"/>
        </w:numPr>
        <w:tabs>
          <w:tab w:val="num" w:pos="720"/>
        </w:tabs>
        <w:ind w:firstLine="720"/>
        <w:rPr>
          <w:lang w:val="es-ES"/>
        </w:rPr>
      </w:pPr>
      <w:r w:rsidRPr="00FA506F">
        <w:rPr>
          <w:lang w:val="es-ES"/>
        </w:rPr>
        <w:t xml:space="preserve">En el </w:t>
      </w:r>
      <w:r w:rsidR="006C0B4F" w:rsidRPr="00FA506F">
        <w:rPr>
          <w:lang w:val="es-ES"/>
        </w:rPr>
        <w:t xml:space="preserve">marco del </w:t>
      </w:r>
      <w:r w:rsidRPr="00FA506F">
        <w:rPr>
          <w:lang w:val="es-ES"/>
        </w:rPr>
        <w:t>Capítulo V del Informe Anual de 202</w:t>
      </w:r>
      <w:r w:rsidR="2071E53D" w:rsidRPr="00FA506F">
        <w:rPr>
          <w:lang w:val="es-ES"/>
        </w:rPr>
        <w:t>3</w:t>
      </w:r>
      <w:r w:rsidRPr="00FA506F">
        <w:rPr>
          <w:lang w:val="es-ES"/>
        </w:rPr>
        <w:t>,</w:t>
      </w:r>
      <w:r w:rsidR="361292EF" w:rsidRPr="00FA506F">
        <w:rPr>
          <w:lang w:val="es-ES"/>
        </w:rPr>
        <w:t xml:space="preserve"> el Estado mexicano reportó la creación de la Comisión Nacional de Salud Mental y Adicciones (CONASAMA) para garantizar la atención de salud mental y prevenir adicciones con un enfoque en derechos humanos, </w:t>
      </w:r>
      <w:r w:rsidR="00446F81" w:rsidRPr="00FA506F">
        <w:rPr>
          <w:lang w:val="es-ES"/>
        </w:rPr>
        <w:t xml:space="preserve">e </w:t>
      </w:r>
      <w:r w:rsidR="361292EF" w:rsidRPr="00FA506F">
        <w:rPr>
          <w:lang w:val="es-ES"/>
        </w:rPr>
        <w:t xml:space="preserve">implementar campañas de prevención. Sin embargo, organizaciones civiles criticaron la falta de avance en la legalización del uso lúdico de </w:t>
      </w:r>
      <w:r w:rsidR="0096597B" w:rsidRPr="00FA506F">
        <w:rPr>
          <w:lang w:val="es-ES"/>
        </w:rPr>
        <w:t xml:space="preserve">la </w:t>
      </w:r>
      <w:r w:rsidR="361292EF" w:rsidRPr="00FA506F">
        <w:rPr>
          <w:lang w:val="es-ES"/>
        </w:rPr>
        <w:t xml:space="preserve">marihuana y </w:t>
      </w:r>
      <w:r w:rsidR="00BE6519" w:rsidRPr="00FA506F">
        <w:rPr>
          <w:lang w:val="es-ES"/>
        </w:rPr>
        <w:t>refirieron</w:t>
      </w:r>
      <w:r w:rsidR="361292EF" w:rsidRPr="00FA506F">
        <w:rPr>
          <w:lang w:val="es-ES"/>
        </w:rPr>
        <w:t xml:space="preserve"> que las campañas gubernamentales estigmatizan a los consumidores, reforzando un enfoque prohibicionista. La CIDH valoró los esfuerzos en salud pública, pero consideró que el enfoque sigue siendo parcial y necesita un replanteamiento integral que priorice los derechos humanos en la política sobre drogas</w:t>
      </w:r>
      <w:r w:rsidRPr="00FA506F">
        <w:rPr>
          <w:rStyle w:val="FootnoteReference"/>
          <w:lang w:val="es-ES"/>
        </w:rPr>
        <w:footnoteReference w:id="34"/>
      </w:r>
      <w:r w:rsidR="00187A60" w:rsidRPr="00FA506F">
        <w:rPr>
          <w:lang w:val="es-ES"/>
        </w:rPr>
        <w:t xml:space="preserve">. Por ello concluyó que la recomendación se encontraba </w:t>
      </w:r>
      <w:r w:rsidR="00B80A67" w:rsidRPr="00FA506F">
        <w:rPr>
          <w:lang w:val="es-ES"/>
        </w:rPr>
        <w:t xml:space="preserve">en </w:t>
      </w:r>
      <w:r w:rsidR="00B80A67" w:rsidRPr="00725972">
        <w:rPr>
          <w:b/>
          <w:bCs/>
          <w:lang w:val="es-ES"/>
        </w:rPr>
        <w:t>cumplimiento parcial</w:t>
      </w:r>
      <w:r w:rsidR="00B80A67" w:rsidRPr="00FA506F">
        <w:rPr>
          <w:lang w:val="es-ES"/>
        </w:rPr>
        <w:t>.</w:t>
      </w:r>
    </w:p>
    <w:p w14:paraId="3096095C" w14:textId="079958D6" w:rsidR="00780614" w:rsidRPr="00FA506F" w:rsidRDefault="00780614" w:rsidP="00EA132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7695AC43" w14:textId="77777777" w:rsidR="00780614" w:rsidRPr="00FA506F" w:rsidRDefault="00780614" w:rsidP="00B80A67">
      <w:pPr>
        <w:ind w:firstLine="360"/>
        <w:jc w:val="both"/>
        <w:rPr>
          <w:rFonts w:ascii="Cambria" w:eastAsia="Cambria" w:hAnsi="Cambria" w:cs="Cambria"/>
          <w:i/>
          <w:iCs/>
          <w:color w:val="000000" w:themeColor="text1"/>
          <w:sz w:val="20"/>
          <w:szCs w:val="20"/>
          <w:lang w:val="es-ES"/>
        </w:rPr>
      </w:pPr>
    </w:p>
    <w:p w14:paraId="609F4F74" w14:textId="0C55871A" w:rsidR="000677D9" w:rsidRPr="00FA506F" w:rsidRDefault="000677D9" w:rsidP="00B80A67">
      <w:pPr>
        <w:pStyle w:val="IAPrrafo"/>
        <w:numPr>
          <w:ilvl w:val="0"/>
          <w:numId w:val="4"/>
        </w:numPr>
        <w:tabs>
          <w:tab w:val="num" w:pos="720"/>
        </w:tabs>
        <w:ind w:firstLine="720"/>
        <w:rPr>
          <w:lang w:val="es-ES"/>
        </w:rPr>
      </w:pPr>
      <w:r w:rsidRPr="00FA506F">
        <w:rPr>
          <w:lang w:val="es-ES"/>
        </w:rPr>
        <w:t xml:space="preserve">El 2024, el Estado refirió que, en el marco de las políticas públicas implementadas, habría </w:t>
      </w:r>
      <w:r w:rsidR="00391C23" w:rsidRPr="00FA506F">
        <w:rPr>
          <w:lang w:val="es-ES"/>
        </w:rPr>
        <w:t>priorizado la prevención de adicciones, enfocándose en la salud mental y el desarrollo integral de las comunidades. Este enfoque busca</w:t>
      </w:r>
      <w:r w:rsidRPr="00FA506F">
        <w:rPr>
          <w:lang w:val="es-ES"/>
        </w:rPr>
        <w:t>ría</w:t>
      </w:r>
      <w:r w:rsidR="00391C23" w:rsidRPr="00FA506F">
        <w:rPr>
          <w:lang w:val="es-ES"/>
        </w:rPr>
        <w:t xml:space="preserve"> abordar factores de riesgo asociados como la violencia, la desigualdad y la falta de oportunidades. </w:t>
      </w:r>
      <w:r w:rsidRPr="00FA506F">
        <w:rPr>
          <w:lang w:val="es-ES"/>
        </w:rPr>
        <w:t>A</w:t>
      </w:r>
      <w:r w:rsidR="00715B03" w:rsidRPr="00FA506F">
        <w:rPr>
          <w:lang w:val="es-ES"/>
        </w:rPr>
        <w:t xml:space="preserve">gregó </w:t>
      </w:r>
      <w:r w:rsidRPr="00FA506F">
        <w:rPr>
          <w:lang w:val="es-ES"/>
        </w:rPr>
        <w:t>que, a</w:t>
      </w:r>
      <w:r w:rsidR="00391C23" w:rsidRPr="00FA506F">
        <w:rPr>
          <w:lang w:val="es-ES"/>
        </w:rPr>
        <w:t xml:space="preserve"> través de programas educativos y actividades comunitarias, se prom</w:t>
      </w:r>
      <w:r w:rsidRPr="00FA506F">
        <w:rPr>
          <w:lang w:val="es-ES"/>
        </w:rPr>
        <w:t>overían</w:t>
      </w:r>
      <w:r w:rsidR="00391C23" w:rsidRPr="00FA506F">
        <w:rPr>
          <w:lang w:val="es-ES"/>
        </w:rPr>
        <w:t xml:space="preserve"> estilos de vida saludables</w:t>
      </w:r>
      <w:r w:rsidRPr="00FA506F">
        <w:rPr>
          <w:lang w:val="es-ES"/>
        </w:rPr>
        <w:t xml:space="preserve">. Por otra parte, el Estado refirió </w:t>
      </w:r>
      <w:r w:rsidR="00CE2E49" w:rsidRPr="00FA506F">
        <w:rPr>
          <w:lang w:val="es-ES"/>
        </w:rPr>
        <w:t>que,</w:t>
      </w:r>
      <w:r w:rsidR="00E20A7E" w:rsidRPr="00FA506F">
        <w:rPr>
          <w:lang w:val="es-ES"/>
        </w:rPr>
        <w:t xml:space="preserve"> desde septiembre de 2023 a junio de 2024, l</w:t>
      </w:r>
      <w:r w:rsidR="00391C23" w:rsidRPr="00FA506F">
        <w:rPr>
          <w:lang w:val="es-ES"/>
        </w:rPr>
        <w:t>a CONASAMA ha sido fundamental en la implementación de programas de prevención, tratamiento y rehabilitación</w:t>
      </w:r>
      <w:r w:rsidR="00A8696D" w:rsidRPr="00FA506F">
        <w:rPr>
          <w:lang w:val="es-ES"/>
        </w:rPr>
        <w:t>;</w:t>
      </w:r>
      <w:r w:rsidR="00EA2814" w:rsidRPr="00FA506F">
        <w:rPr>
          <w:lang w:val="es-ES"/>
        </w:rPr>
        <w:t xml:space="preserve"> </w:t>
      </w:r>
      <w:r w:rsidR="00A8696D" w:rsidRPr="00FA506F">
        <w:rPr>
          <w:lang w:val="es-ES"/>
        </w:rPr>
        <w:t xml:space="preserve">y </w:t>
      </w:r>
      <w:r w:rsidR="00EA2814" w:rsidRPr="00FA506F">
        <w:rPr>
          <w:lang w:val="es-ES"/>
        </w:rPr>
        <w:t>ha realizado capacitaciones en salud mental y adicciones, formando a más de 12</w:t>
      </w:r>
      <w:r w:rsidR="00CA47C7" w:rsidRPr="00FA506F">
        <w:rPr>
          <w:lang w:val="es-ES"/>
        </w:rPr>
        <w:t>.</w:t>
      </w:r>
      <w:r w:rsidR="00EA2814" w:rsidRPr="00FA506F">
        <w:rPr>
          <w:lang w:val="es-ES"/>
        </w:rPr>
        <w:t>000 profesionales del primer nivel de atención y 20</w:t>
      </w:r>
      <w:r w:rsidR="00CA47C7" w:rsidRPr="00FA506F">
        <w:rPr>
          <w:lang w:val="es-ES"/>
        </w:rPr>
        <w:t>.</w:t>
      </w:r>
      <w:r w:rsidR="00EA2814" w:rsidRPr="00FA506F">
        <w:rPr>
          <w:lang w:val="es-ES"/>
        </w:rPr>
        <w:t>000 participantes en el curso “Salud Mental para Todas las Personas”</w:t>
      </w:r>
      <w:r w:rsidR="00391C23" w:rsidRPr="00FA506F">
        <w:rPr>
          <w:lang w:val="es-ES"/>
        </w:rPr>
        <w:t>. Durante este período, se realizaron 3</w:t>
      </w:r>
      <w:r w:rsidR="00CB6EE7" w:rsidRPr="00FA506F">
        <w:rPr>
          <w:lang w:val="es-ES"/>
        </w:rPr>
        <w:t>.</w:t>
      </w:r>
      <w:r w:rsidR="00391C23" w:rsidRPr="00FA506F">
        <w:rPr>
          <w:lang w:val="es-ES"/>
        </w:rPr>
        <w:t>185 egresos de hospitales psiquiátricos, y en 2023, la conmemoración de días internacionales se tradujo en eventos educativos y de sensibilización que reforzar</w:t>
      </w:r>
      <w:r w:rsidRPr="00FA506F">
        <w:rPr>
          <w:lang w:val="es-ES"/>
        </w:rPr>
        <w:t>ían</w:t>
      </w:r>
      <w:r w:rsidR="00391C23" w:rsidRPr="00FA506F">
        <w:rPr>
          <w:lang w:val="es-ES"/>
        </w:rPr>
        <w:t xml:space="preserve"> la importancia de la salud mental. </w:t>
      </w:r>
      <w:r w:rsidRPr="00FA506F">
        <w:rPr>
          <w:lang w:val="es-ES"/>
        </w:rPr>
        <w:t xml:space="preserve">El Estado </w:t>
      </w:r>
      <w:r w:rsidR="00454AE0" w:rsidRPr="00FA506F">
        <w:rPr>
          <w:lang w:val="es-ES"/>
        </w:rPr>
        <w:t>reportó el desarrollo</w:t>
      </w:r>
      <w:r w:rsidR="00FB1B88" w:rsidRPr="00FA506F">
        <w:rPr>
          <w:lang w:val="es-ES"/>
        </w:rPr>
        <w:t xml:space="preserve"> de</w:t>
      </w:r>
      <w:r w:rsidR="00391C23" w:rsidRPr="00FA506F">
        <w:rPr>
          <w:lang w:val="es-ES"/>
        </w:rPr>
        <w:t xml:space="preserve"> diversas herramientas educativas, como una guía para docentes y un portal en línea que ofrece recursos sobre sustancias psicoactivas. </w:t>
      </w:r>
      <w:r w:rsidR="00446046" w:rsidRPr="00FA506F">
        <w:rPr>
          <w:lang w:val="es-ES"/>
        </w:rPr>
        <w:t xml:space="preserve">La </w:t>
      </w:r>
      <w:r w:rsidR="00391C23" w:rsidRPr="00FA506F">
        <w:rPr>
          <w:lang w:val="es-ES"/>
        </w:rPr>
        <w:t xml:space="preserve">plataforma </w:t>
      </w:r>
      <w:r w:rsidR="00391C23" w:rsidRPr="00EA132B">
        <w:rPr>
          <w:i/>
          <w:iCs/>
          <w:lang w:val="es-ES"/>
        </w:rPr>
        <w:t>@prende.mx</w:t>
      </w:r>
      <w:r w:rsidR="00391C23" w:rsidRPr="00FA506F">
        <w:rPr>
          <w:lang w:val="es-ES"/>
        </w:rPr>
        <w:t xml:space="preserve"> ha facilitado el curso </w:t>
      </w:r>
      <w:r w:rsidR="00CF501A" w:rsidRPr="00FA506F">
        <w:rPr>
          <w:lang w:val="es-ES"/>
        </w:rPr>
        <w:t>“</w:t>
      </w:r>
      <w:r w:rsidR="00391C23" w:rsidRPr="00FA506F">
        <w:rPr>
          <w:lang w:val="es-ES"/>
        </w:rPr>
        <w:t>Estrategia en el Aula: Prevención de Adicciones</w:t>
      </w:r>
      <w:r w:rsidR="00CF501A" w:rsidRPr="00FA506F">
        <w:rPr>
          <w:lang w:val="es-ES"/>
        </w:rPr>
        <w:t>”</w:t>
      </w:r>
      <w:r w:rsidR="00391C23" w:rsidRPr="00FA506F">
        <w:rPr>
          <w:lang w:val="es-ES"/>
        </w:rPr>
        <w:t>, que ha capacitado a 7</w:t>
      </w:r>
      <w:r w:rsidR="00CA47C7" w:rsidRPr="00FA506F">
        <w:rPr>
          <w:lang w:val="es-ES"/>
        </w:rPr>
        <w:t>.</w:t>
      </w:r>
      <w:r w:rsidR="00391C23" w:rsidRPr="00FA506F">
        <w:rPr>
          <w:lang w:val="es-ES"/>
        </w:rPr>
        <w:t xml:space="preserve">435 personas. </w:t>
      </w:r>
      <w:r w:rsidR="007915C3" w:rsidRPr="00FA506F">
        <w:rPr>
          <w:lang w:val="es-ES"/>
        </w:rPr>
        <w:t>Especificó que</w:t>
      </w:r>
      <w:r w:rsidR="00391C23" w:rsidRPr="00FA506F">
        <w:rPr>
          <w:lang w:val="es-ES"/>
        </w:rPr>
        <w:t xml:space="preserve"> se llevaron a cabo seminarios dirigidos a maestros y sesiones con </w:t>
      </w:r>
      <w:r w:rsidR="00CF501A" w:rsidRPr="00FA506F">
        <w:rPr>
          <w:lang w:val="es-ES"/>
        </w:rPr>
        <w:t xml:space="preserve">personas </w:t>
      </w:r>
      <w:r w:rsidR="00391C23" w:rsidRPr="00FA506F">
        <w:rPr>
          <w:lang w:val="es-ES"/>
        </w:rPr>
        <w:t>expert</w:t>
      </w:r>
      <w:r w:rsidR="00CF501A" w:rsidRPr="00FA506F">
        <w:rPr>
          <w:lang w:val="es-ES"/>
        </w:rPr>
        <w:t>a</w:t>
      </w:r>
      <w:r w:rsidR="00391C23" w:rsidRPr="00FA506F">
        <w:rPr>
          <w:lang w:val="es-ES"/>
        </w:rPr>
        <w:t>s en prevención</w:t>
      </w:r>
      <w:r w:rsidR="000A1DFE" w:rsidRPr="00FA506F">
        <w:rPr>
          <w:rStyle w:val="FootnoteReference"/>
          <w:lang w:val="es-ES"/>
        </w:rPr>
        <w:footnoteReference w:id="35"/>
      </w:r>
      <w:r w:rsidR="00391C23" w:rsidRPr="00FA506F">
        <w:rPr>
          <w:lang w:val="es-ES"/>
        </w:rPr>
        <w:t xml:space="preserve">. </w:t>
      </w:r>
    </w:p>
    <w:p w14:paraId="34BFFFAF" w14:textId="73CD96AB" w:rsidR="00391C23" w:rsidRPr="00FA506F" w:rsidRDefault="00EA2814" w:rsidP="00B80A67">
      <w:pPr>
        <w:pStyle w:val="IAPrrafo"/>
        <w:numPr>
          <w:ilvl w:val="0"/>
          <w:numId w:val="4"/>
        </w:numPr>
        <w:tabs>
          <w:tab w:val="num" w:pos="720"/>
        </w:tabs>
        <w:ind w:firstLine="720"/>
        <w:rPr>
          <w:lang w:val="es-ES"/>
        </w:rPr>
      </w:pPr>
      <w:r w:rsidRPr="00FA506F">
        <w:rPr>
          <w:lang w:val="es-ES"/>
        </w:rPr>
        <w:t>El Estado informó que l</w:t>
      </w:r>
      <w:r w:rsidR="00391C23" w:rsidRPr="00FA506F">
        <w:rPr>
          <w:lang w:val="es-ES"/>
        </w:rPr>
        <w:t xml:space="preserve">a Secretaría de Educación Pública </w:t>
      </w:r>
      <w:r w:rsidRPr="00FA506F">
        <w:rPr>
          <w:lang w:val="es-ES"/>
        </w:rPr>
        <w:t>(SEP) habría realizado</w:t>
      </w:r>
      <w:r w:rsidR="00391C23" w:rsidRPr="00FA506F">
        <w:rPr>
          <w:lang w:val="es-ES"/>
        </w:rPr>
        <w:t xml:space="preserve"> 2</w:t>
      </w:r>
      <w:r w:rsidR="00644632" w:rsidRPr="00FA506F">
        <w:rPr>
          <w:lang w:val="es-ES"/>
        </w:rPr>
        <w:t>,</w:t>
      </w:r>
      <w:r w:rsidR="00391C23" w:rsidRPr="00FA506F">
        <w:rPr>
          <w:lang w:val="es-ES"/>
        </w:rPr>
        <w:t>8 millones de activaciones y charlas, alcanzando a 4</w:t>
      </w:r>
      <w:r w:rsidR="00644632" w:rsidRPr="00FA506F">
        <w:rPr>
          <w:lang w:val="es-ES"/>
        </w:rPr>
        <w:t>,</w:t>
      </w:r>
      <w:r w:rsidR="00391C23" w:rsidRPr="00FA506F">
        <w:rPr>
          <w:lang w:val="es-ES"/>
        </w:rPr>
        <w:t>5 millones de estudiantes con el apoyo de más de 275</w:t>
      </w:r>
      <w:r w:rsidR="00644632" w:rsidRPr="00FA506F">
        <w:rPr>
          <w:lang w:val="es-ES"/>
        </w:rPr>
        <w:t>.</w:t>
      </w:r>
      <w:r w:rsidR="00391C23" w:rsidRPr="00FA506F">
        <w:rPr>
          <w:lang w:val="es-ES"/>
        </w:rPr>
        <w:t xml:space="preserve">000 docentes. </w:t>
      </w:r>
      <w:r w:rsidR="00446F81" w:rsidRPr="00FA506F">
        <w:rPr>
          <w:lang w:val="es-ES"/>
        </w:rPr>
        <w:t>Se</w:t>
      </w:r>
      <w:r w:rsidR="00391C23" w:rsidRPr="00FA506F">
        <w:rPr>
          <w:lang w:val="es-ES"/>
        </w:rPr>
        <w:t xml:space="preserve"> ha</w:t>
      </w:r>
      <w:r w:rsidRPr="00FA506F">
        <w:rPr>
          <w:lang w:val="es-ES"/>
        </w:rPr>
        <w:t>bría</w:t>
      </w:r>
      <w:r w:rsidR="00391C23" w:rsidRPr="00FA506F">
        <w:rPr>
          <w:lang w:val="es-ES"/>
        </w:rPr>
        <w:t>n difundido 14 campañas de prevención que ha</w:t>
      </w:r>
      <w:r w:rsidRPr="00FA506F">
        <w:rPr>
          <w:lang w:val="es-ES"/>
        </w:rPr>
        <w:t>bría</w:t>
      </w:r>
      <w:r w:rsidR="00391C23" w:rsidRPr="00FA506F">
        <w:rPr>
          <w:lang w:val="es-ES"/>
        </w:rPr>
        <w:t>n alcanzado a 1</w:t>
      </w:r>
      <w:r w:rsidR="00644632" w:rsidRPr="00FA506F">
        <w:rPr>
          <w:lang w:val="es-ES"/>
        </w:rPr>
        <w:t>,</w:t>
      </w:r>
      <w:r w:rsidR="00391C23" w:rsidRPr="00FA506F">
        <w:rPr>
          <w:lang w:val="es-ES"/>
        </w:rPr>
        <w:t>2 millones de personas a través de medios masivos, incluidos spots de radio y televisión, así como materiales gráficos dirigidos a diferentes públicos. En este mismo periodo, las Unidades Médicas Especializadas ha</w:t>
      </w:r>
      <w:r w:rsidRPr="00FA506F">
        <w:rPr>
          <w:lang w:val="es-ES"/>
        </w:rPr>
        <w:t>bría</w:t>
      </w:r>
      <w:r w:rsidR="00391C23" w:rsidRPr="00FA506F">
        <w:rPr>
          <w:lang w:val="es-ES"/>
        </w:rPr>
        <w:t>n proporcionado 323</w:t>
      </w:r>
      <w:r w:rsidR="00CB6EE7" w:rsidRPr="00FA506F">
        <w:rPr>
          <w:lang w:val="es-ES"/>
        </w:rPr>
        <w:t>.</w:t>
      </w:r>
      <w:r w:rsidR="00391C23" w:rsidRPr="00FA506F">
        <w:rPr>
          <w:lang w:val="es-ES"/>
        </w:rPr>
        <w:t>424 consultas, abarcando tanto el tratamiento de consumidores de sustancias psicoactivas como la promoción de estilos de vida saludables, beneficiando a más de 2</w:t>
      </w:r>
      <w:r w:rsidR="00644632" w:rsidRPr="00FA506F">
        <w:rPr>
          <w:lang w:val="es-ES"/>
        </w:rPr>
        <w:t>,</w:t>
      </w:r>
      <w:r w:rsidR="00391C23" w:rsidRPr="00FA506F">
        <w:rPr>
          <w:lang w:val="es-ES"/>
        </w:rPr>
        <w:t xml:space="preserve">7 millones de personas. La </w:t>
      </w:r>
      <w:r w:rsidR="00E22EC7" w:rsidRPr="00FA506F">
        <w:rPr>
          <w:lang w:val="es-ES"/>
        </w:rPr>
        <w:t>“</w:t>
      </w:r>
      <w:r w:rsidR="00391C23" w:rsidRPr="00FA506F">
        <w:rPr>
          <w:lang w:val="es-ES"/>
        </w:rPr>
        <w:t>Línea de la Vida</w:t>
      </w:r>
      <w:r w:rsidR="00E22EC7" w:rsidRPr="00FA506F">
        <w:rPr>
          <w:lang w:val="es-ES"/>
        </w:rPr>
        <w:t>”</w:t>
      </w:r>
      <w:r w:rsidR="00391C23" w:rsidRPr="00FA506F">
        <w:rPr>
          <w:lang w:val="es-ES"/>
        </w:rPr>
        <w:t xml:space="preserve">, un servicio de orientación </w:t>
      </w:r>
      <w:r w:rsidR="009434B8" w:rsidRPr="00FA506F">
        <w:rPr>
          <w:lang w:val="es-ES"/>
        </w:rPr>
        <w:t>telefónica</w:t>
      </w:r>
      <w:r w:rsidR="00391C23" w:rsidRPr="00FA506F">
        <w:rPr>
          <w:lang w:val="es-ES"/>
        </w:rPr>
        <w:t xml:space="preserve"> ha</w:t>
      </w:r>
      <w:r w:rsidR="00E20A7E" w:rsidRPr="00FA506F">
        <w:rPr>
          <w:lang w:val="es-ES"/>
        </w:rPr>
        <w:t>bría</w:t>
      </w:r>
      <w:r w:rsidR="00391C23" w:rsidRPr="00FA506F">
        <w:rPr>
          <w:lang w:val="es-ES"/>
        </w:rPr>
        <w:t xml:space="preserve"> brindado 44</w:t>
      </w:r>
      <w:r w:rsidR="00CB6EE7" w:rsidRPr="00FA506F">
        <w:rPr>
          <w:lang w:val="es-ES"/>
        </w:rPr>
        <w:t>.</w:t>
      </w:r>
      <w:r w:rsidR="00391C23" w:rsidRPr="00FA506F">
        <w:rPr>
          <w:lang w:val="es-ES"/>
        </w:rPr>
        <w:t xml:space="preserve">229 atenciones, ofreciendo apoyo a quienes enfrentan problemas relacionados con adicciones. </w:t>
      </w:r>
      <w:r w:rsidR="00446F81" w:rsidRPr="00FA506F">
        <w:rPr>
          <w:lang w:val="es-ES"/>
        </w:rPr>
        <w:t>Se</w:t>
      </w:r>
      <w:r w:rsidR="00391C23" w:rsidRPr="00FA506F">
        <w:rPr>
          <w:lang w:val="es-ES"/>
        </w:rPr>
        <w:t xml:space="preserve"> ha</w:t>
      </w:r>
      <w:r w:rsidR="00E20A7E" w:rsidRPr="00FA506F">
        <w:rPr>
          <w:lang w:val="es-ES"/>
        </w:rPr>
        <w:t>bría</w:t>
      </w:r>
      <w:r w:rsidR="00391C23" w:rsidRPr="00FA506F">
        <w:rPr>
          <w:lang w:val="es-ES"/>
        </w:rPr>
        <w:t>n formado 98 coaliciones comunitarias que han desarrollado 4</w:t>
      </w:r>
      <w:r w:rsidR="00644632" w:rsidRPr="00FA506F">
        <w:rPr>
          <w:lang w:val="es-ES"/>
        </w:rPr>
        <w:t>.</w:t>
      </w:r>
      <w:r w:rsidR="00391C23" w:rsidRPr="00FA506F">
        <w:rPr>
          <w:lang w:val="es-ES"/>
        </w:rPr>
        <w:t>338 acciones de promoción, fortaleciendo la interacción entre los miembros de las comunidades y mejorando sus entornos. Las capacitaciones en el marco del programa mhGAP (</w:t>
      </w:r>
      <w:r w:rsidR="00391C23" w:rsidRPr="00FA506F">
        <w:rPr>
          <w:i/>
          <w:iCs/>
          <w:lang w:val="es-ES"/>
        </w:rPr>
        <w:t>Mental Health Gap Action Programme</w:t>
      </w:r>
      <w:r w:rsidR="00391C23" w:rsidRPr="00FA506F">
        <w:rPr>
          <w:lang w:val="es-ES"/>
        </w:rPr>
        <w:t>) han fortalecido las competencias del personal de salud no especializado, capacitando a más de 15</w:t>
      </w:r>
      <w:r w:rsidR="00CB6EE7" w:rsidRPr="00FA506F">
        <w:rPr>
          <w:lang w:val="es-ES"/>
        </w:rPr>
        <w:t>.</w:t>
      </w:r>
      <w:r w:rsidR="00391C23" w:rsidRPr="00FA506F">
        <w:rPr>
          <w:lang w:val="es-ES"/>
        </w:rPr>
        <w:t xml:space="preserve">000 profesionales. Estas iniciativas buscan asegurar una atención integral y eficaz en salud mental y adicciones, </w:t>
      </w:r>
      <w:r w:rsidR="00CB118D" w:rsidRPr="00FA506F">
        <w:rPr>
          <w:lang w:val="es-ES"/>
        </w:rPr>
        <w:t xml:space="preserve">robusteciendo </w:t>
      </w:r>
      <w:r w:rsidR="00391C23" w:rsidRPr="00FA506F">
        <w:rPr>
          <w:lang w:val="es-ES"/>
        </w:rPr>
        <w:t>así la capacidad del sistema de salud para enfrentar estos desafíos cruciales en la sociedad mexicana</w:t>
      </w:r>
      <w:r w:rsidR="000A1DFE" w:rsidRPr="00FA506F">
        <w:rPr>
          <w:rStyle w:val="FootnoteReference"/>
          <w:lang w:val="es-ES"/>
        </w:rPr>
        <w:footnoteReference w:id="36"/>
      </w:r>
      <w:r w:rsidR="00391C23" w:rsidRPr="00FA506F">
        <w:rPr>
          <w:lang w:val="es-ES"/>
        </w:rPr>
        <w:t>.</w:t>
      </w:r>
    </w:p>
    <w:p w14:paraId="38432E87" w14:textId="77777777" w:rsidR="00F55FC1" w:rsidRPr="00FA506F" w:rsidRDefault="00F55FC1" w:rsidP="00EA132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045CCB09"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3A91111C" w14:textId="325A3174" w:rsidR="00EF4C75" w:rsidRPr="00FA506F" w:rsidRDefault="00E20A7E" w:rsidP="00B80A67">
      <w:pPr>
        <w:pStyle w:val="IAPrrafo"/>
        <w:numPr>
          <w:ilvl w:val="0"/>
          <w:numId w:val="4"/>
        </w:numPr>
        <w:tabs>
          <w:tab w:val="num" w:pos="720"/>
        </w:tabs>
        <w:ind w:firstLine="720"/>
        <w:rPr>
          <w:lang w:val="es-ES"/>
        </w:rPr>
      </w:pPr>
      <w:r w:rsidRPr="00FA506F">
        <w:rPr>
          <w:lang w:val="es-ES"/>
        </w:rPr>
        <w:t xml:space="preserve">La Comisión saluda la adopción de políticas públicas que prioricen la atención de la salud mental, así como la creación y fortalecimiento de herramientas de libre acceso a personas con problemas de adicciones. </w:t>
      </w:r>
      <w:r w:rsidR="00446F81" w:rsidRPr="00FA506F">
        <w:rPr>
          <w:lang w:val="es-ES"/>
        </w:rPr>
        <w:t>La</w:t>
      </w:r>
      <w:r w:rsidRPr="00FA506F">
        <w:rPr>
          <w:lang w:val="es-ES"/>
        </w:rPr>
        <w:t xml:space="preserve"> CIDH reconoce la importancia de acompañar este tipo de políticas públicas con medidas de sensibilización y programas educativos que brinden información relacionada con el consumo de drogas desde un enfoque de salud pública y derechos humanos. En ese sentido, la Comisión concluye que la recomendación </w:t>
      </w:r>
      <w:r w:rsidR="00C76498" w:rsidRPr="00FA506F">
        <w:rPr>
          <w:lang w:val="es-ES"/>
        </w:rPr>
        <w:t xml:space="preserve">avanza </w:t>
      </w:r>
      <w:r w:rsidR="000E3E4C" w:rsidRPr="00FA506F">
        <w:rPr>
          <w:lang w:val="es-ES"/>
        </w:rPr>
        <w:t xml:space="preserve">a </w:t>
      </w:r>
      <w:r w:rsidR="000E3E4C" w:rsidRPr="00FA506F">
        <w:rPr>
          <w:b/>
          <w:bCs/>
          <w:lang w:val="es-ES"/>
        </w:rPr>
        <w:t>cumplimiento</w:t>
      </w:r>
      <w:r w:rsidRPr="00FA506F">
        <w:rPr>
          <w:b/>
          <w:bCs/>
          <w:lang w:val="es-ES"/>
        </w:rPr>
        <w:t xml:space="preserve"> total.</w:t>
      </w:r>
      <w:r w:rsidR="00650E95" w:rsidRPr="00FA506F">
        <w:rPr>
          <w:b/>
          <w:bCs/>
          <w:lang w:val="es-ES"/>
        </w:rPr>
        <w:t xml:space="preserve"> </w:t>
      </w:r>
      <w:r w:rsidR="00650E95" w:rsidRPr="00FA506F">
        <w:rPr>
          <w:lang w:val="es-ES"/>
        </w:rPr>
        <w:t xml:space="preserve">Sin perjuicio de lo anterior, la CIDH resalta que </w:t>
      </w:r>
      <w:r w:rsidR="00EF4C75" w:rsidRPr="00FA506F">
        <w:rPr>
          <w:lang w:val="es-ES"/>
        </w:rPr>
        <w:t>la problemática de la militarización de la seguridad pública es una preocupación latente para la CIDH</w:t>
      </w:r>
      <w:r w:rsidR="0047584F" w:rsidRPr="00FA506F">
        <w:rPr>
          <w:lang w:val="es-ES"/>
        </w:rPr>
        <w:t xml:space="preserve">, que </w:t>
      </w:r>
      <w:r w:rsidR="00EF4C75" w:rsidRPr="00FA506F">
        <w:rPr>
          <w:lang w:val="es-ES"/>
        </w:rPr>
        <w:t>seguirá siendo objeto de seguimiento de la Comisión desde el análisis de la Recomendación 1 del presente informe.</w:t>
      </w:r>
      <w:r w:rsidR="00A25DCA" w:rsidRPr="00FA506F">
        <w:rPr>
          <w:lang w:val="es-ES"/>
        </w:rPr>
        <w:t xml:space="preserve"> </w:t>
      </w:r>
    </w:p>
    <w:p w14:paraId="5DE8CE00" w14:textId="2544C0FA" w:rsidR="00F55FC1" w:rsidRPr="00FA506F" w:rsidRDefault="00F55FC1" w:rsidP="005727DA">
      <w:pPr>
        <w:pStyle w:val="IASubttulo2"/>
        <w:numPr>
          <w:ilvl w:val="0"/>
          <w:numId w:val="3"/>
        </w:numPr>
        <w:tabs>
          <w:tab w:val="num" w:pos="720"/>
        </w:tabs>
        <w:ind w:left="1440" w:hanging="720"/>
        <w:rPr>
          <w:rFonts w:eastAsia="Cambria" w:cs="Cambria"/>
          <w:i/>
          <w:iCs/>
          <w:color w:val="000000" w:themeColor="text1"/>
          <w:sz w:val="20"/>
          <w:szCs w:val="20"/>
          <w:lang w:val="es-ES"/>
        </w:rPr>
      </w:pPr>
      <w:bookmarkStart w:id="13" w:name="_Toc195618107"/>
      <w:r w:rsidRPr="00FA506F">
        <w:rPr>
          <w:sz w:val="22"/>
          <w:szCs w:val="22"/>
          <w:lang w:val="es-ES"/>
        </w:rPr>
        <w:t>Desapariciones y desapariciones forzadas</w:t>
      </w:r>
      <w:bookmarkEnd w:id="13"/>
    </w:p>
    <w:p w14:paraId="5BA51790" w14:textId="2ACCE3A1" w:rsidR="005727DA" w:rsidRPr="00FA506F" w:rsidRDefault="005727DA" w:rsidP="005727DA">
      <w:pPr>
        <w:pStyle w:val="IAPrrafo"/>
        <w:numPr>
          <w:ilvl w:val="0"/>
          <w:numId w:val="4"/>
        </w:numPr>
        <w:tabs>
          <w:tab w:val="num" w:pos="720"/>
        </w:tabs>
        <w:ind w:firstLine="720"/>
        <w:rPr>
          <w:lang w:val="es-ES"/>
        </w:rPr>
      </w:pPr>
      <w:r w:rsidRPr="00FA506F">
        <w:rPr>
          <w:lang w:val="es-ES"/>
        </w:rPr>
        <w:t xml:space="preserve">La Comisión destaca que el análisis pormenorizado de la problemática de desaparición y desaparición forzada se realizará en </w:t>
      </w:r>
      <w:r w:rsidR="00272AFD" w:rsidRPr="00FA506F">
        <w:rPr>
          <w:lang w:val="es-ES"/>
        </w:rPr>
        <w:t xml:space="preserve">un </w:t>
      </w:r>
      <w:r w:rsidRPr="00FA506F">
        <w:rPr>
          <w:lang w:val="es-ES"/>
        </w:rPr>
        <w:t xml:space="preserve">Informe temático </w:t>
      </w:r>
      <w:r w:rsidR="00272AFD" w:rsidRPr="00FA506F">
        <w:rPr>
          <w:lang w:val="es-ES"/>
        </w:rPr>
        <w:t xml:space="preserve">específico </w:t>
      </w:r>
      <w:r w:rsidRPr="00FA506F">
        <w:rPr>
          <w:lang w:val="es-ES"/>
        </w:rPr>
        <w:t xml:space="preserve">de la CIDH, </w:t>
      </w:r>
      <w:r w:rsidR="00272AFD" w:rsidRPr="00FA506F">
        <w:rPr>
          <w:lang w:val="es-ES"/>
        </w:rPr>
        <w:t xml:space="preserve">que </w:t>
      </w:r>
      <w:r w:rsidRPr="00FA506F">
        <w:rPr>
          <w:lang w:val="es-ES"/>
        </w:rPr>
        <w:t xml:space="preserve">será publicado en el primer semestre de 2025. </w:t>
      </w:r>
      <w:r w:rsidR="004A7C84" w:rsidRPr="00FA506F">
        <w:rPr>
          <w:lang w:val="es-ES"/>
        </w:rPr>
        <w:t xml:space="preserve">Para la elaboración de ese informe, la Comisión ha recibido nutrida información del Estado y de la sociedad civil. </w:t>
      </w:r>
      <w:r w:rsidRPr="00FA506F">
        <w:rPr>
          <w:lang w:val="es-ES"/>
        </w:rPr>
        <w:t xml:space="preserve">Sin perjuicio de lo anterior, a continuación, se presenta un estudio general en relación con las recomendaciones 9, 10, 11, 12 y 13 del </w:t>
      </w:r>
      <w:r w:rsidR="00AC3B21" w:rsidRPr="00FA506F">
        <w:rPr>
          <w:lang w:val="es-ES"/>
        </w:rPr>
        <w:t>Informe de País de 2015</w:t>
      </w:r>
      <w:r w:rsidRPr="00FA506F">
        <w:rPr>
          <w:lang w:val="es-ES"/>
        </w:rPr>
        <w:t>.</w:t>
      </w:r>
    </w:p>
    <w:p w14:paraId="595C4963" w14:textId="24122C55" w:rsidR="005727DA" w:rsidRPr="00FA506F" w:rsidRDefault="005727DA" w:rsidP="005727DA">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9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Adoptar una Ley General sobre Desaparición y Desaparición Forzada, y adoptar todas las medidas necesarias para asegurar que, tanto a nivel federal como estatal, la legislación y las prácticas se ajusten a los estándares internacionales en la materia.</w:t>
      </w:r>
    </w:p>
    <w:p w14:paraId="70A2CB04" w14:textId="77777777" w:rsidR="005727DA" w:rsidRPr="00FA506F" w:rsidRDefault="005727DA" w:rsidP="005727DA">
      <w:pPr>
        <w:pStyle w:val="IAPrrafo"/>
        <w:spacing w:after="0"/>
        <w:ind w:left="720"/>
        <w:rPr>
          <w:lang w:val="es-ES"/>
        </w:rPr>
      </w:pPr>
    </w:p>
    <w:p w14:paraId="5D7109A8" w14:textId="11456D36" w:rsidR="00780614" w:rsidRPr="00FA506F" w:rsidRDefault="00F55FC1" w:rsidP="005727DA">
      <w:pPr>
        <w:pStyle w:val="IAPrrafo"/>
        <w:numPr>
          <w:ilvl w:val="0"/>
          <w:numId w:val="4"/>
        </w:numPr>
        <w:tabs>
          <w:tab w:val="num" w:pos="720"/>
        </w:tabs>
        <w:spacing w:after="100" w:afterAutospacing="1"/>
        <w:ind w:firstLine="720"/>
        <w:rPr>
          <w:lang w:val="es-ES"/>
        </w:rPr>
      </w:pPr>
      <w:r w:rsidRPr="00FA506F">
        <w:rPr>
          <w:lang w:val="es-ES"/>
        </w:rPr>
        <w:t xml:space="preserve">En el </w:t>
      </w:r>
      <w:r w:rsidR="00C45E1A" w:rsidRPr="00FA506F">
        <w:rPr>
          <w:lang w:val="es-ES"/>
        </w:rPr>
        <w:t xml:space="preserve">marco del </w:t>
      </w:r>
      <w:r w:rsidRPr="00FA506F">
        <w:rPr>
          <w:lang w:val="es-ES"/>
        </w:rPr>
        <w:t>Capítulo V del Informe Anual de 202</w:t>
      </w:r>
      <w:r w:rsidR="61D95459" w:rsidRPr="00FA506F">
        <w:rPr>
          <w:lang w:val="es-ES"/>
        </w:rPr>
        <w:t>3</w:t>
      </w:r>
      <w:r w:rsidRPr="00FA506F">
        <w:rPr>
          <w:lang w:val="es-ES"/>
        </w:rPr>
        <w:t>,</w:t>
      </w:r>
      <w:r w:rsidR="08CF51F5" w:rsidRPr="00FA506F">
        <w:rPr>
          <w:lang w:val="es-ES"/>
        </w:rPr>
        <w:t xml:space="preserve"> el Estado mexicano informó sobre la creación de la Fiscalía Especializada en Desaparición Forzada y la</w:t>
      </w:r>
      <w:r w:rsidR="00B80A67" w:rsidRPr="00FA506F">
        <w:rPr>
          <w:lang w:val="es-ES"/>
        </w:rPr>
        <w:t xml:space="preserve"> Comisión Nacional de Búsqueda (</w:t>
      </w:r>
      <w:r w:rsidR="00511325" w:rsidRPr="00FA506F">
        <w:rPr>
          <w:lang w:val="es-ES"/>
        </w:rPr>
        <w:t>en adelante “</w:t>
      </w:r>
      <w:r w:rsidR="00B80A67" w:rsidRPr="00FA506F">
        <w:rPr>
          <w:lang w:val="es-ES"/>
        </w:rPr>
        <w:t>CNB</w:t>
      </w:r>
      <w:r w:rsidR="00511325" w:rsidRPr="00FA506F">
        <w:rPr>
          <w:lang w:val="es-ES"/>
        </w:rPr>
        <w:t>”</w:t>
      </w:r>
      <w:r w:rsidR="00B80A67" w:rsidRPr="00FA506F">
        <w:rPr>
          <w:lang w:val="es-ES"/>
        </w:rPr>
        <w:t xml:space="preserve">), </w:t>
      </w:r>
      <w:r w:rsidR="08CF51F5" w:rsidRPr="00FA506F">
        <w:rPr>
          <w:lang w:val="es-ES"/>
        </w:rPr>
        <w:t xml:space="preserve">en el marco de la </w:t>
      </w:r>
      <w:r w:rsidR="00B80A67" w:rsidRPr="00FA506F">
        <w:rPr>
          <w:lang w:val="es-ES"/>
        </w:rPr>
        <w:t>Ley General en Materia de Desaparición Forzada de Personas, Desaparición Cometida por Particulares y del Sistema Nacional de Búsqueda de Personas (</w:t>
      </w:r>
      <w:r w:rsidR="005F5296" w:rsidRPr="00FA506F">
        <w:rPr>
          <w:lang w:val="es-ES"/>
        </w:rPr>
        <w:t>en adelante</w:t>
      </w:r>
      <w:r w:rsidR="00AF7C76" w:rsidRPr="00FA506F">
        <w:rPr>
          <w:lang w:val="es-ES"/>
        </w:rPr>
        <w:t>, “</w:t>
      </w:r>
      <w:r w:rsidR="00290A05" w:rsidRPr="00FA506F">
        <w:rPr>
          <w:lang w:val="es-ES"/>
        </w:rPr>
        <w:t>Ley General de Desaparición</w:t>
      </w:r>
      <w:r w:rsidR="00AF7C76" w:rsidRPr="00FA506F">
        <w:rPr>
          <w:lang w:val="es-ES"/>
        </w:rPr>
        <w:t>”</w:t>
      </w:r>
      <w:r w:rsidR="00B80A67" w:rsidRPr="00FA506F">
        <w:rPr>
          <w:lang w:val="es-ES"/>
        </w:rPr>
        <w:t xml:space="preserve">). </w:t>
      </w:r>
      <w:r w:rsidR="08CF51F5" w:rsidRPr="00FA506F">
        <w:rPr>
          <w:lang w:val="es-ES"/>
        </w:rPr>
        <w:t xml:space="preserve">A pesar de estos avances, organizaciones civiles </w:t>
      </w:r>
      <w:r w:rsidR="00BE6519" w:rsidRPr="00FA506F">
        <w:rPr>
          <w:lang w:val="es-ES"/>
        </w:rPr>
        <w:t>refirieron</w:t>
      </w:r>
      <w:r w:rsidR="08CF51F5" w:rsidRPr="00FA506F">
        <w:rPr>
          <w:lang w:val="es-ES"/>
        </w:rPr>
        <w:t xml:space="preserve"> la falta de una política pública de identificación y la omisión en la creación del Banco Nacional de Datos Forenses (BNDF), lo que perpet</w:t>
      </w:r>
      <w:r w:rsidR="00AF7C76" w:rsidRPr="00FA506F">
        <w:rPr>
          <w:lang w:val="es-ES"/>
        </w:rPr>
        <w:t>uaba</w:t>
      </w:r>
      <w:r w:rsidR="08CF51F5" w:rsidRPr="00FA506F">
        <w:rPr>
          <w:lang w:val="es-ES"/>
        </w:rPr>
        <w:t xml:space="preserve"> la crisis forense. La CIDH valoró los esfuerzos del Estado, pero expresó preocupación por la renuncia de la titular de la CNB y la falta de coordinación entre autoridades, lo que ha</w:t>
      </w:r>
      <w:r w:rsidR="00AF7C76" w:rsidRPr="00FA506F">
        <w:rPr>
          <w:lang w:val="es-ES"/>
        </w:rPr>
        <w:t>bía</w:t>
      </w:r>
      <w:r w:rsidR="08CF51F5" w:rsidRPr="00FA506F">
        <w:rPr>
          <w:lang w:val="es-ES"/>
        </w:rPr>
        <w:t xml:space="preserve"> obstaculizado el cumplimiento efectivo de la </w:t>
      </w:r>
      <w:r w:rsidR="00290A05" w:rsidRPr="00FA506F">
        <w:rPr>
          <w:lang w:val="es-ES"/>
        </w:rPr>
        <w:t>Ley General de Desaparición</w:t>
      </w:r>
      <w:r w:rsidRPr="00FA506F">
        <w:rPr>
          <w:rStyle w:val="FootnoteReference"/>
          <w:lang w:val="es-ES"/>
        </w:rPr>
        <w:footnoteReference w:id="37"/>
      </w:r>
      <w:r w:rsidR="00780614" w:rsidRPr="00FA506F">
        <w:rPr>
          <w:lang w:val="es-ES"/>
        </w:rPr>
        <w:t>.</w:t>
      </w:r>
      <w:r w:rsidR="0072634D" w:rsidRPr="00FA506F">
        <w:rPr>
          <w:lang w:val="es-ES"/>
        </w:rPr>
        <w:t xml:space="preserve"> En razón de ello, la </w:t>
      </w:r>
      <w:r w:rsidR="00D50FCC" w:rsidRPr="00FA506F">
        <w:rPr>
          <w:lang w:val="es-ES"/>
        </w:rPr>
        <w:t xml:space="preserve">Comisión concluyó que la recomendación permanecía </w:t>
      </w:r>
      <w:r w:rsidR="00B80A67" w:rsidRPr="00FA506F">
        <w:rPr>
          <w:lang w:val="es-ES"/>
        </w:rPr>
        <w:t>en cumplimiento parcial</w:t>
      </w:r>
      <w:r w:rsidR="00AF7C76" w:rsidRPr="00FA506F">
        <w:rPr>
          <w:lang w:val="es-ES"/>
        </w:rPr>
        <w:t>.</w:t>
      </w:r>
    </w:p>
    <w:p w14:paraId="25F1140E" w14:textId="57946AEB" w:rsidR="00780614" w:rsidRPr="00FA506F" w:rsidRDefault="00780614" w:rsidP="00EA132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0B1961F0" w14:textId="77777777" w:rsidR="00780614" w:rsidRPr="00FA506F" w:rsidRDefault="00780614" w:rsidP="00B80A67">
      <w:pPr>
        <w:ind w:firstLine="360"/>
        <w:jc w:val="both"/>
        <w:rPr>
          <w:rFonts w:ascii="Cambria" w:eastAsia="Cambria" w:hAnsi="Cambria" w:cs="Cambria"/>
          <w:i/>
          <w:iCs/>
          <w:color w:val="000000" w:themeColor="text1"/>
          <w:sz w:val="20"/>
          <w:szCs w:val="20"/>
          <w:lang w:val="es-ES"/>
        </w:rPr>
      </w:pPr>
    </w:p>
    <w:p w14:paraId="15048D6A" w14:textId="75BA8BAF" w:rsidR="000A1DFE" w:rsidRPr="00FA506F" w:rsidRDefault="000A1DFE" w:rsidP="00B80A67">
      <w:pPr>
        <w:pStyle w:val="IAPrrafo"/>
        <w:numPr>
          <w:ilvl w:val="0"/>
          <w:numId w:val="4"/>
        </w:numPr>
        <w:tabs>
          <w:tab w:val="num" w:pos="720"/>
        </w:tabs>
        <w:ind w:firstLine="720"/>
        <w:rPr>
          <w:lang w:val="es-ES"/>
        </w:rPr>
      </w:pPr>
      <w:r w:rsidRPr="00FA506F">
        <w:rPr>
          <w:lang w:val="es-ES"/>
        </w:rPr>
        <w:t>En 2024, el Estado reiteró información sobre el</w:t>
      </w:r>
      <w:r w:rsidR="00955225" w:rsidRPr="00FA506F">
        <w:rPr>
          <w:lang w:val="es-ES"/>
        </w:rPr>
        <w:t xml:space="preserve"> Sistema Nacional de Búsqueda</w:t>
      </w:r>
      <w:r w:rsidRPr="00FA506F">
        <w:rPr>
          <w:lang w:val="es-ES"/>
        </w:rPr>
        <w:t xml:space="preserve"> </w:t>
      </w:r>
      <w:r w:rsidR="00955225" w:rsidRPr="00FA506F">
        <w:rPr>
          <w:lang w:val="es-ES"/>
        </w:rPr>
        <w:t>(</w:t>
      </w:r>
      <w:r w:rsidR="00E62C36" w:rsidRPr="00FA506F">
        <w:rPr>
          <w:lang w:val="es-ES"/>
        </w:rPr>
        <w:t>en adelante, “</w:t>
      </w:r>
      <w:r w:rsidR="00AE1E3A" w:rsidRPr="00FA506F">
        <w:rPr>
          <w:lang w:val="es-ES"/>
        </w:rPr>
        <w:t>SNB</w:t>
      </w:r>
      <w:r w:rsidR="00E62C36" w:rsidRPr="00FA506F">
        <w:rPr>
          <w:lang w:val="es-ES"/>
        </w:rPr>
        <w:t>”</w:t>
      </w:r>
      <w:r w:rsidR="00B80A67" w:rsidRPr="00FA506F">
        <w:rPr>
          <w:lang w:val="es-ES"/>
        </w:rPr>
        <w:t xml:space="preserve"> o </w:t>
      </w:r>
      <w:r w:rsidR="00E62C36" w:rsidRPr="00FA506F">
        <w:rPr>
          <w:lang w:val="es-ES"/>
        </w:rPr>
        <w:t>“</w:t>
      </w:r>
      <w:r w:rsidR="00B80A67" w:rsidRPr="00FA506F">
        <w:rPr>
          <w:lang w:val="es-ES"/>
        </w:rPr>
        <w:t>Sistema de Búsqueda</w:t>
      </w:r>
      <w:r w:rsidR="00E62C36" w:rsidRPr="00FA506F">
        <w:rPr>
          <w:lang w:val="es-ES"/>
        </w:rPr>
        <w:t>”</w:t>
      </w:r>
      <w:r w:rsidR="00955225" w:rsidRPr="00FA506F">
        <w:rPr>
          <w:lang w:val="es-ES"/>
        </w:rPr>
        <w:t>)</w:t>
      </w:r>
      <w:r w:rsidR="00391C23" w:rsidRPr="00FA506F">
        <w:rPr>
          <w:lang w:val="es-ES"/>
        </w:rPr>
        <w:t xml:space="preserve"> </w:t>
      </w:r>
      <w:r w:rsidRPr="00FA506F">
        <w:rPr>
          <w:lang w:val="es-ES"/>
        </w:rPr>
        <w:t>como el</w:t>
      </w:r>
      <w:r w:rsidR="00391C23" w:rsidRPr="00FA506F">
        <w:rPr>
          <w:lang w:val="es-ES"/>
        </w:rPr>
        <w:t xml:space="preserve"> mecanismo establecido en México para enfrentar la situación de personas desaparecidas</w:t>
      </w:r>
      <w:r w:rsidR="00955225" w:rsidRPr="00FA506F">
        <w:rPr>
          <w:lang w:val="es-ES"/>
        </w:rPr>
        <w:t>, y</w:t>
      </w:r>
      <w:r w:rsidRPr="00FA506F">
        <w:rPr>
          <w:lang w:val="es-ES"/>
        </w:rPr>
        <w:t xml:space="preserve"> cuyo </w:t>
      </w:r>
      <w:r w:rsidR="00391C23" w:rsidRPr="00FA506F">
        <w:rPr>
          <w:lang w:val="es-ES"/>
        </w:rPr>
        <w:t xml:space="preserve">objetivo principal es </w:t>
      </w:r>
      <w:r w:rsidRPr="00FA506F">
        <w:rPr>
          <w:lang w:val="es-ES"/>
        </w:rPr>
        <w:t xml:space="preserve">el establecimiento de </w:t>
      </w:r>
      <w:r w:rsidR="00391C23" w:rsidRPr="00FA506F">
        <w:rPr>
          <w:lang w:val="es-ES"/>
        </w:rPr>
        <w:t>políticas públicas y procedimientos entre las autoridades de todos los niveles de gobierno para la búsqueda, localización e identificación de personas desaparecidas y no localizadas</w:t>
      </w:r>
      <w:r w:rsidR="00745F10" w:rsidRPr="00FA506F">
        <w:rPr>
          <w:rStyle w:val="FootnoteReference"/>
          <w:lang w:val="es-ES"/>
        </w:rPr>
        <w:footnoteReference w:id="38"/>
      </w:r>
      <w:r w:rsidR="00391C23" w:rsidRPr="00FA506F">
        <w:rPr>
          <w:lang w:val="es-ES"/>
        </w:rPr>
        <w:t xml:space="preserve">. </w:t>
      </w:r>
    </w:p>
    <w:p w14:paraId="147BFA1C" w14:textId="26DE1108" w:rsidR="006E4EF3" w:rsidRPr="00FA506F" w:rsidRDefault="000A1DFE" w:rsidP="00B80A67">
      <w:pPr>
        <w:pStyle w:val="IAPrrafo"/>
        <w:numPr>
          <w:ilvl w:val="0"/>
          <w:numId w:val="4"/>
        </w:numPr>
        <w:tabs>
          <w:tab w:val="num" w:pos="720"/>
        </w:tabs>
        <w:ind w:firstLine="720"/>
        <w:rPr>
          <w:lang w:val="es-ES"/>
        </w:rPr>
      </w:pPr>
      <w:r w:rsidRPr="00FA506F">
        <w:rPr>
          <w:lang w:val="es-ES"/>
        </w:rPr>
        <w:t xml:space="preserve">El Estado hizo referencia a </w:t>
      </w:r>
      <w:r w:rsidR="00391C23" w:rsidRPr="00FA506F">
        <w:rPr>
          <w:lang w:val="es-ES"/>
        </w:rPr>
        <w:t xml:space="preserve">la primera sesión del SNB en 2024, realizada el 2 de febrero, </w:t>
      </w:r>
      <w:r w:rsidRPr="00FA506F">
        <w:rPr>
          <w:lang w:val="es-ES"/>
        </w:rPr>
        <w:t xml:space="preserve">en la cual se </w:t>
      </w:r>
      <w:r w:rsidR="00D17F2A" w:rsidRPr="00FA506F">
        <w:rPr>
          <w:lang w:val="es-ES"/>
        </w:rPr>
        <w:t>discutieron</w:t>
      </w:r>
      <w:r w:rsidR="00391C23" w:rsidRPr="00FA506F">
        <w:rPr>
          <w:lang w:val="es-ES"/>
        </w:rPr>
        <w:t xml:space="preserve"> los reglamentos y lineamientos para la búsqueda de personas, así como criterios de capacitación para servidores públicos</w:t>
      </w:r>
      <w:r w:rsidR="00E62C36" w:rsidRPr="00FA506F">
        <w:rPr>
          <w:lang w:val="es-ES"/>
        </w:rPr>
        <w:t>;</w:t>
      </w:r>
      <w:r w:rsidR="008C2DA5" w:rsidRPr="00FA506F">
        <w:rPr>
          <w:lang w:val="es-ES"/>
        </w:rPr>
        <w:t xml:space="preserve"> y se </w:t>
      </w:r>
      <w:r w:rsidR="00391C23" w:rsidRPr="00FA506F">
        <w:rPr>
          <w:lang w:val="es-ES"/>
        </w:rPr>
        <w:t>presentaron los lineamientos de operación y funcionamiento del SNB, información sobre el</w:t>
      </w:r>
      <w:r w:rsidR="00170408" w:rsidRPr="00FA506F">
        <w:rPr>
          <w:lang w:val="es-ES"/>
        </w:rPr>
        <w:t xml:space="preserve"> Registro Nacional de Personas Desaparecidas y No Localizadas (</w:t>
      </w:r>
      <w:r w:rsidR="00C84EC5" w:rsidRPr="00FA506F">
        <w:rPr>
          <w:lang w:val="es-ES"/>
        </w:rPr>
        <w:t>en adelante “</w:t>
      </w:r>
      <w:r w:rsidR="00EC6B93" w:rsidRPr="00FA506F">
        <w:rPr>
          <w:lang w:val="es-ES"/>
        </w:rPr>
        <w:t xml:space="preserve">”Registro Nacional de </w:t>
      </w:r>
      <w:r w:rsidR="00633D30" w:rsidRPr="00FA506F">
        <w:rPr>
          <w:lang w:val="es-ES"/>
        </w:rPr>
        <w:t xml:space="preserve">Personas </w:t>
      </w:r>
      <w:r w:rsidR="00EC6B93" w:rsidRPr="00FA506F">
        <w:rPr>
          <w:lang w:val="es-ES"/>
        </w:rPr>
        <w:t>Desaparecid</w:t>
      </w:r>
      <w:r w:rsidR="00633D30" w:rsidRPr="00FA506F">
        <w:rPr>
          <w:lang w:val="es-ES"/>
        </w:rPr>
        <w:t>a</w:t>
      </w:r>
      <w:r w:rsidR="00EC6B93" w:rsidRPr="00FA506F">
        <w:rPr>
          <w:lang w:val="es-ES"/>
        </w:rPr>
        <w:t>s” o “</w:t>
      </w:r>
      <w:r w:rsidR="00AE1E3A" w:rsidRPr="00FA506F">
        <w:rPr>
          <w:lang w:val="es-ES"/>
        </w:rPr>
        <w:t>RNPDNO</w:t>
      </w:r>
      <w:r w:rsidR="00C84EC5" w:rsidRPr="00FA506F">
        <w:rPr>
          <w:lang w:val="es-ES"/>
        </w:rPr>
        <w:t>”</w:t>
      </w:r>
      <w:r w:rsidR="00170408" w:rsidRPr="00FA506F">
        <w:rPr>
          <w:lang w:val="es-ES"/>
        </w:rPr>
        <w:t>)</w:t>
      </w:r>
      <w:r w:rsidR="00391C23" w:rsidRPr="00FA506F">
        <w:rPr>
          <w:lang w:val="es-ES"/>
        </w:rPr>
        <w:t xml:space="preserve">, y las acciones de búsqueda </w:t>
      </w:r>
      <w:r w:rsidR="00C84EC5" w:rsidRPr="00FA506F">
        <w:rPr>
          <w:lang w:val="es-ES"/>
        </w:rPr>
        <w:t xml:space="preserve">llevadas adelante </w:t>
      </w:r>
      <w:r w:rsidR="00391C23" w:rsidRPr="00FA506F">
        <w:rPr>
          <w:lang w:val="es-ES"/>
        </w:rPr>
        <w:t xml:space="preserve">entre el 1 de octubre de 2023 y el 29 de enero de 2024. En la segunda sesión, </w:t>
      </w:r>
      <w:r w:rsidRPr="00FA506F">
        <w:rPr>
          <w:lang w:val="es-ES"/>
        </w:rPr>
        <w:t>d</w:t>
      </w:r>
      <w:r w:rsidR="00391C23" w:rsidRPr="00FA506F">
        <w:rPr>
          <w:lang w:val="es-ES"/>
        </w:rPr>
        <w:t xml:space="preserve">el 6 de mayo, </w:t>
      </w:r>
      <w:r w:rsidRPr="00FA506F">
        <w:rPr>
          <w:lang w:val="es-ES"/>
        </w:rPr>
        <w:t>el Estado</w:t>
      </w:r>
      <w:r w:rsidR="00454AE0" w:rsidRPr="00FA506F">
        <w:rPr>
          <w:lang w:val="es-ES"/>
        </w:rPr>
        <w:t xml:space="preserve"> reportó</w:t>
      </w:r>
      <w:r w:rsidRPr="00FA506F">
        <w:rPr>
          <w:lang w:val="es-ES"/>
        </w:rPr>
        <w:t xml:space="preserve"> que</w:t>
      </w:r>
      <w:r w:rsidR="006E4EF3" w:rsidRPr="00FA506F">
        <w:rPr>
          <w:lang w:val="es-ES"/>
        </w:rPr>
        <w:t xml:space="preserve"> </w:t>
      </w:r>
      <w:r w:rsidR="00B049DC" w:rsidRPr="00FA506F">
        <w:rPr>
          <w:lang w:val="es-ES"/>
        </w:rPr>
        <w:t xml:space="preserve">trató </w:t>
      </w:r>
      <w:r w:rsidR="006E4EF3" w:rsidRPr="00FA506F">
        <w:rPr>
          <w:lang w:val="es-ES"/>
        </w:rPr>
        <w:t xml:space="preserve">de </w:t>
      </w:r>
      <w:r w:rsidR="00391C23" w:rsidRPr="00FA506F">
        <w:rPr>
          <w:lang w:val="es-ES"/>
        </w:rPr>
        <w:t xml:space="preserve">las estrategias de trabajo de la CNB </w:t>
      </w:r>
      <w:r w:rsidR="006E4EF3" w:rsidRPr="00FA506F">
        <w:rPr>
          <w:lang w:val="es-ES"/>
        </w:rPr>
        <w:t>y d</w:t>
      </w:r>
      <w:r w:rsidR="00391C23" w:rsidRPr="00FA506F">
        <w:rPr>
          <w:lang w:val="es-ES"/>
        </w:rPr>
        <w:t xml:space="preserve">el plan de actualización tecnológica del RNPDNO, avances en identificación humana, convenios en revisión, y la colaboración con </w:t>
      </w:r>
      <w:r w:rsidR="00C2621A" w:rsidRPr="00FA506F">
        <w:rPr>
          <w:lang w:val="es-ES"/>
        </w:rPr>
        <w:t>c</w:t>
      </w:r>
      <w:r w:rsidR="00B80A67" w:rsidRPr="00FA506F">
        <w:rPr>
          <w:lang w:val="es-ES"/>
        </w:rPr>
        <w:t xml:space="preserve">omisiones </w:t>
      </w:r>
      <w:r w:rsidR="00C2621A" w:rsidRPr="00FA506F">
        <w:rPr>
          <w:lang w:val="es-ES"/>
        </w:rPr>
        <w:t>l</w:t>
      </w:r>
      <w:r w:rsidR="00B80A67" w:rsidRPr="00FA506F">
        <w:rPr>
          <w:lang w:val="es-ES"/>
        </w:rPr>
        <w:t xml:space="preserve">ocales de </w:t>
      </w:r>
      <w:r w:rsidR="00C2621A" w:rsidRPr="00FA506F">
        <w:rPr>
          <w:lang w:val="es-ES"/>
        </w:rPr>
        <w:t>b</w:t>
      </w:r>
      <w:r w:rsidR="00B80A67" w:rsidRPr="00FA506F">
        <w:rPr>
          <w:lang w:val="es-ES"/>
        </w:rPr>
        <w:t>úsqueda</w:t>
      </w:r>
      <w:r w:rsidR="00391C23" w:rsidRPr="00FA506F">
        <w:rPr>
          <w:lang w:val="es-ES"/>
        </w:rPr>
        <w:t xml:space="preserve"> (</w:t>
      </w:r>
      <w:r w:rsidR="00EC6B93" w:rsidRPr="00FA506F">
        <w:rPr>
          <w:lang w:val="es-ES"/>
        </w:rPr>
        <w:t>en adelante “</w:t>
      </w:r>
      <w:r w:rsidR="00391C23" w:rsidRPr="00FA506F">
        <w:rPr>
          <w:lang w:val="es-ES"/>
        </w:rPr>
        <w:t>CLB</w:t>
      </w:r>
      <w:r w:rsidR="00EC6B93" w:rsidRPr="00FA506F">
        <w:rPr>
          <w:lang w:val="es-ES"/>
        </w:rPr>
        <w:t>”</w:t>
      </w:r>
      <w:r w:rsidR="00391C23" w:rsidRPr="00FA506F">
        <w:rPr>
          <w:lang w:val="es-ES"/>
        </w:rPr>
        <w:t xml:space="preserve">). </w:t>
      </w:r>
      <w:r w:rsidR="006E4EF3" w:rsidRPr="00FA506F">
        <w:rPr>
          <w:lang w:val="es-ES"/>
        </w:rPr>
        <w:t xml:space="preserve">El Estado </w:t>
      </w:r>
      <w:r w:rsidR="005C097A" w:rsidRPr="00FA506F">
        <w:rPr>
          <w:lang w:val="es-ES"/>
        </w:rPr>
        <w:t xml:space="preserve">destacó </w:t>
      </w:r>
      <w:r w:rsidR="006E4EF3" w:rsidRPr="00FA506F">
        <w:rPr>
          <w:lang w:val="es-ES"/>
        </w:rPr>
        <w:t>que, d</w:t>
      </w:r>
      <w:r w:rsidR="00391C23" w:rsidRPr="00FA506F">
        <w:rPr>
          <w:lang w:val="es-ES"/>
        </w:rPr>
        <w:t xml:space="preserve">esde octubre de 2023 hasta enero de 2024, la CNB </w:t>
      </w:r>
      <w:r w:rsidR="005C097A" w:rsidRPr="00FA506F">
        <w:rPr>
          <w:lang w:val="es-ES"/>
        </w:rPr>
        <w:t xml:space="preserve">organizó </w:t>
      </w:r>
      <w:r w:rsidR="00391C23" w:rsidRPr="00FA506F">
        <w:rPr>
          <w:lang w:val="es-ES"/>
        </w:rPr>
        <w:t xml:space="preserve">un total de 278 búsquedas en 19 estados. </w:t>
      </w:r>
      <w:r w:rsidR="00A9484F" w:rsidRPr="00FA506F">
        <w:rPr>
          <w:lang w:val="es-ES"/>
        </w:rPr>
        <w:t xml:space="preserve">Añadió que se organizaron </w:t>
      </w:r>
      <w:r w:rsidR="00391C23" w:rsidRPr="00FA506F">
        <w:rPr>
          <w:lang w:val="es-ES"/>
        </w:rPr>
        <w:t>236 jornadas de búsqueda individualizada y 42 de búsqueda generalizada</w:t>
      </w:r>
      <w:r w:rsidR="006E4EF3" w:rsidRPr="00FA506F">
        <w:rPr>
          <w:lang w:val="es-ES"/>
        </w:rPr>
        <w:t xml:space="preserve">. El Estado informó que </w:t>
      </w:r>
      <w:r w:rsidR="00391C23" w:rsidRPr="00FA506F">
        <w:rPr>
          <w:lang w:val="es-ES"/>
        </w:rPr>
        <w:t xml:space="preserve">la CNB </w:t>
      </w:r>
      <w:r w:rsidR="005169D1" w:rsidRPr="00FA506F">
        <w:rPr>
          <w:lang w:val="es-ES"/>
        </w:rPr>
        <w:t>aumentó</w:t>
      </w:r>
      <w:r w:rsidR="000F494C" w:rsidRPr="00FA506F">
        <w:rPr>
          <w:lang w:val="es-ES"/>
        </w:rPr>
        <w:t xml:space="preserve"> </w:t>
      </w:r>
      <w:r w:rsidR="005169D1" w:rsidRPr="00FA506F">
        <w:rPr>
          <w:lang w:val="es-ES"/>
        </w:rPr>
        <w:t>el número de personas buscadoras d</w:t>
      </w:r>
      <w:r w:rsidR="003E2C7C" w:rsidRPr="00FA506F">
        <w:rPr>
          <w:lang w:val="es-ES"/>
        </w:rPr>
        <w:t>e</w:t>
      </w:r>
      <w:r w:rsidR="00391C23" w:rsidRPr="00FA506F">
        <w:rPr>
          <w:lang w:val="es-ES"/>
        </w:rPr>
        <w:t xml:space="preserve"> 19 en 2023 a 124 en mayo de 2024. Entre febrero y abril de 2024, las 124</w:t>
      </w:r>
      <w:r w:rsidR="00B049DC" w:rsidRPr="00FA506F">
        <w:rPr>
          <w:lang w:val="es-ES"/>
        </w:rPr>
        <w:t xml:space="preserve"> personas</w:t>
      </w:r>
      <w:r w:rsidR="00391C23" w:rsidRPr="00FA506F">
        <w:rPr>
          <w:lang w:val="es-ES"/>
        </w:rPr>
        <w:t xml:space="preserve"> buscadoras llevaron a cabo 1</w:t>
      </w:r>
      <w:r w:rsidR="00CB6EE7" w:rsidRPr="00FA506F">
        <w:rPr>
          <w:lang w:val="es-ES"/>
        </w:rPr>
        <w:t>.</w:t>
      </w:r>
      <w:r w:rsidR="00391C23" w:rsidRPr="00FA506F">
        <w:rPr>
          <w:lang w:val="es-ES"/>
        </w:rPr>
        <w:t>088 acciones de búsqueda, logrando 63 localizaciones en vida y 47 hallazgos forenses</w:t>
      </w:r>
      <w:r w:rsidR="00460175" w:rsidRPr="00FA506F">
        <w:rPr>
          <w:lang w:val="es-ES"/>
        </w:rPr>
        <w:t>;</w:t>
      </w:r>
      <w:r w:rsidR="00446F81" w:rsidRPr="00FA506F">
        <w:rPr>
          <w:lang w:val="es-ES"/>
        </w:rPr>
        <w:t xml:space="preserve"> e</w:t>
      </w:r>
      <w:r w:rsidR="00391C23" w:rsidRPr="00FA506F">
        <w:rPr>
          <w:lang w:val="es-ES"/>
        </w:rPr>
        <w:t xml:space="preserve"> implementaron procesos de identificación de personas fallecidas encontradas en espacios de resguardo y en fosas, con técnicas científicas avanzadas, en colaboración con el Fondo de Población de las Naciones Unidas (UNFPA)</w:t>
      </w:r>
      <w:r w:rsidR="00745F10" w:rsidRPr="00FA506F">
        <w:rPr>
          <w:rStyle w:val="FootnoteReference"/>
          <w:lang w:val="es-ES"/>
        </w:rPr>
        <w:footnoteReference w:id="39"/>
      </w:r>
      <w:r w:rsidR="006E4EF3" w:rsidRPr="00FA506F">
        <w:rPr>
          <w:lang w:val="es-ES"/>
        </w:rPr>
        <w:t>.</w:t>
      </w:r>
    </w:p>
    <w:p w14:paraId="1EB17233" w14:textId="30401E66" w:rsidR="006E4EF3" w:rsidRPr="00FA506F" w:rsidRDefault="00391C23" w:rsidP="00285F5A">
      <w:pPr>
        <w:pStyle w:val="IAPrrafo"/>
        <w:numPr>
          <w:ilvl w:val="0"/>
          <w:numId w:val="4"/>
        </w:numPr>
        <w:tabs>
          <w:tab w:val="num" w:pos="720"/>
        </w:tabs>
        <w:ind w:firstLine="720"/>
        <w:rPr>
          <w:rFonts w:eastAsia="Cambria" w:cs="Cambria"/>
          <w:i/>
          <w:iCs/>
          <w:color w:val="000000" w:themeColor="text1"/>
          <w:szCs w:val="20"/>
          <w:lang w:val="es-ES"/>
        </w:rPr>
      </w:pPr>
      <w:r w:rsidRPr="00FA506F">
        <w:rPr>
          <w:lang w:val="es-ES"/>
        </w:rPr>
        <w:t xml:space="preserve">Durante el periodo de octubre de 2023 a enero de 2024, la CNB atendió a 63 colectivos y 191 personas, priorizando estados como Guerrero, donde se brindó atención urgente debido al Huracán Otis. Las reuniones incluyeron la participación de familias, colectivos, fiscalías locales, la </w:t>
      </w:r>
      <w:r w:rsidR="00AE1E3A" w:rsidRPr="00FA506F">
        <w:rPr>
          <w:lang w:val="es-ES"/>
        </w:rPr>
        <w:t>CNDH</w:t>
      </w:r>
      <w:r w:rsidRPr="00FA506F">
        <w:rPr>
          <w:lang w:val="es-ES"/>
        </w:rPr>
        <w:t xml:space="preserve">, la Comisión Ejecutiva de Atención a Víctimas (CEAV), el UNFPA, y la Oficina en México del Alto Comisionado de las Naciones Unidas para los Derechos Humanos (OACNUDH), con el objetivo de mejorar la coordinación y la atención a las víctimas de desaparición en el país. </w:t>
      </w:r>
      <w:r w:rsidR="006E4EF3" w:rsidRPr="00FA506F">
        <w:rPr>
          <w:lang w:val="es-ES"/>
        </w:rPr>
        <w:t>El Estado informó que</w:t>
      </w:r>
      <w:r w:rsidR="00892D5B" w:rsidRPr="00FA506F">
        <w:rPr>
          <w:lang w:val="es-ES"/>
        </w:rPr>
        <w:t>,</w:t>
      </w:r>
      <w:r w:rsidR="006E4EF3" w:rsidRPr="00FA506F">
        <w:rPr>
          <w:lang w:val="es-ES"/>
        </w:rPr>
        <w:t xml:space="preserve"> d</w:t>
      </w:r>
      <w:r w:rsidRPr="00FA506F">
        <w:rPr>
          <w:lang w:val="es-ES"/>
        </w:rPr>
        <w:t xml:space="preserve">esde 2019, se </w:t>
      </w:r>
      <w:r w:rsidR="006E4EF3" w:rsidRPr="00FA506F">
        <w:rPr>
          <w:lang w:val="es-ES"/>
        </w:rPr>
        <w:t>habría implementado</w:t>
      </w:r>
      <w:r w:rsidRPr="00FA506F">
        <w:rPr>
          <w:lang w:val="es-ES"/>
        </w:rPr>
        <w:t xml:space="preserve"> un Programa de subsidio federal para la creación y consolidación de</w:t>
      </w:r>
      <w:r w:rsidR="009112C5" w:rsidRPr="00FA506F">
        <w:rPr>
          <w:lang w:val="es-ES"/>
        </w:rPr>
        <w:t xml:space="preserve"> las Comisiones Locales de Búsqueda</w:t>
      </w:r>
      <w:r w:rsidRPr="00FA506F">
        <w:rPr>
          <w:lang w:val="es-ES"/>
        </w:rPr>
        <w:t xml:space="preserve">, beneficiando a 20 comisiones inicialmente y extendiéndose a las 32 entidades federativas desde 2023. A partir del 1 de febrero de 2024, la </w:t>
      </w:r>
      <w:r w:rsidR="006E4EF3" w:rsidRPr="00FA506F">
        <w:rPr>
          <w:lang w:val="es-ES"/>
        </w:rPr>
        <w:t>CNB habría integrado</w:t>
      </w:r>
      <w:r w:rsidRPr="00FA506F">
        <w:rPr>
          <w:lang w:val="es-ES"/>
        </w:rPr>
        <w:t xml:space="preserve"> la Red Nacional de Personas Buscadoras, con 149 integrantes: 20 en el equipo central, radicados en la sede nacional y 129 con asignación en 29 entidades federativas, que desempeñan sus funciones en colaboración con las respectivas comisiones locales</w:t>
      </w:r>
      <w:r w:rsidR="00745F10" w:rsidRPr="00FA506F">
        <w:rPr>
          <w:rStyle w:val="FootnoteReference"/>
          <w:lang w:val="es-ES"/>
        </w:rPr>
        <w:footnoteReference w:id="40"/>
      </w:r>
      <w:r w:rsidRPr="00FA506F">
        <w:rPr>
          <w:lang w:val="es-ES"/>
        </w:rPr>
        <w:t xml:space="preserve">. </w:t>
      </w:r>
    </w:p>
    <w:p w14:paraId="3B26FAF2" w14:textId="38FFECBF" w:rsidR="00297B25" w:rsidRPr="00FA506F" w:rsidRDefault="006E4EF3" w:rsidP="00285F5A">
      <w:pPr>
        <w:pStyle w:val="IAPrrafo"/>
        <w:numPr>
          <w:ilvl w:val="0"/>
          <w:numId w:val="4"/>
        </w:numPr>
        <w:tabs>
          <w:tab w:val="num" w:pos="720"/>
        </w:tabs>
        <w:ind w:firstLine="720"/>
        <w:rPr>
          <w:rFonts w:eastAsia="Cambria" w:cs="Cambria"/>
          <w:color w:val="000000" w:themeColor="text1"/>
          <w:szCs w:val="20"/>
          <w:lang w:val="es-ES"/>
        </w:rPr>
      </w:pPr>
      <w:r w:rsidRPr="00FA506F">
        <w:rPr>
          <w:lang w:val="es-ES"/>
        </w:rPr>
        <w:t>Por su parte, organizaciones de la sociedad civil</w:t>
      </w:r>
      <w:r w:rsidRPr="00FA506F">
        <w:rPr>
          <w:rFonts w:eastAsia="Cambria" w:cs="Cambria"/>
          <w:color w:val="000000" w:themeColor="text1"/>
          <w:szCs w:val="20"/>
          <w:lang w:val="es-ES"/>
        </w:rPr>
        <w:t xml:space="preserve"> informaron a la Comisión del contexto actual del S</w:t>
      </w:r>
      <w:r w:rsidR="00785BEA" w:rsidRPr="00FA506F">
        <w:rPr>
          <w:rFonts w:eastAsia="Cambria" w:cs="Cambria"/>
          <w:color w:val="000000" w:themeColor="text1"/>
          <w:szCs w:val="20"/>
          <w:lang w:val="es-ES"/>
        </w:rPr>
        <w:t>istema de Búsqueda</w:t>
      </w:r>
      <w:r w:rsidRPr="00FA506F">
        <w:rPr>
          <w:rFonts w:eastAsia="Cambria" w:cs="Cambria"/>
          <w:color w:val="000000" w:themeColor="text1"/>
          <w:szCs w:val="20"/>
          <w:lang w:val="es-ES"/>
        </w:rPr>
        <w:t xml:space="preserve"> y de la C</w:t>
      </w:r>
      <w:r w:rsidR="00791448" w:rsidRPr="00FA506F">
        <w:rPr>
          <w:rFonts w:eastAsia="Cambria" w:cs="Cambria"/>
          <w:color w:val="000000" w:themeColor="text1"/>
          <w:szCs w:val="20"/>
          <w:lang w:val="es-ES"/>
        </w:rPr>
        <w:t>omisión Nacional de Búsqueda</w:t>
      </w:r>
      <w:r w:rsidRPr="00FA506F">
        <w:rPr>
          <w:rFonts w:eastAsia="Cambria" w:cs="Cambria"/>
          <w:color w:val="000000" w:themeColor="text1"/>
          <w:szCs w:val="20"/>
          <w:lang w:val="es-ES"/>
        </w:rPr>
        <w:t xml:space="preserve"> en particular</w:t>
      </w:r>
      <w:r w:rsidR="00791448" w:rsidRPr="00FA506F">
        <w:rPr>
          <w:rFonts w:eastAsia="Cambria" w:cs="Cambria"/>
          <w:color w:val="000000" w:themeColor="text1"/>
          <w:szCs w:val="20"/>
          <w:lang w:val="es-ES"/>
        </w:rPr>
        <w:t>;</w:t>
      </w:r>
      <w:r w:rsidR="00446046" w:rsidRPr="00FA506F">
        <w:rPr>
          <w:rFonts w:eastAsia="Cambria" w:cs="Cambria"/>
          <w:color w:val="000000" w:themeColor="text1"/>
          <w:szCs w:val="20"/>
          <w:lang w:val="es-ES"/>
        </w:rPr>
        <w:t xml:space="preserve"> y </w:t>
      </w:r>
      <w:r w:rsidR="00585C86" w:rsidRPr="00FA506F">
        <w:rPr>
          <w:rFonts w:eastAsia="Cambria" w:cs="Cambria"/>
          <w:color w:val="000000" w:themeColor="text1"/>
          <w:szCs w:val="20"/>
          <w:lang w:val="es-ES"/>
        </w:rPr>
        <w:t xml:space="preserve">mencionaron </w:t>
      </w:r>
      <w:r w:rsidRPr="00FA506F">
        <w:rPr>
          <w:rFonts w:eastAsia="Cambria" w:cs="Cambria"/>
          <w:color w:val="000000" w:themeColor="text1"/>
          <w:szCs w:val="20"/>
          <w:lang w:val="es-ES"/>
        </w:rPr>
        <w:t xml:space="preserve">que del 24 de agosto al 4 de octubre </w:t>
      </w:r>
      <w:r w:rsidR="00585C86" w:rsidRPr="00FA506F">
        <w:rPr>
          <w:rFonts w:eastAsia="Cambria" w:cs="Cambria"/>
          <w:color w:val="000000" w:themeColor="text1"/>
          <w:szCs w:val="20"/>
          <w:lang w:val="es-ES"/>
        </w:rPr>
        <w:t xml:space="preserve">de 2023 </w:t>
      </w:r>
      <w:r w:rsidRPr="00FA506F">
        <w:rPr>
          <w:rFonts w:eastAsia="Cambria" w:cs="Cambria"/>
          <w:color w:val="000000" w:themeColor="text1"/>
          <w:szCs w:val="20"/>
          <w:lang w:val="es-ES"/>
        </w:rPr>
        <w:t xml:space="preserve">existió un interinato </w:t>
      </w:r>
      <w:r w:rsidR="002332D0" w:rsidRPr="00FA506F">
        <w:rPr>
          <w:rFonts w:eastAsia="Cambria" w:cs="Cambria"/>
          <w:color w:val="000000" w:themeColor="text1"/>
          <w:szCs w:val="20"/>
          <w:lang w:val="es-ES"/>
        </w:rPr>
        <w:t>en la dirección</w:t>
      </w:r>
      <w:r w:rsidRPr="00FA506F">
        <w:rPr>
          <w:rFonts w:eastAsia="Cambria" w:cs="Cambria"/>
          <w:color w:val="000000" w:themeColor="text1"/>
          <w:szCs w:val="20"/>
          <w:lang w:val="es-ES"/>
        </w:rPr>
        <w:t xml:space="preserve"> de la CNB</w:t>
      </w:r>
      <w:r w:rsidR="002332D0" w:rsidRPr="00FA506F">
        <w:rPr>
          <w:rFonts w:eastAsia="Cambria" w:cs="Cambria"/>
          <w:color w:val="000000" w:themeColor="text1"/>
          <w:szCs w:val="20"/>
          <w:lang w:val="es-ES"/>
        </w:rPr>
        <w:t>, lo cual no se encuentra previsto en la ley</w:t>
      </w:r>
      <w:r w:rsidRPr="00FA506F">
        <w:rPr>
          <w:rFonts w:eastAsia="Cambria" w:cs="Cambria"/>
          <w:color w:val="000000" w:themeColor="text1"/>
          <w:szCs w:val="20"/>
          <w:lang w:val="es-ES"/>
        </w:rPr>
        <w:t>.</w:t>
      </w:r>
      <w:r w:rsidR="002332D0" w:rsidRPr="00FA506F">
        <w:rPr>
          <w:rFonts w:eastAsia="Cambria" w:cs="Cambria"/>
          <w:color w:val="000000" w:themeColor="text1"/>
          <w:szCs w:val="20"/>
          <w:lang w:val="es-ES"/>
        </w:rPr>
        <w:t xml:space="preserve"> Posteriormente,</w:t>
      </w:r>
      <w:r w:rsidRPr="00FA506F">
        <w:rPr>
          <w:rFonts w:eastAsia="Cambria" w:cs="Cambria"/>
          <w:color w:val="000000" w:themeColor="text1"/>
          <w:szCs w:val="20"/>
          <w:lang w:val="es-ES"/>
        </w:rPr>
        <w:t xml:space="preserve"> </w:t>
      </w:r>
      <w:r w:rsidR="002332D0" w:rsidRPr="00FA506F">
        <w:rPr>
          <w:rFonts w:eastAsia="Cambria" w:cs="Cambria"/>
          <w:color w:val="000000" w:themeColor="text1"/>
          <w:szCs w:val="20"/>
          <w:lang w:val="es-ES"/>
        </w:rPr>
        <w:t>e</w:t>
      </w:r>
      <w:r w:rsidRPr="00FA506F">
        <w:rPr>
          <w:rFonts w:eastAsia="Cambria" w:cs="Cambria"/>
          <w:color w:val="000000" w:themeColor="text1"/>
          <w:szCs w:val="20"/>
          <w:lang w:val="es-ES"/>
        </w:rPr>
        <w:t>l 5 de octubre de 2023,</w:t>
      </w:r>
      <w:r w:rsidR="002332D0" w:rsidRPr="00FA506F">
        <w:rPr>
          <w:rFonts w:eastAsia="Cambria" w:cs="Cambria"/>
          <w:color w:val="000000" w:themeColor="text1"/>
          <w:szCs w:val="20"/>
          <w:lang w:val="es-ES"/>
        </w:rPr>
        <w:t xml:space="preserve"> </w:t>
      </w:r>
      <w:r w:rsidRPr="00FA506F">
        <w:rPr>
          <w:rFonts w:eastAsia="Cambria" w:cs="Cambria"/>
          <w:color w:val="000000" w:themeColor="text1"/>
          <w:szCs w:val="20"/>
          <w:lang w:val="es-ES"/>
        </w:rPr>
        <w:t xml:space="preserve">la SEGOB abrió la convocatoria pública para nombrar </w:t>
      </w:r>
      <w:r w:rsidR="00791448" w:rsidRPr="00FA506F">
        <w:rPr>
          <w:rFonts w:eastAsia="Cambria" w:cs="Cambria"/>
          <w:color w:val="000000" w:themeColor="text1"/>
          <w:szCs w:val="20"/>
          <w:lang w:val="es-ES"/>
        </w:rPr>
        <w:t xml:space="preserve">a </w:t>
      </w:r>
      <w:r w:rsidRPr="00FA506F">
        <w:rPr>
          <w:rFonts w:eastAsia="Cambria" w:cs="Cambria"/>
          <w:color w:val="000000" w:themeColor="text1"/>
          <w:szCs w:val="20"/>
          <w:lang w:val="es-ES"/>
        </w:rPr>
        <w:t>la nueva persona titular de la CNB</w:t>
      </w:r>
      <w:r w:rsidR="002332D0" w:rsidRPr="00FA506F">
        <w:rPr>
          <w:rStyle w:val="FootnoteReference"/>
          <w:rFonts w:eastAsia="Cambria" w:cs="Cambria"/>
          <w:color w:val="000000" w:themeColor="text1"/>
          <w:szCs w:val="20"/>
          <w:lang w:val="es-ES"/>
        </w:rPr>
        <w:footnoteReference w:id="41"/>
      </w:r>
      <w:r w:rsidRPr="00FA506F">
        <w:rPr>
          <w:rFonts w:eastAsia="Cambria" w:cs="Cambria"/>
          <w:color w:val="000000" w:themeColor="text1"/>
          <w:szCs w:val="20"/>
          <w:lang w:val="es-ES"/>
        </w:rPr>
        <w:t>.</w:t>
      </w:r>
      <w:r w:rsidR="00A25DCA" w:rsidRPr="00FA506F">
        <w:rPr>
          <w:rFonts w:eastAsia="Cambria" w:cs="Cambria"/>
          <w:color w:val="000000" w:themeColor="text1"/>
          <w:szCs w:val="20"/>
          <w:lang w:val="es-ES"/>
        </w:rPr>
        <w:t xml:space="preserve"> </w:t>
      </w:r>
      <w:r w:rsidRPr="00FA506F">
        <w:rPr>
          <w:rFonts w:eastAsia="Cambria" w:cs="Cambria"/>
          <w:color w:val="000000" w:themeColor="text1"/>
          <w:szCs w:val="20"/>
          <w:lang w:val="es-ES"/>
        </w:rPr>
        <w:t xml:space="preserve">El 23 de octubre de 2023, </w:t>
      </w:r>
      <w:r w:rsidR="002332D0" w:rsidRPr="00FA506F">
        <w:rPr>
          <w:rFonts w:eastAsia="Cambria" w:cs="Cambria"/>
          <w:color w:val="000000" w:themeColor="text1"/>
          <w:szCs w:val="20"/>
          <w:lang w:val="es-ES"/>
        </w:rPr>
        <w:t xml:space="preserve">se nombró a la nueva </w:t>
      </w:r>
      <w:r w:rsidRPr="00FA506F">
        <w:rPr>
          <w:rFonts w:eastAsia="Cambria" w:cs="Cambria"/>
          <w:color w:val="000000" w:themeColor="text1"/>
          <w:szCs w:val="20"/>
          <w:lang w:val="es-ES"/>
        </w:rPr>
        <w:t>Comisionada Nacional de Búsqueda</w:t>
      </w:r>
      <w:r w:rsidR="002332D0" w:rsidRPr="00FA506F">
        <w:rPr>
          <w:rStyle w:val="FootnoteReference"/>
          <w:rFonts w:eastAsia="Cambria" w:cs="Cambria"/>
          <w:color w:val="000000" w:themeColor="text1"/>
          <w:szCs w:val="20"/>
          <w:lang w:val="es-ES"/>
        </w:rPr>
        <w:footnoteReference w:id="42"/>
      </w:r>
      <w:r w:rsidR="002332D0" w:rsidRPr="00FA506F">
        <w:rPr>
          <w:rFonts w:eastAsia="Cambria" w:cs="Cambria"/>
          <w:color w:val="000000" w:themeColor="text1"/>
          <w:szCs w:val="20"/>
          <w:lang w:val="es-ES"/>
        </w:rPr>
        <w:t>. Las organizaciones destacaron que este proceso de designación fue controvertido y carente de transparencia, debido a que el perfil de la actual titular no acredita</w:t>
      </w:r>
      <w:r w:rsidR="00791448" w:rsidRPr="00FA506F">
        <w:rPr>
          <w:rFonts w:eastAsia="Cambria" w:cs="Cambria"/>
          <w:color w:val="000000" w:themeColor="text1"/>
          <w:szCs w:val="20"/>
          <w:lang w:val="es-ES"/>
        </w:rPr>
        <w:t>ría</w:t>
      </w:r>
      <w:r w:rsidR="002332D0" w:rsidRPr="00FA506F">
        <w:rPr>
          <w:rFonts w:eastAsia="Cambria" w:cs="Cambria"/>
          <w:color w:val="000000" w:themeColor="text1"/>
          <w:szCs w:val="20"/>
          <w:lang w:val="es-ES"/>
        </w:rPr>
        <w:t xml:space="preserve"> los requisitos establecidos en la </w:t>
      </w:r>
      <w:r w:rsidR="00290A05" w:rsidRPr="00FA506F">
        <w:rPr>
          <w:rFonts w:eastAsia="Cambria" w:cs="Cambria"/>
          <w:color w:val="000000" w:themeColor="text1"/>
          <w:szCs w:val="20"/>
          <w:lang w:val="es-ES"/>
        </w:rPr>
        <w:t>Ley General de Desaparición</w:t>
      </w:r>
      <w:r w:rsidR="002332D0" w:rsidRPr="00FA506F">
        <w:rPr>
          <w:rFonts w:eastAsia="Cambria" w:cs="Cambria"/>
          <w:color w:val="000000" w:themeColor="text1"/>
          <w:szCs w:val="20"/>
          <w:lang w:val="es-ES"/>
        </w:rPr>
        <w:t xml:space="preserve"> para ocupar dicho puesto</w:t>
      </w:r>
      <w:r w:rsidR="00FB3B4B" w:rsidRPr="00FA506F">
        <w:rPr>
          <w:rStyle w:val="FootnoteReference"/>
          <w:rFonts w:eastAsia="Cambria" w:cs="Cambria"/>
          <w:color w:val="000000" w:themeColor="text1"/>
          <w:szCs w:val="20"/>
          <w:lang w:val="es-ES"/>
        </w:rPr>
        <w:footnoteReference w:id="43"/>
      </w:r>
      <w:r w:rsidR="007A136D" w:rsidRPr="00FA506F">
        <w:rPr>
          <w:rFonts w:eastAsia="Cambria" w:cs="Cambria"/>
          <w:color w:val="000000" w:themeColor="text1"/>
          <w:szCs w:val="20"/>
          <w:lang w:val="es-ES"/>
        </w:rPr>
        <w:t>.</w:t>
      </w:r>
      <w:r w:rsidR="008464AA" w:rsidRPr="00FA506F">
        <w:rPr>
          <w:rFonts w:eastAsia="Cambria" w:cs="Cambria"/>
          <w:color w:val="000000" w:themeColor="text1"/>
          <w:szCs w:val="20"/>
          <w:lang w:val="es-ES"/>
        </w:rPr>
        <w:t xml:space="preserve"> En el mismo sentido, reportaron que diversas organizaciones y la Oficina del Alto Comisionado de las Naciones Unidas lamentaron que “el proceso de designación no </w:t>
      </w:r>
      <w:r w:rsidR="006342B5" w:rsidRPr="00FA506F">
        <w:rPr>
          <w:rFonts w:eastAsia="Cambria" w:cs="Cambria"/>
          <w:color w:val="000000" w:themeColor="text1"/>
          <w:szCs w:val="20"/>
          <w:lang w:val="es-ES"/>
        </w:rPr>
        <w:t>contara</w:t>
      </w:r>
      <w:r w:rsidR="008464AA" w:rsidRPr="00FA506F">
        <w:rPr>
          <w:rFonts w:eastAsia="Cambria" w:cs="Cambria"/>
          <w:color w:val="000000" w:themeColor="text1"/>
          <w:szCs w:val="20"/>
          <w:lang w:val="es-ES"/>
        </w:rPr>
        <w:t xml:space="preserve"> con los niveles de consulta, participación, transparencia y escrutinio deseables y a los que alentaron algunas víctimas y organizaciones nacionales e internacionales de derechos humanos”</w:t>
      </w:r>
      <w:r w:rsidR="008464AA" w:rsidRPr="00FA506F">
        <w:rPr>
          <w:rStyle w:val="FootnoteReference"/>
          <w:rFonts w:eastAsia="Cambria" w:cs="Cambria"/>
          <w:color w:val="000000" w:themeColor="text1"/>
          <w:szCs w:val="20"/>
          <w:lang w:val="es-ES"/>
        </w:rPr>
        <w:footnoteReference w:id="44"/>
      </w:r>
      <w:r w:rsidR="008464AA" w:rsidRPr="00FA506F">
        <w:rPr>
          <w:rFonts w:eastAsia="Cambria" w:cs="Cambria"/>
          <w:color w:val="000000" w:themeColor="text1"/>
          <w:szCs w:val="20"/>
          <w:lang w:val="es-ES"/>
        </w:rPr>
        <w:t>.</w:t>
      </w:r>
      <w:r w:rsidR="006A73CE" w:rsidRPr="00FA506F">
        <w:rPr>
          <w:rFonts w:eastAsia="Cambria" w:cs="Cambria"/>
          <w:color w:val="000000" w:themeColor="text1"/>
          <w:szCs w:val="20"/>
          <w:lang w:val="es-ES"/>
        </w:rPr>
        <w:t xml:space="preserve"> En ese sentido, refirieron que el proceso de consulta</w:t>
      </w:r>
      <w:r w:rsidR="008464AA" w:rsidRPr="00FA506F">
        <w:rPr>
          <w:rFonts w:eastAsia="Cambria" w:cs="Cambria"/>
          <w:color w:val="000000" w:themeColor="text1"/>
          <w:szCs w:val="20"/>
          <w:lang w:val="es-ES"/>
        </w:rPr>
        <w:t xml:space="preserve"> </w:t>
      </w:r>
      <w:r w:rsidR="00D17F2A" w:rsidRPr="00FA506F">
        <w:rPr>
          <w:rFonts w:eastAsia="Cambria" w:cs="Cambria"/>
          <w:color w:val="000000" w:themeColor="text1"/>
          <w:szCs w:val="20"/>
          <w:lang w:val="es-ES"/>
        </w:rPr>
        <w:t>representó</w:t>
      </w:r>
      <w:r w:rsidR="006A73CE" w:rsidRPr="00FA506F">
        <w:rPr>
          <w:rFonts w:eastAsia="Cambria" w:cs="Cambria"/>
          <w:color w:val="000000" w:themeColor="text1"/>
          <w:szCs w:val="20"/>
          <w:lang w:val="es-ES"/>
        </w:rPr>
        <w:t xml:space="preserve"> un </w:t>
      </w:r>
      <w:r w:rsidR="008464AA" w:rsidRPr="00FA506F">
        <w:rPr>
          <w:rFonts w:eastAsia="Cambria" w:cs="Cambria"/>
          <w:color w:val="000000" w:themeColor="text1"/>
          <w:szCs w:val="20"/>
          <w:lang w:val="es-ES"/>
        </w:rPr>
        <w:t>retroceso al escrutinio</w:t>
      </w:r>
      <w:r w:rsidR="006A73CE" w:rsidRPr="00FA506F">
        <w:rPr>
          <w:rFonts w:eastAsia="Cambria" w:cs="Cambria"/>
          <w:color w:val="000000" w:themeColor="text1"/>
          <w:szCs w:val="20"/>
          <w:lang w:val="es-ES"/>
        </w:rPr>
        <w:t xml:space="preserve"> </w:t>
      </w:r>
      <w:r w:rsidR="008464AA" w:rsidRPr="00FA506F">
        <w:rPr>
          <w:rFonts w:eastAsia="Cambria" w:cs="Cambria"/>
          <w:color w:val="000000" w:themeColor="text1"/>
          <w:szCs w:val="20"/>
          <w:lang w:val="es-ES"/>
        </w:rPr>
        <w:t xml:space="preserve">público que se había llevado a cabo en el nombramiento anterior. Adicionalmente, </w:t>
      </w:r>
      <w:r w:rsidR="006A73CE" w:rsidRPr="00FA506F">
        <w:rPr>
          <w:rFonts w:eastAsia="Cambria" w:cs="Cambria"/>
          <w:color w:val="000000" w:themeColor="text1"/>
          <w:szCs w:val="20"/>
          <w:lang w:val="es-ES"/>
        </w:rPr>
        <w:t xml:space="preserve">organizaciones indicaron que </w:t>
      </w:r>
      <w:r w:rsidR="008464AA" w:rsidRPr="00FA506F">
        <w:rPr>
          <w:rFonts w:eastAsia="Cambria" w:cs="Cambria"/>
          <w:color w:val="000000" w:themeColor="text1"/>
          <w:szCs w:val="20"/>
          <w:lang w:val="es-ES"/>
        </w:rPr>
        <w:t>en fechas recientes reportajes</w:t>
      </w:r>
      <w:r w:rsidR="006A73CE" w:rsidRPr="00FA506F">
        <w:rPr>
          <w:rFonts w:eastAsia="Cambria" w:cs="Cambria"/>
          <w:color w:val="000000" w:themeColor="text1"/>
          <w:szCs w:val="20"/>
          <w:lang w:val="es-ES"/>
        </w:rPr>
        <w:t xml:space="preserve"> </w:t>
      </w:r>
      <w:r w:rsidR="008464AA" w:rsidRPr="00FA506F">
        <w:rPr>
          <w:rFonts w:eastAsia="Cambria" w:cs="Cambria"/>
          <w:color w:val="000000" w:themeColor="text1"/>
          <w:szCs w:val="20"/>
          <w:lang w:val="es-ES"/>
        </w:rPr>
        <w:t xml:space="preserve">periodísticos dieron cuenta de que el perfil de la actual titular de la CNB </w:t>
      </w:r>
      <w:r w:rsidR="006A73CE" w:rsidRPr="00FA506F">
        <w:rPr>
          <w:rFonts w:eastAsia="Cambria" w:cs="Cambria"/>
          <w:color w:val="000000" w:themeColor="text1"/>
          <w:szCs w:val="20"/>
          <w:lang w:val="es-ES"/>
        </w:rPr>
        <w:t>habría sido</w:t>
      </w:r>
      <w:r w:rsidR="008464AA" w:rsidRPr="00FA506F">
        <w:rPr>
          <w:rFonts w:eastAsia="Cambria" w:cs="Cambria"/>
          <w:color w:val="000000" w:themeColor="text1"/>
          <w:szCs w:val="20"/>
          <w:lang w:val="es-ES"/>
        </w:rPr>
        <w:t xml:space="preserve"> propuesto y apoyado por funcionarios</w:t>
      </w:r>
      <w:r w:rsidR="006A73CE" w:rsidRPr="00FA506F">
        <w:rPr>
          <w:rFonts w:eastAsia="Cambria" w:cs="Cambria"/>
          <w:color w:val="000000" w:themeColor="text1"/>
          <w:szCs w:val="20"/>
          <w:lang w:val="es-ES"/>
        </w:rPr>
        <w:t xml:space="preserve"> públicos de la Comisión Nacional de Derechos Humanos (CNDH)</w:t>
      </w:r>
      <w:r w:rsidR="006A73CE" w:rsidRPr="00FA506F">
        <w:rPr>
          <w:rStyle w:val="FootnoteReference"/>
          <w:rFonts w:eastAsia="Cambria" w:cs="Cambria"/>
          <w:color w:val="000000" w:themeColor="text1"/>
          <w:szCs w:val="20"/>
          <w:lang w:val="es-ES"/>
        </w:rPr>
        <w:footnoteReference w:id="45"/>
      </w:r>
      <w:r w:rsidR="006A73CE" w:rsidRPr="00FA506F">
        <w:rPr>
          <w:rFonts w:eastAsia="Cambria" w:cs="Cambria"/>
          <w:color w:val="000000" w:themeColor="text1"/>
          <w:szCs w:val="20"/>
          <w:lang w:val="es-ES"/>
        </w:rPr>
        <w:t xml:space="preserve">. </w:t>
      </w:r>
    </w:p>
    <w:p w14:paraId="4DE238E9" w14:textId="6FFE7D46" w:rsidR="006A73CE" w:rsidRPr="00FA506F" w:rsidRDefault="008C2DA5" w:rsidP="00285F5A">
      <w:pPr>
        <w:pStyle w:val="IAPrrafo"/>
        <w:numPr>
          <w:ilvl w:val="0"/>
          <w:numId w:val="4"/>
        </w:numPr>
        <w:tabs>
          <w:tab w:val="num" w:pos="720"/>
        </w:tabs>
        <w:ind w:firstLine="720"/>
        <w:rPr>
          <w:rFonts w:eastAsia="Cambria" w:cs="Cambria"/>
          <w:i/>
          <w:iCs/>
          <w:color w:val="000000" w:themeColor="text1"/>
          <w:szCs w:val="20"/>
          <w:lang w:val="es-ES"/>
        </w:rPr>
      </w:pPr>
      <w:r w:rsidRPr="00FA506F">
        <w:rPr>
          <w:rFonts w:eastAsia="Cambria" w:cs="Cambria"/>
          <w:color w:val="000000" w:themeColor="text1"/>
          <w:szCs w:val="20"/>
          <w:lang w:val="es-ES"/>
        </w:rPr>
        <w:t>Las</w:t>
      </w:r>
      <w:r w:rsidR="00D17F2A" w:rsidRPr="00FA506F">
        <w:rPr>
          <w:rFonts w:eastAsia="Cambria" w:cs="Cambria"/>
          <w:color w:val="000000" w:themeColor="text1"/>
          <w:szCs w:val="20"/>
          <w:lang w:val="es-ES"/>
        </w:rPr>
        <w:t xml:space="preserve"> </w:t>
      </w:r>
      <w:r w:rsidR="00297B25" w:rsidRPr="00FA506F">
        <w:rPr>
          <w:rFonts w:eastAsia="Cambria" w:cs="Cambria"/>
          <w:color w:val="000000" w:themeColor="text1"/>
          <w:szCs w:val="20"/>
          <w:lang w:val="es-ES"/>
        </w:rPr>
        <w:t xml:space="preserve">organizaciones </w:t>
      </w:r>
      <w:r w:rsidR="005D2DDE" w:rsidRPr="00FA506F">
        <w:rPr>
          <w:rFonts w:eastAsia="Cambria" w:cs="Cambria"/>
          <w:color w:val="000000" w:themeColor="text1"/>
          <w:szCs w:val="20"/>
          <w:lang w:val="es-ES"/>
        </w:rPr>
        <w:t xml:space="preserve">resaltaron </w:t>
      </w:r>
      <w:r w:rsidR="00297B25" w:rsidRPr="00FA506F">
        <w:rPr>
          <w:rFonts w:eastAsia="Cambria" w:cs="Cambria"/>
          <w:color w:val="000000" w:themeColor="text1"/>
          <w:szCs w:val="20"/>
          <w:lang w:val="es-ES"/>
        </w:rPr>
        <w:t xml:space="preserve">que la titular de la </w:t>
      </w:r>
      <w:r w:rsidR="009112C5" w:rsidRPr="00FA506F">
        <w:rPr>
          <w:rFonts w:eastAsia="Cambria" w:cs="Cambria"/>
          <w:color w:val="000000" w:themeColor="text1"/>
          <w:szCs w:val="20"/>
          <w:lang w:val="es-ES"/>
        </w:rPr>
        <w:t>Comisión Nacional de Búsqueda</w:t>
      </w:r>
      <w:r w:rsidR="00297B25" w:rsidRPr="00FA506F">
        <w:rPr>
          <w:rFonts w:eastAsia="Cambria" w:cs="Cambria"/>
          <w:color w:val="000000" w:themeColor="text1"/>
          <w:szCs w:val="20"/>
          <w:lang w:val="es-ES"/>
        </w:rPr>
        <w:t xml:space="preserve"> no contaría</w:t>
      </w:r>
      <w:r w:rsidR="006A73CE" w:rsidRPr="00FA506F">
        <w:rPr>
          <w:rFonts w:eastAsia="Cambria" w:cs="Cambria"/>
          <w:color w:val="000000" w:themeColor="text1"/>
          <w:szCs w:val="20"/>
          <w:lang w:val="es-ES"/>
        </w:rPr>
        <w:t xml:space="preserve"> con experiencia</w:t>
      </w:r>
      <w:r w:rsidR="00297B25" w:rsidRPr="00FA506F">
        <w:rPr>
          <w:rFonts w:eastAsia="Cambria" w:cs="Cambria"/>
          <w:color w:val="000000" w:themeColor="text1"/>
          <w:szCs w:val="20"/>
          <w:lang w:val="es-ES"/>
        </w:rPr>
        <w:t xml:space="preserve"> </w:t>
      </w:r>
      <w:r w:rsidR="009112C5" w:rsidRPr="00FA506F">
        <w:rPr>
          <w:rFonts w:eastAsia="Cambria" w:cs="Cambria"/>
          <w:color w:val="000000" w:themeColor="text1"/>
          <w:szCs w:val="20"/>
          <w:lang w:val="es-ES"/>
        </w:rPr>
        <w:t>en</w:t>
      </w:r>
      <w:r w:rsidR="006A73CE" w:rsidRPr="00FA506F">
        <w:rPr>
          <w:rFonts w:eastAsia="Cambria" w:cs="Cambria"/>
          <w:color w:val="000000" w:themeColor="text1"/>
          <w:szCs w:val="20"/>
          <w:lang w:val="es-ES"/>
        </w:rPr>
        <w:t xml:space="preserve"> la materia, ni </w:t>
      </w:r>
      <w:r w:rsidR="00297B25" w:rsidRPr="00FA506F">
        <w:rPr>
          <w:rFonts w:eastAsia="Cambria" w:cs="Cambria"/>
          <w:color w:val="000000" w:themeColor="text1"/>
          <w:szCs w:val="20"/>
          <w:lang w:val="es-ES"/>
        </w:rPr>
        <w:t>habría</w:t>
      </w:r>
      <w:r w:rsidR="006A73CE" w:rsidRPr="00FA506F">
        <w:rPr>
          <w:rFonts w:eastAsia="Cambria" w:cs="Cambria"/>
          <w:color w:val="000000" w:themeColor="text1"/>
          <w:szCs w:val="20"/>
          <w:lang w:val="es-ES"/>
        </w:rPr>
        <w:t xml:space="preserve"> llevado a cabo actividades en su sector relacionadas</w:t>
      </w:r>
      <w:r w:rsidR="00297B25" w:rsidRPr="00FA506F">
        <w:rPr>
          <w:rFonts w:eastAsia="Cambria" w:cs="Cambria"/>
          <w:color w:val="000000" w:themeColor="text1"/>
          <w:szCs w:val="20"/>
          <w:lang w:val="es-ES"/>
        </w:rPr>
        <w:t xml:space="preserve"> </w:t>
      </w:r>
      <w:r w:rsidR="006A73CE" w:rsidRPr="00FA506F">
        <w:rPr>
          <w:rFonts w:eastAsia="Cambria" w:cs="Cambria"/>
          <w:color w:val="000000" w:themeColor="text1"/>
          <w:szCs w:val="20"/>
          <w:lang w:val="es-ES"/>
        </w:rPr>
        <w:t>en los últimos dos años, conforme a lo estipulado.</w:t>
      </w:r>
      <w:r w:rsidR="00297B25" w:rsidRPr="00FA506F">
        <w:rPr>
          <w:rFonts w:eastAsia="Cambria" w:cs="Cambria"/>
          <w:color w:val="000000" w:themeColor="text1"/>
          <w:szCs w:val="20"/>
          <w:lang w:val="es-ES"/>
        </w:rPr>
        <w:t xml:space="preserve"> </w:t>
      </w:r>
      <w:r w:rsidR="006A73CE" w:rsidRPr="00FA506F">
        <w:rPr>
          <w:rFonts w:eastAsia="Cambria" w:cs="Cambria"/>
          <w:color w:val="000000" w:themeColor="text1"/>
          <w:szCs w:val="20"/>
          <w:lang w:val="es-ES"/>
        </w:rPr>
        <w:t>Más aún, en reportajes periodísticos recientes se ha</w:t>
      </w:r>
      <w:r w:rsidR="00297B25" w:rsidRPr="00FA506F">
        <w:rPr>
          <w:rFonts w:eastAsia="Cambria" w:cs="Cambria"/>
          <w:color w:val="000000" w:themeColor="text1"/>
          <w:szCs w:val="20"/>
          <w:lang w:val="es-ES"/>
        </w:rPr>
        <w:t>bría</w:t>
      </w:r>
      <w:r w:rsidR="006A73CE" w:rsidRPr="00FA506F">
        <w:rPr>
          <w:rFonts w:eastAsia="Cambria" w:cs="Cambria"/>
          <w:color w:val="000000" w:themeColor="text1"/>
          <w:szCs w:val="20"/>
          <w:lang w:val="es-ES"/>
        </w:rPr>
        <w:t xml:space="preserve"> dado a conocer que la persona a cargo de la CNB </w:t>
      </w:r>
      <w:r w:rsidR="005076DB" w:rsidRPr="00FA506F">
        <w:rPr>
          <w:rFonts w:eastAsia="Cambria" w:cs="Cambria"/>
          <w:color w:val="000000" w:themeColor="text1"/>
          <w:szCs w:val="20"/>
          <w:lang w:val="es-ES"/>
        </w:rPr>
        <w:t>y personas que ahora integran la CNB no cumplen con los perfiles descritos para los cargos ni</w:t>
      </w:r>
      <w:r w:rsidR="006A73CE" w:rsidRPr="00FA506F">
        <w:rPr>
          <w:rFonts w:eastAsia="Cambria" w:cs="Cambria"/>
          <w:color w:val="000000" w:themeColor="text1"/>
          <w:szCs w:val="20"/>
          <w:lang w:val="es-ES"/>
        </w:rPr>
        <w:t xml:space="preserve"> con los requisitos estipulados en la </w:t>
      </w:r>
      <w:r w:rsidR="005D2DDE" w:rsidRPr="00FA506F">
        <w:rPr>
          <w:rFonts w:eastAsia="Cambria" w:cs="Cambria"/>
          <w:color w:val="000000" w:themeColor="text1"/>
          <w:szCs w:val="20"/>
          <w:lang w:val="es-ES"/>
        </w:rPr>
        <w:t>l</w:t>
      </w:r>
      <w:r w:rsidR="006A73CE" w:rsidRPr="00FA506F">
        <w:rPr>
          <w:rFonts w:eastAsia="Cambria" w:cs="Cambria"/>
          <w:color w:val="000000" w:themeColor="text1"/>
          <w:szCs w:val="20"/>
          <w:lang w:val="es-ES"/>
        </w:rPr>
        <w:t>ey respecto a contar con experiencia en la materia</w:t>
      </w:r>
      <w:r w:rsidR="00297B25" w:rsidRPr="00FA506F">
        <w:rPr>
          <w:rStyle w:val="FootnoteReference"/>
          <w:rFonts w:eastAsia="Cambria" w:cs="Cambria"/>
          <w:color w:val="000000" w:themeColor="text1"/>
          <w:szCs w:val="20"/>
          <w:lang w:val="es-ES"/>
        </w:rPr>
        <w:footnoteReference w:id="46"/>
      </w:r>
      <w:r w:rsidR="005D2DDE" w:rsidRPr="00FA506F">
        <w:rPr>
          <w:rFonts w:eastAsia="Cambria" w:cs="Cambria"/>
          <w:color w:val="000000" w:themeColor="text1"/>
          <w:szCs w:val="20"/>
          <w:lang w:val="es-ES"/>
        </w:rPr>
        <w:t>;</w:t>
      </w:r>
      <w:r w:rsidR="006A73CE" w:rsidRPr="00FA506F">
        <w:rPr>
          <w:rFonts w:eastAsia="Cambria" w:cs="Cambria"/>
          <w:color w:val="000000" w:themeColor="text1"/>
          <w:szCs w:val="20"/>
          <w:lang w:val="es-ES"/>
        </w:rPr>
        <w:t xml:space="preserve"> y que</w:t>
      </w:r>
      <w:r w:rsidR="00297B25" w:rsidRPr="00FA506F">
        <w:rPr>
          <w:rFonts w:eastAsia="Cambria" w:cs="Cambria"/>
          <w:color w:val="000000" w:themeColor="text1"/>
          <w:szCs w:val="20"/>
          <w:lang w:val="es-ES"/>
        </w:rPr>
        <w:t xml:space="preserve"> </w:t>
      </w:r>
      <w:r w:rsidR="006A73CE" w:rsidRPr="00FA506F">
        <w:rPr>
          <w:rFonts w:eastAsia="Cambria" w:cs="Cambria"/>
          <w:color w:val="000000" w:themeColor="text1"/>
          <w:szCs w:val="20"/>
          <w:lang w:val="es-ES"/>
        </w:rPr>
        <w:t>adicionalmente se habría reducido en más del 80% la plantilla de la Comisión</w:t>
      </w:r>
      <w:r w:rsidR="00297B25" w:rsidRPr="00FA506F">
        <w:rPr>
          <w:rStyle w:val="FootnoteReference"/>
          <w:rFonts w:eastAsia="Cambria" w:cs="Cambria"/>
          <w:color w:val="000000" w:themeColor="text1"/>
          <w:szCs w:val="20"/>
          <w:lang w:val="es-ES"/>
        </w:rPr>
        <w:footnoteReference w:id="47"/>
      </w:r>
      <w:r w:rsidR="006A73CE" w:rsidRPr="00FA506F">
        <w:rPr>
          <w:rFonts w:eastAsia="Cambria" w:cs="Cambria"/>
          <w:color w:val="000000" w:themeColor="text1"/>
          <w:szCs w:val="20"/>
          <w:lang w:val="es-ES"/>
        </w:rPr>
        <w:t>.</w:t>
      </w:r>
    </w:p>
    <w:p w14:paraId="151B16AC" w14:textId="383E49FB" w:rsidR="008464AA" w:rsidRPr="00FA506F" w:rsidRDefault="00446F81" w:rsidP="00285F5A">
      <w:pPr>
        <w:pStyle w:val="IAPrrafo"/>
        <w:numPr>
          <w:ilvl w:val="0"/>
          <w:numId w:val="4"/>
        </w:numPr>
        <w:tabs>
          <w:tab w:val="num" w:pos="720"/>
        </w:tabs>
        <w:ind w:firstLine="720"/>
        <w:rPr>
          <w:rFonts w:eastAsia="Cambria" w:cs="Cambria"/>
          <w:i/>
          <w:iCs/>
          <w:color w:val="000000" w:themeColor="text1"/>
          <w:szCs w:val="20"/>
          <w:lang w:val="es-ES"/>
        </w:rPr>
      </w:pPr>
      <w:r w:rsidRPr="00FA506F">
        <w:rPr>
          <w:rFonts w:eastAsia="Cambria" w:cs="Cambria"/>
          <w:color w:val="000000" w:themeColor="text1"/>
          <w:szCs w:val="20"/>
          <w:lang w:val="es-ES"/>
        </w:rPr>
        <w:t>Las</w:t>
      </w:r>
      <w:r w:rsidR="007A136D" w:rsidRPr="00FA506F">
        <w:rPr>
          <w:rFonts w:eastAsia="Cambria" w:cs="Cambria"/>
          <w:color w:val="000000" w:themeColor="text1"/>
          <w:szCs w:val="20"/>
          <w:lang w:val="es-ES"/>
        </w:rPr>
        <w:t xml:space="preserve"> organizaciones</w:t>
      </w:r>
      <w:r w:rsidR="002332D0" w:rsidRPr="00FA506F">
        <w:rPr>
          <w:rFonts w:eastAsia="Cambria" w:cs="Cambria"/>
          <w:color w:val="000000" w:themeColor="text1"/>
          <w:szCs w:val="20"/>
          <w:lang w:val="es-ES"/>
        </w:rPr>
        <w:t xml:space="preserve"> informaron que</w:t>
      </w:r>
      <w:r w:rsidR="005D2DDE" w:rsidRPr="00FA506F">
        <w:rPr>
          <w:rFonts w:eastAsia="Cambria" w:cs="Cambria"/>
          <w:color w:val="000000" w:themeColor="text1"/>
          <w:szCs w:val="20"/>
          <w:lang w:val="es-ES"/>
        </w:rPr>
        <w:t>,</w:t>
      </w:r>
      <w:r w:rsidR="002332D0" w:rsidRPr="00FA506F">
        <w:rPr>
          <w:rFonts w:eastAsia="Cambria" w:cs="Cambria"/>
          <w:color w:val="000000" w:themeColor="text1"/>
          <w:szCs w:val="20"/>
          <w:lang w:val="es-ES"/>
        </w:rPr>
        <w:t xml:space="preserve"> luego del nombramiento de la actual titular, se habrían despedido y/u obligado a renunciar a más de </w:t>
      </w:r>
      <w:r w:rsidR="005D2DDE" w:rsidRPr="00FA506F">
        <w:rPr>
          <w:rFonts w:eastAsia="Cambria" w:cs="Cambria"/>
          <w:color w:val="000000" w:themeColor="text1"/>
          <w:szCs w:val="20"/>
          <w:lang w:val="es-ES"/>
        </w:rPr>
        <w:t xml:space="preserve">100 </w:t>
      </w:r>
      <w:r w:rsidR="002332D0" w:rsidRPr="00FA506F">
        <w:rPr>
          <w:rFonts w:eastAsia="Cambria" w:cs="Cambria"/>
          <w:color w:val="000000" w:themeColor="text1"/>
          <w:szCs w:val="20"/>
          <w:lang w:val="es-ES"/>
        </w:rPr>
        <w:t>personas de la institución, quienes contarían con especializaciones en antropología, arqueología y genética, así como personal médico, dactiloscópico, forense, de psicología y de trabajo social, al igual que expertos en temas jurídicos y de relaciones internacionales</w:t>
      </w:r>
      <w:r w:rsidR="007A136D" w:rsidRPr="00FA506F">
        <w:rPr>
          <w:rStyle w:val="FootnoteReference"/>
          <w:rFonts w:eastAsia="Cambria" w:cs="Cambria"/>
          <w:color w:val="000000" w:themeColor="text1"/>
          <w:szCs w:val="20"/>
          <w:lang w:val="es-ES"/>
        </w:rPr>
        <w:footnoteReference w:id="48"/>
      </w:r>
      <w:r w:rsidR="002332D0" w:rsidRPr="00FA506F">
        <w:rPr>
          <w:rFonts w:eastAsia="Cambria" w:cs="Cambria"/>
          <w:color w:val="000000" w:themeColor="text1"/>
          <w:szCs w:val="20"/>
          <w:lang w:val="es-ES"/>
        </w:rPr>
        <w:t>.</w:t>
      </w:r>
      <w:r w:rsidR="007A136D" w:rsidRPr="00FA506F">
        <w:rPr>
          <w:rFonts w:eastAsia="Cambria" w:cs="Cambria"/>
          <w:color w:val="000000" w:themeColor="text1"/>
          <w:szCs w:val="20"/>
          <w:lang w:val="es-ES"/>
        </w:rPr>
        <w:t xml:space="preserve"> En el mismo sentido, 40 personas asignadas al Centro Nacional de Identificación Humana (</w:t>
      </w:r>
      <w:r w:rsidR="00D006D8" w:rsidRPr="00FA506F">
        <w:rPr>
          <w:rFonts w:eastAsia="Cambria" w:cs="Cambria"/>
          <w:color w:val="000000" w:themeColor="text1"/>
          <w:szCs w:val="20"/>
          <w:lang w:val="es-ES"/>
        </w:rPr>
        <w:t>en adelante, “</w:t>
      </w:r>
      <w:r w:rsidR="007A136D" w:rsidRPr="00FA506F">
        <w:rPr>
          <w:rFonts w:eastAsia="Cambria" w:cs="Cambria"/>
          <w:color w:val="000000" w:themeColor="text1"/>
          <w:szCs w:val="20"/>
          <w:lang w:val="es-ES"/>
        </w:rPr>
        <w:t>CNIH</w:t>
      </w:r>
      <w:r w:rsidR="007379AE" w:rsidRPr="00FA506F">
        <w:rPr>
          <w:rFonts w:eastAsia="Cambria" w:cs="Cambria"/>
          <w:color w:val="000000" w:themeColor="text1"/>
          <w:szCs w:val="20"/>
          <w:lang w:val="es-ES"/>
        </w:rPr>
        <w:t>”</w:t>
      </w:r>
      <w:r w:rsidR="00290A05" w:rsidRPr="00FA506F">
        <w:rPr>
          <w:rFonts w:eastAsia="Cambria" w:cs="Cambria"/>
          <w:color w:val="000000" w:themeColor="text1"/>
          <w:szCs w:val="20"/>
          <w:lang w:val="es-ES"/>
        </w:rPr>
        <w:t xml:space="preserve"> o </w:t>
      </w:r>
      <w:r w:rsidR="007379AE" w:rsidRPr="00FA506F">
        <w:rPr>
          <w:rFonts w:eastAsia="Cambria" w:cs="Cambria"/>
          <w:color w:val="000000" w:themeColor="text1"/>
          <w:szCs w:val="20"/>
          <w:lang w:val="es-ES"/>
        </w:rPr>
        <w:t>“</w:t>
      </w:r>
      <w:r w:rsidR="00290A05" w:rsidRPr="00FA506F">
        <w:rPr>
          <w:rFonts w:eastAsia="Cambria" w:cs="Cambria"/>
          <w:color w:val="000000" w:themeColor="text1"/>
          <w:szCs w:val="20"/>
          <w:lang w:val="es-ES"/>
        </w:rPr>
        <w:t>Centro de Identificación</w:t>
      </w:r>
      <w:r w:rsidR="007379AE" w:rsidRPr="00FA506F">
        <w:rPr>
          <w:rFonts w:eastAsia="Cambria" w:cs="Cambria"/>
          <w:color w:val="000000" w:themeColor="text1"/>
          <w:szCs w:val="20"/>
          <w:lang w:val="es-ES"/>
        </w:rPr>
        <w:t>”</w:t>
      </w:r>
      <w:r w:rsidR="007A136D" w:rsidRPr="00FA506F">
        <w:rPr>
          <w:rFonts w:eastAsia="Cambria" w:cs="Cambria"/>
          <w:color w:val="000000" w:themeColor="text1"/>
          <w:szCs w:val="20"/>
          <w:lang w:val="es-ES"/>
        </w:rPr>
        <w:t xml:space="preserve">), que tenían la obligación de implementar el enfoque masivo de búsqueda previsto en la Ley General </w:t>
      </w:r>
      <w:r w:rsidR="007379AE" w:rsidRPr="00FA506F">
        <w:rPr>
          <w:rFonts w:eastAsia="Cambria" w:cs="Cambria"/>
          <w:color w:val="000000" w:themeColor="text1"/>
          <w:szCs w:val="20"/>
          <w:lang w:val="es-ES"/>
        </w:rPr>
        <w:t>de D</w:t>
      </w:r>
      <w:r w:rsidR="007A136D" w:rsidRPr="00FA506F">
        <w:rPr>
          <w:rFonts w:eastAsia="Cambria" w:cs="Cambria"/>
          <w:color w:val="000000" w:themeColor="text1"/>
          <w:szCs w:val="20"/>
          <w:lang w:val="es-ES"/>
        </w:rPr>
        <w:t>esaparición</w:t>
      </w:r>
      <w:r w:rsidR="005D2DDE" w:rsidRPr="00FA506F">
        <w:rPr>
          <w:rFonts w:eastAsia="Cambria" w:cs="Cambria"/>
          <w:color w:val="000000" w:themeColor="text1"/>
          <w:szCs w:val="20"/>
          <w:lang w:val="es-ES"/>
        </w:rPr>
        <w:t>,</w:t>
      </w:r>
      <w:r w:rsidR="007A136D" w:rsidRPr="00FA506F">
        <w:rPr>
          <w:rFonts w:eastAsia="Cambria" w:cs="Cambria"/>
          <w:color w:val="000000" w:themeColor="text1"/>
          <w:szCs w:val="20"/>
          <w:lang w:val="es-ES"/>
        </w:rPr>
        <w:t xml:space="preserve"> fueron rescindid</w:t>
      </w:r>
      <w:r w:rsidR="005D2DDE" w:rsidRPr="00FA506F">
        <w:rPr>
          <w:rFonts w:eastAsia="Cambria" w:cs="Cambria"/>
          <w:color w:val="000000" w:themeColor="text1"/>
          <w:szCs w:val="20"/>
          <w:lang w:val="es-ES"/>
        </w:rPr>
        <w:t>a</w:t>
      </w:r>
      <w:r w:rsidR="007A136D" w:rsidRPr="00FA506F">
        <w:rPr>
          <w:rFonts w:eastAsia="Cambria" w:cs="Cambria"/>
          <w:color w:val="000000" w:themeColor="text1"/>
          <w:szCs w:val="20"/>
          <w:lang w:val="es-ES"/>
        </w:rPr>
        <w:t xml:space="preserve">s de sus cargos, lo que </w:t>
      </w:r>
      <w:r w:rsidR="00413B62" w:rsidRPr="00FA506F">
        <w:rPr>
          <w:rFonts w:eastAsia="Cambria" w:cs="Cambria"/>
          <w:color w:val="000000" w:themeColor="text1"/>
          <w:szCs w:val="20"/>
          <w:lang w:val="es-ES"/>
        </w:rPr>
        <w:t xml:space="preserve">ha sido </w:t>
      </w:r>
      <w:r w:rsidR="004213A5" w:rsidRPr="00FA506F">
        <w:rPr>
          <w:rFonts w:eastAsia="Cambria" w:cs="Cambria"/>
          <w:color w:val="000000" w:themeColor="text1"/>
          <w:szCs w:val="20"/>
          <w:lang w:val="es-ES"/>
        </w:rPr>
        <w:t xml:space="preserve">considerado </w:t>
      </w:r>
      <w:r w:rsidR="00413B62" w:rsidRPr="00FA506F">
        <w:rPr>
          <w:rFonts w:eastAsia="Cambria" w:cs="Cambria"/>
          <w:color w:val="000000" w:themeColor="text1"/>
          <w:szCs w:val="20"/>
          <w:lang w:val="es-ES"/>
        </w:rPr>
        <w:t>como</w:t>
      </w:r>
      <w:r w:rsidR="00EF4C75" w:rsidRPr="00FA506F">
        <w:rPr>
          <w:rFonts w:eastAsia="Cambria" w:cs="Cambria"/>
          <w:color w:val="000000" w:themeColor="text1"/>
          <w:szCs w:val="20"/>
          <w:lang w:val="es-ES"/>
        </w:rPr>
        <w:t xml:space="preserve"> </w:t>
      </w:r>
      <w:r w:rsidR="007A136D" w:rsidRPr="00FA506F">
        <w:rPr>
          <w:rFonts w:eastAsia="Cambria" w:cs="Cambria"/>
          <w:color w:val="000000" w:themeColor="text1"/>
          <w:szCs w:val="20"/>
          <w:lang w:val="es-ES"/>
        </w:rPr>
        <w:t xml:space="preserve">el comienzo </w:t>
      </w:r>
      <w:r w:rsidR="004213A5" w:rsidRPr="00FA506F">
        <w:rPr>
          <w:rFonts w:eastAsia="Cambria" w:cs="Cambria"/>
          <w:color w:val="000000" w:themeColor="text1"/>
          <w:szCs w:val="20"/>
          <w:lang w:val="es-ES"/>
        </w:rPr>
        <w:t>d</w:t>
      </w:r>
      <w:r w:rsidR="007A136D" w:rsidRPr="00FA506F">
        <w:rPr>
          <w:rFonts w:eastAsia="Cambria" w:cs="Cambria"/>
          <w:color w:val="000000" w:themeColor="text1"/>
          <w:szCs w:val="20"/>
          <w:lang w:val="es-ES"/>
        </w:rPr>
        <w:t>el desmantelamiento de la institucionalidad en materia de búsqueda</w:t>
      </w:r>
      <w:r w:rsidR="007A136D" w:rsidRPr="00FA506F">
        <w:rPr>
          <w:rStyle w:val="FootnoteReference"/>
          <w:rFonts w:eastAsia="Cambria" w:cs="Cambria"/>
          <w:color w:val="000000" w:themeColor="text1"/>
          <w:szCs w:val="20"/>
          <w:lang w:val="es-ES"/>
        </w:rPr>
        <w:footnoteReference w:id="49"/>
      </w:r>
      <w:r w:rsidR="007A136D" w:rsidRPr="00FA506F">
        <w:rPr>
          <w:rFonts w:eastAsia="Cambria" w:cs="Cambria"/>
          <w:color w:val="000000" w:themeColor="text1"/>
          <w:szCs w:val="20"/>
          <w:lang w:val="es-ES"/>
        </w:rPr>
        <w:t xml:space="preserve">. </w:t>
      </w:r>
    </w:p>
    <w:p w14:paraId="087B7120" w14:textId="10D6656A" w:rsidR="00297B25" w:rsidRPr="00FA506F" w:rsidRDefault="00297B25" w:rsidP="00285F5A">
      <w:pPr>
        <w:pStyle w:val="IAPrrafo"/>
        <w:numPr>
          <w:ilvl w:val="0"/>
          <w:numId w:val="4"/>
        </w:numPr>
        <w:tabs>
          <w:tab w:val="num" w:pos="720"/>
        </w:tabs>
        <w:ind w:firstLine="720"/>
        <w:rPr>
          <w:rFonts w:eastAsia="Cambria" w:cs="Cambria"/>
          <w:color w:val="000000" w:themeColor="text1"/>
          <w:szCs w:val="20"/>
          <w:lang w:val="es-ES"/>
        </w:rPr>
      </w:pPr>
      <w:r w:rsidRPr="00FA506F">
        <w:rPr>
          <w:rFonts w:eastAsia="Cambria" w:cs="Cambria"/>
          <w:color w:val="000000" w:themeColor="text1"/>
          <w:szCs w:val="20"/>
          <w:lang w:val="es-ES"/>
        </w:rPr>
        <w:t xml:space="preserve">De igual forma, organizaciones informaron que la CNB continuaría </w:t>
      </w:r>
      <w:r w:rsidR="004213A5" w:rsidRPr="00FA506F">
        <w:rPr>
          <w:rFonts w:eastAsia="Cambria" w:cs="Cambria"/>
          <w:color w:val="000000" w:themeColor="text1"/>
          <w:szCs w:val="20"/>
          <w:lang w:val="es-ES"/>
        </w:rPr>
        <w:t>incumpliendo</w:t>
      </w:r>
      <w:r w:rsidR="00E966B1" w:rsidRPr="00FA506F">
        <w:rPr>
          <w:rFonts w:eastAsia="Cambria" w:cs="Cambria"/>
          <w:color w:val="000000" w:themeColor="text1"/>
          <w:szCs w:val="20"/>
          <w:lang w:val="es-ES"/>
        </w:rPr>
        <w:t xml:space="preserve"> </w:t>
      </w:r>
      <w:r w:rsidRPr="00FA506F">
        <w:rPr>
          <w:rFonts w:eastAsia="Cambria" w:cs="Cambria"/>
          <w:color w:val="000000" w:themeColor="text1"/>
          <w:szCs w:val="20"/>
          <w:lang w:val="es-ES"/>
        </w:rPr>
        <w:t xml:space="preserve">la </w:t>
      </w:r>
      <w:r w:rsidR="00290A05" w:rsidRPr="00FA506F">
        <w:rPr>
          <w:rFonts w:eastAsia="Cambria" w:cs="Cambria"/>
          <w:color w:val="000000" w:themeColor="text1"/>
          <w:szCs w:val="20"/>
          <w:lang w:val="es-ES"/>
        </w:rPr>
        <w:t>Ley General de Desaparición</w:t>
      </w:r>
      <w:r w:rsidRPr="00FA506F">
        <w:rPr>
          <w:rFonts w:eastAsia="Cambria" w:cs="Cambria"/>
          <w:color w:val="000000" w:themeColor="text1"/>
          <w:szCs w:val="20"/>
          <w:lang w:val="es-ES"/>
        </w:rPr>
        <w:t xml:space="preserve"> debido a que no se habría avanzado con la emisión del reglamento. Las organizaciones reportaron que</w:t>
      </w:r>
      <w:r w:rsidR="009112C5" w:rsidRPr="00FA506F">
        <w:rPr>
          <w:rFonts w:eastAsia="Cambria" w:cs="Cambria"/>
          <w:color w:val="000000" w:themeColor="text1"/>
          <w:szCs w:val="20"/>
          <w:lang w:val="es-ES"/>
        </w:rPr>
        <w:t>,</w:t>
      </w:r>
      <w:r w:rsidRPr="00FA506F">
        <w:rPr>
          <w:rFonts w:eastAsia="Cambria" w:cs="Cambria"/>
          <w:color w:val="000000" w:themeColor="text1"/>
          <w:szCs w:val="20"/>
          <w:lang w:val="es-ES"/>
        </w:rPr>
        <w:t xml:space="preserve"> en la primera sesión del </w:t>
      </w:r>
      <w:r w:rsidR="009112C5" w:rsidRPr="00FA506F">
        <w:rPr>
          <w:rFonts w:eastAsia="Cambria" w:cs="Cambria"/>
          <w:color w:val="000000" w:themeColor="text1"/>
          <w:szCs w:val="20"/>
          <w:lang w:val="es-ES"/>
        </w:rPr>
        <w:t>Sistema Nacional de Búsqueda</w:t>
      </w:r>
      <w:r w:rsidRPr="00FA506F">
        <w:rPr>
          <w:rFonts w:eastAsia="Cambria" w:cs="Cambria"/>
          <w:color w:val="000000" w:themeColor="text1"/>
          <w:szCs w:val="20"/>
          <w:lang w:val="es-ES"/>
        </w:rPr>
        <w:t xml:space="preserve"> en 2024, la titular de la CNB habría confirmado la ausencia de avances en la emisión del reglamento y les habría </w:t>
      </w:r>
      <w:r w:rsidR="00AF202A" w:rsidRPr="00FA506F">
        <w:rPr>
          <w:rFonts w:eastAsia="Cambria" w:cs="Cambria"/>
          <w:color w:val="000000" w:themeColor="text1"/>
          <w:szCs w:val="20"/>
          <w:lang w:val="es-ES"/>
        </w:rPr>
        <w:t xml:space="preserve">transmitido </w:t>
      </w:r>
      <w:r w:rsidRPr="00FA506F">
        <w:rPr>
          <w:rFonts w:eastAsia="Cambria" w:cs="Cambria"/>
          <w:color w:val="000000" w:themeColor="text1"/>
          <w:szCs w:val="20"/>
          <w:lang w:val="es-ES"/>
        </w:rPr>
        <w:t>que únicamente contarían con un borrador inicial, el cual no es público, ni se habría compartido a los integrantes del SNB</w:t>
      </w:r>
      <w:r w:rsidRPr="00FA506F">
        <w:rPr>
          <w:rStyle w:val="FootnoteReference"/>
          <w:rFonts w:eastAsia="Cambria" w:cs="Cambria"/>
          <w:color w:val="000000" w:themeColor="text1"/>
          <w:szCs w:val="20"/>
          <w:lang w:val="es-ES"/>
        </w:rPr>
        <w:footnoteReference w:id="50"/>
      </w:r>
      <w:r w:rsidRPr="00FA506F">
        <w:rPr>
          <w:rFonts w:eastAsia="Cambria" w:cs="Cambria"/>
          <w:color w:val="000000" w:themeColor="text1"/>
          <w:szCs w:val="20"/>
          <w:lang w:val="es-ES"/>
        </w:rPr>
        <w:t xml:space="preserve">. Por otra parte, refirieron que el Consejo Nacional Ciudadano ordenado por la </w:t>
      </w:r>
      <w:r w:rsidR="00290A05" w:rsidRPr="00FA506F">
        <w:rPr>
          <w:rFonts w:eastAsia="Cambria" w:cs="Cambria"/>
          <w:color w:val="000000" w:themeColor="text1"/>
          <w:szCs w:val="20"/>
          <w:lang w:val="es-ES"/>
        </w:rPr>
        <w:t xml:space="preserve">Ley General de Desaparición </w:t>
      </w:r>
      <w:r w:rsidRPr="00FA506F">
        <w:rPr>
          <w:rFonts w:eastAsia="Cambria" w:cs="Cambria"/>
          <w:color w:val="000000" w:themeColor="text1"/>
          <w:szCs w:val="20"/>
          <w:lang w:val="es-ES"/>
        </w:rPr>
        <w:t xml:space="preserve">no se encuentra debidamente en funciones </w:t>
      </w:r>
      <w:r w:rsidR="006177F9" w:rsidRPr="00FA506F">
        <w:rPr>
          <w:rFonts w:eastAsia="Cambria" w:cs="Cambria"/>
          <w:color w:val="000000" w:themeColor="text1"/>
          <w:szCs w:val="20"/>
          <w:lang w:val="es-ES"/>
        </w:rPr>
        <w:t>ya</w:t>
      </w:r>
      <w:r w:rsidRPr="00FA506F">
        <w:rPr>
          <w:rFonts w:eastAsia="Cambria" w:cs="Cambria"/>
          <w:color w:val="000000" w:themeColor="text1"/>
          <w:szCs w:val="20"/>
          <w:lang w:val="es-ES"/>
        </w:rPr>
        <w:t xml:space="preserve"> que el Senado no habría emitido la convocatoria</w:t>
      </w:r>
      <w:r w:rsidR="005D2DDE" w:rsidRPr="00FA506F">
        <w:rPr>
          <w:rFonts w:eastAsia="Cambria" w:cs="Cambria"/>
          <w:color w:val="000000" w:themeColor="text1"/>
          <w:szCs w:val="20"/>
          <w:lang w:val="es-ES"/>
        </w:rPr>
        <w:t>;</w:t>
      </w:r>
      <w:r w:rsidRPr="00FA506F">
        <w:rPr>
          <w:rFonts w:eastAsia="Cambria" w:cs="Cambria"/>
          <w:color w:val="000000" w:themeColor="text1"/>
          <w:szCs w:val="20"/>
          <w:lang w:val="es-ES"/>
        </w:rPr>
        <w:t xml:space="preserve"> y</w:t>
      </w:r>
      <w:r w:rsidR="005D2DDE" w:rsidRPr="00FA506F">
        <w:rPr>
          <w:rFonts w:eastAsia="Cambria" w:cs="Cambria"/>
          <w:color w:val="000000" w:themeColor="text1"/>
          <w:szCs w:val="20"/>
          <w:lang w:val="es-ES"/>
        </w:rPr>
        <w:t>,</w:t>
      </w:r>
      <w:r w:rsidRPr="00FA506F">
        <w:rPr>
          <w:rFonts w:eastAsia="Cambria" w:cs="Cambria"/>
          <w:color w:val="000000" w:themeColor="text1"/>
          <w:szCs w:val="20"/>
          <w:lang w:val="es-ES"/>
        </w:rPr>
        <w:t xml:space="preserve"> por ende</w:t>
      </w:r>
      <w:r w:rsidR="005D2DDE" w:rsidRPr="00FA506F">
        <w:rPr>
          <w:rFonts w:eastAsia="Cambria" w:cs="Cambria"/>
          <w:color w:val="000000" w:themeColor="text1"/>
          <w:szCs w:val="20"/>
          <w:lang w:val="es-ES"/>
        </w:rPr>
        <w:t>,</w:t>
      </w:r>
      <w:r w:rsidRPr="00FA506F">
        <w:rPr>
          <w:rFonts w:eastAsia="Cambria" w:cs="Cambria"/>
          <w:color w:val="000000" w:themeColor="text1"/>
          <w:szCs w:val="20"/>
          <w:lang w:val="es-ES"/>
        </w:rPr>
        <w:t xml:space="preserve"> las familias no cuentan </w:t>
      </w:r>
      <w:r w:rsidR="009112C5" w:rsidRPr="00FA506F">
        <w:rPr>
          <w:rFonts w:eastAsia="Cambria" w:cs="Cambria"/>
          <w:color w:val="000000" w:themeColor="text1"/>
          <w:szCs w:val="20"/>
          <w:lang w:val="es-ES"/>
        </w:rPr>
        <w:t xml:space="preserve">con </w:t>
      </w:r>
      <w:r w:rsidRPr="00FA506F">
        <w:rPr>
          <w:rFonts w:eastAsia="Cambria" w:cs="Cambria"/>
          <w:color w:val="000000" w:themeColor="text1"/>
          <w:szCs w:val="20"/>
          <w:lang w:val="es-ES"/>
        </w:rPr>
        <w:t>participación en el SNB</w:t>
      </w:r>
      <w:r w:rsidRPr="00FA506F">
        <w:rPr>
          <w:rStyle w:val="FootnoteReference"/>
          <w:rFonts w:eastAsia="Cambria" w:cs="Cambria"/>
          <w:color w:val="000000" w:themeColor="text1"/>
          <w:szCs w:val="20"/>
          <w:lang w:val="es-ES"/>
        </w:rPr>
        <w:footnoteReference w:id="51"/>
      </w:r>
      <w:r w:rsidRPr="00FA506F">
        <w:rPr>
          <w:rFonts w:eastAsia="Cambria" w:cs="Cambria"/>
          <w:color w:val="000000" w:themeColor="text1"/>
          <w:szCs w:val="20"/>
          <w:lang w:val="es-ES"/>
        </w:rPr>
        <w:t>.</w:t>
      </w:r>
    </w:p>
    <w:p w14:paraId="769EA746" w14:textId="6B1FD4D0" w:rsidR="00F55FC1" w:rsidRPr="00FA506F" w:rsidRDefault="00F55FC1" w:rsidP="001F2B39">
      <w:pPr>
        <w:pStyle w:val="IAPrrafo"/>
        <w:ind w:left="360" w:firstLine="360"/>
        <w:rPr>
          <w:rFonts w:eastAsia="Cambria" w:cs="Cambria"/>
          <w:i/>
          <w:iCs/>
          <w:color w:val="000000" w:themeColor="text1"/>
          <w:szCs w:val="20"/>
          <w:lang w:val="es-ES"/>
        </w:rPr>
      </w:pPr>
      <w:r w:rsidRPr="00FA506F">
        <w:rPr>
          <w:rFonts w:eastAsia="Cambria" w:cs="Cambria"/>
          <w:i/>
          <w:iCs/>
          <w:color w:val="000000" w:themeColor="text1"/>
          <w:szCs w:val="20"/>
          <w:lang w:val="es-ES"/>
        </w:rPr>
        <w:t>Análisis y nivel de cumplimiento de la recomendación</w:t>
      </w:r>
    </w:p>
    <w:p w14:paraId="5C20AC11" w14:textId="0BFD6003" w:rsidR="00EF4C75" w:rsidRPr="00FA506F" w:rsidRDefault="00E36DA2" w:rsidP="00B80A67">
      <w:pPr>
        <w:pStyle w:val="IAPrrafo"/>
        <w:numPr>
          <w:ilvl w:val="0"/>
          <w:numId w:val="4"/>
        </w:numPr>
        <w:tabs>
          <w:tab w:val="num" w:pos="720"/>
        </w:tabs>
        <w:ind w:firstLine="720"/>
        <w:rPr>
          <w:lang w:val="es-ES"/>
        </w:rPr>
      </w:pPr>
      <w:r w:rsidRPr="00FA506F">
        <w:rPr>
          <w:lang w:val="es-ES"/>
        </w:rPr>
        <w:t xml:space="preserve">La CIDH había reconocido múltiples avances en la implementación de la </w:t>
      </w:r>
      <w:r w:rsidR="00290A05" w:rsidRPr="00FA506F">
        <w:rPr>
          <w:lang w:val="es-ES"/>
        </w:rPr>
        <w:t>Ley General de Desaparición</w:t>
      </w:r>
      <w:r w:rsidRPr="00FA506F">
        <w:rPr>
          <w:lang w:val="es-ES"/>
        </w:rPr>
        <w:t xml:space="preserve"> durante los últimos años</w:t>
      </w:r>
      <w:r w:rsidR="005D2DDE" w:rsidRPr="00FA506F">
        <w:rPr>
          <w:lang w:val="es-ES"/>
        </w:rPr>
        <w:t>. S</w:t>
      </w:r>
      <w:r w:rsidRPr="00FA506F">
        <w:rPr>
          <w:lang w:val="es-ES"/>
        </w:rPr>
        <w:t xml:space="preserve">in embargo, observa con preocupación el debilitamiento institucional de la CNB y el </w:t>
      </w:r>
      <w:r w:rsidR="00290A05" w:rsidRPr="00FA506F">
        <w:rPr>
          <w:lang w:val="es-ES"/>
        </w:rPr>
        <w:t>Sistema Nacional de Búsqueda</w:t>
      </w:r>
      <w:r w:rsidRPr="00FA506F">
        <w:rPr>
          <w:lang w:val="es-ES"/>
        </w:rPr>
        <w:t xml:space="preserve"> en general. El Estado reportó información estadística del número de búsquedas, </w:t>
      </w:r>
      <w:r w:rsidR="005D2DDE" w:rsidRPr="00FA506F">
        <w:rPr>
          <w:lang w:val="es-ES"/>
        </w:rPr>
        <w:t xml:space="preserve">hallazgos, </w:t>
      </w:r>
      <w:r w:rsidRPr="00FA506F">
        <w:rPr>
          <w:lang w:val="es-ES"/>
        </w:rPr>
        <w:t>reuniones y atención a colectivos</w:t>
      </w:r>
      <w:r w:rsidR="005D2DDE" w:rsidRPr="00FA506F">
        <w:rPr>
          <w:lang w:val="es-ES"/>
        </w:rPr>
        <w:t>. No obstante</w:t>
      </w:r>
      <w:r w:rsidRPr="00FA506F">
        <w:rPr>
          <w:lang w:val="es-ES"/>
        </w:rPr>
        <w:t xml:space="preserve">, </w:t>
      </w:r>
      <w:r w:rsidR="005D2DDE" w:rsidRPr="00FA506F">
        <w:rPr>
          <w:lang w:val="es-ES"/>
        </w:rPr>
        <w:t>para dar cumplimiento a</w:t>
      </w:r>
      <w:r w:rsidRPr="00FA506F">
        <w:rPr>
          <w:lang w:val="es-ES"/>
        </w:rPr>
        <w:t xml:space="preserve"> la recomendación, es necesario garantizar que dichas acciones se ajusten a estándares internacionales en la materia</w:t>
      </w:r>
      <w:r w:rsidR="006177F9" w:rsidRPr="00FA506F">
        <w:rPr>
          <w:lang w:val="es-ES"/>
        </w:rPr>
        <w:t xml:space="preserve"> y se asegure su</w:t>
      </w:r>
      <w:r w:rsidR="00150D30" w:rsidRPr="00FA506F">
        <w:rPr>
          <w:lang w:val="es-ES"/>
        </w:rPr>
        <w:t xml:space="preserve"> institucionalidad</w:t>
      </w:r>
      <w:r w:rsidRPr="00FA506F">
        <w:rPr>
          <w:lang w:val="es-ES"/>
        </w:rPr>
        <w:t xml:space="preserve">. </w:t>
      </w:r>
      <w:r w:rsidR="00E05F84" w:rsidRPr="00FA506F">
        <w:rPr>
          <w:lang w:val="es-ES"/>
        </w:rPr>
        <w:t>En este sentido,</w:t>
      </w:r>
      <w:r w:rsidRPr="00FA506F">
        <w:rPr>
          <w:lang w:val="es-ES"/>
        </w:rPr>
        <w:t xml:space="preserve"> preocupa a la Comisión los alegados despidos de personas especialistas</w:t>
      </w:r>
      <w:r w:rsidR="005D2DDE" w:rsidRPr="00FA506F">
        <w:rPr>
          <w:lang w:val="es-ES"/>
        </w:rPr>
        <w:t>. P</w:t>
      </w:r>
      <w:r w:rsidR="000061F4" w:rsidRPr="00FA506F">
        <w:rPr>
          <w:lang w:val="es-ES"/>
        </w:rPr>
        <w:t xml:space="preserve">articularmente que dichos </w:t>
      </w:r>
      <w:r w:rsidR="00EF4C75" w:rsidRPr="00FA506F">
        <w:rPr>
          <w:lang w:val="es-ES"/>
        </w:rPr>
        <w:t xml:space="preserve">despidos afecten el desempeño </w:t>
      </w:r>
      <w:r w:rsidR="000061F4" w:rsidRPr="00FA506F">
        <w:rPr>
          <w:lang w:val="es-ES"/>
        </w:rPr>
        <w:t>de la</w:t>
      </w:r>
      <w:r w:rsidR="00EF4C75" w:rsidRPr="00FA506F">
        <w:rPr>
          <w:lang w:val="es-ES"/>
        </w:rPr>
        <w:t xml:space="preserve"> CNB y del </w:t>
      </w:r>
      <w:r w:rsidR="00290A05" w:rsidRPr="00FA506F">
        <w:rPr>
          <w:rFonts w:eastAsia="Cambria" w:cs="Cambria"/>
          <w:color w:val="000000" w:themeColor="text1"/>
          <w:szCs w:val="20"/>
          <w:lang w:val="es-ES"/>
        </w:rPr>
        <w:t>Centro de Identificación</w:t>
      </w:r>
      <w:r w:rsidR="00150D30" w:rsidRPr="00FA506F">
        <w:rPr>
          <w:rFonts w:eastAsia="Cambria" w:cs="Cambria"/>
          <w:color w:val="000000" w:themeColor="text1"/>
          <w:szCs w:val="20"/>
          <w:lang w:val="es-ES"/>
        </w:rPr>
        <w:t>,</w:t>
      </w:r>
      <w:r w:rsidR="00EF4C75" w:rsidRPr="00FA506F">
        <w:rPr>
          <w:lang w:val="es-ES"/>
        </w:rPr>
        <w:t xml:space="preserve"> </w:t>
      </w:r>
      <w:r w:rsidR="005D2DDE" w:rsidRPr="00FA506F">
        <w:rPr>
          <w:lang w:val="es-ES"/>
        </w:rPr>
        <w:t xml:space="preserve">e impidan cumplir </w:t>
      </w:r>
      <w:r w:rsidR="00EF4C75" w:rsidRPr="00FA506F">
        <w:rPr>
          <w:lang w:val="es-ES"/>
        </w:rPr>
        <w:t>las obligaciones internacionales en materia de búsqueda e identificación forense.</w:t>
      </w:r>
    </w:p>
    <w:p w14:paraId="2128F3C1" w14:textId="47126065" w:rsidR="5B047487" w:rsidRPr="00FA506F" w:rsidRDefault="00E022BF" w:rsidP="00B80A67">
      <w:pPr>
        <w:pStyle w:val="IAPrrafo"/>
        <w:numPr>
          <w:ilvl w:val="0"/>
          <w:numId w:val="4"/>
        </w:numPr>
        <w:tabs>
          <w:tab w:val="num" w:pos="720"/>
        </w:tabs>
        <w:ind w:firstLine="720"/>
        <w:rPr>
          <w:lang w:val="es-ES"/>
        </w:rPr>
      </w:pPr>
      <w:r w:rsidRPr="00FA506F">
        <w:rPr>
          <w:lang w:val="es-ES"/>
        </w:rPr>
        <w:t xml:space="preserve">Por otra parte, si bien la </w:t>
      </w:r>
      <w:r w:rsidR="009112C5" w:rsidRPr="00FA506F">
        <w:rPr>
          <w:lang w:val="es-ES"/>
        </w:rPr>
        <w:t xml:space="preserve">CNB </w:t>
      </w:r>
      <w:r w:rsidRPr="00FA506F">
        <w:rPr>
          <w:lang w:val="es-ES"/>
        </w:rPr>
        <w:t xml:space="preserve">continua operando, de acuerdo con información proporcionada por organizaciones de la sociedad civil, su funcionamiento no estaría en consonancia con estándares internacionales en </w:t>
      </w:r>
      <w:r w:rsidR="00C13EC4" w:rsidRPr="00FA506F">
        <w:rPr>
          <w:lang w:val="es-ES"/>
        </w:rPr>
        <w:t>l</w:t>
      </w:r>
      <w:r w:rsidRPr="00FA506F">
        <w:rPr>
          <w:lang w:val="es-ES"/>
        </w:rPr>
        <w:t>a materia</w:t>
      </w:r>
      <w:r w:rsidR="00E658B3" w:rsidRPr="00FA506F">
        <w:rPr>
          <w:lang w:val="es-ES"/>
        </w:rPr>
        <w:t>,</w:t>
      </w:r>
      <w:r w:rsidR="00C13EC4" w:rsidRPr="00FA506F">
        <w:rPr>
          <w:lang w:val="es-ES"/>
        </w:rPr>
        <w:t xml:space="preserve"> debido a la falta de participación de las familias en los procesos de búsqueda y a la decisión de designar a la Secretaría de Bienestar como ente responsable del proceso actualización del</w:t>
      </w:r>
      <w:r w:rsidR="00E966B1" w:rsidRPr="00FA506F">
        <w:rPr>
          <w:lang w:val="es-ES"/>
        </w:rPr>
        <w:t xml:space="preserve"> </w:t>
      </w:r>
      <w:r w:rsidR="007510BD" w:rsidRPr="00FA506F">
        <w:rPr>
          <w:lang w:val="es-ES"/>
        </w:rPr>
        <w:t xml:space="preserve"> </w:t>
      </w:r>
      <w:r w:rsidR="009112C5" w:rsidRPr="00FA506F">
        <w:rPr>
          <w:lang w:val="es-ES"/>
        </w:rPr>
        <w:t>Registro Nacional de Personas Desaparecidas y No Localizadas</w:t>
      </w:r>
      <w:r w:rsidR="00C13EC4" w:rsidRPr="00FA506F">
        <w:rPr>
          <w:rStyle w:val="FootnoteReference"/>
          <w:lang w:val="es-ES"/>
        </w:rPr>
        <w:footnoteReference w:id="52"/>
      </w:r>
      <w:r w:rsidR="00C13EC4" w:rsidRPr="00FA506F">
        <w:rPr>
          <w:lang w:val="es-ES"/>
        </w:rPr>
        <w:t>,</w:t>
      </w:r>
      <w:r w:rsidR="00E658B3" w:rsidRPr="00FA506F">
        <w:rPr>
          <w:lang w:val="es-ES"/>
        </w:rPr>
        <w:t xml:space="preserve"> </w:t>
      </w:r>
      <w:r w:rsidR="00C13EC4" w:rsidRPr="00FA506F">
        <w:rPr>
          <w:lang w:val="es-ES"/>
        </w:rPr>
        <w:t xml:space="preserve">siendo que la </w:t>
      </w:r>
      <w:r w:rsidR="005D2DDE" w:rsidRPr="00FA506F">
        <w:rPr>
          <w:lang w:val="es-ES"/>
        </w:rPr>
        <w:t>l</w:t>
      </w:r>
      <w:r w:rsidR="00C13EC4" w:rsidRPr="00FA506F">
        <w:rPr>
          <w:lang w:val="es-ES"/>
        </w:rPr>
        <w:t xml:space="preserve">ey </w:t>
      </w:r>
      <w:r w:rsidR="005D2DDE" w:rsidRPr="00FA506F">
        <w:rPr>
          <w:lang w:val="es-ES"/>
        </w:rPr>
        <w:t>g</w:t>
      </w:r>
      <w:r w:rsidR="00C13EC4" w:rsidRPr="00FA506F">
        <w:rPr>
          <w:lang w:val="es-ES"/>
        </w:rPr>
        <w:t xml:space="preserve">eneral establece como facultad exclusiva de la CNB la coordinación, operación y funcionamiento </w:t>
      </w:r>
      <w:r w:rsidR="00F44334" w:rsidRPr="00FA506F">
        <w:rPr>
          <w:lang w:val="es-ES"/>
        </w:rPr>
        <w:t xml:space="preserve">de ese </w:t>
      </w:r>
      <w:r w:rsidR="00C13EC4" w:rsidRPr="00FA506F">
        <w:rPr>
          <w:lang w:val="es-ES"/>
        </w:rPr>
        <w:t>registro</w:t>
      </w:r>
      <w:r w:rsidR="00C13EC4" w:rsidRPr="00FA506F">
        <w:rPr>
          <w:rStyle w:val="FootnoteReference"/>
          <w:lang w:val="es-ES"/>
        </w:rPr>
        <w:footnoteReference w:id="53"/>
      </w:r>
      <w:r w:rsidR="00F44334" w:rsidRPr="00FA506F">
        <w:rPr>
          <w:lang w:val="es-ES"/>
        </w:rPr>
        <w:t>. Ello</w:t>
      </w:r>
      <w:r w:rsidR="00E658B3" w:rsidRPr="00FA506F">
        <w:rPr>
          <w:lang w:val="es-ES"/>
        </w:rPr>
        <w:t xml:space="preserve"> se agravaría frente a las alegaciones de la sociedad civil que refieren </w:t>
      </w:r>
      <w:r w:rsidR="00F44334" w:rsidRPr="00FA506F">
        <w:rPr>
          <w:lang w:val="es-ES"/>
        </w:rPr>
        <w:t xml:space="preserve">a </w:t>
      </w:r>
      <w:r w:rsidR="00E658B3" w:rsidRPr="00FA506F">
        <w:rPr>
          <w:lang w:val="es-ES"/>
        </w:rPr>
        <w:t xml:space="preserve">la posible alteración ilegítima del </w:t>
      </w:r>
      <w:r w:rsidR="00170408" w:rsidRPr="00FA506F">
        <w:rPr>
          <w:lang w:val="es-ES"/>
        </w:rPr>
        <w:t>RNPDNO</w:t>
      </w:r>
      <w:r w:rsidR="008C2DA5" w:rsidRPr="00FA506F">
        <w:rPr>
          <w:lang w:val="es-ES"/>
        </w:rPr>
        <w:t xml:space="preserve"> y </w:t>
      </w:r>
      <w:r w:rsidR="000061F4" w:rsidRPr="00FA506F">
        <w:rPr>
          <w:lang w:val="es-ES"/>
        </w:rPr>
        <w:t>dado que</w:t>
      </w:r>
      <w:r w:rsidRPr="00FA506F">
        <w:rPr>
          <w:lang w:val="es-ES"/>
        </w:rPr>
        <w:t xml:space="preserve"> el </w:t>
      </w:r>
      <w:r w:rsidR="00290A05" w:rsidRPr="00FA506F">
        <w:rPr>
          <w:rFonts w:eastAsia="Cambria" w:cs="Cambria"/>
          <w:color w:val="000000" w:themeColor="text1"/>
          <w:szCs w:val="20"/>
          <w:lang w:val="es-ES"/>
        </w:rPr>
        <w:t>Centro de Identificación</w:t>
      </w:r>
      <w:r w:rsidRPr="00FA506F">
        <w:rPr>
          <w:lang w:val="es-ES"/>
        </w:rPr>
        <w:t xml:space="preserve"> ya no se encontraría en funcionamiento, l</w:t>
      </w:r>
      <w:r w:rsidR="0013677D" w:rsidRPr="00FA506F">
        <w:rPr>
          <w:lang w:val="es-ES"/>
        </w:rPr>
        <w:t xml:space="preserve">a </w:t>
      </w:r>
      <w:r w:rsidRPr="00FA506F">
        <w:rPr>
          <w:lang w:val="es-ES"/>
        </w:rPr>
        <w:t>consolidación del S</w:t>
      </w:r>
      <w:r w:rsidR="00170408" w:rsidRPr="00FA506F">
        <w:rPr>
          <w:lang w:val="es-ES"/>
        </w:rPr>
        <w:t>istema Nacional de Búsqueda</w:t>
      </w:r>
      <w:r w:rsidR="009112C5" w:rsidRPr="00FA506F">
        <w:rPr>
          <w:lang w:val="es-ES"/>
        </w:rPr>
        <w:t xml:space="preserve"> </w:t>
      </w:r>
      <w:r w:rsidRPr="00FA506F">
        <w:rPr>
          <w:lang w:val="es-ES"/>
        </w:rPr>
        <w:t xml:space="preserve">y la efectiva implementación de la </w:t>
      </w:r>
      <w:r w:rsidR="00290A05" w:rsidRPr="00FA506F">
        <w:rPr>
          <w:lang w:val="es-ES"/>
        </w:rPr>
        <w:t>Ley General de Desaparición</w:t>
      </w:r>
      <w:r w:rsidR="00170408" w:rsidRPr="00FA506F">
        <w:rPr>
          <w:lang w:val="es-ES"/>
        </w:rPr>
        <w:t xml:space="preserve"> </w:t>
      </w:r>
      <w:r w:rsidR="0013677D" w:rsidRPr="00FA506F">
        <w:rPr>
          <w:lang w:val="es-ES"/>
        </w:rPr>
        <w:t>habrían retrocedido</w:t>
      </w:r>
      <w:r w:rsidRPr="00FA506F">
        <w:rPr>
          <w:lang w:val="es-ES"/>
        </w:rPr>
        <w:t xml:space="preserve">. </w:t>
      </w:r>
      <w:r w:rsidR="00E658B3" w:rsidRPr="00FA506F">
        <w:rPr>
          <w:lang w:val="es-ES"/>
        </w:rPr>
        <w:t>De esta forma</w:t>
      </w:r>
      <w:r w:rsidRPr="00FA506F">
        <w:rPr>
          <w:lang w:val="es-ES"/>
        </w:rPr>
        <w:t xml:space="preserve">, pese a los avances reportados en años anteriores, para 2024 se identifican severos retrocesos que desconocerían las obligaciones </w:t>
      </w:r>
      <w:r w:rsidR="005D2DDE" w:rsidRPr="00FA506F">
        <w:rPr>
          <w:lang w:val="es-ES"/>
        </w:rPr>
        <w:t xml:space="preserve">previstas en </w:t>
      </w:r>
      <w:r w:rsidRPr="00FA506F">
        <w:rPr>
          <w:lang w:val="es-ES"/>
        </w:rPr>
        <w:t xml:space="preserve">la </w:t>
      </w:r>
      <w:r w:rsidR="00290A05" w:rsidRPr="00FA506F">
        <w:rPr>
          <w:lang w:val="es-ES"/>
        </w:rPr>
        <w:t xml:space="preserve">Ley General de Desaparición </w:t>
      </w:r>
      <w:r w:rsidR="00E658B3" w:rsidRPr="00FA506F">
        <w:rPr>
          <w:lang w:val="es-ES"/>
        </w:rPr>
        <w:t xml:space="preserve">y estarían en contravención de </w:t>
      </w:r>
      <w:r w:rsidR="000061F4" w:rsidRPr="00FA506F">
        <w:rPr>
          <w:lang w:val="es-ES"/>
        </w:rPr>
        <w:t>obligaciones internacionales contraídas por México en materia de desaparición de personas</w:t>
      </w:r>
      <w:r w:rsidR="005D2DDE" w:rsidRPr="00FA506F">
        <w:rPr>
          <w:lang w:val="es-ES"/>
        </w:rPr>
        <w:t>. P</w:t>
      </w:r>
      <w:r w:rsidRPr="00FA506F">
        <w:rPr>
          <w:lang w:val="es-ES"/>
        </w:rPr>
        <w:t xml:space="preserve">or lo </w:t>
      </w:r>
      <w:r w:rsidR="005D2DDE" w:rsidRPr="00FA506F">
        <w:rPr>
          <w:lang w:val="es-ES"/>
        </w:rPr>
        <w:t>expuesto</w:t>
      </w:r>
      <w:r w:rsidRPr="00FA506F">
        <w:rPr>
          <w:lang w:val="es-ES"/>
        </w:rPr>
        <w:t xml:space="preserve">, la CIDH considera </w:t>
      </w:r>
      <w:r w:rsidR="00D17F2A" w:rsidRPr="00FA506F">
        <w:rPr>
          <w:lang w:val="es-ES"/>
        </w:rPr>
        <w:t>que esta recomendación retrocede a</w:t>
      </w:r>
      <w:r w:rsidRPr="00FA506F">
        <w:rPr>
          <w:lang w:val="es-ES"/>
        </w:rPr>
        <w:t xml:space="preserve"> </w:t>
      </w:r>
      <w:r w:rsidRPr="00FA506F">
        <w:rPr>
          <w:b/>
          <w:bCs/>
          <w:lang w:val="es-ES"/>
        </w:rPr>
        <w:t xml:space="preserve">pendiente de cumplimiento. </w:t>
      </w:r>
    </w:p>
    <w:p w14:paraId="4A26570C" w14:textId="77777777" w:rsidR="00F55FC1" w:rsidRPr="00FA506F" w:rsidRDefault="00F55FC1" w:rsidP="001F2B39">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3BE63EBA"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4EFA9BEB" w14:textId="0E2D04D8" w:rsidR="0032647B" w:rsidRPr="00FA506F" w:rsidRDefault="00E658B3" w:rsidP="00B80A67">
      <w:pPr>
        <w:pStyle w:val="IAPrrafo"/>
        <w:numPr>
          <w:ilvl w:val="0"/>
          <w:numId w:val="4"/>
        </w:numPr>
        <w:tabs>
          <w:tab w:val="num" w:pos="720"/>
        </w:tabs>
        <w:ind w:firstLine="720"/>
        <w:rPr>
          <w:lang w:val="es-ES"/>
        </w:rPr>
      </w:pPr>
      <w:r w:rsidRPr="00FA506F">
        <w:rPr>
          <w:lang w:val="es-ES"/>
        </w:rPr>
        <w:t xml:space="preserve">Para el cumplimiento de esta recomendación, la CIDH reitera la necesidad de contar con información sobre </w:t>
      </w:r>
      <w:r w:rsidR="00E72A0D" w:rsidRPr="00FA506F">
        <w:rPr>
          <w:lang w:val="es-ES"/>
        </w:rPr>
        <w:t>la falta de personal de la</w:t>
      </w:r>
      <w:r w:rsidRPr="00FA506F">
        <w:rPr>
          <w:lang w:val="es-ES"/>
        </w:rPr>
        <w:t xml:space="preserve"> CNB y </w:t>
      </w:r>
      <w:r w:rsidR="00D96058" w:rsidRPr="00FA506F">
        <w:rPr>
          <w:lang w:val="es-ES"/>
        </w:rPr>
        <w:t>sobre el funcionamiento d</w:t>
      </w:r>
      <w:r w:rsidRPr="00FA506F">
        <w:rPr>
          <w:lang w:val="es-ES"/>
        </w:rPr>
        <w:t xml:space="preserve">el </w:t>
      </w:r>
      <w:r w:rsidR="00290A05" w:rsidRPr="00FA506F">
        <w:rPr>
          <w:rFonts w:eastAsia="Cambria" w:cs="Cambria"/>
          <w:color w:val="000000" w:themeColor="text1"/>
          <w:szCs w:val="20"/>
          <w:lang w:val="es-ES"/>
        </w:rPr>
        <w:t>Centro de Identificación</w:t>
      </w:r>
      <w:r w:rsidR="00D96058" w:rsidRPr="00FA506F">
        <w:rPr>
          <w:rFonts w:eastAsia="Cambria" w:cs="Cambria"/>
          <w:color w:val="000000" w:themeColor="text1"/>
          <w:szCs w:val="20"/>
          <w:lang w:val="es-ES"/>
        </w:rPr>
        <w:t>,</w:t>
      </w:r>
      <w:r w:rsidR="00290A05" w:rsidRPr="00FA506F">
        <w:rPr>
          <w:lang w:val="es-ES"/>
        </w:rPr>
        <w:t xml:space="preserve"> </w:t>
      </w:r>
      <w:r w:rsidRPr="00FA506F">
        <w:rPr>
          <w:lang w:val="es-ES"/>
        </w:rPr>
        <w:t>indicando de qué forma se estaría garantizando que la operatividad de la CNB se realice por profesionales con competencias especializadas en búsqueda de personas, identificación forense o disciplinas relacionadas, garantizando así que el funcionamiento del SNB se</w:t>
      </w:r>
      <w:r w:rsidR="002D08D2" w:rsidRPr="00FA506F">
        <w:rPr>
          <w:lang w:val="es-ES"/>
        </w:rPr>
        <w:t>a acorde</w:t>
      </w:r>
      <w:r w:rsidRPr="00FA506F">
        <w:rPr>
          <w:lang w:val="es-ES"/>
        </w:rPr>
        <w:t xml:space="preserve"> con estándares internacionales. </w:t>
      </w:r>
      <w:r w:rsidR="005D2DDE" w:rsidRPr="00FA506F">
        <w:rPr>
          <w:lang w:val="es-ES"/>
        </w:rPr>
        <w:t>Adicionalmente</w:t>
      </w:r>
      <w:r w:rsidRPr="00FA506F">
        <w:rPr>
          <w:lang w:val="es-ES"/>
        </w:rPr>
        <w:t xml:space="preserve">, se invita al Estado a informar sobre las estrategias de colaboración entre las fiscalías para garantizar la creación de registros de forma homologada y así permitir la creación y administración efectiva del Registro Forense Federal, de acuerdo con lo establecido en la Ley General de </w:t>
      </w:r>
      <w:r w:rsidR="00E0286D" w:rsidRPr="00FA506F">
        <w:rPr>
          <w:lang w:val="es-ES"/>
        </w:rPr>
        <w:t>D</w:t>
      </w:r>
      <w:r w:rsidRPr="00FA506F">
        <w:rPr>
          <w:lang w:val="es-ES"/>
        </w:rPr>
        <w:t xml:space="preserve">esaparición. Finalmente, la Comisión invita al Estado a presentar información </w:t>
      </w:r>
      <w:r w:rsidR="00E0286D" w:rsidRPr="00FA506F">
        <w:rPr>
          <w:lang w:val="es-ES"/>
        </w:rPr>
        <w:t xml:space="preserve">sobre el </w:t>
      </w:r>
      <w:r w:rsidRPr="00FA506F">
        <w:rPr>
          <w:lang w:val="es-ES"/>
        </w:rPr>
        <w:t xml:space="preserve">proceso de actualización del RNPDNO y </w:t>
      </w:r>
      <w:r w:rsidR="00E0286D" w:rsidRPr="00FA506F">
        <w:rPr>
          <w:lang w:val="es-ES"/>
        </w:rPr>
        <w:t xml:space="preserve">sobre </w:t>
      </w:r>
      <w:r w:rsidRPr="00FA506F">
        <w:rPr>
          <w:lang w:val="es-ES"/>
        </w:rPr>
        <w:t>la realización del censo de personas desaparecidas</w:t>
      </w:r>
      <w:r w:rsidR="000061F4" w:rsidRPr="00FA506F">
        <w:rPr>
          <w:lang w:val="es-ES"/>
        </w:rPr>
        <w:t>.</w:t>
      </w:r>
    </w:p>
    <w:p w14:paraId="48B9BE86" w14:textId="13C83083" w:rsidR="00F55FC1" w:rsidRPr="00FA506F" w:rsidRDefault="00F55FC1"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10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Establecer mecanismos de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búsqueda</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inmediata de personas desaparecidas en todo el territorio nacional. </w:t>
      </w:r>
    </w:p>
    <w:p w14:paraId="57E3254E" w14:textId="77777777" w:rsidR="00F55FC1" w:rsidRPr="00FA506F" w:rsidRDefault="00F55FC1" w:rsidP="00B80A67">
      <w:pPr>
        <w:jc w:val="both"/>
        <w:rPr>
          <w:rFonts w:ascii="Cambria" w:eastAsia="Cambria" w:hAnsi="Cambria" w:cs="Cambria"/>
          <w:i/>
          <w:iCs/>
          <w:color w:val="000000" w:themeColor="text1"/>
          <w:sz w:val="20"/>
          <w:szCs w:val="20"/>
          <w:lang w:val="es-ES"/>
        </w:rPr>
      </w:pPr>
    </w:p>
    <w:p w14:paraId="1BA7993C" w14:textId="701F8B09" w:rsidR="00780614" w:rsidRPr="00FA506F" w:rsidRDefault="005D57E7" w:rsidP="00B80A67">
      <w:pPr>
        <w:pStyle w:val="IAPrrafo"/>
        <w:numPr>
          <w:ilvl w:val="0"/>
          <w:numId w:val="4"/>
        </w:numPr>
        <w:tabs>
          <w:tab w:val="num" w:pos="720"/>
        </w:tabs>
        <w:ind w:firstLine="720"/>
        <w:rPr>
          <w:lang w:val="es-ES"/>
        </w:rPr>
      </w:pPr>
      <w:r w:rsidRPr="00FA506F">
        <w:rPr>
          <w:lang w:val="es-ES"/>
        </w:rPr>
        <w:t xml:space="preserve">Para </w:t>
      </w:r>
      <w:r w:rsidR="00F55FC1" w:rsidRPr="00FA506F">
        <w:rPr>
          <w:lang w:val="es-ES"/>
        </w:rPr>
        <w:t>el Capítulo V del Informe Anual de 202</w:t>
      </w:r>
      <w:r w:rsidR="02D0E8C7" w:rsidRPr="00FA506F">
        <w:rPr>
          <w:lang w:val="es-ES"/>
        </w:rPr>
        <w:t>3</w:t>
      </w:r>
      <w:r w:rsidR="00F55FC1" w:rsidRPr="00FA506F">
        <w:rPr>
          <w:lang w:val="es-ES"/>
        </w:rPr>
        <w:t>,</w:t>
      </w:r>
      <w:r w:rsidR="04E89FDA" w:rsidRPr="00FA506F">
        <w:rPr>
          <w:lang w:val="es-ES"/>
        </w:rPr>
        <w:t xml:space="preserve"> el Estado reportó el uso de herramientas de INTERPOL, como las Notificaciones Amarillas, y la implementación del Protocolo Alba y de la Alerta Amber para coordinar la búsqueda de personas desaparecidas, con 255 notificaciones realizadas. Sin embargo, organizaciones civiles destacaron problemas de fragmentación y demoras en la búsqueda inmediata, con la obligación de esperar 72 horas para aceptar denuncias. La CIDH valoró positivamente los avances</w:t>
      </w:r>
      <w:r w:rsidR="15A39F53" w:rsidRPr="00FA506F">
        <w:rPr>
          <w:lang w:val="es-ES"/>
        </w:rPr>
        <w:t>,</w:t>
      </w:r>
      <w:r w:rsidR="04E89FDA" w:rsidRPr="00FA506F">
        <w:rPr>
          <w:lang w:val="es-ES"/>
        </w:rPr>
        <w:t xml:space="preserve"> pero notó que la implementación del Protocolo Nacional y la colaboración entre autoridades presenta</w:t>
      </w:r>
      <w:r w:rsidR="005D2DDE" w:rsidRPr="00FA506F">
        <w:rPr>
          <w:lang w:val="es-ES"/>
        </w:rPr>
        <w:t>ba</w:t>
      </w:r>
      <w:r w:rsidR="04E89FDA" w:rsidRPr="00FA506F">
        <w:rPr>
          <w:lang w:val="es-ES"/>
        </w:rPr>
        <w:t>n desafíos, manteniendo la recomendación en cumplimiento parcial sustancial. La Comisión instó al Estado a mejorar la coordinación y a asegurar la aplicación efectiva de los mecanismos de búsqueda</w:t>
      </w:r>
      <w:r w:rsidR="00506B68" w:rsidRPr="00FA506F">
        <w:rPr>
          <w:lang w:val="es-ES"/>
        </w:rPr>
        <w:t xml:space="preserve"> urgente</w:t>
      </w:r>
      <w:r w:rsidR="04E89FDA" w:rsidRPr="00FA506F">
        <w:rPr>
          <w:lang w:val="es-ES"/>
        </w:rPr>
        <w:t xml:space="preserve"> en todo el país</w:t>
      </w:r>
      <w:r w:rsidR="00F55FC1" w:rsidRPr="00FA506F">
        <w:rPr>
          <w:rStyle w:val="FootnoteReference"/>
          <w:lang w:val="es-ES"/>
        </w:rPr>
        <w:footnoteReference w:id="54"/>
      </w:r>
      <w:r w:rsidR="00F55FC1" w:rsidRPr="00FA506F">
        <w:rPr>
          <w:lang w:val="es-ES"/>
        </w:rPr>
        <w:t>.</w:t>
      </w:r>
    </w:p>
    <w:p w14:paraId="51726E0D" w14:textId="243A4492" w:rsidR="00780614" w:rsidRPr="00FA506F" w:rsidRDefault="00780614" w:rsidP="00163A9C">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4BD7F366" w14:textId="77777777" w:rsidR="00780614" w:rsidRPr="00FA506F" w:rsidRDefault="00780614" w:rsidP="00B80A67">
      <w:pPr>
        <w:ind w:firstLine="360"/>
        <w:jc w:val="both"/>
        <w:rPr>
          <w:rFonts w:ascii="Cambria" w:eastAsia="Cambria" w:hAnsi="Cambria" w:cs="Cambria"/>
          <w:i/>
          <w:iCs/>
          <w:color w:val="000000" w:themeColor="text1"/>
          <w:sz w:val="20"/>
          <w:szCs w:val="20"/>
          <w:lang w:val="es-ES"/>
        </w:rPr>
      </w:pPr>
    </w:p>
    <w:p w14:paraId="62738FE3" w14:textId="0137707E" w:rsidR="00AB6367" w:rsidRPr="00616692" w:rsidRDefault="00920F13" w:rsidP="00163A9C">
      <w:pPr>
        <w:pStyle w:val="IAPrrafo"/>
        <w:numPr>
          <w:ilvl w:val="0"/>
          <w:numId w:val="4"/>
        </w:numPr>
        <w:tabs>
          <w:tab w:val="num" w:pos="720"/>
        </w:tabs>
        <w:ind w:firstLine="720"/>
        <w:rPr>
          <w:rFonts w:eastAsia="Cambria" w:cs="Cambria"/>
          <w:i/>
          <w:iCs/>
          <w:color w:val="000000" w:themeColor="text1"/>
          <w:szCs w:val="20"/>
          <w:lang w:val="es-ES"/>
        </w:rPr>
      </w:pPr>
      <w:r w:rsidRPr="00FA506F">
        <w:rPr>
          <w:lang w:val="es-ES"/>
        </w:rPr>
        <w:t>En 2024, el Estado reportó que el</w:t>
      </w:r>
      <w:r w:rsidR="00391C23" w:rsidRPr="00FA506F">
        <w:rPr>
          <w:lang w:val="es-ES"/>
        </w:rPr>
        <w:t xml:space="preserve"> Protocolo Homologado de Búsqueda (</w:t>
      </w:r>
      <w:r w:rsidR="00506B68" w:rsidRPr="00FA506F">
        <w:rPr>
          <w:lang w:val="es-ES"/>
        </w:rPr>
        <w:t>en adelante</w:t>
      </w:r>
      <w:r w:rsidR="00457C22" w:rsidRPr="00FA506F">
        <w:rPr>
          <w:lang w:val="es-ES"/>
        </w:rPr>
        <w:t>, “</w:t>
      </w:r>
      <w:r w:rsidR="00391C23" w:rsidRPr="00FA506F">
        <w:rPr>
          <w:lang w:val="es-ES"/>
        </w:rPr>
        <w:t>PHB</w:t>
      </w:r>
      <w:r w:rsidR="00457C22" w:rsidRPr="00FA506F">
        <w:rPr>
          <w:lang w:val="es-ES"/>
        </w:rPr>
        <w:t>”</w:t>
      </w:r>
      <w:r w:rsidR="00391C23" w:rsidRPr="00FA506F">
        <w:rPr>
          <w:lang w:val="es-ES"/>
        </w:rPr>
        <w:t xml:space="preserve">) fue publicado el 6 de octubre de 2020 y entró en vigor el 6 de enero de 2021. </w:t>
      </w:r>
      <w:r w:rsidR="00446046" w:rsidRPr="00FA506F">
        <w:rPr>
          <w:lang w:val="es-ES"/>
        </w:rPr>
        <w:t>El Estado</w:t>
      </w:r>
      <w:r w:rsidRPr="00FA506F">
        <w:rPr>
          <w:lang w:val="es-ES"/>
        </w:rPr>
        <w:t xml:space="preserve"> </w:t>
      </w:r>
      <w:r w:rsidR="005D2DDE" w:rsidRPr="00FA506F">
        <w:rPr>
          <w:lang w:val="es-ES"/>
        </w:rPr>
        <w:t>precisó</w:t>
      </w:r>
      <w:r w:rsidRPr="00FA506F">
        <w:rPr>
          <w:lang w:val="es-ES"/>
        </w:rPr>
        <w:t xml:space="preserve"> que e</w:t>
      </w:r>
      <w:r w:rsidR="00391C23" w:rsidRPr="00FA506F">
        <w:rPr>
          <w:lang w:val="es-ES"/>
        </w:rPr>
        <w:t>ste protocolo destaca</w:t>
      </w:r>
      <w:r w:rsidRPr="00FA506F">
        <w:rPr>
          <w:lang w:val="es-ES"/>
        </w:rPr>
        <w:t>ría</w:t>
      </w:r>
      <w:r w:rsidR="00391C23" w:rsidRPr="00FA506F">
        <w:rPr>
          <w:lang w:val="es-ES"/>
        </w:rPr>
        <w:t xml:space="preserve"> las obligaciones de las autoridades en la búsqueda de personas desaparecidas y ha</w:t>
      </w:r>
      <w:r w:rsidRPr="00FA506F">
        <w:rPr>
          <w:lang w:val="es-ES"/>
        </w:rPr>
        <w:t>bría</w:t>
      </w:r>
      <w:r w:rsidR="00391C23" w:rsidRPr="00FA506F">
        <w:rPr>
          <w:lang w:val="es-ES"/>
        </w:rPr>
        <w:t xml:space="preserve"> sido implementado con el apoyo de capacitaciones a personal de la C</w:t>
      </w:r>
      <w:r w:rsidR="00506B68" w:rsidRPr="00FA506F">
        <w:rPr>
          <w:lang w:val="es-ES"/>
        </w:rPr>
        <w:t>omisión Nacional de Búsqueda</w:t>
      </w:r>
      <w:r w:rsidR="00391C23" w:rsidRPr="00FA506F">
        <w:rPr>
          <w:lang w:val="es-ES"/>
        </w:rPr>
        <w:t xml:space="preserve">, </w:t>
      </w:r>
      <w:r w:rsidR="000F45F7" w:rsidRPr="00FA506F">
        <w:rPr>
          <w:lang w:val="es-ES"/>
        </w:rPr>
        <w:t xml:space="preserve">las </w:t>
      </w:r>
      <w:r w:rsidR="00506B68" w:rsidRPr="00FA506F">
        <w:rPr>
          <w:lang w:val="es-ES"/>
        </w:rPr>
        <w:t>comisiones locales de búsqueda</w:t>
      </w:r>
      <w:r w:rsidR="00391C23" w:rsidRPr="00FA506F">
        <w:rPr>
          <w:lang w:val="es-ES"/>
        </w:rPr>
        <w:t xml:space="preserve"> y familiares de víctimas. </w:t>
      </w:r>
      <w:r w:rsidR="00454AE0" w:rsidRPr="00FA506F">
        <w:rPr>
          <w:lang w:val="es-ES"/>
        </w:rPr>
        <w:t>Informó</w:t>
      </w:r>
      <w:r w:rsidRPr="00FA506F">
        <w:rPr>
          <w:lang w:val="es-ES"/>
        </w:rPr>
        <w:t xml:space="preserve"> que e</w:t>
      </w:r>
      <w:r w:rsidR="00391C23" w:rsidRPr="00FA506F">
        <w:rPr>
          <w:lang w:val="es-ES"/>
        </w:rPr>
        <w:t xml:space="preserve">l PHB define cinco tipos de búsqueda: </w:t>
      </w:r>
      <w:r w:rsidRPr="00FA506F">
        <w:rPr>
          <w:lang w:val="es-ES"/>
        </w:rPr>
        <w:t>b</w:t>
      </w:r>
      <w:r w:rsidR="00391C23" w:rsidRPr="00FA506F">
        <w:rPr>
          <w:lang w:val="es-ES"/>
        </w:rPr>
        <w:t>úsqueda inmediata</w:t>
      </w:r>
      <w:r w:rsidRPr="00FA506F">
        <w:rPr>
          <w:lang w:val="es-ES"/>
        </w:rPr>
        <w:t>, b</w:t>
      </w:r>
      <w:r w:rsidR="00391C23" w:rsidRPr="00FA506F">
        <w:rPr>
          <w:lang w:val="es-ES"/>
        </w:rPr>
        <w:t>úsqueda individualizada</w:t>
      </w:r>
      <w:r w:rsidRPr="00FA506F">
        <w:rPr>
          <w:lang w:val="es-ES"/>
        </w:rPr>
        <w:t>, b</w:t>
      </w:r>
      <w:r w:rsidR="00391C23" w:rsidRPr="00FA506F">
        <w:rPr>
          <w:lang w:val="es-ES"/>
        </w:rPr>
        <w:t>úsqueda por patrone</w:t>
      </w:r>
      <w:r w:rsidRPr="00FA506F">
        <w:rPr>
          <w:lang w:val="es-ES"/>
        </w:rPr>
        <w:t>s, b</w:t>
      </w:r>
      <w:r w:rsidR="00391C23" w:rsidRPr="00FA506F">
        <w:rPr>
          <w:lang w:val="es-ES"/>
        </w:rPr>
        <w:t>úsqueda generalizada</w:t>
      </w:r>
      <w:r w:rsidRPr="00FA506F">
        <w:rPr>
          <w:lang w:val="es-ES"/>
        </w:rPr>
        <w:t xml:space="preserve"> y b</w:t>
      </w:r>
      <w:r w:rsidR="00391C23" w:rsidRPr="00FA506F">
        <w:rPr>
          <w:lang w:val="es-ES"/>
        </w:rPr>
        <w:t xml:space="preserve">úsqueda de familia. </w:t>
      </w:r>
      <w:r w:rsidR="00457C22" w:rsidRPr="00FA506F">
        <w:rPr>
          <w:lang w:val="es-ES"/>
        </w:rPr>
        <w:t xml:space="preserve">Por su </w:t>
      </w:r>
      <w:r w:rsidR="00457C22" w:rsidRPr="00616692">
        <w:rPr>
          <w:lang w:val="es-ES"/>
        </w:rPr>
        <w:t>parte, e</w:t>
      </w:r>
      <w:r w:rsidR="00446F81" w:rsidRPr="00616692">
        <w:rPr>
          <w:lang w:val="es-ES"/>
        </w:rPr>
        <w:t>l</w:t>
      </w:r>
      <w:r w:rsidR="00391C23" w:rsidRPr="00616692">
        <w:rPr>
          <w:lang w:val="es-ES"/>
        </w:rPr>
        <w:t xml:space="preserve"> Protocolo Homologado de Investigación de los Delitos de Desaparición Forzada (</w:t>
      </w:r>
      <w:r w:rsidR="00457C22" w:rsidRPr="00616692">
        <w:rPr>
          <w:lang w:val="es-ES"/>
        </w:rPr>
        <w:t>en adelante, “</w:t>
      </w:r>
      <w:r w:rsidR="00391C23" w:rsidRPr="00616692">
        <w:rPr>
          <w:lang w:val="es-ES"/>
        </w:rPr>
        <w:t>PHI</w:t>
      </w:r>
      <w:r w:rsidR="00457C22" w:rsidRPr="00616692">
        <w:rPr>
          <w:lang w:val="es-ES"/>
        </w:rPr>
        <w:t>”</w:t>
      </w:r>
      <w:r w:rsidR="00391C23" w:rsidRPr="00616692">
        <w:rPr>
          <w:lang w:val="es-ES"/>
        </w:rPr>
        <w:t>) busca</w:t>
      </w:r>
      <w:r w:rsidRPr="00616692">
        <w:rPr>
          <w:lang w:val="es-ES"/>
        </w:rPr>
        <w:t>ría</w:t>
      </w:r>
      <w:r w:rsidR="00391C23" w:rsidRPr="00616692">
        <w:rPr>
          <w:lang w:val="es-ES"/>
        </w:rPr>
        <w:t xml:space="preserve"> establecer un enfoque sistemático para investigar los delitos de desaparición forzada y por particulares. </w:t>
      </w:r>
      <w:r w:rsidR="008C2DA5" w:rsidRPr="00616692">
        <w:rPr>
          <w:lang w:val="es-ES"/>
        </w:rPr>
        <w:t>El</w:t>
      </w:r>
      <w:r w:rsidR="00391C23" w:rsidRPr="00616692">
        <w:rPr>
          <w:lang w:val="es-ES"/>
        </w:rPr>
        <w:t xml:space="preserve"> Código Nacional de Procedimientos Penales (CNPP) establece</w:t>
      </w:r>
      <w:r w:rsidRPr="00616692">
        <w:rPr>
          <w:lang w:val="es-ES"/>
        </w:rPr>
        <w:t>ría</w:t>
      </w:r>
      <w:r w:rsidR="00391C23" w:rsidRPr="00616692">
        <w:rPr>
          <w:lang w:val="es-ES"/>
        </w:rPr>
        <w:t xml:space="preserve"> un marco legal que regula la investigación de delitos, garantizando que el Estado realice búsquedas diligentes y efectivas. </w:t>
      </w:r>
      <w:r w:rsidR="00D72C22" w:rsidRPr="00616692">
        <w:rPr>
          <w:lang w:val="es-ES"/>
        </w:rPr>
        <w:t>Según México, e</w:t>
      </w:r>
      <w:r w:rsidR="00391C23" w:rsidRPr="00616692">
        <w:rPr>
          <w:lang w:val="es-ES"/>
        </w:rPr>
        <w:t>l CNPP obliga a las autoridades a llevar a cabo investigaciones exhaustivas, proteger los derechos de las víctimas y prevenir la impunidad. Finalmente,</w:t>
      </w:r>
      <w:r w:rsidRPr="00616692">
        <w:rPr>
          <w:lang w:val="es-ES"/>
        </w:rPr>
        <w:t xml:space="preserve"> el Estado </w:t>
      </w:r>
      <w:r w:rsidR="005D2DDE" w:rsidRPr="00616692">
        <w:rPr>
          <w:lang w:val="es-ES"/>
        </w:rPr>
        <w:t xml:space="preserve">aclaró </w:t>
      </w:r>
      <w:r w:rsidRPr="00616692">
        <w:rPr>
          <w:lang w:val="es-ES"/>
        </w:rPr>
        <w:t>que</w:t>
      </w:r>
      <w:r w:rsidR="00391C23" w:rsidRPr="00616692">
        <w:rPr>
          <w:lang w:val="es-ES"/>
        </w:rPr>
        <w:t xml:space="preserve"> la CNB</w:t>
      </w:r>
      <w:r w:rsidR="005D2DDE" w:rsidRPr="00616692">
        <w:rPr>
          <w:lang w:val="es-ES"/>
        </w:rPr>
        <w:t>,</w:t>
      </w:r>
      <w:r w:rsidR="00391C23" w:rsidRPr="00616692">
        <w:rPr>
          <w:lang w:val="es-ES"/>
        </w:rPr>
        <w:t xml:space="preserve"> en colaboración con autoridades estatales, federales, colectivos y familiares de personas desaparecidas, ha</w:t>
      </w:r>
      <w:r w:rsidRPr="00616692">
        <w:rPr>
          <w:lang w:val="es-ES"/>
        </w:rPr>
        <w:t>bría</w:t>
      </w:r>
      <w:r w:rsidR="00391C23" w:rsidRPr="00616692">
        <w:rPr>
          <w:lang w:val="es-ES"/>
        </w:rPr>
        <w:t xml:space="preserve"> desarrollado estrategias regionales que abordan contextos específicos. Un ejemplo de ello es el programa regional de búsqueda en el noreste del país, que abarca Coahuila, Durango, Nuevo León y Tamaulipas, con el fin de coordinar acciones entre distintas instituciones para lograr búsquedas efectivas</w:t>
      </w:r>
      <w:r w:rsidR="00745F10" w:rsidRPr="00616692">
        <w:rPr>
          <w:rStyle w:val="FootnoteReference"/>
          <w:lang w:val="es-ES"/>
        </w:rPr>
        <w:footnoteReference w:id="55"/>
      </w:r>
      <w:r w:rsidR="00391C23" w:rsidRPr="00616692">
        <w:rPr>
          <w:lang w:val="es-ES"/>
        </w:rPr>
        <w:t xml:space="preserve">. </w:t>
      </w:r>
      <w:r w:rsidR="00AB6367" w:rsidRPr="00616692">
        <w:rPr>
          <w:lang w:val="es-ES"/>
        </w:rPr>
        <w:t>El Estado refirió que el 3 de octubre de 2024 se publicaron los Lineamientos Generales de Operación del Programa Alerta Amber México</w:t>
      </w:r>
      <w:r w:rsidR="00AB6367" w:rsidRPr="00616692">
        <w:rPr>
          <w:rStyle w:val="FootnoteReference"/>
          <w:lang w:val="es-ES"/>
        </w:rPr>
        <w:footnoteReference w:id="56"/>
      </w:r>
      <w:r w:rsidR="00D87FA4" w:rsidRPr="00616692">
        <w:rPr>
          <w:lang w:val="es-ES"/>
        </w:rPr>
        <w:t>.</w:t>
      </w:r>
    </w:p>
    <w:p w14:paraId="38EEB66C" w14:textId="6D3733C0" w:rsidR="005B7446" w:rsidRPr="00616692" w:rsidRDefault="005B7446" w:rsidP="00163A9C">
      <w:pPr>
        <w:pStyle w:val="IAPrrafo"/>
        <w:numPr>
          <w:ilvl w:val="0"/>
          <w:numId w:val="4"/>
        </w:numPr>
        <w:tabs>
          <w:tab w:val="num" w:pos="720"/>
        </w:tabs>
        <w:ind w:firstLine="720"/>
        <w:rPr>
          <w:rFonts w:eastAsia="Cambria" w:cs="Cambria"/>
          <w:i/>
          <w:iCs/>
          <w:color w:val="000000" w:themeColor="text1"/>
          <w:szCs w:val="20"/>
          <w:lang w:val="es-ES"/>
        </w:rPr>
      </w:pPr>
      <w:r w:rsidRPr="00616692">
        <w:rPr>
          <w:rFonts w:eastAsia="Cambria" w:cs="Cambria"/>
          <w:color w:val="000000" w:themeColor="text1"/>
          <w:szCs w:val="20"/>
          <w:lang w:val="es-ES"/>
        </w:rPr>
        <w:t xml:space="preserve">Asimismo, el Estado en sus observaciones al presente </w:t>
      </w:r>
      <w:r w:rsidR="00881068" w:rsidRPr="00616692">
        <w:rPr>
          <w:rFonts w:eastAsia="Cambria" w:cs="Cambria"/>
          <w:color w:val="000000" w:themeColor="text1"/>
          <w:szCs w:val="20"/>
          <w:lang w:val="es-ES"/>
        </w:rPr>
        <w:t>I</w:t>
      </w:r>
      <w:r w:rsidRPr="00616692">
        <w:rPr>
          <w:rFonts w:eastAsia="Cambria" w:cs="Cambria"/>
          <w:color w:val="000000" w:themeColor="text1"/>
          <w:szCs w:val="20"/>
          <w:lang w:val="es-ES"/>
        </w:rPr>
        <w:t>nforme agregó que</w:t>
      </w:r>
      <w:r w:rsidRPr="00616692">
        <w:rPr>
          <w:lang w:val="es-ES"/>
        </w:rPr>
        <w:t xml:space="preserve"> la Policía Federal Ministerial (PFM), a través de la Unidad de Asuntos Policiales Internacionales e INTERPOL, fortaleció sus acciones en la búsqueda y localización de personas desaparecidas. Como parte de su labor, ha creado un área especializada dentro de la Dirección de Enlace y Cooperación Policial Internacional, encargada de gestionar la publicación de Notificaciones Amarillas de INTERPOL, utilizadas para localizar a víctimas de desaparición en México y el extranjero</w:t>
      </w:r>
      <w:r w:rsidR="004D0BF3" w:rsidRPr="00616692">
        <w:rPr>
          <w:lang w:val="es-ES"/>
        </w:rPr>
        <w:t xml:space="preserve">. Y que </w:t>
      </w:r>
      <w:r w:rsidRPr="00616692">
        <w:rPr>
          <w:lang w:val="es-ES"/>
        </w:rPr>
        <w:t>la Unidad INTERPOL México coordinó una Sesión de Formación con el Grupo Especializado en Notificaciones y Difusiones de la Secretaría General de INTERPOL. Al respecto, en los últimos cuatro años, se han emitido 1</w:t>
      </w:r>
      <w:r w:rsidR="004D0BF3" w:rsidRPr="00616692">
        <w:rPr>
          <w:lang w:val="es-ES"/>
        </w:rPr>
        <w:t>.</w:t>
      </w:r>
      <w:r w:rsidRPr="00616692">
        <w:rPr>
          <w:lang w:val="es-ES"/>
        </w:rPr>
        <w:t>512 Notificaciones Amarillas, registrando 178 en 2021, 359 en 2022, 426 en 2023 y 549 en 2024</w:t>
      </w:r>
      <w:r w:rsidRPr="00616692">
        <w:rPr>
          <w:rStyle w:val="FootnoteReference"/>
          <w:lang w:val="es-ES"/>
        </w:rPr>
        <w:footnoteReference w:id="57"/>
      </w:r>
      <w:r w:rsidRPr="00616692">
        <w:rPr>
          <w:lang w:val="es-ES"/>
        </w:rPr>
        <w:t>.</w:t>
      </w:r>
      <w:r w:rsidR="00AB6367" w:rsidRPr="00616692">
        <w:rPr>
          <w:lang w:val="es-ES"/>
        </w:rPr>
        <w:t xml:space="preserve"> </w:t>
      </w:r>
    </w:p>
    <w:p w14:paraId="5F4D457C" w14:textId="7FFD150B" w:rsidR="00920F13" w:rsidRPr="00FA506F" w:rsidRDefault="00446046" w:rsidP="00163A9C">
      <w:pPr>
        <w:pStyle w:val="IAPrrafo"/>
        <w:numPr>
          <w:ilvl w:val="0"/>
          <w:numId w:val="4"/>
        </w:numPr>
        <w:tabs>
          <w:tab w:val="num" w:pos="720"/>
        </w:tabs>
        <w:ind w:firstLine="720"/>
        <w:rPr>
          <w:lang w:val="es-ES"/>
        </w:rPr>
      </w:pPr>
      <w:r w:rsidRPr="00616692">
        <w:rPr>
          <w:lang w:val="es-ES"/>
        </w:rPr>
        <w:t xml:space="preserve">Las </w:t>
      </w:r>
      <w:r w:rsidR="00920F13" w:rsidRPr="00616692">
        <w:rPr>
          <w:lang w:val="es-ES"/>
        </w:rPr>
        <w:t>organizaciones de la sociedad civil</w:t>
      </w:r>
      <w:r w:rsidR="00782B51" w:rsidRPr="00616692">
        <w:rPr>
          <w:lang w:val="es-ES"/>
        </w:rPr>
        <w:t>, no obstante,</w:t>
      </w:r>
      <w:r w:rsidR="00920F13" w:rsidRPr="00616692">
        <w:rPr>
          <w:lang w:val="es-ES"/>
        </w:rPr>
        <w:t xml:space="preserve"> </w:t>
      </w:r>
      <w:r w:rsidRPr="00616692">
        <w:rPr>
          <w:lang w:val="es-ES"/>
        </w:rPr>
        <w:t>reportaron</w:t>
      </w:r>
      <w:r w:rsidR="00920F13" w:rsidRPr="00616692">
        <w:rPr>
          <w:lang w:val="es-ES"/>
        </w:rPr>
        <w:t xml:space="preserve"> deficiencias en el diseño e implementación de </w:t>
      </w:r>
      <w:r w:rsidR="005D2DDE" w:rsidRPr="00616692">
        <w:rPr>
          <w:lang w:val="es-ES"/>
        </w:rPr>
        <w:t>lo</w:t>
      </w:r>
      <w:r w:rsidRPr="00616692">
        <w:rPr>
          <w:lang w:val="es-ES"/>
        </w:rPr>
        <w:t>s</w:t>
      </w:r>
      <w:r w:rsidR="005D2DDE" w:rsidRPr="00616692">
        <w:rPr>
          <w:lang w:val="es-ES"/>
        </w:rPr>
        <w:t xml:space="preserve"> p</w:t>
      </w:r>
      <w:r w:rsidR="00920F13" w:rsidRPr="00616692">
        <w:rPr>
          <w:lang w:val="es-ES"/>
        </w:rPr>
        <w:t xml:space="preserve">lanes de búsqueda. En ese sentido, </w:t>
      </w:r>
      <w:r w:rsidRPr="00616692">
        <w:rPr>
          <w:lang w:val="es-ES"/>
        </w:rPr>
        <w:t>refirieron haber</w:t>
      </w:r>
      <w:r w:rsidR="00920F13" w:rsidRPr="00616692">
        <w:rPr>
          <w:lang w:val="es-ES"/>
        </w:rPr>
        <w:t xml:space="preserve"> solicitado la elaboración de planes de búsqueda a las</w:t>
      </w:r>
      <w:r w:rsidR="00086193" w:rsidRPr="00616692">
        <w:rPr>
          <w:lang w:val="es-ES"/>
        </w:rPr>
        <w:t xml:space="preserve"> </w:t>
      </w:r>
      <w:r w:rsidR="00782B51" w:rsidRPr="00616692">
        <w:rPr>
          <w:lang w:val="es-ES"/>
        </w:rPr>
        <w:t>c</w:t>
      </w:r>
      <w:r w:rsidR="00086193" w:rsidRPr="00616692">
        <w:rPr>
          <w:lang w:val="es-ES"/>
        </w:rPr>
        <w:t xml:space="preserve">omisiones </w:t>
      </w:r>
      <w:r w:rsidR="00782B51" w:rsidRPr="00616692">
        <w:rPr>
          <w:lang w:val="es-ES"/>
        </w:rPr>
        <w:t>l</w:t>
      </w:r>
      <w:r w:rsidR="00086193" w:rsidRPr="00616692">
        <w:rPr>
          <w:lang w:val="es-ES"/>
        </w:rPr>
        <w:t xml:space="preserve">ocales de </w:t>
      </w:r>
      <w:r w:rsidR="00782B51" w:rsidRPr="00616692">
        <w:rPr>
          <w:lang w:val="es-ES"/>
        </w:rPr>
        <w:t>b</w:t>
      </w:r>
      <w:r w:rsidR="00086193" w:rsidRPr="00616692">
        <w:rPr>
          <w:lang w:val="es-ES"/>
        </w:rPr>
        <w:t>úsqueda</w:t>
      </w:r>
      <w:r w:rsidR="00920F13" w:rsidRPr="00616692">
        <w:rPr>
          <w:lang w:val="es-ES"/>
        </w:rPr>
        <w:t xml:space="preserve"> y a la C</w:t>
      </w:r>
      <w:r w:rsidR="00086193" w:rsidRPr="00616692">
        <w:rPr>
          <w:lang w:val="es-ES"/>
        </w:rPr>
        <w:t xml:space="preserve">omisión Nacional de </w:t>
      </w:r>
      <w:r w:rsidR="009112C5" w:rsidRPr="00616692">
        <w:rPr>
          <w:lang w:val="es-ES"/>
        </w:rPr>
        <w:t>Búsqueda</w:t>
      </w:r>
      <w:r w:rsidR="00920F13" w:rsidRPr="00616692">
        <w:rPr>
          <w:lang w:val="es-ES"/>
        </w:rPr>
        <w:t>, incluso a través del impulso de acciones urgentes</w:t>
      </w:r>
      <w:r w:rsidR="00920F13" w:rsidRPr="00616692">
        <w:rPr>
          <w:rFonts w:eastAsia="Cambria" w:cs="Cambria"/>
          <w:color w:val="000000" w:themeColor="text1"/>
          <w:szCs w:val="20"/>
          <w:lang w:val="es-ES"/>
        </w:rPr>
        <w:t xml:space="preserve"> solicitadas ante el Comité contra la Desaparición Forzada, sin que éstos se </w:t>
      </w:r>
      <w:r w:rsidR="005D2DDE" w:rsidRPr="00616692">
        <w:rPr>
          <w:rFonts w:eastAsia="Cambria" w:cs="Cambria"/>
          <w:color w:val="000000" w:themeColor="text1"/>
          <w:szCs w:val="20"/>
          <w:lang w:val="es-ES"/>
        </w:rPr>
        <w:t>elaboren. Agregaron que</w:t>
      </w:r>
      <w:r w:rsidRPr="00616692">
        <w:rPr>
          <w:rFonts w:eastAsia="Cambria" w:cs="Cambria"/>
          <w:color w:val="000000" w:themeColor="text1"/>
          <w:szCs w:val="20"/>
          <w:lang w:val="es-ES"/>
        </w:rPr>
        <w:t xml:space="preserve"> en los</w:t>
      </w:r>
      <w:r w:rsidR="00920F13" w:rsidRPr="00616692">
        <w:rPr>
          <w:rFonts w:eastAsia="Cambria" w:cs="Cambria"/>
          <w:color w:val="000000" w:themeColor="text1"/>
          <w:szCs w:val="20"/>
          <w:lang w:val="es-ES"/>
        </w:rPr>
        <w:t xml:space="preserve"> casos</w:t>
      </w:r>
      <w:r w:rsidRPr="00616692">
        <w:rPr>
          <w:rFonts w:eastAsia="Cambria" w:cs="Cambria"/>
          <w:color w:val="000000" w:themeColor="text1"/>
          <w:szCs w:val="20"/>
          <w:lang w:val="es-ES"/>
        </w:rPr>
        <w:t xml:space="preserve"> en los que se logró la elaboración de planes de búsqueda, éstos no</w:t>
      </w:r>
      <w:r w:rsidR="005D2DDE" w:rsidRPr="00616692">
        <w:rPr>
          <w:rFonts w:eastAsia="Cambria" w:cs="Cambria"/>
          <w:color w:val="000000" w:themeColor="text1"/>
          <w:szCs w:val="20"/>
          <w:lang w:val="es-ES"/>
        </w:rPr>
        <w:t xml:space="preserve"> </w:t>
      </w:r>
      <w:r w:rsidR="00920F13" w:rsidRPr="00616692">
        <w:rPr>
          <w:rFonts w:eastAsia="Cambria" w:cs="Cambria"/>
          <w:color w:val="000000" w:themeColor="text1"/>
          <w:szCs w:val="20"/>
          <w:lang w:val="es-ES"/>
        </w:rPr>
        <w:t>garantiza</w:t>
      </w:r>
      <w:r w:rsidR="002E0FFE" w:rsidRPr="00616692">
        <w:rPr>
          <w:rFonts w:eastAsia="Cambria" w:cs="Cambria"/>
          <w:color w:val="000000" w:themeColor="text1"/>
          <w:szCs w:val="20"/>
          <w:lang w:val="es-ES"/>
        </w:rPr>
        <w:t>ro</w:t>
      </w:r>
      <w:r w:rsidR="005D2DDE" w:rsidRPr="00616692">
        <w:rPr>
          <w:rFonts w:eastAsia="Cambria" w:cs="Cambria"/>
          <w:color w:val="000000" w:themeColor="text1"/>
          <w:szCs w:val="20"/>
          <w:lang w:val="es-ES"/>
        </w:rPr>
        <w:t>n</w:t>
      </w:r>
      <w:r w:rsidR="00920F13" w:rsidRPr="00616692">
        <w:rPr>
          <w:lang w:val="es-ES"/>
        </w:rPr>
        <w:t xml:space="preserve"> los requisitos mínimos </w:t>
      </w:r>
      <w:r w:rsidRPr="00616692">
        <w:rPr>
          <w:lang w:val="es-ES"/>
        </w:rPr>
        <w:t>previstos en</w:t>
      </w:r>
      <w:r w:rsidR="00920F13" w:rsidRPr="00616692">
        <w:rPr>
          <w:lang w:val="es-ES"/>
        </w:rPr>
        <w:t xml:space="preserve"> la normativ</w:t>
      </w:r>
      <w:r w:rsidR="005F0D1F" w:rsidRPr="00616692">
        <w:rPr>
          <w:lang w:val="es-ES"/>
        </w:rPr>
        <w:t>a</w:t>
      </w:r>
      <w:r w:rsidR="00920F13" w:rsidRPr="00616692">
        <w:rPr>
          <w:lang w:val="es-ES"/>
        </w:rPr>
        <w:t xml:space="preserve"> nacional </w:t>
      </w:r>
      <w:r w:rsidR="005F0D1F" w:rsidRPr="00616692">
        <w:rPr>
          <w:lang w:val="es-ES"/>
        </w:rPr>
        <w:t>y</w:t>
      </w:r>
      <w:r w:rsidR="009C3F67" w:rsidRPr="00616692">
        <w:rPr>
          <w:lang w:val="es-ES"/>
        </w:rPr>
        <w:t>,</w:t>
      </w:r>
      <w:r w:rsidR="005F0D1F" w:rsidRPr="00616692">
        <w:rPr>
          <w:lang w:val="es-ES"/>
        </w:rPr>
        <w:t xml:space="preserve"> </w:t>
      </w:r>
      <w:r w:rsidR="00920F13" w:rsidRPr="00616692">
        <w:rPr>
          <w:lang w:val="es-ES"/>
        </w:rPr>
        <w:t xml:space="preserve">en específico, </w:t>
      </w:r>
      <w:r w:rsidR="005F0D1F" w:rsidRPr="00616692">
        <w:rPr>
          <w:lang w:val="es-ES"/>
        </w:rPr>
        <w:t xml:space="preserve">en </w:t>
      </w:r>
      <w:r w:rsidR="00920F13" w:rsidRPr="00616692">
        <w:rPr>
          <w:lang w:val="es-ES"/>
        </w:rPr>
        <w:t xml:space="preserve">el Protocolo Homologado </w:t>
      </w:r>
      <w:r w:rsidR="005B0B7E" w:rsidRPr="00616692">
        <w:rPr>
          <w:lang w:val="es-ES"/>
        </w:rPr>
        <w:t xml:space="preserve">de </w:t>
      </w:r>
      <w:r w:rsidR="00920F13" w:rsidRPr="00616692">
        <w:rPr>
          <w:lang w:val="es-ES"/>
        </w:rPr>
        <w:t xml:space="preserve">Búsqueda. </w:t>
      </w:r>
      <w:r w:rsidR="005B69A5" w:rsidRPr="00616692">
        <w:rPr>
          <w:lang w:val="es-ES"/>
        </w:rPr>
        <w:t>Las</w:t>
      </w:r>
      <w:r w:rsidR="00920F13" w:rsidRPr="00616692">
        <w:rPr>
          <w:lang w:val="es-ES"/>
        </w:rPr>
        <w:t xml:space="preserve"> organizaciones</w:t>
      </w:r>
      <w:r w:rsidR="00920F13" w:rsidRPr="00FA506F">
        <w:rPr>
          <w:lang w:val="es-ES"/>
        </w:rPr>
        <w:t xml:space="preserve"> </w:t>
      </w:r>
      <w:r w:rsidR="005D2DDE" w:rsidRPr="00FA506F">
        <w:rPr>
          <w:lang w:val="es-ES"/>
        </w:rPr>
        <w:t>resaltan</w:t>
      </w:r>
      <w:r w:rsidR="009C3F67" w:rsidRPr="00FA506F">
        <w:rPr>
          <w:lang w:val="es-ES"/>
        </w:rPr>
        <w:t xml:space="preserve"> además</w:t>
      </w:r>
      <w:r w:rsidR="005D2DDE" w:rsidRPr="00FA506F">
        <w:rPr>
          <w:lang w:val="es-ES"/>
        </w:rPr>
        <w:t xml:space="preserve"> </w:t>
      </w:r>
      <w:r w:rsidR="00920F13" w:rsidRPr="00FA506F">
        <w:rPr>
          <w:lang w:val="es-ES"/>
        </w:rPr>
        <w:t xml:space="preserve">una falta de coordinación de la </w:t>
      </w:r>
      <w:r w:rsidR="000F45F7" w:rsidRPr="00FA506F">
        <w:rPr>
          <w:lang w:val="es-ES"/>
        </w:rPr>
        <w:t>CNB</w:t>
      </w:r>
      <w:r w:rsidR="00920F13" w:rsidRPr="00FA506F">
        <w:rPr>
          <w:lang w:val="es-ES"/>
        </w:rPr>
        <w:t xml:space="preserve"> con las </w:t>
      </w:r>
      <w:r w:rsidR="009C3F67" w:rsidRPr="00FA506F">
        <w:rPr>
          <w:lang w:val="es-ES"/>
        </w:rPr>
        <w:t>c</w:t>
      </w:r>
      <w:r w:rsidR="009112C5" w:rsidRPr="00FA506F">
        <w:rPr>
          <w:lang w:val="es-ES"/>
        </w:rPr>
        <w:t xml:space="preserve">omisiones </w:t>
      </w:r>
      <w:r w:rsidR="009C3F67" w:rsidRPr="00FA506F">
        <w:rPr>
          <w:lang w:val="es-ES"/>
        </w:rPr>
        <w:t>l</w:t>
      </w:r>
      <w:r w:rsidR="009112C5" w:rsidRPr="00FA506F">
        <w:rPr>
          <w:lang w:val="es-ES"/>
        </w:rPr>
        <w:t>ocales</w:t>
      </w:r>
      <w:r w:rsidR="009C3F67" w:rsidRPr="00FA506F">
        <w:rPr>
          <w:lang w:val="es-ES"/>
        </w:rPr>
        <w:t>,</w:t>
      </w:r>
      <w:r w:rsidR="009112C5" w:rsidRPr="00FA506F">
        <w:rPr>
          <w:lang w:val="es-ES"/>
        </w:rPr>
        <w:t xml:space="preserve"> </w:t>
      </w:r>
      <w:r w:rsidR="00920F13" w:rsidRPr="00FA506F">
        <w:rPr>
          <w:lang w:val="es-ES"/>
        </w:rPr>
        <w:t xml:space="preserve">lo cual se debe </w:t>
      </w:r>
      <w:r w:rsidR="00C26987" w:rsidRPr="00FA506F">
        <w:rPr>
          <w:lang w:val="es-ES"/>
        </w:rPr>
        <w:t>a falta</w:t>
      </w:r>
      <w:r w:rsidR="00920F13" w:rsidRPr="00FA506F">
        <w:rPr>
          <w:lang w:val="es-ES"/>
        </w:rPr>
        <w:t xml:space="preserve"> de capacitación, cambios constantes en el personal, una falta de estrategia por estado, entre otros</w:t>
      </w:r>
      <w:r w:rsidR="009C3F67" w:rsidRPr="00FA506F">
        <w:rPr>
          <w:lang w:val="es-ES"/>
        </w:rPr>
        <w:t xml:space="preserve"> problemas</w:t>
      </w:r>
      <w:r w:rsidR="00920F13" w:rsidRPr="00FA506F">
        <w:rPr>
          <w:rStyle w:val="FootnoteReference"/>
          <w:lang w:val="es-ES"/>
        </w:rPr>
        <w:footnoteReference w:id="58"/>
      </w:r>
      <w:r w:rsidR="00920F13" w:rsidRPr="00FA506F">
        <w:rPr>
          <w:lang w:val="es-ES"/>
        </w:rPr>
        <w:t xml:space="preserve">. </w:t>
      </w:r>
      <w:r w:rsidR="007F752C" w:rsidRPr="00FA506F">
        <w:rPr>
          <w:lang w:val="es-ES"/>
        </w:rPr>
        <w:t>En relación con la falta de capacitación</w:t>
      </w:r>
      <w:r w:rsidR="000B1AED" w:rsidRPr="00FA506F">
        <w:rPr>
          <w:lang w:val="es-ES"/>
        </w:rPr>
        <w:t xml:space="preserve"> profesional</w:t>
      </w:r>
      <w:r w:rsidR="007F752C" w:rsidRPr="00FA506F">
        <w:rPr>
          <w:lang w:val="es-ES"/>
        </w:rPr>
        <w:t xml:space="preserve">, </w:t>
      </w:r>
      <w:r w:rsidR="009C3F67" w:rsidRPr="00FA506F">
        <w:rPr>
          <w:lang w:val="es-ES"/>
        </w:rPr>
        <w:t xml:space="preserve">las </w:t>
      </w:r>
      <w:r w:rsidR="007F752C" w:rsidRPr="00FA506F">
        <w:rPr>
          <w:lang w:val="es-ES"/>
        </w:rPr>
        <w:t xml:space="preserve">organizaciones </w:t>
      </w:r>
      <w:r w:rsidR="005D2DDE" w:rsidRPr="00FA506F">
        <w:rPr>
          <w:lang w:val="es-ES"/>
        </w:rPr>
        <w:t xml:space="preserve">expresaron </w:t>
      </w:r>
      <w:r w:rsidR="007F752C" w:rsidRPr="00FA506F">
        <w:rPr>
          <w:lang w:val="es-ES"/>
        </w:rPr>
        <w:t>que sería una constante en los servidores públicos desde los ministerios públicos hasta los peritos</w:t>
      </w:r>
      <w:r w:rsidR="007F752C" w:rsidRPr="00FA506F">
        <w:rPr>
          <w:rStyle w:val="FootnoteReference"/>
          <w:lang w:val="es-ES"/>
        </w:rPr>
        <w:footnoteReference w:id="59"/>
      </w:r>
      <w:r w:rsidR="007F752C" w:rsidRPr="00FA506F">
        <w:rPr>
          <w:lang w:val="es-ES"/>
        </w:rPr>
        <w:t xml:space="preserve">. </w:t>
      </w:r>
      <w:r w:rsidR="008C2DA5" w:rsidRPr="00FA506F">
        <w:rPr>
          <w:lang w:val="es-ES"/>
        </w:rPr>
        <w:t>Las</w:t>
      </w:r>
      <w:r w:rsidR="00920F13" w:rsidRPr="00FA506F">
        <w:rPr>
          <w:lang w:val="es-ES"/>
        </w:rPr>
        <w:t xml:space="preserve"> organizaciones </w:t>
      </w:r>
      <w:r w:rsidR="005D2DDE" w:rsidRPr="00FA506F">
        <w:rPr>
          <w:lang w:val="es-ES"/>
        </w:rPr>
        <w:t xml:space="preserve">mencionaron </w:t>
      </w:r>
      <w:r w:rsidR="00920F13" w:rsidRPr="00FA506F">
        <w:rPr>
          <w:lang w:val="es-ES"/>
        </w:rPr>
        <w:t>que persistiría una fragmentación en los procesos de búsqueda e investigación que afectaría la obtención de resultados en materia de búsqueda inmediata</w:t>
      </w:r>
      <w:r w:rsidR="00920F13" w:rsidRPr="00FA506F">
        <w:rPr>
          <w:rStyle w:val="FootnoteReference"/>
          <w:lang w:val="es-ES"/>
        </w:rPr>
        <w:footnoteReference w:id="60"/>
      </w:r>
      <w:r w:rsidR="00920F13" w:rsidRPr="00FA506F">
        <w:rPr>
          <w:lang w:val="es-ES"/>
        </w:rPr>
        <w:t>.</w:t>
      </w:r>
    </w:p>
    <w:p w14:paraId="6F79DDD6" w14:textId="2B43D910" w:rsidR="007962A3" w:rsidRPr="00FA506F" w:rsidRDefault="00F22721" w:rsidP="007B0BAA">
      <w:pPr>
        <w:pStyle w:val="IAPrrafo"/>
        <w:numPr>
          <w:ilvl w:val="0"/>
          <w:numId w:val="4"/>
        </w:numPr>
        <w:tabs>
          <w:tab w:val="num" w:pos="720"/>
        </w:tabs>
        <w:ind w:firstLine="720"/>
        <w:rPr>
          <w:lang w:val="es-ES"/>
        </w:rPr>
      </w:pPr>
      <w:r w:rsidRPr="00FA506F">
        <w:rPr>
          <w:lang w:val="es-ES"/>
        </w:rPr>
        <w:t>Por otra parte, organizaciones indicaron que la F</w:t>
      </w:r>
      <w:r w:rsidR="00170408" w:rsidRPr="00FA506F">
        <w:rPr>
          <w:lang w:val="es-ES"/>
        </w:rPr>
        <w:t>iscalía General</w:t>
      </w:r>
      <w:r w:rsidR="009112C5" w:rsidRPr="00FA506F">
        <w:rPr>
          <w:lang w:val="es-ES"/>
        </w:rPr>
        <w:t xml:space="preserve"> de la </w:t>
      </w:r>
      <w:r w:rsidRPr="00FA506F" w:rsidDel="00170408">
        <w:rPr>
          <w:lang w:val="es-ES"/>
        </w:rPr>
        <w:t>R</w:t>
      </w:r>
      <w:r w:rsidR="009112C5" w:rsidRPr="00FA506F">
        <w:rPr>
          <w:lang w:val="es-ES"/>
        </w:rPr>
        <w:t>epública</w:t>
      </w:r>
      <w:r w:rsidRPr="00FA506F">
        <w:rPr>
          <w:lang w:val="es-ES"/>
        </w:rPr>
        <w:t xml:space="preserve"> y las fiscalías estatales continuarían sin implementar el P</w:t>
      </w:r>
      <w:r w:rsidR="00170408" w:rsidRPr="00FA506F">
        <w:rPr>
          <w:lang w:val="es-ES"/>
        </w:rPr>
        <w:t>rotocolo Homologado de Búsqueda</w:t>
      </w:r>
      <w:r w:rsidRPr="00FA506F">
        <w:rPr>
          <w:lang w:val="es-ES"/>
        </w:rPr>
        <w:t xml:space="preserve">. </w:t>
      </w:r>
      <w:r w:rsidR="00454AE0" w:rsidRPr="00FA506F">
        <w:rPr>
          <w:lang w:val="es-ES"/>
        </w:rPr>
        <w:t>En ese sentido, informaron que,</w:t>
      </w:r>
      <w:r w:rsidRPr="00FA506F">
        <w:rPr>
          <w:lang w:val="es-ES"/>
        </w:rPr>
        <w:t xml:space="preserve"> en la segunda sesión del S</w:t>
      </w:r>
      <w:r w:rsidR="009112C5" w:rsidRPr="00FA506F">
        <w:rPr>
          <w:lang w:val="es-ES"/>
        </w:rPr>
        <w:t xml:space="preserve">istema </w:t>
      </w:r>
      <w:r w:rsidRPr="00FA506F">
        <w:rPr>
          <w:lang w:val="es-ES"/>
        </w:rPr>
        <w:t>N</w:t>
      </w:r>
      <w:r w:rsidR="009112C5" w:rsidRPr="00FA506F">
        <w:rPr>
          <w:lang w:val="es-ES"/>
        </w:rPr>
        <w:t xml:space="preserve">acional de </w:t>
      </w:r>
      <w:r w:rsidRPr="00FA506F">
        <w:rPr>
          <w:lang w:val="es-ES"/>
        </w:rPr>
        <w:t>B</w:t>
      </w:r>
      <w:r w:rsidR="009112C5" w:rsidRPr="00FA506F">
        <w:rPr>
          <w:lang w:val="es-ES"/>
        </w:rPr>
        <w:t>úsqueda</w:t>
      </w:r>
      <w:r w:rsidRPr="00FA506F">
        <w:rPr>
          <w:lang w:val="es-ES"/>
        </w:rPr>
        <w:t xml:space="preserve"> del 2024 se abordó la integración de la </w:t>
      </w:r>
      <w:r w:rsidR="007D3218" w:rsidRPr="00FA506F">
        <w:rPr>
          <w:lang w:val="es-ES"/>
        </w:rPr>
        <w:t>c</w:t>
      </w:r>
      <w:r w:rsidRPr="00FA506F">
        <w:rPr>
          <w:lang w:val="es-ES"/>
        </w:rPr>
        <w:t>omisión, implementación, monitoreo, evaluación y actualización de</w:t>
      </w:r>
      <w:r w:rsidR="007D3218" w:rsidRPr="00FA506F">
        <w:rPr>
          <w:lang w:val="es-ES"/>
        </w:rPr>
        <w:t xml:space="preserve"> este</w:t>
      </w:r>
      <w:r w:rsidRPr="00FA506F">
        <w:rPr>
          <w:lang w:val="es-ES"/>
        </w:rPr>
        <w:t xml:space="preserve"> </w:t>
      </w:r>
      <w:r w:rsidR="009112C5" w:rsidRPr="00FA506F">
        <w:rPr>
          <w:lang w:val="es-ES"/>
        </w:rPr>
        <w:t>Protocolo</w:t>
      </w:r>
      <w:r w:rsidR="007D3218" w:rsidRPr="00FA506F">
        <w:rPr>
          <w:lang w:val="es-ES"/>
        </w:rPr>
        <w:t>,</w:t>
      </w:r>
      <w:r w:rsidRPr="00FA506F">
        <w:rPr>
          <w:lang w:val="es-ES"/>
        </w:rPr>
        <w:t xml:space="preserve"> prevista</w:t>
      </w:r>
      <w:r w:rsidR="00A708F2" w:rsidRPr="00FA506F">
        <w:rPr>
          <w:lang w:val="es-ES"/>
        </w:rPr>
        <w:t>s</w:t>
      </w:r>
      <w:r w:rsidRPr="00FA506F">
        <w:rPr>
          <w:lang w:val="es-ES"/>
        </w:rPr>
        <w:t xml:space="preserve"> en el apartado 9.1 del </w:t>
      </w:r>
      <w:r w:rsidR="005D2DDE" w:rsidRPr="00FA506F">
        <w:rPr>
          <w:lang w:val="es-ES"/>
        </w:rPr>
        <w:t>instrumento</w:t>
      </w:r>
      <w:r w:rsidR="00A708F2" w:rsidRPr="00FA506F">
        <w:rPr>
          <w:lang w:val="es-ES"/>
        </w:rPr>
        <w:t>; y que</w:t>
      </w:r>
      <w:r w:rsidR="009112C5" w:rsidRPr="00FA506F">
        <w:rPr>
          <w:lang w:val="es-ES"/>
        </w:rPr>
        <w:t xml:space="preserve"> se habría informado que</w:t>
      </w:r>
      <w:r w:rsidRPr="00FA506F">
        <w:rPr>
          <w:lang w:val="es-ES"/>
        </w:rPr>
        <w:t xml:space="preserve"> las fiscalías estatales no implementarían el P</w:t>
      </w:r>
      <w:r w:rsidR="009112C5" w:rsidRPr="00FA506F">
        <w:rPr>
          <w:lang w:val="es-ES"/>
        </w:rPr>
        <w:t xml:space="preserve">rotocolo Homologado de Búsqueda y que aplicarían, en su lugar, </w:t>
      </w:r>
      <w:r w:rsidRPr="00FA506F">
        <w:rPr>
          <w:lang w:val="es-ES"/>
        </w:rPr>
        <w:t>el protocolo de investigación</w:t>
      </w:r>
      <w:r w:rsidRPr="00FA506F">
        <w:rPr>
          <w:rStyle w:val="FootnoteReference"/>
          <w:lang w:val="es-ES"/>
        </w:rPr>
        <w:footnoteReference w:id="61"/>
      </w:r>
      <w:r w:rsidR="00A708F2" w:rsidRPr="00FA506F">
        <w:rPr>
          <w:lang w:val="es-ES"/>
        </w:rPr>
        <w:t xml:space="preserve">. </w:t>
      </w:r>
      <w:r w:rsidR="009434B8" w:rsidRPr="00FA506F">
        <w:rPr>
          <w:lang w:val="es-ES"/>
        </w:rPr>
        <w:t>Además,</w:t>
      </w:r>
      <w:r w:rsidR="00A708F2" w:rsidRPr="00FA506F">
        <w:rPr>
          <w:lang w:val="es-ES"/>
        </w:rPr>
        <w:t xml:space="preserve"> resaltaron que</w:t>
      </w:r>
      <w:r w:rsidR="009112C5" w:rsidRPr="00FA506F">
        <w:rPr>
          <w:lang w:val="es-ES"/>
        </w:rPr>
        <w:t xml:space="preserve"> la representación de la FGR votó en contra del Protocolo Homologado de Búsqueda</w:t>
      </w:r>
      <w:r w:rsidRPr="00FA506F">
        <w:rPr>
          <w:rStyle w:val="FootnoteReference"/>
          <w:lang w:val="es-ES"/>
        </w:rPr>
        <w:footnoteReference w:id="62"/>
      </w:r>
      <w:r w:rsidR="007962A3" w:rsidRPr="00FA506F">
        <w:rPr>
          <w:lang w:val="es-ES"/>
        </w:rPr>
        <w:t>.</w:t>
      </w:r>
    </w:p>
    <w:p w14:paraId="1BA0F88E" w14:textId="22116429" w:rsidR="00F55FC1" w:rsidRPr="00FA506F" w:rsidRDefault="00F55FC1" w:rsidP="007B0BAA">
      <w:pPr>
        <w:pStyle w:val="IAPrrafo"/>
        <w:ind w:left="360" w:firstLine="360"/>
        <w:rPr>
          <w:rFonts w:eastAsia="Cambria" w:cs="Cambria"/>
          <w:i/>
          <w:iCs/>
          <w:color w:val="000000" w:themeColor="text1"/>
          <w:szCs w:val="20"/>
          <w:lang w:val="es-ES"/>
        </w:rPr>
      </w:pPr>
      <w:r w:rsidRPr="00FA506F">
        <w:rPr>
          <w:rFonts w:eastAsia="Cambria" w:cs="Cambria"/>
          <w:i/>
          <w:iCs/>
          <w:color w:val="000000" w:themeColor="text1"/>
          <w:szCs w:val="20"/>
          <w:lang w:val="es-ES"/>
        </w:rPr>
        <w:t>Análisis y nivel de cumplimiento de la recomendación</w:t>
      </w:r>
    </w:p>
    <w:p w14:paraId="14011B26" w14:textId="7235B0CF" w:rsidR="00D3133B" w:rsidRPr="00FA506F" w:rsidRDefault="00FB146B" w:rsidP="00B80A67">
      <w:pPr>
        <w:pStyle w:val="IAPrrafo"/>
        <w:numPr>
          <w:ilvl w:val="0"/>
          <w:numId w:val="4"/>
        </w:numPr>
        <w:tabs>
          <w:tab w:val="num" w:pos="720"/>
        </w:tabs>
        <w:ind w:firstLine="720"/>
        <w:rPr>
          <w:lang w:val="es-ES"/>
        </w:rPr>
      </w:pPr>
      <w:r w:rsidRPr="00FA506F">
        <w:rPr>
          <w:lang w:val="es-ES"/>
        </w:rPr>
        <w:t xml:space="preserve">La Comisión </w:t>
      </w:r>
      <w:r w:rsidR="00220DD1" w:rsidRPr="00FA506F">
        <w:rPr>
          <w:lang w:val="es-ES"/>
        </w:rPr>
        <w:t xml:space="preserve">analiza el </w:t>
      </w:r>
      <w:r w:rsidRPr="00FA506F">
        <w:rPr>
          <w:lang w:val="es-ES"/>
        </w:rPr>
        <w:t xml:space="preserve">cumplimiento de esta recomendación </w:t>
      </w:r>
      <w:r w:rsidR="00220DD1" w:rsidRPr="00FA506F">
        <w:rPr>
          <w:lang w:val="es-ES"/>
        </w:rPr>
        <w:t xml:space="preserve">en articulación </w:t>
      </w:r>
      <w:r w:rsidR="009C545D" w:rsidRPr="00FA506F">
        <w:rPr>
          <w:lang w:val="es-ES"/>
        </w:rPr>
        <w:t>con</w:t>
      </w:r>
      <w:r w:rsidRPr="00FA506F">
        <w:rPr>
          <w:lang w:val="es-ES"/>
        </w:rPr>
        <w:t xml:space="preserve"> la recomendación anterior</w:t>
      </w:r>
      <w:r w:rsidR="009C545D" w:rsidRPr="00FA506F">
        <w:rPr>
          <w:lang w:val="es-ES"/>
        </w:rPr>
        <w:t>;</w:t>
      </w:r>
      <w:r w:rsidRPr="00FA506F">
        <w:rPr>
          <w:lang w:val="es-ES"/>
        </w:rPr>
        <w:t xml:space="preserve"> en e</w:t>
      </w:r>
      <w:r w:rsidR="005F0D1F" w:rsidRPr="00FA506F">
        <w:rPr>
          <w:lang w:val="es-ES"/>
        </w:rPr>
        <w:t>l</w:t>
      </w:r>
      <w:r w:rsidRPr="00FA506F">
        <w:rPr>
          <w:lang w:val="es-ES"/>
        </w:rPr>
        <w:t xml:space="preserve"> sentido</w:t>
      </w:r>
      <w:r w:rsidR="005F0D1F" w:rsidRPr="00FA506F">
        <w:rPr>
          <w:lang w:val="es-ES"/>
        </w:rPr>
        <w:t xml:space="preserve"> de </w:t>
      </w:r>
      <w:r w:rsidR="009434B8" w:rsidRPr="00FA506F">
        <w:rPr>
          <w:lang w:val="es-ES"/>
        </w:rPr>
        <w:t>que,</w:t>
      </w:r>
      <w:r w:rsidRPr="00FA506F">
        <w:rPr>
          <w:lang w:val="es-ES"/>
        </w:rPr>
        <w:t xml:space="preserve"> si bien el P</w:t>
      </w:r>
      <w:r w:rsidR="009C545D" w:rsidRPr="00FA506F">
        <w:rPr>
          <w:lang w:val="es-ES"/>
        </w:rPr>
        <w:t xml:space="preserve">rotocolo Homologado </w:t>
      </w:r>
      <w:r w:rsidR="00491FA1" w:rsidRPr="00FA506F">
        <w:rPr>
          <w:lang w:val="es-ES"/>
        </w:rPr>
        <w:t>de</w:t>
      </w:r>
      <w:r w:rsidR="009C545D" w:rsidRPr="00FA506F">
        <w:rPr>
          <w:lang w:val="es-ES"/>
        </w:rPr>
        <w:t xml:space="preserve"> Búsqueda </w:t>
      </w:r>
      <w:r w:rsidRPr="00FA506F">
        <w:rPr>
          <w:lang w:val="es-ES"/>
        </w:rPr>
        <w:t xml:space="preserve">representa un avance, la </w:t>
      </w:r>
      <w:r w:rsidR="00290A05" w:rsidRPr="00FA506F">
        <w:rPr>
          <w:lang w:val="es-ES"/>
        </w:rPr>
        <w:t>Ley General de Desaparición</w:t>
      </w:r>
      <w:r w:rsidRPr="00FA506F">
        <w:rPr>
          <w:lang w:val="es-ES"/>
        </w:rPr>
        <w:t xml:space="preserve"> prevé la necesidad de que estas búsquedas se realicen en cumplimiento de los principios de debida diligencia</w:t>
      </w:r>
      <w:r w:rsidRPr="00FA506F">
        <w:rPr>
          <w:rFonts w:cs="Arial"/>
          <w:sz w:val="19"/>
          <w:szCs w:val="19"/>
          <w:lang w:val="es-ES"/>
        </w:rPr>
        <w:t xml:space="preserve"> </w:t>
      </w:r>
      <w:r w:rsidR="005F0D1F" w:rsidRPr="00FA506F">
        <w:rPr>
          <w:rFonts w:cs="Arial"/>
          <w:sz w:val="19"/>
          <w:szCs w:val="19"/>
          <w:lang w:val="es-ES"/>
        </w:rPr>
        <w:t xml:space="preserve">con </w:t>
      </w:r>
      <w:r w:rsidRPr="00FA506F">
        <w:rPr>
          <w:lang w:val="es-ES"/>
        </w:rPr>
        <w:t>enfoque diferencial y especializado, participación conjunta, entre otros</w:t>
      </w:r>
      <w:r w:rsidR="005F0D1F" w:rsidRPr="00FA506F">
        <w:rPr>
          <w:lang w:val="es-ES"/>
        </w:rPr>
        <w:t>.</w:t>
      </w:r>
      <w:r w:rsidRPr="00FA506F">
        <w:rPr>
          <w:lang w:val="es-ES"/>
        </w:rPr>
        <w:t xml:space="preserve"> </w:t>
      </w:r>
      <w:r w:rsidR="005F0D1F" w:rsidRPr="00FA506F">
        <w:rPr>
          <w:lang w:val="es-ES"/>
        </w:rPr>
        <w:t>N</w:t>
      </w:r>
      <w:r w:rsidRPr="00FA506F">
        <w:rPr>
          <w:lang w:val="es-ES"/>
        </w:rPr>
        <w:t>o obstante,</w:t>
      </w:r>
      <w:r w:rsidRPr="00FA506F">
        <w:rPr>
          <w:b/>
          <w:bCs/>
          <w:lang w:val="es-ES"/>
        </w:rPr>
        <w:t xml:space="preserve"> </w:t>
      </w:r>
      <w:r w:rsidR="00D3133B" w:rsidRPr="00FA506F">
        <w:rPr>
          <w:lang w:val="es-ES"/>
        </w:rPr>
        <w:t xml:space="preserve">la información reportada daría cuenta de la persistencia </w:t>
      </w:r>
      <w:r w:rsidR="00CE3281" w:rsidRPr="00FA506F">
        <w:rPr>
          <w:lang w:val="es-ES"/>
        </w:rPr>
        <w:t xml:space="preserve">de </w:t>
      </w:r>
      <w:r w:rsidR="00D3133B" w:rsidRPr="00FA506F">
        <w:rPr>
          <w:lang w:val="es-ES"/>
        </w:rPr>
        <w:t xml:space="preserve">la falta de coordinación entre autoridades, así como </w:t>
      </w:r>
      <w:r w:rsidR="00CE3281" w:rsidRPr="00FA506F">
        <w:rPr>
          <w:lang w:val="es-ES"/>
        </w:rPr>
        <w:t>d</w:t>
      </w:r>
      <w:r w:rsidR="00D3133B" w:rsidRPr="00FA506F">
        <w:rPr>
          <w:lang w:val="es-ES"/>
        </w:rPr>
        <w:t xml:space="preserve">el descontento </w:t>
      </w:r>
      <w:r w:rsidRPr="00FA506F">
        <w:rPr>
          <w:rFonts w:cs="Helvetica"/>
          <w:szCs w:val="20"/>
          <w:lang w:val="es-ES"/>
        </w:rPr>
        <w:t xml:space="preserve">e inconformidad por parte de sociedad civil derivada de </w:t>
      </w:r>
      <w:r w:rsidR="00D3133B" w:rsidRPr="00FA506F">
        <w:rPr>
          <w:rFonts w:cs="Helvetica"/>
          <w:szCs w:val="20"/>
          <w:lang w:val="es-ES"/>
        </w:rPr>
        <w:t xml:space="preserve">dicha falta </w:t>
      </w:r>
      <w:r w:rsidRPr="00FA506F">
        <w:rPr>
          <w:rFonts w:cs="Helvetica"/>
          <w:szCs w:val="20"/>
          <w:lang w:val="es-ES"/>
        </w:rPr>
        <w:t>de coordinación y la demora en la implementación de acciones de búsqueda</w:t>
      </w:r>
      <w:r w:rsidR="00D3133B" w:rsidRPr="00FA506F">
        <w:rPr>
          <w:rFonts w:cs="Helvetica"/>
          <w:szCs w:val="20"/>
          <w:lang w:val="es-ES"/>
        </w:rPr>
        <w:t xml:space="preserve"> </w:t>
      </w:r>
      <w:r w:rsidRPr="00FA506F">
        <w:rPr>
          <w:rFonts w:cs="Helvetica"/>
          <w:szCs w:val="20"/>
          <w:lang w:val="es-ES"/>
        </w:rPr>
        <w:t xml:space="preserve">inmediata. </w:t>
      </w:r>
      <w:r w:rsidR="00454AE0" w:rsidRPr="00FA506F">
        <w:rPr>
          <w:rFonts w:cs="Helvetica"/>
          <w:szCs w:val="20"/>
          <w:lang w:val="es-ES"/>
        </w:rPr>
        <w:t>Si</w:t>
      </w:r>
      <w:r w:rsidRPr="00FA506F">
        <w:rPr>
          <w:rFonts w:cs="Helvetica"/>
          <w:szCs w:val="20"/>
          <w:lang w:val="es-ES"/>
        </w:rPr>
        <w:t xml:space="preserve"> bien la Ley General y el PHB han cumplido con el establecimiento de mecanismos de</w:t>
      </w:r>
      <w:r w:rsidR="00D3133B" w:rsidRPr="00FA506F">
        <w:rPr>
          <w:rFonts w:cs="Helvetica"/>
          <w:szCs w:val="20"/>
          <w:lang w:val="es-ES"/>
        </w:rPr>
        <w:t xml:space="preserve"> </w:t>
      </w:r>
      <w:r w:rsidRPr="00FA506F">
        <w:rPr>
          <w:rFonts w:cs="Helvetica"/>
          <w:szCs w:val="20"/>
          <w:lang w:val="es-ES"/>
        </w:rPr>
        <w:t xml:space="preserve">búsqueda inmediata, </w:t>
      </w:r>
      <w:r w:rsidR="00D3133B" w:rsidRPr="00FA506F">
        <w:rPr>
          <w:rFonts w:cs="Helvetica"/>
          <w:szCs w:val="20"/>
          <w:lang w:val="es-ES"/>
        </w:rPr>
        <w:t xml:space="preserve">no se cuenta con información suficiente de que </w:t>
      </w:r>
      <w:r w:rsidRPr="00FA506F">
        <w:rPr>
          <w:rFonts w:cs="Helvetica"/>
          <w:szCs w:val="20"/>
          <w:lang w:val="es-ES"/>
        </w:rPr>
        <w:t xml:space="preserve">estos </w:t>
      </w:r>
      <w:r w:rsidR="00D3133B" w:rsidRPr="00FA506F">
        <w:rPr>
          <w:rFonts w:cs="Helvetica"/>
          <w:szCs w:val="20"/>
          <w:lang w:val="es-ES"/>
        </w:rPr>
        <w:t>sean</w:t>
      </w:r>
      <w:r w:rsidRPr="00FA506F">
        <w:rPr>
          <w:rFonts w:cs="Helvetica"/>
          <w:szCs w:val="20"/>
          <w:lang w:val="es-ES"/>
        </w:rPr>
        <w:t xml:space="preserve"> aplicados en todo el territorio</w:t>
      </w:r>
      <w:r w:rsidR="00BC06C8" w:rsidRPr="00FA506F">
        <w:rPr>
          <w:rFonts w:cs="Helvetica"/>
          <w:szCs w:val="20"/>
          <w:lang w:val="es-ES"/>
        </w:rPr>
        <w:t>. M</w:t>
      </w:r>
      <w:r w:rsidR="009112C5" w:rsidRPr="00FA506F">
        <w:rPr>
          <w:rFonts w:cs="Helvetica"/>
          <w:szCs w:val="20"/>
          <w:lang w:val="es-ES"/>
        </w:rPr>
        <w:t xml:space="preserve">ás </w:t>
      </w:r>
      <w:r w:rsidR="00D3133B" w:rsidRPr="00FA506F">
        <w:rPr>
          <w:rFonts w:cs="Helvetica"/>
          <w:szCs w:val="20"/>
          <w:lang w:val="es-ES"/>
        </w:rPr>
        <w:t>aún</w:t>
      </w:r>
      <w:r w:rsidR="00491FA1" w:rsidRPr="00FA506F">
        <w:rPr>
          <w:rFonts w:cs="Helvetica"/>
          <w:szCs w:val="20"/>
          <w:lang w:val="es-ES"/>
        </w:rPr>
        <w:t>,</w:t>
      </w:r>
      <w:r w:rsidR="00D3133B" w:rsidRPr="00FA506F">
        <w:rPr>
          <w:rFonts w:cs="Helvetica"/>
          <w:szCs w:val="20"/>
          <w:lang w:val="es-ES"/>
        </w:rPr>
        <w:t xml:space="preserve"> el Estado únicamente reporta un </w:t>
      </w:r>
      <w:r w:rsidR="00170408" w:rsidRPr="00FA506F">
        <w:rPr>
          <w:rFonts w:cs="Helvetica"/>
          <w:szCs w:val="20"/>
          <w:lang w:val="es-ES"/>
        </w:rPr>
        <w:t>p</w:t>
      </w:r>
      <w:r w:rsidR="00D3133B" w:rsidRPr="00FA506F">
        <w:rPr>
          <w:rFonts w:cs="Helvetica"/>
          <w:szCs w:val="20"/>
          <w:lang w:val="es-ES"/>
        </w:rPr>
        <w:t xml:space="preserve">lan en la región noreste del país. Por tanto, la CIDH mantiene la recomendación en </w:t>
      </w:r>
      <w:r w:rsidR="00D3133B" w:rsidRPr="00FA506F">
        <w:rPr>
          <w:rFonts w:cs="Helvetica"/>
          <w:b/>
          <w:bCs/>
          <w:szCs w:val="20"/>
          <w:lang w:val="es-ES"/>
        </w:rPr>
        <w:t>cumplimiento parcial sustancial.</w:t>
      </w:r>
    </w:p>
    <w:p w14:paraId="13AB0CE6" w14:textId="77777777" w:rsidR="00F55FC1" w:rsidRPr="00FA506F" w:rsidRDefault="00F55FC1" w:rsidP="007B0BAA">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241A9592"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4C7311B2" w14:textId="43745742" w:rsidR="00C13EC4" w:rsidRPr="00FA506F" w:rsidRDefault="00454AE0" w:rsidP="00B80A67">
      <w:pPr>
        <w:pStyle w:val="IAPrrafo"/>
        <w:numPr>
          <w:ilvl w:val="0"/>
          <w:numId w:val="4"/>
        </w:numPr>
        <w:tabs>
          <w:tab w:val="num" w:pos="720"/>
        </w:tabs>
        <w:ind w:firstLine="720"/>
        <w:rPr>
          <w:lang w:val="es-ES"/>
        </w:rPr>
      </w:pPr>
      <w:r w:rsidRPr="00FA506F">
        <w:rPr>
          <w:lang w:val="es-ES"/>
        </w:rPr>
        <w:t>En relación con e</w:t>
      </w:r>
      <w:r w:rsidR="00C13EC4" w:rsidRPr="00FA506F">
        <w:rPr>
          <w:lang w:val="es-ES"/>
        </w:rPr>
        <w:t xml:space="preserve">l cumplimiento de esta recomendación, la Comisión invita al Estado a continuar con el diseño e implementación de </w:t>
      </w:r>
      <w:r w:rsidR="00170408" w:rsidRPr="00FA506F">
        <w:rPr>
          <w:lang w:val="es-ES"/>
        </w:rPr>
        <w:t>p</w:t>
      </w:r>
      <w:r w:rsidR="00C13EC4" w:rsidRPr="00FA506F">
        <w:rPr>
          <w:lang w:val="es-ES"/>
        </w:rPr>
        <w:t xml:space="preserve">lanes de </w:t>
      </w:r>
      <w:r w:rsidR="00170408" w:rsidRPr="00FA506F">
        <w:rPr>
          <w:lang w:val="es-ES"/>
        </w:rPr>
        <w:t>b</w:t>
      </w:r>
      <w:r w:rsidR="00C13EC4" w:rsidRPr="00FA506F">
        <w:rPr>
          <w:lang w:val="es-ES"/>
        </w:rPr>
        <w:t xml:space="preserve">úsqueda regionales y a garantizar el cumplimiento de las acciones urgentes del Comité contra la Desaparición Forzada de Naciones Unidas, sobre todo por lo que </w:t>
      </w:r>
      <w:r w:rsidR="005F0D1F" w:rsidRPr="00FA506F">
        <w:rPr>
          <w:lang w:val="es-ES"/>
        </w:rPr>
        <w:t>refiere</w:t>
      </w:r>
      <w:r w:rsidR="00C13EC4" w:rsidRPr="00FA506F">
        <w:rPr>
          <w:lang w:val="es-ES"/>
        </w:rPr>
        <w:t xml:space="preserve"> a</w:t>
      </w:r>
      <w:r w:rsidR="007F752C" w:rsidRPr="00FA506F">
        <w:rPr>
          <w:lang w:val="es-ES"/>
        </w:rPr>
        <w:t xml:space="preserve"> la necesidad de elaboración de planes de búsqueda. </w:t>
      </w:r>
      <w:r w:rsidR="008C2DA5" w:rsidRPr="00FA506F">
        <w:rPr>
          <w:lang w:val="es-ES"/>
        </w:rPr>
        <w:t>La</w:t>
      </w:r>
      <w:r w:rsidR="007F752C" w:rsidRPr="00FA506F">
        <w:rPr>
          <w:lang w:val="es-ES"/>
        </w:rPr>
        <w:t xml:space="preserve"> CIDH </w:t>
      </w:r>
      <w:r w:rsidR="00C13EC4" w:rsidRPr="00FA506F">
        <w:rPr>
          <w:lang w:val="es-ES"/>
        </w:rPr>
        <w:t>hace un llamado al Estado a proporcionar información que señale, de manera clara, en qué estados se han implementado mecanismos de</w:t>
      </w:r>
      <w:r w:rsidR="007F752C" w:rsidRPr="00FA506F">
        <w:rPr>
          <w:lang w:val="es-ES"/>
        </w:rPr>
        <w:t xml:space="preserve"> </w:t>
      </w:r>
      <w:r w:rsidR="00C13EC4" w:rsidRPr="00FA506F">
        <w:rPr>
          <w:lang w:val="es-ES"/>
        </w:rPr>
        <w:t xml:space="preserve">búsqueda inmediata, indicando si hay territorios del país en donde todavía es necesaria su adopción. </w:t>
      </w:r>
      <w:r w:rsidR="00170408" w:rsidRPr="00FA506F">
        <w:rPr>
          <w:lang w:val="es-ES"/>
        </w:rPr>
        <w:t>Adicionalmente</w:t>
      </w:r>
      <w:r w:rsidR="00C13EC4" w:rsidRPr="00FA506F">
        <w:rPr>
          <w:lang w:val="es-ES"/>
        </w:rPr>
        <w:t>,</w:t>
      </w:r>
      <w:r w:rsidR="007F752C" w:rsidRPr="00FA506F">
        <w:rPr>
          <w:lang w:val="es-ES"/>
        </w:rPr>
        <w:t xml:space="preserve"> </w:t>
      </w:r>
      <w:r w:rsidR="00C13EC4" w:rsidRPr="00FA506F">
        <w:rPr>
          <w:lang w:val="es-ES"/>
        </w:rPr>
        <w:t>la CIDH invita a las autoridades que participan de los procesos de búsqueda inmediata de personas</w:t>
      </w:r>
      <w:r w:rsidR="007F752C" w:rsidRPr="00FA506F">
        <w:rPr>
          <w:lang w:val="es-ES"/>
        </w:rPr>
        <w:t xml:space="preserve"> </w:t>
      </w:r>
      <w:r w:rsidR="00C13EC4" w:rsidRPr="00FA506F">
        <w:rPr>
          <w:lang w:val="es-ES"/>
        </w:rPr>
        <w:t>desaparecidas para actuar de manera articulada, garantizando que los mecanismos de búsqueda inmediata se</w:t>
      </w:r>
      <w:r w:rsidR="007F752C" w:rsidRPr="00FA506F">
        <w:rPr>
          <w:lang w:val="es-ES"/>
        </w:rPr>
        <w:t xml:space="preserve"> </w:t>
      </w:r>
      <w:r w:rsidR="00C13EC4" w:rsidRPr="00FA506F">
        <w:rPr>
          <w:lang w:val="es-ES"/>
        </w:rPr>
        <w:t xml:space="preserve">realicen de manera efectiva. La CIDH invita al Estado a que impulse la colaboración entre las </w:t>
      </w:r>
      <w:r w:rsidR="00170408" w:rsidRPr="00FA506F">
        <w:rPr>
          <w:lang w:val="es-ES"/>
        </w:rPr>
        <w:t>f</w:t>
      </w:r>
      <w:r w:rsidR="00C13EC4" w:rsidRPr="00FA506F">
        <w:rPr>
          <w:lang w:val="es-ES"/>
        </w:rPr>
        <w:t>iscalías y las</w:t>
      </w:r>
      <w:r w:rsidR="007F752C" w:rsidRPr="00FA506F">
        <w:rPr>
          <w:lang w:val="es-ES"/>
        </w:rPr>
        <w:t xml:space="preserve"> </w:t>
      </w:r>
      <w:r w:rsidR="004B27C9" w:rsidRPr="00FA506F">
        <w:rPr>
          <w:lang w:val="es-ES"/>
        </w:rPr>
        <w:t>c</w:t>
      </w:r>
      <w:r w:rsidR="00C13EC4" w:rsidRPr="00FA506F">
        <w:rPr>
          <w:lang w:val="es-ES"/>
        </w:rPr>
        <w:t xml:space="preserve">omisiones de </w:t>
      </w:r>
      <w:r w:rsidR="004B27C9" w:rsidRPr="00FA506F">
        <w:rPr>
          <w:lang w:val="es-ES"/>
        </w:rPr>
        <w:t>b</w:t>
      </w:r>
      <w:r w:rsidR="00C13EC4" w:rsidRPr="00FA506F">
        <w:rPr>
          <w:lang w:val="es-ES"/>
        </w:rPr>
        <w:t>úsqueda para el despliegue de acciones de búsqueda inmediata. En ese sentido, para avanzar</w:t>
      </w:r>
      <w:r w:rsidR="007F752C" w:rsidRPr="00FA506F">
        <w:rPr>
          <w:lang w:val="es-ES"/>
        </w:rPr>
        <w:t xml:space="preserve"> </w:t>
      </w:r>
      <w:r w:rsidR="00C13EC4" w:rsidRPr="00FA506F">
        <w:rPr>
          <w:lang w:val="es-ES"/>
        </w:rPr>
        <w:t xml:space="preserve">con el cumplimiento </w:t>
      </w:r>
      <w:r w:rsidR="005F0D1F" w:rsidRPr="00FA506F">
        <w:rPr>
          <w:lang w:val="es-ES"/>
        </w:rPr>
        <w:t xml:space="preserve">de la recomendación, </w:t>
      </w:r>
      <w:r w:rsidR="00C13EC4" w:rsidRPr="00FA506F">
        <w:rPr>
          <w:lang w:val="es-ES"/>
        </w:rPr>
        <w:t>el Estado podría informar sobre las medidas adoptadas para fortalecer esta articulación y</w:t>
      </w:r>
      <w:r w:rsidR="007F752C" w:rsidRPr="00FA506F">
        <w:rPr>
          <w:lang w:val="es-ES"/>
        </w:rPr>
        <w:t xml:space="preserve"> </w:t>
      </w:r>
      <w:r w:rsidR="00C13EC4" w:rsidRPr="00FA506F">
        <w:rPr>
          <w:lang w:val="es-ES"/>
        </w:rPr>
        <w:t>para garantizar que los mecanismos de búsqueda inmediata establecidos en el PHB se apliquen sin demora en</w:t>
      </w:r>
      <w:r w:rsidR="007F752C" w:rsidRPr="00FA506F">
        <w:rPr>
          <w:lang w:val="es-ES"/>
        </w:rPr>
        <w:t xml:space="preserve"> </w:t>
      </w:r>
      <w:r w:rsidR="00C13EC4" w:rsidRPr="00FA506F">
        <w:rPr>
          <w:lang w:val="es-ES"/>
        </w:rPr>
        <w:t>todo el territorio nacional.</w:t>
      </w:r>
    </w:p>
    <w:p w14:paraId="3CADB8F2" w14:textId="4B13C446" w:rsidR="00F55FC1" w:rsidRPr="00FA506F" w:rsidRDefault="00F55FC1"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11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Mejorar el Registro Nacional de Personas Desaparecidas como un registro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único</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de desapariciones y que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además</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permita registrar a una persona como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víctima</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de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desaparición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forzada. Una base de datos debe contar con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información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personal de las personas desaparecidas, la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información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personal que sea necesaria, principalmente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genética</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y muestras celulares, de los familiares de las personas desaparecidas con su consentimiento, y la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información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genética</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y muestras celulares provenientes de los cuerpos de cualquier persona no identificada que fuera privada de la vida. Dicha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información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personal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deber</w:t>
      </w:r>
      <w:r w:rsidR="007C0BCC"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á</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ser protegida en el portal del Registro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de acuerdo con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estándares</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internacionales sobre acceso a la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información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w:t>
      </w:r>
    </w:p>
    <w:p w14:paraId="72038B55" w14:textId="77777777" w:rsidR="00F55FC1" w:rsidRPr="00FA506F" w:rsidRDefault="00F55FC1" w:rsidP="00B80A67">
      <w:pPr>
        <w:jc w:val="both"/>
        <w:rPr>
          <w:rFonts w:ascii="Cambria" w:eastAsia="Cambria" w:hAnsi="Cambria" w:cs="Cambria"/>
          <w:i/>
          <w:iCs/>
          <w:color w:val="000000" w:themeColor="text1"/>
          <w:sz w:val="20"/>
          <w:szCs w:val="20"/>
          <w:lang w:val="es-ES"/>
        </w:rPr>
      </w:pPr>
    </w:p>
    <w:p w14:paraId="57ACA03F" w14:textId="54130EE2" w:rsidR="00884F9C" w:rsidRPr="00FA506F" w:rsidRDefault="00F55FC1" w:rsidP="00B80A67">
      <w:pPr>
        <w:pStyle w:val="IAPrrafo"/>
        <w:numPr>
          <w:ilvl w:val="0"/>
          <w:numId w:val="4"/>
        </w:numPr>
        <w:tabs>
          <w:tab w:val="num" w:pos="720"/>
        </w:tabs>
        <w:ind w:firstLine="720"/>
        <w:rPr>
          <w:lang w:val="es-ES"/>
        </w:rPr>
      </w:pPr>
      <w:r w:rsidRPr="00FA506F">
        <w:rPr>
          <w:lang w:val="es-ES"/>
        </w:rPr>
        <w:t>En el Capítulo V del Informe Anual de 202</w:t>
      </w:r>
      <w:r w:rsidR="0D402C45" w:rsidRPr="00FA506F">
        <w:rPr>
          <w:lang w:val="es-ES"/>
        </w:rPr>
        <w:t>3</w:t>
      </w:r>
      <w:r w:rsidRPr="00FA506F">
        <w:rPr>
          <w:lang w:val="es-ES"/>
        </w:rPr>
        <w:t>, la CIDH conoció</w:t>
      </w:r>
      <w:r w:rsidR="758DDDDE" w:rsidRPr="00FA506F">
        <w:rPr>
          <w:lang w:val="es-ES"/>
        </w:rPr>
        <w:t xml:space="preserve"> la operación de varios registros clave, como el RENAPEFA y el REFOFE, para la identificación de personas fallecidas y desaparecidas. Sin embargo, organizaciones civiles recalcaron que la creación y funcionamiento del Banco Nacional de Datos Forenses (</w:t>
      </w:r>
      <w:r w:rsidR="00EF511E" w:rsidRPr="00FA506F">
        <w:rPr>
          <w:lang w:val="es-ES"/>
        </w:rPr>
        <w:t>en adelante, “</w:t>
      </w:r>
      <w:r w:rsidR="758DDDDE" w:rsidRPr="00FA506F">
        <w:rPr>
          <w:lang w:val="es-ES"/>
        </w:rPr>
        <w:t>BNDF</w:t>
      </w:r>
      <w:r w:rsidR="00EF511E" w:rsidRPr="00FA506F">
        <w:rPr>
          <w:lang w:val="es-ES"/>
        </w:rPr>
        <w:t>”</w:t>
      </w:r>
      <w:r w:rsidR="758DDDDE" w:rsidRPr="00FA506F">
        <w:rPr>
          <w:lang w:val="es-ES"/>
        </w:rPr>
        <w:t>) y otros registros asociados aún están pendientes, con problemas de interconexión y transparencia</w:t>
      </w:r>
      <w:r w:rsidR="00EF511E" w:rsidRPr="00FA506F">
        <w:rPr>
          <w:lang w:val="es-ES"/>
        </w:rPr>
        <w:t>,</w:t>
      </w:r>
      <w:r w:rsidR="005076DB" w:rsidRPr="00FA506F">
        <w:rPr>
          <w:lang w:val="es-ES"/>
        </w:rPr>
        <w:t xml:space="preserve"> y</w:t>
      </w:r>
      <w:r w:rsidR="758DDDDE" w:rsidRPr="00FA506F">
        <w:rPr>
          <w:lang w:val="es-ES"/>
        </w:rPr>
        <w:t xml:space="preserve"> criticaron un censo anunciado en julio de 2023 por su falta de consulta con la </w:t>
      </w:r>
      <w:r w:rsidR="000061F4" w:rsidRPr="00FA506F">
        <w:rPr>
          <w:lang w:val="es-ES"/>
        </w:rPr>
        <w:t xml:space="preserve">CNB </w:t>
      </w:r>
      <w:r w:rsidR="758DDDDE" w:rsidRPr="00FA506F">
        <w:rPr>
          <w:lang w:val="es-ES"/>
        </w:rPr>
        <w:t xml:space="preserve">y </w:t>
      </w:r>
      <w:r w:rsidR="00FB146B" w:rsidRPr="00FA506F">
        <w:rPr>
          <w:lang w:val="es-ES"/>
        </w:rPr>
        <w:t>la potencial revictimización</w:t>
      </w:r>
      <w:r w:rsidR="758DDDDE" w:rsidRPr="00FA506F">
        <w:rPr>
          <w:lang w:val="es-ES"/>
        </w:rPr>
        <w:t xml:space="preserve"> de familiares de desaparecidos. La CIDH observó que, a pesar de los avances, </w:t>
      </w:r>
      <w:r w:rsidR="00F52D74" w:rsidRPr="00FA506F">
        <w:rPr>
          <w:lang w:val="es-ES"/>
        </w:rPr>
        <w:t>persist</w:t>
      </w:r>
      <w:r w:rsidR="00AE5BCE" w:rsidRPr="00FA506F">
        <w:rPr>
          <w:lang w:val="es-ES"/>
        </w:rPr>
        <w:t>ían</w:t>
      </w:r>
      <w:r w:rsidR="758DDDDE" w:rsidRPr="00FA506F">
        <w:rPr>
          <w:lang w:val="es-ES"/>
        </w:rPr>
        <w:t xml:space="preserve"> desafíos significativos en la implementación y coordinación de estos mecanismos, manteniendo la recomendación en cumplimiento parcial. Se instó al Estado a garantizar la efectividad y transparencia de los registros y a informar sobre el proceso de actualización del Registro Nacional de Personas Desaparecidas</w:t>
      </w:r>
      <w:r w:rsidR="00A553D9" w:rsidRPr="00FA506F">
        <w:rPr>
          <w:lang w:val="es-ES"/>
        </w:rPr>
        <w:t xml:space="preserve"> </w:t>
      </w:r>
      <w:r w:rsidR="008538AC" w:rsidRPr="00FA506F">
        <w:rPr>
          <w:lang w:val="es-ES"/>
        </w:rPr>
        <w:t>y no localizadas (RNPDNO</w:t>
      </w:r>
      <w:r w:rsidR="00F52D74" w:rsidRPr="00FA506F">
        <w:rPr>
          <w:lang w:val="es-ES"/>
        </w:rPr>
        <w:t>)</w:t>
      </w:r>
      <w:r w:rsidRPr="00FA506F">
        <w:rPr>
          <w:rStyle w:val="FootnoteReference"/>
          <w:lang w:val="es-ES"/>
        </w:rPr>
        <w:footnoteReference w:id="63"/>
      </w:r>
      <w:r w:rsidRPr="00FA506F">
        <w:rPr>
          <w:lang w:val="es-ES"/>
        </w:rPr>
        <w:t>.</w:t>
      </w:r>
    </w:p>
    <w:p w14:paraId="693D9516" w14:textId="1DC45A5B" w:rsidR="00780614" w:rsidRPr="00FA506F" w:rsidRDefault="00780614" w:rsidP="00060A58">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5A0D2AAE" w14:textId="77777777" w:rsidR="00780614" w:rsidRPr="00FA506F" w:rsidRDefault="00780614" w:rsidP="00B80A67">
      <w:pPr>
        <w:ind w:firstLine="360"/>
        <w:jc w:val="both"/>
        <w:rPr>
          <w:rFonts w:ascii="Cambria" w:eastAsia="Cambria" w:hAnsi="Cambria" w:cs="Cambria"/>
          <w:i/>
          <w:iCs/>
          <w:color w:val="000000" w:themeColor="text1"/>
          <w:sz w:val="20"/>
          <w:szCs w:val="20"/>
          <w:lang w:val="es-ES"/>
        </w:rPr>
      </w:pPr>
    </w:p>
    <w:p w14:paraId="45FB1959" w14:textId="77777777" w:rsidR="005B7446" w:rsidRPr="00616692" w:rsidRDefault="007F752C" w:rsidP="00060A58">
      <w:pPr>
        <w:pStyle w:val="IAPrrafo"/>
        <w:numPr>
          <w:ilvl w:val="0"/>
          <w:numId w:val="4"/>
        </w:numPr>
        <w:tabs>
          <w:tab w:val="num" w:pos="720"/>
        </w:tabs>
        <w:ind w:firstLine="720"/>
        <w:rPr>
          <w:rFonts w:eastAsia="Cambria" w:cs="Cambria"/>
          <w:i/>
          <w:iCs/>
          <w:color w:val="000000" w:themeColor="text1"/>
          <w:szCs w:val="20"/>
          <w:lang w:val="es-ES"/>
        </w:rPr>
      </w:pPr>
      <w:r w:rsidRPr="00FA506F">
        <w:rPr>
          <w:lang w:val="es-ES"/>
        </w:rPr>
        <w:t xml:space="preserve">En 2024, el Estado refirió que la CNB habría </w:t>
      </w:r>
      <w:r w:rsidR="00391C23" w:rsidRPr="00FA506F">
        <w:rPr>
          <w:lang w:val="es-ES"/>
        </w:rPr>
        <w:t>casi cuadruplicado sus acciones de búsqueda en comparación con los años previos.</w:t>
      </w:r>
      <w:r w:rsidR="00E966B1" w:rsidRPr="00FA506F">
        <w:rPr>
          <w:lang w:val="es-ES"/>
        </w:rPr>
        <w:t xml:space="preserve"> </w:t>
      </w:r>
      <w:r w:rsidR="007510BD" w:rsidRPr="00FA506F">
        <w:rPr>
          <w:lang w:val="es-ES"/>
        </w:rPr>
        <w:t xml:space="preserve"> </w:t>
      </w:r>
      <w:r w:rsidR="00170408" w:rsidRPr="00FA506F">
        <w:rPr>
          <w:lang w:val="es-ES"/>
        </w:rPr>
        <w:t xml:space="preserve">En cuanto </w:t>
      </w:r>
      <w:r w:rsidRPr="00FA506F">
        <w:rPr>
          <w:lang w:val="es-ES"/>
        </w:rPr>
        <w:t>a l</w:t>
      </w:r>
      <w:r w:rsidR="00391C23" w:rsidRPr="00FA506F">
        <w:rPr>
          <w:lang w:val="es-ES"/>
        </w:rPr>
        <w:t>os principales avances del RNPDNO</w:t>
      </w:r>
      <w:r w:rsidR="00AE5BCE" w:rsidRPr="00FA506F">
        <w:rPr>
          <w:lang w:val="es-ES"/>
        </w:rPr>
        <w:t>, destacó</w:t>
      </w:r>
      <w:r w:rsidRPr="00FA506F">
        <w:rPr>
          <w:lang w:val="es-ES"/>
        </w:rPr>
        <w:t xml:space="preserve"> la i</w:t>
      </w:r>
      <w:r w:rsidR="00391C23" w:rsidRPr="00FA506F">
        <w:rPr>
          <w:lang w:val="es-ES"/>
        </w:rPr>
        <w:t>nteroperabilidad entre instituciones</w:t>
      </w:r>
      <w:r w:rsidRPr="00FA506F">
        <w:rPr>
          <w:lang w:val="es-ES"/>
        </w:rPr>
        <w:t xml:space="preserve"> y la a</w:t>
      </w:r>
      <w:r w:rsidR="00391C23" w:rsidRPr="00FA506F">
        <w:rPr>
          <w:lang w:val="es-ES"/>
        </w:rPr>
        <w:t>ctualización tecnológica y calidad de los dato</w:t>
      </w:r>
      <w:r w:rsidRPr="00FA506F">
        <w:rPr>
          <w:lang w:val="es-ES"/>
        </w:rPr>
        <w:t xml:space="preserve">s. Por otra parte, el Estado remitió información relacionada con la </w:t>
      </w:r>
      <w:r w:rsidR="00391C23" w:rsidRPr="00FA506F">
        <w:rPr>
          <w:lang w:val="es-ES"/>
        </w:rPr>
        <w:t>localización de persona</w:t>
      </w:r>
      <w:r w:rsidRPr="00FA506F">
        <w:rPr>
          <w:lang w:val="es-ES"/>
        </w:rPr>
        <w:t xml:space="preserve">s, </w:t>
      </w:r>
      <w:r w:rsidR="009F7B97" w:rsidRPr="00FA506F">
        <w:rPr>
          <w:lang w:val="es-ES"/>
        </w:rPr>
        <w:t xml:space="preserve">resaltando </w:t>
      </w:r>
      <w:r w:rsidRPr="00FA506F">
        <w:rPr>
          <w:lang w:val="es-ES"/>
        </w:rPr>
        <w:t xml:space="preserve">que, </w:t>
      </w:r>
      <w:r w:rsidR="00391C23" w:rsidRPr="00FA506F">
        <w:rPr>
          <w:lang w:val="es-ES"/>
        </w:rPr>
        <w:t>para el 1 de mayo de 2023, se ha</w:t>
      </w:r>
      <w:r w:rsidRPr="00FA506F">
        <w:rPr>
          <w:lang w:val="es-ES"/>
        </w:rPr>
        <w:t>bría</w:t>
      </w:r>
      <w:r w:rsidR="00391C23" w:rsidRPr="00FA506F">
        <w:rPr>
          <w:lang w:val="es-ES"/>
        </w:rPr>
        <w:t>n consultado más de 895 millones de registros para cruce de información</w:t>
      </w:r>
      <w:r w:rsidR="003B1D55" w:rsidRPr="00FA506F">
        <w:rPr>
          <w:lang w:val="es-ES"/>
        </w:rPr>
        <w:t>;</w:t>
      </w:r>
      <w:r w:rsidR="00391C23" w:rsidRPr="00FA506F">
        <w:rPr>
          <w:lang w:val="es-ES"/>
        </w:rPr>
        <w:t xml:space="preserve"> </w:t>
      </w:r>
      <w:r w:rsidR="003B1D55" w:rsidRPr="00FA506F">
        <w:rPr>
          <w:lang w:val="es-ES"/>
        </w:rPr>
        <w:t>d</w:t>
      </w:r>
      <w:r w:rsidR="00391C23" w:rsidRPr="00FA506F">
        <w:rPr>
          <w:lang w:val="es-ES"/>
        </w:rPr>
        <w:t>e los cuales</w:t>
      </w:r>
      <w:r w:rsidR="003B1D55" w:rsidRPr="00FA506F">
        <w:rPr>
          <w:lang w:val="es-ES"/>
        </w:rPr>
        <w:t>,</w:t>
      </w:r>
      <w:r w:rsidR="00391C23" w:rsidRPr="00FA506F">
        <w:rPr>
          <w:lang w:val="es-ES"/>
        </w:rPr>
        <w:t xml:space="preserve"> 114</w:t>
      </w:r>
      <w:r w:rsidR="00CA47C7" w:rsidRPr="00FA506F">
        <w:rPr>
          <w:lang w:val="es-ES"/>
        </w:rPr>
        <w:t>.</w:t>
      </w:r>
      <w:r w:rsidR="00391C23" w:rsidRPr="00FA506F">
        <w:rPr>
          <w:lang w:val="es-ES"/>
        </w:rPr>
        <w:t>22 millones son del padrón de vacunas COVID; 122</w:t>
      </w:r>
      <w:r w:rsidR="00644632" w:rsidRPr="00FA506F">
        <w:rPr>
          <w:lang w:val="es-ES"/>
        </w:rPr>
        <w:t>,</w:t>
      </w:r>
      <w:r w:rsidR="00391C23" w:rsidRPr="00FA506F">
        <w:rPr>
          <w:lang w:val="es-ES"/>
        </w:rPr>
        <w:t>9 millones del padrón único de beneficiarios (PUB)</w:t>
      </w:r>
      <w:r w:rsidR="003632A5" w:rsidRPr="00FA506F">
        <w:rPr>
          <w:lang w:val="es-ES"/>
        </w:rPr>
        <w:t>;</w:t>
      </w:r>
      <w:r w:rsidR="00391C23" w:rsidRPr="00FA506F">
        <w:rPr>
          <w:lang w:val="es-ES"/>
        </w:rPr>
        <w:t xml:space="preserve"> 18</w:t>
      </w:r>
      <w:r w:rsidR="003B1D55" w:rsidRPr="00FA506F">
        <w:rPr>
          <w:lang w:val="es-ES"/>
        </w:rPr>
        <w:t>,</w:t>
      </w:r>
      <w:r w:rsidR="00391C23" w:rsidRPr="00FA506F">
        <w:rPr>
          <w:lang w:val="es-ES"/>
        </w:rPr>
        <w:t>4 millones de gobiernos estatales</w:t>
      </w:r>
      <w:r w:rsidR="003632A5" w:rsidRPr="00FA506F">
        <w:rPr>
          <w:lang w:val="es-ES"/>
        </w:rPr>
        <w:t>;</w:t>
      </w:r>
      <w:r w:rsidR="00391C23" w:rsidRPr="00FA506F">
        <w:rPr>
          <w:lang w:val="es-ES"/>
        </w:rPr>
        <w:t xml:space="preserve"> 160</w:t>
      </w:r>
      <w:r w:rsidR="00644632" w:rsidRPr="00FA506F">
        <w:rPr>
          <w:lang w:val="es-ES"/>
        </w:rPr>
        <w:t>,</w:t>
      </w:r>
      <w:r w:rsidR="00391C23" w:rsidRPr="00FA506F">
        <w:rPr>
          <w:lang w:val="es-ES"/>
        </w:rPr>
        <w:t>5 millones en Plataforma México de Secretaría de Seguridad Pública y Ciudadana</w:t>
      </w:r>
      <w:r w:rsidR="003632A5" w:rsidRPr="00FA506F">
        <w:rPr>
          <w:lang w:val="es-ES"/>
        </w:rPr>
        <w:t>;</w:t>
      </w:r>
      <w:r w:rsidR="00391C23" w:rsidRPr="00FA506F">
        <w:rPr>
          <w:lang w:val="es-ES"/>
        </w:rPr>
        <w:t xml:space="preserve"> 190 millones en el Registro Nacional de Población (RENAPO)</w:t>
      </w:r>
      <w:r w:rsidR="003632A5" w:rsidRPr="00FA506F">
        <w:rPr>
          <w:lang w:val="es-ES"/>
        </w:rPr>
        <w:t>;</w:t>
      </w:r>
      <w:r w:rsidR="00391C23" w:rsidRPr="00FA506F">
        <w:rPr>
          <w:lang w:val="es-ES"/>
        </w:rPr>
        <w:t xml:space="preserve"> </w:t>
      </w:r>
      <w:r w:rsidR="003632A5" w:rsidRPr="00FA506F">
        <w:rPr>
          <w:lang w:val="es-ES"/>
        </w:rPr>
        <w:t xml:space="preserve">y </w:t>
      </w:r>
      <w:r w:rsidR="00391C23" w:rsidRPr="00FA506F">
        <w:rPr>
          <w:lang w:val="es-ES"/>
        </w:rPr>
        <w:t>280</w:t>
      </w:r>
      <w:r w:rsidR="00644632" w:rsidRPr="00FA506F">
        <w:rPr>
          <w:lang w:val="es-ES"/>
        </w:rPr>
        <w:t>,</w:t>
      </w:r>
      <w:r w:rsidR="00391C23" w:rsidRPr="00FA506F">
        <w:rPr>
          <w:lang w:val="es-ES"/>
        </w:rPr>
        <w:t xml:space="preserve">2 millones en el Instituto Mexicano del Seguro Social (IMSS). </w:t>
      </w:r>
      <w:r w:rsidR="008C2DA5" w:rsidRPr="00FA506F">
        <w:rPr>
          <w:lang w:val="es-ES"/>
        </w:rPr>
        <w:t>El</w:t>
      </w:r>
      <w:r w:rsidRPr="00FA506F">
        <w:rPr>
          <w:lang w:val="es-ES"/>
        </w:rPr>
        <w:t xml:space="preserve"> </w:t>
      </w:r>
      <w:r w:rsidR="009112C5" w:rsidRPr="00FA506F">
        <w:rPr>
          <w:lang w:val="es-ES"/>
        </w:rPr>
        <w:t xml:space="preserve">Estado </w:t>
      </w:r>
      <w:r w:rsidR="009112C5" w:rsidRPr="00FA506F" w:rsidDel="00170408">
        <w:rPr>
          <w:lang w:val="es-ES"/>
        </w:rPr>
        <w:t>precisó</w:t>
      </w:r>
      <w:r w:rsidR="00170408" w:rsidRPr="00FA506F">
        <w:rPr>
          <w:lang w:val="es-ES"/>
        </w:rPr>
        <w:t xml:space="preserve"> </w:t>
      </w:r>
      <w:r w:rsidRPr="00FA506F">
        <w:rPr>
          <w:lang w:val="es-ES"/>
        </w:rPr>
        <w:t>que</w:t>
      </w:r>
      <w:r w:rsidR="00391C23" w:rsidRPr="00FA506F">
        <w:rPr>
          <w:lang w:val="es-ES"/>
        </w:rPr>
        <w:t xml:space="preserve"> la CNB, en colaboración con las </w:t>
      </w:r>
      <w:r w:rsidR="003632A5" w:rsidRPr="00FA506F">
        <w:rPr>
          <w:lang w:val="es-ES"/>
        </w:rPr>
        <w:t>c</w:t>
      </w:r>
      <w:r w:rsidR="00391C23" w:rsidRPr="00FA506F">
        <w:rPr>
          <w:lang w:val="es-ES"/>
        </w:rPr>
        <w:t xml:space="preserve">omisiones </w:t>
      </w:r>
      <w:r w:rsidR="003632A5" w:rsidRPr="00FA506F">
        <w:rPr>
          <w:lang w:val="es-ES"/>
        </w:rPr>
        <w:t>l</w:t>
      </w:r>
      <w:r w:rsidR="00391C23" w:rsidRPr="00FA506F">
        <w:rPr>
          <w:lang w:val="es-ES"/>
        </w:rPr>
        <w:t xml:space="preserve">ocales de </w:t>
      </w:r>
      <w:r w:rsidR="003632A5" w:rsidRPr="00FA506F">
        <w:rPr>
          <w:lang w:val="es-ES"/>
        </w:rPr>
        <w:t>b</w:t>
      </w:r>
      <w:r w:rsidR="00391C23" w:rsidRPr="00FA506F">
        <w:rPr>
          <w:lang w:val="es-ES"/>
        </w:rPr>
        <w:t>úsqueda de</w:t>
      </w:r>
      <w:r w:rsidR="005B28C2" w:rsidRPr="00FA506F">
        <w:rPr>
          <w:lang w:val="es-ES"/>
        </w:rPr>
        <w:t xml:space="preserve"> diversas</w:t>
      </w:r>
      <w:r w:rsidR="00391C23" w:rsidRPr="00FA506F">
        <w:rPr>
          <w:lang w:val="es-ES"/>
        </w:rPr>
        <w:t xml:space="preserve"> entidades federativas (Baja California Sur, Coahuila, Durango, Hidalgo, Michoacán, Morelos, Nayarit, </w:t>
      </w:r>
      <w:r w:rsidR="00391C23" w:rsidRPr="00616692">
        <w:rPr>
          <w:lang w:val="es-ES"/>
        </w:rPr>
        <w:t>Nuevo León, San Luis Potosí, Sinaloa y Sonora), integró el Módulo de Fosas Comunes (MFC)</w:t>
      </w:r>
      <w:r w:rsidR="00745F10" w:rsidRPr="00616692">
        <w:rPr>
          <w:rStyle w:val="FootnoteReference"/>
          <w:lang w:val="es-ES"/>
        </w:rPr>
        <w:footnoteReference w:id="64"/>
      </w:r>
      <w:r w:rsidRPr="00616692">
        <w:rPr>
          <w:lang w:val="es-ES"/>
        </w:rPr>
        <w:t>.</w:t>
      </w:r>
      <w:r w:rsidR="005B7446" w:rsidRPr="00616692">
        <w:rPr>
          <w:lang w:val="es-ES"/>
        </w:rPr>
        <w:t xml:space="preserve"> </w:t>
      </w:r>
    </w:p>
    <w:p w14:paraId="648C4BD0" w14:textId="79C93160" w:rsidR="005B7446" w:rsidRPr="00616692" w:rsidRDefault="005B7446" w:rsidP="00060A58">
      <w:pPr>
        <w:pStyle w:val="IAPrrafo"/>
        <w:numPr>
          <w:ilvl w:val="0"/>
          <w:numId w:val="4"/>
        </w:numPr>
        <w:tabs>
          <w:tab w:val="num" w:pos="720"/>
        </w:tabs>
        <w:ind w:firstLine="720"/>
        <w:rPr>
          <w:rFonts w:eastAsia="Cambria" w:cs="Cambria"/>
          <w:i/>
          <w:iCs/>
          <w:color w:val="000000" w:themeColor="text1"/>
          <w:szCs w:val="20"/>
          <w:lang w:val="es-ES"/>
        </w:rPr>
      </w:pPr>
      <w:r w:rsidRPr="00616692">
        <w:rPr>
          <w:lang w:val="es-ES"/>
        </w:rPr>
        <w:t>En sus observaciones al presente Informe, el Estado agregó que la FGR ha avanzado en la identificación de personas desaparecidas mediante la creación y operación de la Base Nacional de Información Genética (BaNIG), que almacena datos de familiares y personas no identificadas. Asimismo, el Banco Nacional de Datos Forenses (BNDF), en funcionamiento desde el 29 de mayo de 2023, integra diez sistemas de información interconectados, entre ellos el Registro Nacional de Personas Fallecidas No Identificadas y No Reclamadas (RENAPEFA), Alerta Amber y la Base Nacional de Información Genética (BaNIG). Además, la FGR firmó un convenio con la Secretaría de Gobernación el 13 de junio de 2024, para interconectar el BNDF con el Registro Nacional de Personas Desaparecidas y No Localizadas</w:t>
      </w:r>
      <w:r w:rsidRPr="00616692">
        <w:rPr>
          <w:rStyle w:val="FootnoteReference"/>
          <w:lang w:val="es-ES"/>
        </w:rPr>
        <w:footnoteReference w:id="65"/>
      </w:r>
      <w:r w:rsidRPr="00616692">
        <w:rPr>
          <w:lang w:val="es-ES"/>
        </w:rPr>
        <w:t>.</w:t>
      </w:r>
    </w:p>
    <w:p w14:paraId="2F3383D9" w14:textId="43C5CD2A" w:rsidR="00F22721" w:rsidRPr="00FA506F" w:rsidRDefault="00454AE0" w:rsidP="00060A58">
      <w:pPr>
        <w:pStyle w:val="IAPrrafo"/>
        <w:numPr>
          <w:ilvl w:val="0"/>
          <w:numId w:val="4"/>
        </w:numPr>
        <w:tabs>
          <w:tab w:val="num" w:pos="720"/>
        </w:tabs>
        <w:ind w:firstLine="720"/>
        <w:rPr>
          <w:rFonts w:eastAsia="Cambria" w:cs="Cambria"/>
          <w:color w:val="000000" w:themeColor="text1"/>
          <w:szCs w:val="20"/>
          <w:lang w:val="es-ES"/>
        </w:rPr>
      </w:pPr>
      <w:r w:rsidRPr="00616692">
        <w:rPr>
          <w:lang w:val="es-ES"/>
        </w:rPr>
        <w:t>Las</w:t>
      </w:r>
      <w:r w:rsidR="00F22721" w:rsidRPr="00616692">
        <w:rPr>
          <w:lang w:val="es-ES"/>
        </w:rPr>
        <w:t xml:space="preserve"> organizaciones de la sociedad civil indicaron que el B</w:t>
      </w:r>
      <w:r w:rsidR="00290A05" w:rsidRPr="00616692">
        <w:rPr>
          <w:lang w:val="es-ES"/>
        </w:rPr>
        <w:t>anco Nacional de Datos Forenses</w:t>
      </w:r>
      <w:r w:rsidR="000061F4" w:rsidRPr="00616692">
        <w:rPr>
          <w:lang w:val="es-ES"/>
        </w:rPr>
        <w:t xml:space="preserve"> c</w:t>
      </w:r>
      <w:r w:rsidR="00F22721" w:rsidRPr="00616692">
        <w:rPr>
          <w:lang w:val="es-ES"/>
        </w:rPr>
        <w:t xml:space="preserve">ontinuaría sin consolidarse, al igual que diversos registros que mandata la </w:t>
      </w:r>
      <w:r w:rsidR="00290A05" w:rsidRPr="00616692">
        <w:rPr>
          <w:lang w:val="es-ES"/>
        </w:rPr>
        <w:t xml:space="preserve">Ley General de Desaparición </w:t>
      </w:r>
      <w:r w:rsidR="00F22721" w:rsidRPr="00616692">
        <w:rPr>
          <w:lang w:val="es-ES"/>
        </w:rPr>
        <w:t xml:space="preserve">y que no estarían debidamente integrados. En el mismo sentido, </w:t>
      </w:r>
      <w:r w:rsidR="00F22721" w:rsidRPr="00616692">
        <w:rPr>
          <w:rFonts w:eastAsia="Cambria" w:cs="Cambria"/>
          <w:color w:val="000000" w:themeColor="text1"/>
          <w:szCs w:val="20"/>
          <w:lang w:val="es-ES"/>
        </w:rPr>
        <w:t>en seguimiento a la ejecutoria de la sentencia de amparo emitida por el Juzgado Primero de Distrito del Centro</w:t>
      </w:r>
      <w:r w:rsidR="00F22721" w:rsidRPr="00FA506F">
        <w:rPr>
          <w:rFonts w:eastAsia="Cambria" w:cs="Cambria"/>
          <w:color w:val="000000" w:themeColor="text1"/>
          <w:szCs w:val="20"/>
          <w:lang w:val="es-ES"/>
        </w:rPr>
        <w:t xml:space="preserve"> Auxiliar de la Novena Región y confirmada por un Tribunal Colegiado</w:t>
      </w:r>
      <w:r w:rsidR="00F22721" w:rsidRPr="00FA506F" w:rsidDel="00170408">
        <w:rPr>
          <w:rFonts w:eastAsia="Cambria" w:cs="Cambria"/>
          <w:color w:val="000000" w:themeColor="text1"/>
          <w:szCs w:val="20"/>
          <w:lang w:val="es-ES"/>
        </w:rPr>
        <w:t>,</w:t>
      </w:r>
      <w:r w:rsidR="00BE6519" w:rsidRPr="00FA506F">
        <w:rPr>
          <w:rFonts w:eastAsia="Cambria" w:cs="Cambria"/>
          <w:color w:val="000000" w:themeColor="text1"/>
          <w:szCs w:val="20"/>
          <w:lang w:val="es-ES"/>
        </w:rPr>
        <w:t xml:space="preserve"> </w:t>
      </w:r>
      <w:r w:rsidR="00F22721" w:rsidRPr="00FA506F">
        <w:rPr>
          <w:rFonts w:eastAsia="Cambria" w:cs="Cambria"/>
          <w:color w:val="000000" w:themeColor="text1"/>
          <w:szCs w:val="20"/>
          <w:lang w:val="es-ES"/>
        </w:rPr>
        <w:t>en el juicio interpuesto por Olimpia Montoya Juárez, hermana de Marco Antonio Montoya, desaparecido en el estado de Guanajuato, frente al incumplimiento de la FGR de crear y operar el BNDF y el Registro Nacional de personas fallecidas no identificada</w:t>
      </w:r>
      <w:r w:rsidR="00170408" w:rsidRPr="00FA506F">
        <w:rPr>
          <w:rFonts w:eastAsia="Cambria" w:cs="Cambria"/>
          <w:color w:val="000000" w:themeColor="text1"/>
          <w:szCs w:val="20"/>
          <w:lang w:val="es-ES"/>
        </w:rPr>
        <w:t>s</w:t>
      </w:r>
      <w:r w:rsidR="009112C5" w:rsidRPr="00FA506F">
        <w:rPr>
          <w:rFonts w:eastAsia="Cambria" w:cs="Cambria"/>
          <w:color w:val="000000" w:themeColor="text1"/>
          <w:szCs w:val="20"/>
          <w:lang w:val="es-ES"/>
        </w:rPr>
        <w:t>,</w:t>
      </w:r>
      <w:r w:rsidR="00F22721" w:rsidRPr="00FA506F">
        <w:rPr>
          <w:rFonts w:eastAsia="Cambria" w:cs="Cambria"/>
          <w:color w:val="000000" w:themeColor="text1"/>
          <w:szCs w:val="20"/>
          <w:lang w:val="es-ES"/>
        </w:rPr>
        <w:t xml:space="preserve"> sería posible identificar las omisiones que persisten y que conllevan a que la información genética se </w:t>
      </w:r>
      <w:r w:rsidR="000F3D7E" w:rsidRPr="00FA506F">
        <w:rPr>
          <w:rFonts w:eastAsia="Cambria" w:cs="Cambria"/>
          <w:color w:val="000000" w:themeColor="text1"/>
          <w:szCs w:val="20"/>
          <w:lang w:val="es-ES"/>
        </w:rPr>
        <w:t xml:space="preserve">sigue </w:t>
      </w:r>
      <w:r w:rsidR="00F22721" w:rsidRPr="00FA506F">
        <w:rPr>
          <w:rFonts w:eastAsia="Cambria" w:cs="Cambria"/>
          <w:color w:val="000000" w:themeColor="text1"/>
          <w:szCs w:val="20"/>
          <w:lang w:val="es-ES"/>
        </w:rPr>
        <w:t xml:space="preserve">procesando de manera fragmentada. Así, para abril de 2024, la FGR habría informado que ya se encuentran </w:t>
      </w:r>
      <w:r w:rsidR="000F3D7E" w:rsidRPr="00FA506F">
        <w:rPr>
          <w:rFonts w:eastAsia="Cambria" w:cs="Cambria"/>
          <w:color w:val="000000" w:themeColor="text1"/>
          <w:szCs w:val="20"/>
          <w:lang w:val="es-ES"/>
        </w:rPr>
        <w:t>nueve</w:t>
      </w:r>
      <w:r w:rsidR="00F22721" w:rsidRPr="00FA506F">
        <w:rPr>
          <w:rFonts w:eastAsia="Cambria" w:cs="Cambria"/>
          <w:color w:val="000000" w:themeColor="text1"/>
          <w:szCs w:val="20"/>
          <w:lang w:val="es-ES"/>
        </w:rPr>
        <w:t xml:space="preserve"> recursos de información interconectados al Sistema de Búsqueda del BNDF a decir: </w:t>
      </w:r>
      <w:r w:rsidR="002B626E">
        <w:rPr>
          <w:rFonts w:eastAsia="Cambria" w:cs="Cambria"/>
          <w:color w:val="000000" w:themeColor="text1"/>
          <w:szCs w:val="20"/>
          <w:lang w:val="es-ES"/>
        </w:rPr>
        <w:t>(</w:t>
      </w:r>
      <w:r w:rsidR="00F22721" w:rsidRPr="00FA506F">
        <w:rPr>
          <w:rFonts w:eastAsia="Cambria" w:cs="Cambria"/>
          <w:color w:val="000000" w:themeColor="text1"/>
          <w:szCs w:val="20"/>
          <w:lang w:val="es-ES"/>
        </w:rPr>
        <w:t xml:space="preserve">a) </w:t>
      </w:r>
      <w:r w:rsidR="000F3D7E" w:rsidRPr="00FA506F">
        <w:rPr>
          <w:rFonts w:eastAsia="Cambria" w:cs="Cambria"/>
          <w:color w:val="000000" w:themeColor="text1"/>
          <w:szCs w:val="20"/>
          <w:lang w:val="es-ES"/>
        </w:rPr>
        <w:t xml:space="preserve">el </w:t>
      </w:r>
      <w:r w:rsidR="00F22721" w:rsidRPr="00FA506F">
        <w:rPr>
          <w:rFonts w:eastAsia="Cambria" w:cs="Cambria"/>
          <w:color w:val="000000" w:themeColor="text1"/>
          <w:szCs w:val="20"/>
          <w:lang w:val="es-ES"/>
        </w:rPr>
        <w:t xml:space="preserve">Registro Nacional de Personas Fallecidas No Identificadas y No Reclamadas; </w:t>
      </w:r>
      <w:r w:rsidR="002B626E">
        <w:rPr>
          <w:rFonts w:eastAsia="Cambria" w:cs="Cambria"/>
          <w:color w:val="000000" w:themeColor="text1"/>
          <w:szCs w:val="20"/>
          <w:lang w:val="es-ES"/>
        </w:rPr>
        <w:t>(</w:t>
      </w:r>
      <w:r w:rsidR="00F22721" w:rsidRPr="00FA506F">
        <w:rPr>
          <w:rFonts w:eastAsia="Cambria" w:cs="Cambria"/>
          <w:color w:val="000000" w:themeColor="text1"/>
          <w:szCs w:val="20"/>
          <w:lang w:val="es-ES"/>
        </w:rPr>
        <w:t xml:space="preserve">b) </w:t>
      </w:r>
      <w:r w:rsidR="000F3D7E" w:rsidRPr="00FA506F">
        <w:rPr>
          <w:rFonts w:eastAsia="Cambria" w:cs="Cambria"/>
          <w:color w:val="000000" w:themeColor="text1"/>
          <w:szCs w:val="20"/>
          <w:lang w:val="es-ES"/>
        </w:rPr>
        <w:t xml:space="preserve">la </w:t>
      </w:r>
      <w:r w:rsidR="00F22721" w:rsidRPr="00FA506F">
        <w:rPr>
          <w:rFonts w:eastAsia="Cambria" w:cs="Cambria"/>
          <w:color w:val="000000" w:themeColor="text1"/>
          <w:szCs w:val="20"/>
          <w:lang w:val="es-ES"/>
        </w:rPr>
        <w:t xml:space="preserve">Base de datos </w:t>
      </w:r>
      <w:r w:rsidR="00F22721" w:rsidRPr="00FA506F">
        <w:rPr>
          <w:rFonts w:eastAsia="Cambria" w:cs="Cambria"/>
          <w:i/>
          <w:iCs/>
          <w:color w:val="000000" w:themeColor="text1"/>
          <w:szCs w:val="20"/>
          <w:lang w:val="es-ES"/>
        </w:rPr>
        <w:t>ante mortem</w:t>
      </w:r>
      <w:r w:rsidR="00F22721" w:rsidRPr="00FA506F">
        <w:rPr>
          <w:rFonts w:eastAsia="Cambria" w:cs="Cambria"/>
          <w:color w:val="000000" w:themeColor="text1"/>
          <w:szCs w:val="20"/>
          <w:lang w:val="es-ES"/>
        </w:rPr>
        <w:t xml:space="preserve"> y </w:t>
      </w:r>
      <w:r w:rsidR="00F22721" w:rsidRPr="00FA506F">
        <w:rPr>
          <w:rFonts w:eastAsia="Cambria" w:cs="Cambria"/>
          <w:i/>
          <w:iCs/>
          <w:color w:val="000000" w:themeColor="text1"/>
          <w:szCs w:val="20"/>
          <w:lang w:val="es-ES"/>
        </w:rPr>
        <w:t>post mortem</w:t>
      </w:r>
      <w:r w:rsidR="00F22721" w:rsidRPr="00FA506F">
        <w:rPr>
          <w:rFonts w:eastAsia="Cambria" w:cs="Cambria"/>
          <w:color w:val="000000" w:themeColor="text1"/>
          <w:szCs w:val="20"/>
          <w:lang w:val="es-ES"/>
        </w:rPr>
        <w:t xml:space="preserve">; </w:t>
      </w:r>
      <w:r w:rsidR="002B626E">
        <w:rPr>
          <w:rFonts w:eastAsia="Cambria" w:cs="Cambria"/>
          <w:color w:val="000000" w:themeColor="text1"/>
          <w:szCs w:val="20"/>
          <w:lang w:val="es-ES"/>
        </w:rPr>
        <w:t>(</w:t>
      </w:r>
      <w:r w:rsidR="00F22721" w:rsidRPr="00FA506F">
        <w:rPr>
          <w:rFonts w:eastAsia="Cambria" w:cs="Cambria"/>
          <w:color w:val="000000" w:themeColor="text1"/>
          <w:szCs w:val="20"/>
          <w:lang w:val="es-ES"/>
        </w:rPr>
        <w:t xml:space="preserve">c) </w:t>
      </w:r>
      <w:r w:rsidR="000F3D7E" w:rsidRPr="00FA506F">
        <w:rPr>
          <w:rFonts w:eastAsia="Cambria" w:cs="Cambria"/>
          <w:color w:val="000000" w:themeColor="text1"/>
          <w:szCs w:val="20"/>
          <w:lang w:val="es-ES"/>
        </w:rPr>
        <w:t xml:space="preserve">la </w:t>
      </w:r>
      <w:r w:rsidR="00F22721" w:rsidRPr="00FA506F">
        <w:rPr>
          <w:rFonts w:eastAsia="Cambria" w:cs="Cambria"/>
          <w:color w:val="000000" w:themeColor="text1"/>
          <w:szCs w:val="20"/>
          <w:lang w:val="es-ES"/>
        </w:rPr>
        <w:t xml:space="preserve">Alerta Amber; </w:t>
      </w:r>
      <w:r w:rsidR="002B626E">
        <w:rPr>
          <w:rFonts w:eastAsia="Cambria" w:cs="Cambria"/>
          <w:color w:val="000000" w:themeColor="text1"/>
          <w:szCs w:val="20"/>
          <w:lang w:val="es-ES"/>
        </w:rPr>
        <w:t>(</w:t>
      </w:r>
      <w:r w:rsidR="00F22721" w:rsidRPr="00FA506F">
        <w:rPr>
          <w:rFonts w:eastAsia="Cambria" w:cs="Cambria"/>
          <w:color w:val="000000" w:themeColor="text1"/>
          <w:szCs w:val="20"/>
          <w:lang w:val="es-ES"/>
        </w:rPr>
        <w:t>d)</w:t>
      </w:r>
      <w:r w:rsidR="000F3D7E" w:rsidRPr="00FA506F">
        <w:rPr>
          <w:rFonts w:eastAsia="Cambria" w:cs="Cambria"/>
          <w:color w:val="000000" w:themeColor="text1"/>
          <w:szCs w:val="20"/>
          <w:lang w:val="es-ES"/>
        </w:rPr>
        <w:t xml:space="preserve"> el</w:t>
      </w:r>
      <w:r w:rsidR="00F22721" w:rsidRPr="00FA506F">
        <w:rPr>
          <w:rFonts w:eastAsia="Cambria" w:cs="Cambria"/>
          <w:color w:val="000000" w:themeColor="text1"/>
          <w:szCs w:val="20"/>
          <w:lang w:val="es-ES"/>
        </w:rPr>
        <w:t xml:space="preserve"> Registro Nacional de Fosas Comunes y Fosas Clandestinas; </w:t>
      </w:r>
      <w:r w:rsidR="002B626E">
        <w:rPr>
          <w:rFonts w:eastAsia="Cambria" w:cs="Cambria"/>
          <w:color w:val="000000" w:themeColor="text1"/>
          <w:szCs w:val="20"/>
          <w:lang w:val="es-ES"/>
        </w:rPr>
        <w:t>(</w:t>
      </w:r>
      <w:r w:rsidR="00F22721" w:rsidRPr="00FA506F">
        <w:rPr>
          <w:rFonts w:eastAsia="Cambria" w:cs="Cambria"/>
          <w:color w:val="000000" w:themeColor="text1"/>
          <w:szCs w:val="20"/>
          <w:lang w:val="es-ES"/>
        </w:rPr>
        <w:t xml:space="preserve">e) </w:t>
      </w:r>
      <w:r w:rsidR="000F3D7E" w:rsidRPr="00FA506F">
        <w:rPr>
          <w:rFonts w:eastAsia="Cambria" w:cs="Cambria"/>
          <w:color w:val="000000" w:themeColor="text1"/>
          <w:szCs w:val="20"/>
          <w:lang w:val="es-ES"/>
        </w:rPr>
        <w:t xml:space="preserve">la </w:t>
      </w:r>
      <w:r w:rsidR="00F22721" w:rsidRPr="00FA506F">
        <w:rPr>
          <w:rFonts w:eastAsia="Cambria" w:cs="Cambria"/>
          <w:color w:val="000000" w:themeColor="text1"/>
          <w:szCs w:val="20"/>
          <w:lang w:val="es-ES"/>
        </w:rPr>
        <w:t xml:space="preserve">Base Nacional de Información Genética; </w:t>
      </w:r>
      <w:r w:rsidR="002B626E">
        <w:rPr>
          <w:rFonts w:eastAsia="Cambria" w:cs="Cambria"/>
          <w:color w:val="000000" w:themeColor="text1"/>
          <w:szCs w:val="20"/>
          <w:lang w:val="es-ES"/>
        </w:rPr>
        <w:t>(</w:t>
      </w:r>
      <w:r w:rsidR="00F22721" w:rsidRPr="00FA506F">
        <w:rPr>
          <w:rFonts w:eastAsia="Cambria" w:cs="Cambria"/>
          <w:color w:val="000000" w:themeColor="text1"/>
          <w:szCs w:val="20"/>
          <w:lang w:val="es-ES"/>
        </w:rPr>
        <w:t xml:space="preserve">f) </w:t>
      </w:r>
      <w:r w:rsidR="000F3D7E" w:rsidRPr="00FA506F">
        <w:rPr>
          <w:rFonts w:eastAsia="Cambria" w:cs="Cambria"/>
          <w:color w:val="000000" w:themeColor="text1"/>
          <w:szCs w:val="20"/>
          <w:lang w:val="es-ES"/>
        </w:rPr>
        <w:t xml:space="preserve">el </w:t>
      </w:r>
      <w:r w:rsidR="00F22721" w:rsidRPr="00FA506F">
        <w:rPr>
          <w:rFonts w:eastAsia="Cambria" w:cs="Cambria"/>
          <w:color w:val="000000" w:themeColor="text1"/>
          <w:szCs w:val="20"/>
          <w:lang w:val="es-ES"/>
        </w:rPr>
        <w:t xml:space="preserve">Registro Forense Federal; </w:t>
      </w:r>
      <w:r w:rsidR="002B626E">
        <w:rPr>
          <w:rFonts w:eastAsia="Cambria" w:cs="Cambria"/>
          <w:color w:val="000000" w:themeColor="text1"/>
          <w:szCs w:val="20"/>
          <w:lang w:val="es-ES"/>
        </w:rPr>
        <w:t>(</w:t>
      </w:r>
      <w:r w:rsidR="00F22721" w:rsidRPr="00FA506F">
        <w:rPr>
          <w:rFonts w:eastAsia="Cambria" w:cs="Cambria"/>
          <w:color w:val="000000" w:themeColor="text1"/>
          <w:szCs w:val="20"/>
          <w:lang w:val="es-ES"/>
        </w:rPr>
        <w:t xml:space="preserve">g) </w:t>
      </w:r>
      <w:r w:rsidR="000F3D7E" w:rsidRPr="00FA506F">
        <w:rPr>
          <w:rFonts w:eastAsia="Cambria" w:cs="Cambria"/>
          <w:color w:val="000000" w:themeColor="text1"/>
          <w:szCs w:val="20"/>
          <w:lang w:val="es-ES"/>
        </w:rPr>
        <w:t xml:space="preserve">el </w:t>
      </w:r>
      <w:r w:rsidR="00F22721" w:rsidRPr="00FA506F">
        <w:rPr>
          <w:rFonts w:eastAsia="Cambria" w:cs="Cambria"/>
          <w:color w:val="000000" w:themeColor="text1"/>
          <w:szCs w:val="20"/>
          <w:lang w:val="es-ES"/>
        </w:rPr>
        <w:t xml:space="preserve">Sistema Estratégico de Seguimiento sobre Expresiones Delictivas (SINIED); </w:t>
      </w:r>
      <w:r w:rsidR="002B626E">
        <w:rPr>
          <w:rFonts w:eastAsia="Cambria" w:cs="Cambria"/>
          <w:color w:val="000000" w:themeColor="text1"/>
          <w:szCs w:val="20"/>
          <w:lang w:val="es-ES"/>
        </w:rPr>
        <w:t>(</w:t>
      </w:r>
      <w:r w:rsidR="00F22721" w:rsidRPr="00FA506F">
        <w:rPr>
          <w:rFonts w:eastAsia="Cambria" w:cs="Cambria"/>
          <w:color w:val="000000" w:themeColor="text1"/>
          <w:szCs w:val="20"/>
          <w:lang w:val="es-ES"/>
        </w:rPr>
        <w:t xml:space="preserve">h) </w:t>
      </w:r>
      <w:r w:rsidR="000F3D7E" w:rsidRPr="00FA506F">
        <w:rPr>
          <w:rFonts w:eastAsia="Cambria" w:cs="Cambria"/>
          <w:color w:val="000000" w:themeColor="text1"/>
          <w:szCs w:val="20"/>
          <w:lang w:val="es-ES"/>
        </w:rPr>
        <w:t xml:space="preserve">el </w:t>
      </w:r>
      <w:r w:rsidR="00F22721" w:rsidRPr="00FA506F">
        <w:rPr>
          <w:rFonts w:eastAsia="Cambria" w:cs="Cambria"/>
          <w:color w:val="000000" w:themeColor="text1"/>
          <w:szCs w:val="20"/>
          <w:lang w:val="es-ES"/>
        </w:rPr>
        <w:t xml:space="preserve">Sistema Nacional de Información; Nominal (SININ); y </w:t>
      </w:r>
      <w:r w:rsidR="002B626E">
        <w:rPr>
          <w:rFonts w:eastAsia="Cambria" w:cs="Cambria"/>
          <w:color w:val="000000" w:themeColor="text1"/>
          <w:szCs w:val="20"/>
          <w:lang w:val="es-ES"/>
        </w:rPr>
        <w:t>(</w:t>
      </w:r>
      <w:r w:rsidR="00F22721" w:rsidRPr="00FA506F">
        <w:rPr>
          <w:rFonts w:eastAsia="Cambria" w:cs="Cambria"/>
          <w:color w:val="000000" w:themeColor="text1"/>
          <w:szCs w:val="20"/>
          <w:lang w:val="es-ES"/>
        </w:rPr>
        <w:t xml:space="preserve">i) </w:t>
      </w:r>
      <w:r w:rsidR="004B2FAB" w:rsidRPr="00FA506F">
        <w:rPr>
          <w:rFonts w:eastAsia="Cambria" w:cs="Cambria"/>
          <w:color w:val="000000" w:themeColor="text1"/>
          <w:szCs w:val="20"/>
          <w:lang w:val="es-ES"/>
        </w:rPr>
        <w:t xml:space="preserve">el </w:t>
      </w:r>
      <w:r w:rsidR="00F22721" w:rsidRPr="00FA506F">
        <w:rPr>
          <w:rFonts w:eastAsia="Cambria" w:cs="Cambria"/>
          <w:color w:val="000000" w:themeColor="text1"/>
          <w:szCs w:val="20"/>
          <w:lang w:val="es-ES"/>
        </w:rPr>
        <w:t xml:space="preserve">Registro Nacional del Delito de Tortura (RENADET). Sobre esto, organizaciones </w:t>
      </w:r>
      <w:r w:rsidR="00BE6519" w:rsidRPr="00FA506F">
        <w:rPr>
          <w:rFonts w:eastAsia="Cambria" w:cs="Cambria"/>
          <w:color w:val="000000" w:themeColor="text1"/>
          <w:szCs w:val="20"/>
          <w:lang w:val="es-ES"/>
        </w:rPr>
        <w:t>informaron</w:t>
      </w:r>
      <w:r w:rsidR="00F22721" w:rsidRPr="00FA506F">
        <w:rPr>
          <w:rFonts w:eastAsia="Cambria" w:cs="Cambria"/>
          <w:color w:val="000000" w:themeColor="text1"/>
          <w:szCs w:val="20"/>
          <w:lang w:val="es-ES"/>
        </w:rPr>
        <w:t xml:space="preserve"> que la interconexión con la que contarían algunos de estos registros no asegur</w:t>
      </w:r>
      <w:r w:rsidR="007962A3" w:rsidRPr="00FA506F">
        <w:rPr>
          <w:rFonts w:eastAsia="Cambria" w:cs="Cambria"/>
          <w:color w:val="000000" w:themeColor="text1"/>
          <w:szCs w:val="20"/>
          <w:lang w:val="es-ES"/>
        </w:rPr>
        <w:t>ar</w:t>
      </w:r>
      <w:r w:rsidR="00F22721" w:rsidRPr="00FA506F">
        <w:rPr>
          <w:rFonts w:eastAsia="Cambria" w:cs="Cambria"/>
          <w:color w:val="000000" w:themeColor="text1"/>
          <w:szCs w:val="20"/>
          <w:lang w:val="es-ES"/>
        </w:rPr>
        <w:t xml:space="preserve">ía que </w:t>
      </w:r>
      <w:r w:rsidR="004B2FAB" w:rsidRPr="00FA506F">
        <w:rPr>
          <w:rFonts w:eastAsia="Cambria" w:cs="Cambria"/>
          <w:color w:val="000000" w:themeColor="text1"/>
          <w:szCs w:val="20"/>
          <w:lang w:val="es-ES"/>
        </w:rPr>
        <w:t>disponen de</w:t>
      </w:r>
      <w:r w:rsidR="00F22721" w:rsidRPr="00FA506F">
        <w:rPr>
          <w:rFonts w:eastAsia="Cambria" w:cs="Cambria"/>
          <w:color w:val="000000" w:themeColor="text1"/>
          <w:szCs w:val="20"/>
          <w:lang w:val="es-ES"/>
        </w:rPr>
        <w:t xml:space="preserve"> la información adecuada y sustantiva </w:t>
      </w:r>
      <w:r w:rsidR="002350EE" w:rsidRPr="00FA506F">
        <w:rPr>
          <w:rFonts w:eastAsia="Cambria" w:cs="Cambria"/>
          <w:color w:val="000000" w:themeColor="text1"/>
          <w:szCs w:val="20"/>
          <w:lang w:val="es-ES"/>
        </w:rPr>
        <w:t xml:space="preserve">necesaria </w:t>
      </w:r>
      <w:r w:rsidR="00170408" w:rsidRPr="00FA506F">
        <w:rPr>
          <w:rFonts w:eastAsia="Cambria" w:cs="Cambria"/>
          <w:color w:val="000000" w:themeColor="text1"/>
          <w:szCs w:val="20"/>
          <w:lang w:val="es-ES"/>
        </w:rPr>
        <w:t xml:space="preserve">que deben tener </w:t>
      </w:r>
      <w:r w:rsidR="00F22721" w:rsidRPr="00FA506F">
        <w:rPr>
          <w:rFonts w:eastAsia="Cambria" w:cs="Cambria"/>
          <w:color w:val="000000" w:themeColor="text1"/>
          <w:szCs w:val="20"/>
          <w:lang w:val="es-ES"/>
        </w:rPr>
        <w:t>los registros de personas desaparecidas</w:t>
      </w:r>
      <w:r w:rsidR="00F22721" w:rsidRPr="00FA506F">
        <w:rPr>
          <w:rStyle w:val="FootnoteReference"/>
          <w:rFonts w:eastAsia="Cambria" w:cs="Cambria"/>
          <w:color w:val="000000" w:themeColor="text1"/>
          <w:szCs w:val="20"/>
          <w:lang w:val="es-ES"/>
        </w:rPr>
        <w:footnoteReference w:id="66"/>
      </w:r>
      <w:r w:rsidR="00F22721" w:rsidRPr="00FA506F">
        <w:rPr>
          <w:rFonts w:eastAsia="Cambria" w:cs="Cambria"/>
          <w:color w:val="000000" w:themeColor="text1"/>
          <w:szCs w:val="20"/>
          <w:lang w:val="es-ES"/>
        </w:rPr>
        <w:t>.</w:t>
      </w:r>
    </w:p>
    <w:p w14:paraId="31DCB08B" w14:textId="36035341" w:rsidR="007962A3" w:rsidRPr="00FA506F" w:rsidRDefault="007962A3" w:rsidP="002B626E">
      <w:pPr>
        <w:pStyle w:val="IAPrrafo"/>
        <w:numPr>
          <w:ilvl w:val="0"/>
          <w:numId w:val="4"/>
        </w:numPr>
        <w:tabs>
          <w:tab w:val="num" w:pos="720"/>
        </w:tabs>
        <w:ind w:firstLine="720"/>
        <w:rPr>
          <w:rFonts w:eastAsia="Cambria" w:cs="Cambria"/>
          <w:color w:val="000000" w:themeColor="text1"/>
          <w:szCs w:val="20"/>
          <w:lang w:val="es-ES"/>
        </w:rPr>
      </w:pPr>
      <w:r w:rsidRPr="00FA506F">
        <w:rPr>
          <w:rFonts w:eastAsia="Cambria" w:cs="Cambria"/>
          <w:color w:val="000000" w:themeColor="text1"/>
          <w:szCs w:val="20"/>
          <w:lang w:val="es-ES"/>
        </w:rPr>
        <w:t xml:space="preserve">En relación con el censo </w:t>
      </w:r>
      <w:r w:rsidR="00170408" w:rsidRPr="00FA506F">
        <w:rPr>
          <w:rFonts w:eastAsia="Cambria" w:cs="Cambria"/>
          <w:color w:val="000000" w:themeColor="text1"/>
          <w:szCs w:val="20"/>
          <w:lang w:val="es-ES"/>
        </w:rPr>
        <w:t xml:space="preserve">realizado </w:t>
      </w:r>
      <w:r w:rsidRPr="00FA506F">
        <w:rPr>
          <w:rFonts w:eastAsia="Cambria" w:cs="Cambria"/>
          <w:color w:val="000000" w:themeColor="text1"/>
          <w:szCs w:val="20"/>
          <w:lang w:val="es-ES"/>
        </w:rPr>
        <w:t xml:space="preserve">en el marco del </w:t>
      </w:r>
      <w:r w:rsidR="00C2621A" w:rsidRPr="00FA506F">
        <w:rPr>
          <w:lang w:val="es-ES"/>
        </w:rPr>
        <w:t>Registro Nacional de Personas Desaparecidas y No Localizadas</w:t>
      </w:r>
      <w:r w:rsidRPr="00FA506F">
        <w:rPr>
          <w:rFonts w:eastAsia="Cambria" w:cs="Cambria"/>
          <w:color w:val="000000" w:themeColor="text1"/>
          <w:szCs w:val="20"/>
          <w:lang w:val="es-ES"/>
        </w:rPr>
        <w:t xml:space="preserve">, organizaciones de la sociedad civil </w:t>
      </w:r>
      <w:r w:rsidR="00440B62" w:rsidRPr="00FA506F">
        <w:rPr>
          <w:rFonts w:eastAsia="Cambria" w:cs="Cambria"/>
          <w:color w:val="000000" w:themeColor="text1"/>
          <w:szCs w:val="20"/>
          <w:lang w:val="es-ES"/>
        </w:rPr>
        <w:t xml:space="preserve">transmitieron </w:t>
      </w:r>
      <w:r w:rsidRPr="00FA506F">
        <w:rPr>
          <w:rFonts w:eastAsia="Cambria" w:cs="Cambria"/>
          <w:color w:val="000000" w:themeColor="text1"/>
          <w:szCs w:val="20"/>
          <w:lang w:val="es-ES"/>
        </w:rPr>
        <w:t xml:space="preserve">que la alegada estrategia del gobierno tenía el objetivo de </w:t>
      </w:r>
      <w:r w:rsidR="000F45F7" w:rsidRPr="00FA506F">
        <w:rPr>
          <w:rFonts w:eastAsia="Cambria" w:cs="Cambria"/>
          <w:color w:val="000000" w:themeColor="text1"/>
          <w:szCs w:val="20"/>
          <w:lang w:val="es-ES"/>
        </w:rPr>
        <w:t xml:space="preserve">disminuir </w:t>
      </w:r>
      <w:r w:rsidRPr="00FA506F">
        <w:rPr>
          <w:rFonts w:eastAsia="Cambria" w:cs="Cambria"/>
          <w:color w:val="000000" w:themeColor="text1"/>
          <w:szCs w:val="20"/>
          <w:lang w:val="es-ES"/>
        </w:rPr>
        <w:t xml:space="preserve">el número de personas desaparecidas </w:t>
      </w:r>
      <w:r w:rsidR="000F45F7" w:rsidRPr="00FA506F">
        <w:rPr>
          <w:rFonts w:eastAsia="Cambria" w:cs="Cambria"/>
          <w:color w:val="000000" w:themeColor="text1"/>
          <w:szCs w:val="20"/>
          <w:lang w:val="es-ES"/>
        </w:rPr>
        <w:t xml:space="preserve">a </w:t>
      </w:r>
      <w:r w:rsidRPr="00FA506F">
        <w:rPr>
          <w:rFonts w:eastAsia="Cambria" w:cs="Cambria"/>
          <w:color w:val="000000" w:themeColor="text1"/>
          <w:szCs w:val="20"/>
          <w:lang w:val="es-ES"/>
        </w:rPr>
        <w:t>12</w:t>
      </w:r>
      <w:r w:rsidR="00CB6EE7" w:rsidRPr="00FA506F">
        <w:rPr>
          <w:rFonts w:eastAsia="Cambria" w:cs="Cambria"/>
          <w:color w:val="000000" w:themeColor="text1"/>
          <w:szCs w:val="20"/>
          <w:lang w:val="es-ES"/>
        </w:rPr>
        <w:t>.</w:t>
      </w:r>
      <w:r w:rsidRPr="00FA506F">
        <w:rPr>
          <w:rFonts w:eastAsia="Cambria" w:cs="Cambria"/>
          <w:color w:val="000000" w:themeColor="text1"/>
          <w:szCs w:val="20"/>
          <w:lang w:val="es-ES"/>
        </w:rPr>
        <w:t>377, lo que minimizaría una crisis mucho mayor</w:t>
      </w:r>
      <w:r w:rsidR="00AE16AE" w:rsidRPr="00FA506F">
        <w:rPr>
          <w:rFonts w:eastAsia="Cambria" w:cs="Cambria"/>
          <w:color w:val="000000" w:themeColor="text1"/>
          <w:szCs w:val="20"/>
          <w:lang w:val="es-ES"/>
        </w:rPr>
        <w:t>;</w:t>
      </w:r>
      <w:r w:rsidRPr="00FA506F">
        <w:rPr>
          <w:rFonts w:eastAsia="Cambria" w:cs="Cambria"/>
          <w:color w:val="000000" w:themeColor="text1"/>
          <w:szCs w:val="20"/>
          <w:lang w:val="es-ES"/>
        </w:rPr>
        <w:t xml:space="preserve"> empleando un criterio muy alto para dar por probada una desaparición</w:t>
      </w:r>
      <w:r w:rsidR="00AE16AE" w:rsidRPr="00FA506F">
        <w:rPr>
          <w:rFonts w:eastAsia="Cambria" w:cs="Cambria"/>
          <w:color w:val="000000" w:themeColor="text1"/>
          <w:szCs w:val="20"/>
          <w:lang w:val="es-ES"/>
        </w:rPr>
        <w:t>. E</w:t>
      </w:r>
      <w:r w:rsidR="008C2DA5" w:rsidRPr="00FA506F">
        <w:rPr>
          <w:rFonts w:eastAsia="Cambria" w:cs="Cambria"/>
          <w:color w:val="000000" w:themeColor="text1"/>
          <w:szCs w:val="20"/>
          <w:lang w:val="es-ES"/>
        </w:rPr>
        <w:t xml:space="preserve"> </w:t>
      </w:r>
      <w:r w:rsidRPr="00FA506F">
        <w:rPr>
          <w:rFonts w:eastAsia="Cambria" w:cs="Cambria"/>
          <w:color w:val="000000" w:themeColor="text1"/>
          <w:szCs w:val="20"/>
          <w:lang w:val="es-ES"/>
        </w:rPr>
        <w:t>informaron que después de la publicación de esta revisión se denunciaron diversas omisiones por parte de las víctimas, incluso en casos que han tenido denuncias a nivel nacional e internacional</w:t>
      </w:r>
      <w:r w:rsidR="00522FE8" w:rsidRPr="00FA506F">
        <w:rPr>
          <w:rStyle w:val="FootnoteReference"/>
          <w:rFonts w:eastAsia="Cambria" w:cs="Cambria"/>
          <w:color w:val="000000" w:themeColor="text1"/>
          <w:szCs w:val="20"/>
          <w:lang w:val="es-ES"/>
        </w:rPr>
        <w:footnoteReference w:id="67"/>
      </w:r>
      <w:r w:rsidRPr="00FA506F">
        <w:rPr>
          <w:rFonts w:eastAsia="Cambria" w:cs="Cambria"/>
          <w:color w:val="000000" w:themeColor="text1"/>
          <w:szCs w:val="20"/>
          <w:lang w:val="es-ES"/>
        </w:rPr>
        <w:t xml:space="preserve">. En ese contexto, diversas organizaciones y colectivos impulsaron acciones para </w:t>
      </w:r>
      <w:r w:rsidR="008D1DF1" w:rsidRPr="00FA506F">
        <w:rPr>
          <w:rFonts w:eastAsia="Cambria" w:cs="Cambria"/>
          <w:color w:val="000000" w:themeColor="text1"/>
          <w:szCs w:val="20"/>
          <w:lang w:val="es-ES"/>
        </w:rPr>
        <w:t xml:space="preserve">resolver </w:t>
      </w:r>
      <w:r w:rsidRPr="00FA506F">
        <w:rPr>
          <w:rFonts w:eastAsia="Cambria" w:cs="Cambria"/>
          <w:color w:val="000000" w:themeColor="text1"/>
          <w:szCs w:val="20"/>
          <w:lang w:val="es-ES"/>
        </w:rPr>
        <w:t xml:space="preserve">los </w:t>
      </w:r>
      <w:r w:rsidR="008D1DF1" w:rsidRPr="00FA506F">
        <w:rPr>
          <w:rFonts w:eastAsia="Cambria" w:cs="Cambria"/>
          <w:color w:val="000000" w:themeColor="text1"/>
          <w:szCs w:val="20"/>
          <w:lang w:val="es-ES"/>
        </w:rPr>
        <w:t>supuestos</w:t>
      </w:r>
      <w:r w:rsidRPr="00FA506F">
        <w:rPr>
          <w:rFonts w:eastAsia="Cambria" w:cs="Cambria"/>
          <w:color w:val="000000" w:themeColor="text1"/>
          <w:szCs w:val="20"/>
          <w:lang w:val="es-ES"/>
        </w:rPr>
        <w:t xml:space="preserve"> errores </w:t>
      </w:r>
      <w:r w:rsidR="008D1DF1" w:rsidRPr="00FA506F">
        <w:rPr>
          <w:rFonts w:eastAsia="Cambria" w:cs="Cambria"/>
          <w:color w:val="000000" w:themeColor="text1"/>
          <w:szCs w:val="20"/>
          <w:lang w:val="es-ES"/>
        </w:rPr>
        <w:t xml:space="preserve">del </w:t>
      </w:r>
      <w:r w:rsidRPr="00FA506F">
        <w:rPr>
          <w:rFonts w:eastAsia="Cambria" w:cs="Cambria"/>
          <w:color w:val="000000" w:themeColor="text1"/>
          <w:szCs w:val="20"/>
          <w:lang w:val="es-ES"/>
        </w:rPr>
        <w:t>Registro</w:t>
      </w:r>
      <w:r w:rsidR="00AE16AE" w:rsidRPr="00FA506F">
        <w:rPr>
          <w:rFonts w:eastAsia="Cambria" w:cs="Cambria"/>
          <w:color w:val="000000" w:themeColor="text1"/>
          <w:szCs w:val="20"/>
          <w:lang w:val="es-ES"/>
        </w:rPr>
        <w:t>. S</w:t>
      </w:r>
      <w:r w:rsidRPr="00FA506F">
        <w:rPr>
          <w:rFonts w:eastAsia="Cambria" w:cs="Cambria"/>
          <w:color w:val="000000" w:themeColor="text1"/>
          <w:szCs w:val="20"/>
          <w:lang w:val="es-ES"/>
        </w:rPr>
        <w:t xml:space="preserve">in embargo, </w:t>
      </w:r>
      <w:r w:rsidR="00B27282" w:rsidRPr="00FA506F">
        <w:rPr>
          <w:rFonts w:eastAsia="Cambria" w:cs="Cambria"/>
          <w:color w:val="000000" w:themeColor="text1"/>
          <w:szCs w:val="20"/>
          <w:lang w:val="es-ES"/>
        </w:rPr>
        <w:t xml:space="preserve">aclararon </w:t>
      </w:r>
      <w:r w:rsidRPr="00FA506F">
        <w:rPr>
          <w:rFonts w:eastAsia="Cambria" w:cs="Cambria"/>
          <w:color w:val="000000" w:themeColor="text1"/>
          <w:szCs w:val="20"/>
          <w:lang w:val="es-ES"/>
        </w:rPr>
        <w:t>que est</w:t>
      </w:r>
      <w:r w:rsidR="00B27282" w:rsidRPr="00FA506F">
        <w:rPr>
          <w:rFonts w:eastAsia="Cambria" w:cs="Cambria"/>
          <w:color w:val="000000" w:themeColor="text1"/>
          <w:szCs w:val="20"/>
          <w:lang w:val="es-ES"/>
        </w:rPr>
        <w:t xml:space="preserve">o implicaría un </w:t>
      </w:r>
      <w:r w:rsidR="009148EB" w:rsidRPr="00FA506F">
        <w:rPr>
          <w:rFonts w:eastAsia="Cambria" w:cs="Cambria"/>
          <w:color w:val="000000" w:themeColor="text1"/>
          <w:szCs w:val="20"/>
          <w:lang w:val="es-ES"/>
        </w:rPr>
        <w:t>esfuerzo de cada familia</w:t>
      </w:r>
      <w:r w:rsidR="00290A05" w:rsidRPr="00FA506F">
        <w:rPr>
          <w:rFonts w:eastAsia="Cambria" w:cs="Cambria"/>
          <w:color w:val="000000" w:themeColor="text1"/>
          <w:szCs w:val="20"/>
          <w:lang w:val="es-ES"/>
        </w:rPr>
        <w:t xml:space="preserve">, </w:t>
      </w:r>
      <w:r w:rsidRPr="00FA506F">
        <w:rPr>
          <w:rFonts w:eastAsia="Cambria" w:cs="Cambria"/>
          <w:color w:val="000000" w:themeColor="text1"/>
          <w:szCs w:val="20"/>
          <w:lang w:val="es-ES"/>
        </w:rPr>
        <w:t>lo que generaría incertidumbre y zozobra</w:t>
      </w:r>
      <w:r w:rsidRPr="00FA506F">
        <w:rPr>
          <w:rStyle w:val="FootnoteReference"/>
          <w:rFonts w:eastAsia="Cambria" w:cs="Cambria"/>
          <w:color w:val="000000" w:themeColor="text1"/>
          <w:szCs w:val="20"/>
          <w:lang w:val="es-ES"/>
        </w:rPr>
        <w:footnoteReference w:id="68"/>
      </w:r>
      <w:r w:rsidRPr="00FA506F">
        <w:rPr>
          <w:rFonts w:eastAsia="Cambria" w:cs="Cambria"/>
          <w:color w:val="000000" w:themeColor="text1"/>
          <w:szCs w:val="20"/>
          <w:lang w:val="es-ES"/>
        </w:rPr>
        <w:t xml:space="preserve">. En el mismo sentido, </w:t>
      </w:r>
      <w:r w:rsidR="00D503FB" w:rsidRPr="00FA506F">
        <w:rPr>
          <w:rFonts w:eastAsia="Cambria" w:cs="Cambria"/>
          <w:color w:val="000000" w:themeColor="text1"/>
          <w:szCs w:val="20"/>
          <w:lang w:val="es-ES"/>
        </w:rPr>
        <w:t>comunicaron</w:t>
      </w:r>
      <w:r w:rsidR="009F2240" w:rsidRPr="00FA506F">
        <w:rPr>
          <w:rFonts w:eastAsia="Cambria" w:cs="Cambria"/>
          <w:color w:val="000000" w:themeColor="text1"/>
          <w:szCs w:val="20"/>
          <w:lang w:val="es-ES"/>
        </w:rPr>
        <w:t xml:space="preserve"> </w:t>
      </w:r>
      <w:r w:rsidRPr="00FA506F">
        <w:rPr>
          <w:rFonts w:eastAsia="Cambria" w:cs="Cambria"/>
          <w:color w:val="000000" w:themeColor="text1"/>
          <w:szCs w:val="20"/>
          <w:lang w:val="es-ES"/>
        </w:rPr>
        <w:t xml:space="preserve">que el 18 de marzo de 2024, el gobierno federal presentó una revisión de los registros, en los que dejó de utilizar algunas de las categorías </w:t>
      </w:r>
      <w:r w:rsidR="009403AC" w:rsidRPr="00FA506F">
        <w:rPr>
          <w:rFonts w:eastAsia="Cambria" w:cs="Cambria"/>
          <w:color w:val="000000" w:themeColor="text1"/>
          <w:szCs w:val="20"/>
          <w:lang w:val="es-ES"/>
        </w:rPr>
        <w:t xml:space="preserve">cuestionadas </w:t>
      </w:r>
      <w:r w:rsidRPr="00FA506F">
        <w:rPr>
          <w:rFonts w:eastAsia="Cambria" w:cs="Cambria"/>
          <w:color w:val="000000" w:themeColor="text1"/>
          <w:szCs w:val="20"/>
          <w:lang w:val="es-ES"/>
        </w:rPr>
        <w:t xml:space="preserve">no incluidas en la </w:t>
      </w:r>
      <w:r w:rsidR="00D503FB" w:rsidRPr="00FA506F">
        <w:rPr>
          <w:rFonts w:eastAsia="Cambria" w:cs="Cambria"/>
          <w:color w:val="000000" w:themeColor="text1"/>
          <w:szCs w:val="20"/>
          <w:lang w:val="es-ES"/>
        </w:rPr>
        <w:t>l</w:t>
      </w:r>
      <w:r w:rsidRPr="00FA506F">
        <w:rPr>
          <w:rFonts w:eastAsia="Cambria" w:cs="Cambria"/>
          <w:color w:val="000000" w:themeColor="text1"/>
          <w:szCs w:val="20"/>
          <w:lang w:val="es-ES"/>
        </w:rPr>
        <w:t>ey</w:t>
      </w:r>
      <w:r w:rsidR="00522FE8" w:rsidRPr="00FA506F">
        <w:rPr>
          <w:rStyle w:val="FootnoteReference"/>
          <w:rFonts w:eastAsia="Cambria" w:cs="Cambria"/>
          <w:color w:val="000000" w:themeColor="text1"/>
          <w:szCs w:val="20"/>
          <w:lang w:val="es-ES"/>
        </w:rPr>
        <w:footnoteReference w:id="69"/>
      </w:r>
      <w:r w:rsidRPr="00FA506F">
        <w:rPr>
          <w:rFonts w:eastAsia="Cambria" w:cs="Cambria"/>
          <w:color w:val="000000" w:themeColor="text1"/>
          <w:szCs w:val="20"/>
          <w:lang w:val="es-ES"/>
        </w:rPr>
        <w:t xml:space="preserve">. No obstante, destacaron </w:t>
      </w:r>
      <w:r w:rsidR="000E3E4C" w:rsidRPr="00FA506F">
        <w:rPr>
          <w:rFonts w:eastAsia="Cambria" w:cs="Cambria"/>
          <w:color w:val="000000" w:themeColor="text1"/>
          <w:szCs w:val="20"/>
          <w:lang w:val="es-ES"/>
        </w:rPr>
        <w:t>que,</w:t>
      </w:r>
      <w:r w:rsidRPr="00FA506F">
        <w:rPr>
          <w:rFonts w:eastAsia="Cambria" w:cs="Cambria"/>
          <w:color w:val="000000" w:themeColor="text1"/>
          <w:szCs w:val="20"/>
          <w:lang w:val="es-ES"/>
        </w:rPr>
        <w:t xml:space="preserve"> para marzo de 20</w:t>
      </w:r>
      <w:r w:rsidR="008C2DA5" w:rsidRPr="00FA506F">
        <w:rPr>
          <w:rFonts w:eastAsia="Cambria" w:cs="Cambria"/>
          <w:color w:val="000000" w:themeColor="text1"/>
          <w:szCs w:val="20"/>
          <w:lang w:val="es-ES"/>
        </w:rPr>
        <w:t>2</w:t>
      </w:r>
      <w:r w:rsidRPr="00FA506F">
        <w:rPr>
          <w:rFonts w:eastAsia="Cambria" w:cs="Cambria"/>
          <w:color w:val="000000" w:themeColor="text1"/>
          <w:szCs w:val="20"/>
          <w:lang w:val="es-ES"/>
        </w:rPr>
        <w:t>4</w:t>
      </w:r>
      <w:r w:rsidR="00BD5C40" w:rsidRPr="00FA506F">
        <w:rPr>
          <w:rFonts w:eastAsia="Cambria" w:cs="Cambria"/>
          <w:color w:val="000000" w:themeColor="text1"/>
          <w:szCs w:val="20"/>
          <w:lang w:val="es-ES"/>
        </w:rPr>
        <w:t>,</w:t>
      </w:r>
      <w:r w:rsidRPr="00FA506F">
        <w:rPr>
          <w:rFonts w:eastAsia="Cambria" w:cs="Cambria"/>
          <w:color w:val="000000" w:themeColor="text1"/>
          <w:szCs w:val="20"/>
          <w:lang w:val="es-ES"/>
        </w:rPr>
        <w:t xml:space="preserve"> el RNPDNO tenía un registro de 114</w:t>
      </w:r>
      <w:r w:rsidR="00CA47C7" w:rsidRPr="00FA506F">
        <w:rPr>
          <w:rFonts w:eastAsia="Cambria" w:cs="Cambria"/>
          <w:color w:val="000000" w:themeColor="text1"/>
          <w:szCs w:val="20"/>
          <w:lang w:val="es-ES"/>
        </w:rPr>
        <w:t>.</w:t>
      </w:r>
      <w:r w:rsidRPr="00FA506F">
        <w:rPr>
          <w:rFonts w:eastAsia="Cambria" w:cs="Cambria"/>
          <w:color w:val="000000" w:themeColor="text1"/>
          <w:szCs w:val="20"/>
          <w:lang w:val="es-ES"/>
        </w:rPr>
        <w:t>815 personas desaparecidas, sobre las que se aseveró que se habrían localizado a 15</w:t>
      </w:r>
      <w:r w:rsidR="00CB6EE7" w:rsidRPr="00FA506F">
        <w:rPr>
          <w:rFonts w:eastAsia="Cambria" w:cs="Cambria"/>
          <w:color w:val="000000" w:themeColor="text1"/>
          <w:szCs w:val="20"/>
          <w:lang w:val="es-ES"/>
        </w:rPr>
        <w:t>.</w:t>
      </w:r>
      <w:r w:rsidRPr="00FA506F">
        <w:rPr>
          <w:rFonts w:eastAsia="Cambria" w:cs="Cambria"/>
          <w:color w:val="000000" w:themeColor="text1"/>
          <w:szCs w:val="20"/>
          <w:lang w:val="es-ES"/>
        </w:rPr>
        <w:t>158 personas</w:t>
      </w:r>
      <w:r w:rsidR="00BE6519" w:rsidRPr="00FA506F">
        <w:rPr>
          <w:rFonts w:eastAsia="Cambria" w:cs="Cambria"/>
          <w:color w:val="000000" w:themeColor="text1"/>
          <w:szCs w:val="20"/>
          <w:lang w:val="es-ES"/>
        </w:rPr>
        <w:t xml:space="preserve"> y 99.729 personas aún se encontrarían </w:t>
      </w:r>
      <w:r w:rsidRPr="00FA506F">
        <w:rPr>
          <w:rFonts w:eastAsia="Cambria" w:cs="Cambria"/>
          <w:color w:val="000000" w:themeColor="text1"/>
          <w:szCs w:val="20"/>
          <w:lang w:val="es-ES"/>
        </w:rPr>
        <w:t>“en proceso de búsqueda”</w:t>
      </w:r>
      <w:r w:rsidR="00AE16AE" w:rsidRPr="00FA506F">
        <w:rPr>
          <w:rFonts w:eastAsia="Cambria" w:cs="Cambria"/>
          <w:color w:val="000000" w:themeColor="text1"/>
          <w:szCs w:val="20"/>
          <w:lang w:val="es-ES"/>
        </w:rPr>
        <w:t>.</w:t>
      </w:r>
      <w:r w:rsidRPr="00FA506F">
        <w:rPr>
          <w:rFonts w:eastAsia="Cambria" w:cs="Cambria"/>
          <w:color w:val="000000" w:themeColor="text1"/>
          <w:szCs w:val="20"/>
          <w:lang w:val="es-ES"/>
        </w:rPr>
        <w:t xml:space="preserve"> Las organizaciones </w:t>
      </w:r>
      <w:r w:rsidR="00BE6519" w:rsidRPr="00FA506F">
        <w:rPr>
          <w:rFonts w:eastAsia="Cambria" w:cs="Cambria"/>
          <w:color w:val="000000" w:themeColor="text1"/>
          <w:szCs w:val="20"/>
          <w:lang w:val="es-ES"/>
        </w:rPr>
        <w:t>refirieron</w:t>
      </w:r>
      <w:r w:rsidRPr="00FA506F">
        <w:rPr>
          <w:rFonts w:eastAsia="Cambria" w:cs="Cambria"/>
          <w:color w:val="000000" w:themeColor="text1"/>
          <w:szCs w:val="20"/>
          <w:lang w:val="es-ES"/>
        </w:rPr>
        <w:t xml:space="preserve"> que, </w:t>
      </w:r>
      <w:r w:rsidR="00BD5C40" w:rsidRPr="00FA506F">
        <w:rPr>
          <w:rFonts w:eastAsia="Cambria" w:cs="Cambria"/>
          <w:color w:val="000000" w:themeColor="text1"/>
          <w:szCs w:val="20"/>
          <w:lang w:val="es-ES"/>
        </w:rPr>
        <w:t>actualmente</w:t>
      </w:r>
      <w:r w:rsidRPr="00FA506F">
        <w:rPr>
          <w:rFonts w:eastAsia="Cambria" w:cs="Cambria"/>
          <w:color w:val="000000" w:themeColor="text1"/>
          <w:szCs w:val="20"/>
          <w:lang w:val="es-ES"/>
        </w:rPr>
        <w:t xml:space="preserve"> hay dos versiones de consulta del RNPDNO, la de “estadística” y la “nueva versión de consulta pública” que aún te</w:t>
      </w:r>
      <w:r w:rsidR="00522FE8" w:rsidRPr="00FA506F">
        <w:rPr>
          <w:rFonts w:eastAsia="Cambria" w:cs="Cambria"/>
          <w:color w:val="000000" w:themeColor="text1"/>
          <w:szCs w:val="20"/>
          <w:lang w:val="es-ES"/>
        </w:rPr>
        <w:t>ndría</w:t>
      </w:r>
      <w:r w:rsidRPr="00FA506F">
        <w:rPr>
          <w:rFonts w:eastAsia="Cambria" w:cs="Cambria"/>
          <w:color w:val="000000" w:themeColor="text1"/>
          <w:szCs w:val="20"/>
          <w:lang w:val="es-ES"/>
        </w:rPr>
        <w:t xml:space="preserve"> errores en los registros de las personas desaparecidas</w:t>
      </w:r>
      <w:r w:rsidR="00522FE8" w:rsidRPr="00FA506F">
        <w:rPr>
          <w:rStyle w:val="FootnoteReference"/>
          <w:rFonts w:eastAsia="Cambria" w:cs="Cambria"/>
          <w:color w:val="000000" w:themeColor="text1"/>
          <w:szCs w:val="20"/>
          <w:lang w:val="es-ES"/>
        </w:rPr>
        <w:footnoteReference w:id="70"/>
      </w:r>
      <w:r w:rsidRPr="00FA506F">
        <w:rPr>
          <w:rFonts w:eastAsia="Cambria" w:cs="Cambria"/>
          <w:color w:val="000000" w:themeColor="text1"/>
          <w:szCs w:val="20"/>
          <w:lang w:val="es-ES"/>
        </w:rPr>
        <w:t xml:space="preserve">. </w:t>
      </w:r>
    </w:p>
    <w:p w14:paraId="00D0AC8B" w14:textId="0D229658" w:rsidR="00F55FC1" w:rsidRPr="00FA506F" w:rsidRDefault="00F55FC1" w:rsidP="00FD7038">
      <w:pPr>
        <w:pStyle w:val="IAPrrafo"/>
        <w:ind w:left="360" w:firstLine="360"/>
        <w:rPr>
          <w:rFonts w:eastAsia="Cambria" w:cs="Cambria"/>
          <w:i/>
          <w:iCs/>
          <w:color w:val="000000" w:themeColor="text1"/>
          <w:szCs w:val="20"/>
          <w:lang w:val="es-ES"/>
        </w:rPr>
      </w:pPr>
      <w:r w:rsidRPr="00FA506F">
        <w:rPr>
          <w:rFonts w:eastAsia="Cambria" w:cs="Cambria"/>
          <w:i/>
          <w:iCs/>
          <w:color w:val="000000" w:themeColor="text1"/>
          <w:szCs w:val="20"/>
          <w:lang w:val="es-ES"/>
        </w:rPr>
        <w:t>Análisis y nivel de cumplimiento de la recomendación</w:t>
      </w:r>
    </w:p>
    <w:p w14:paraId="0921E5AB" w14:textId="7CDED5C0" w:rsidR="00761F11" w:rsidRPr="00FA506F" w:rsidRDefault="000061F4" w:rsidP="00B80A67">
      <w:pPr>
        <w:pStyle w:val="IAPrrafo"/>
        <w:numPr>
          <w:ilvl w:val="0"/>
          <w:numId w:val="4"/>
        </w:numPr>
        <w:tabs>
          <w:tab w:val="num" w:pos="720"/>
        </w:tabs>
        <w:ind w:firstLine="720"/>
        <w:rPr>
          <w:lang w:val="es-ES"/>
        </w:rPr>
      </w:pPr>
      <w:r w:rsidRPr="00FA506F">
        <w:rPr>
          <w:lang w:val="es-ES"/>
        </w:rPr>
        <w:t xml:space="preserve">La Comisión observa con preocupación la información contradictoria de diversas autoridades sobre la consistencia del RNPDNO y el impacto que esta indefinición </w:t>
      </w:r>
      <w:r w:rsidR="00EF43D5" w:rsidRPr="00FA506F">
        <w:rPr>
          <w:lang w:val="es-ES"/>
        </w:rPr>
        <w:t>genera en</w:t>
      </w:r>
      <w:r w:rsidRPr="00FA506F">
        <w:rPr>
          <w:lang w:val="es-ES"/>
        </w:rPr>
        <w:t xml:space="preserve"> las familias de las personas desaparecidas en México </w:t>
      </w:r>
      <w:r w:rsidR="00761F11" w:rsidRPr="00FA506F">
        <w:rPr>
          <w:color w:val="000000" w:themeColor="text1"/>
          <w:lang w:val="es-ES"/>
        </w:rPr>
        <w:t xml:space="preserve">En ese sentido, la creación de un </w:t>
      </w:r>
      <w:r w:rsidR="00E70D37" w:rsidRPr="00FA506F">
        <w:rPr>
          <w:color w:val="000000" w:themeColor="text1"/>
          <w:lang w:val="es-ES"/>
        </w:rPr>
        <w:t>r</w:t>
      </w:r>
      <w:r w:rsidR="00761F11" w:rsidRPr="00FA506F">
        <w:rPr>
          <w:color w:val="000000" w:themeColor="text1"/>
          <w:lang w:val="es-ES"/>
        </w:rPr>
        <w:t xml:space="preserve">egistro es una herramienta dentro de las muchas que la </w:t>
      </w:r>
      <w:r w:rsidR="00290A05" w:rsidRPr="00FA506F">
        <w:rPr>
          <w:color w:val="000000" w:themeColor="text1"/>
          <w:lang w:val="es-ES"/>
        </w:rPr>
        <w:t xml:space="preserve">Ley General de Desaparición </w:t>
      </w:r>
      <w:r w:rsidR="00761F11" w:rsidRPr="00FA506F">
        <w:rPr>
          <w:color w:val="000000" w:themeColor="text1"/>
          <w:lang w:val="es-ES"/>
        </w:rPr>
        <w:t>mandata</w:t>
      </w:r>
      <w:r w:rsidR="00BD5C40" w:rsidRPr="00FA506F">
        <w:rPr>
          <w:color w:val="000000" w:themeColor="text1"/>
          <w:lang w:val="es-ES"/>
        </w:rPr>
        <w:t>.</w:t>
      </w:r>
      <w:r w:rsidR="00761F11" w:rsidRPr="00FA506F">
        <w:rPr>
          <w:color w:val="000000" w:themeColor="text1"/>
          <w:lang w:val="es-ES"/>
        </w:rPr>
        <w:t xml:space="preserve"> </w:t>
      </w:r>
      <w:r w:rsidR="00BD5C40" w:rsidRPr="00FA506F">
        <w:rPr>
          <w:color w:val="000000" w:themeColor="text1"/>
          <w:lang w:val="es-ES"/>
        </w:rPr>
        <w:t>L</w:t>
      </w:r>
      <w:r w:rsidR="00761F11" w:rsidRPr="00FA506F">
        <w:rPr>
          <w:color w:val="000000" w:themeColor="text1"/>
          <w:lang w:val="es-ES"/>
        </w:rPr>
        <w:t xml:space="preserve">a </w:t>
      </w:r>
      <w:r w:rsidR="00761F11" w:rsidRPr="00FA506F">
        <w:rPr>
          <w:lang w:val="es-ES"/>
        </w:rPr>
        <w:t>creación de bases de datos y el flujo de información entre éstas debe atender al fin último de dar con el paradero de las personas desaparecidas.</w:t>
      </w:r>
      <w:r w:rsidR="00A25DCA" w:rsidRPr="00FA506F">
        <w:rPr>
          <w:lang w:val="es-ES"/>
        </w:rPr>
        <w:t xml:space="preserve"> </w:t>
      </w:r>
      <w:r w:rsidR="00761F11" w:rsidRPr="00FA506F">
        <w:rPr>
          <w:lang w:val="es-ES"/>
        </w:rPr>
        <w:t>Para ello, la L</w:t>
      </w:r>
      <w:r w:rsidR="005019AC" w:rsidRPr="00FA506F">
        <w:rPr>
          <w:lang w:val="es-ES"/>
        </w:rPr>
        <w:t xml:space="preserve">ey General </w:t>
      </w:r>
      <w:r w:rsidR="00F0533A" w:rsidRPr="00FA506F">
        <w:rPr>
          <w:lang w:val="es-ES"/>
        </w:rPr>
        <w:t xml:space="preserve">de </w:t>
      </w:r>
      <w:r w:rsidR="005019AC" w:rsidRPr="00FA506F">
        <w:rPr>
          <w:lang w:val="es-ES"/>
        </w:rPr>
        <w:t>Desaparición</w:t>
      </w:r>
      <w:r w:rsidR="00761F11" w:rsidRPr="00FA506F">
        <w:rPr>
          <w:lang w:val="es-ES"/>
        </w:rPr>
        <w:t xml:space="preserve"> </w:t>
      </w:r>
      <w:r w:rsidR="005019AC" w:rsidRPr="00FA506F">
        <w:rPr>
          <w:lang w:val="es-ES"/>
        </w:rPr>
        <w:t>ordena</w:t>
      </w:r>
      <w:r w:rsidR="00761F11" w:rsidRPr="00FA506F">
        <w:rPr>
          <w:lang w:val="es-ES"/>
        </w:rPr>
        <w:t xml:space="preserve"> la creación de cuatro registros: 1. RNPDNO; 2. </w:t>
      </w:r>
      <w:r w:rsidR="00F0533A" w:rsidRPr="00FA506F">
        <w:rPr>
          <w:lang w:val="es-ES"/>
        </w:rPr>
        <w:t xml:space="preserve">El </w:t>
      </w:r>
      <w:r w:rsidR="00761F11" w:rsidRPr="00FA506F">
        <w:rPr>
          <w:lang w:val="es-ES"/>
        </w:rPr>
        <w:t xml:space="preserve">Banco Nacional de Datos Forense (BNDF); 3. </w:t>
      </w:r>
      <w:r w:rsidR="00F0533A" w:rsidRPr="00FA506F">
        <w:rPr>
          <w:lang w:val="es-ES"/>
        </w:rPr>
        <w:t xml:space="preserve">el </w:t>
      </w:r>
      <w:r w:rsidR="00761F11" w:rsidRPr="00FA506F">
        <w:rPr>
          <w:lang w:val="es-ES"/>
        </w:rPr>
        <w:t xml:space="preserve">Registro Nacional de Fosas (comunes y clandestinas), y 4. </w:t>
      </w:r>
      <w:r w:rsidR="00F0533A" w:rsidRPr="00FA506F">
        <w:rPr>
          <w:lang w:val="es-ES"/>
        </w:rPr>
        <w:t xml:space="preserve">El </w:t>
      </w:r>
      <w:r w:rsidR="00761F11" w:rsidRPr="00FA506F">
        <w:rPr>
          <w:lang w:val="es-ES"/>
        </w:rPr>
        <w:t>Registro Nacional de Personas Fallecidas, No Identificadas y No Reclamadas. Las autoridades encargadas de crear y coordinar dichos registros son la CNB</w:t>
      </w:r>
      <w:r w:rsidR="00F0533A" w:rsidRPr="00FA506F">
        <w:rPr>
          <w:lang w:val="es-ES"/>
        </w:rPr>
        <w:t xml:space="preserve"> —</w:t>
      </w:r>
      <w:r w:rsidR="00E966B1" w:rsidRPr="00FA506F">
        <w:rPr>
          <w:lang w:val="es-ES"/>
        </w:rPr>
        <w:t xml:space="preserve"> </w:t>
      </w:r>
      <w:r w:rsidR="00761F11" w:rsidRPr="00FA506F">
        <w:rPr>
          <w:lang w:val="es-ES"/>
        </w:rPr>
        <w:t>en el caso del RNPDN</w:t>
      </w:r>
      <w:r w:rsidR="00F0533A" w:rsidRPr="00FA506F">
        <w:rPr>
          <w:lang w:val="es-ES"/>
        </w:rPr>
        <w:t>O—</w:t>
      </w:r>
      <w:r w:rsidR="00761F11" w:rsidRPr="00FA506F">
        <w:rPr>
          <w:lang w:val="es-ES"/>
        </w:rPr>
        <w:t>,</w:t>
      </w:r>
      <w:r w:rsidR="00761F11" w:rsidRPr="00FA506F" w:rsidDel="00D77E7F">
        <w:rPr>
          <w:lang w:val="es-ES"/>
        </w:rPr>
        <w:t xml:space="preserve"> </w:t>
      </w:r>
      <w:r w:rsidR="00761F11" w:rsidRPr="00FA506F">
        <w:rPr>
          <w:lang w:val="es-ES"/>
        </w:rPr>
        <w:t>y la FGR</w:t>
      </w:r>
      <w:r w:rsidR="00F0533A" w:rsidRPr="00FA506F">
        <w:rPr>
          <w:lang w:val="es-ES"/>
        </w:rPr>
        <w:t xml:space="preserve"> —</w:t>
      </w:r>
      <w:r w:rsidR="00761F11" w:rsidRPr="00FA506F">
        <w:rPr>
          <w:lang w:val="es-ES"/>
        </w:rPr>
        <w:t>en el caso de los otros tres registro</w:t>
      </w:r>
      <w:r w:rsidR="00F0533A" w:rsidRPr="00FA506F">
        <w:rPr>
          <w:lang w:val="es-ES"/>
        </w:rPr>
        <w:t>s—</w:t>
      </w:r>
      <w:r w:rsidR="00761F11" w:rsidRPr="00FA506F">
        <w:rPr>
          <w:lang w:val="es-ES"/>
        </w:rPr>
        <w:t>.</w:t>
      </w:r>
      <w:r w:rsidR="00A25DCA" w:rsidRPr="00FA506F">
        <w:rPr>
          <w:lang w:val="es-ES"/>
        </w:rPr>
        <w:t xml:space="preserve"> </w:t>
      </w:r>
      <w:r w:rsidR="00761F11" w:rsidRPr="00FA506F">
        <w:rPr>
          <w:lang w:val="es-ES"/>
        </w:rPr>
        <w:t>Sin embargo, hasta noviembre de 2024, solo el RNPDNO, creado por la CNB, existía y estaba en funcionamiento.</w:t>
      </w:r>
    </w:p>
    <w:p w14:paraId="1E2C5518" w14:textId="2A8093F5" w:rsidR="00AA09E3" w:rsidRPr="00FA506F" w:rsidRDefault="00AA09E3" w:rsidP="00B80A67">
      <w:pPr>
        <w:pStyle w:val="IAPrrafo"/>
        <w:numPr>
          <w:ilvl w:val="0"/>
          <w:numId w:val="4"/>
        </w:numPr>
        <w:tabs>
          <w:tab w:val="num" w:pos="720"/>
        </w:tabs>
        <w:ind w:firstLine="720"/>
        <w:rPr>
          <w:lang w:val="es-ES"/>
        </w:rPr>
      </w:pPr>
      <w:r w:rsidRPr="00FA506F">
        <w:rPr>
          <w:lang w:val="es-ES"/>
        </w:rPr>
        <w:t xml:space="preserve">La CIDH </w:t>
      </w:r>
      <w:r w:rsidR="00BE6519" w:rsidRPr="00FA506F">
        <w:rPr>
          <w:lang w:val="es-ES"/>
        </w:rPr>
        <w:t>destaca</w:t>
      </w:r>
      <w:r w:rsidRPr="00FA506F">
        <w:rPr>
          <w:lang w:val="es-ES"/>
        </w:rPr>
        <w:t xml:space="preserve"> que, tras la creación y puesta en marcha de los registros previamente mencionados, el Estado tiene la obligación de garantizar su coordinación, sistematización e interconexión. Esto debe realizarse de manera que permitan el cruce efectivo de información con las cientos o miles de bases de datos existentes en los diferentes niveles de gobierno, asegurando en todo momento la protección adecuada de los datos personales y enfocándose exclusivamente en la búsqueda de personas desaparecidas. </w:t>
      </w:r>
      <w:r w:rsidR="00534803" w:rsidRPr="00FA506F">
        <w:rPr>
          <w:lang w:val="es-ES"/>
        </w:rPr>
        <w:t>Teniendo en cuenta que, con la excepción d</w:t>
      </w:r>
      <w:r w:rsidRPr="00FA506F">
        <w:rPr>
          <w:lang w:val="es-ES"/>
        </w:rPr>
        <w:t xml:space="preserve">el RNPDNO, no se ha cumplido con las disposiciones de la </w:t>
      </w:r>
      <w:r w:rsidR="00B00F0D" w:rsidRPr="00FA506F">
        <w:rPr>
          <w:lang w:val="es-ES"/>
        </w:rPr>
        <w:t>ley</w:t>
      </w:r>
      <w:r w:rsidRPr="00FA506F">
        <w:rPr>
          <w:lang w:val="es-ES"/>
        </w:rPr>
        <w:t xml:space="preserve"> en cuanto a la operación de los otros registros, </w:t>
      </w:r>
      <w:r w:rsidR="00534803" w:rsidRPr="00FA506F">
        <w:rPr>
          <w:lang w:val="es-ES"/>
        </w:rPr>
        <w:t>es todavía imposible</w:t>
      </w:r>
      <w:r w:rsidRPr="00FA506F">
        <w:rPr>
          <w:lang w:val="es-ES"/>
        </w:rPr>
        <w:t xml:space="preserve"> lograr la interconexión necesaria entre ellos. A esta situación se suma la preocupación generada por </w:t>
      </w:r>
      <w:r w:rsidR="00B40B3E" w:rsidRPr="00FA506F">
        <w:rPr>
          <w:lang w:val="es-ES"/>
        </w:rPr>
        <w:t>la revisi</w:t>
      </w:r>
      <w:r w:rsidR="0007370B" w:rsidRPr="00FA506F">
        <w:rPr>
          <w:lang w:val="es-ES"/>
        </w:rPr>
        <w:t>ón de los datos</w:t>
      </w:r>
      <w:r w:rsidR="00534803" w:rsidRPr="00FA506F">
        <w:rPr>
          <w:lang w:val="es-ES"/>
        </w:rPr>
        <w:t xml:space="preserve"> del RNPDNO</w:t>
      </w:r>
      <w:r w:rsidR="0007370B" w:rsidRPr="00FA506F">
        <w:rPr>
          <w:lang w:val="es-ES"/>
        </w:rPr>
        <w:t xml:space="preserve"> y la utilización de categorías no contempladas en la </w:t>
      </w:r>
      <w:r w:rsidR="00290A05" w:rsidRPr="00FA506F">
        <w:rPr>
          <w:lang w:val="es-ES"/>
        </w:rPr>
        <w:t>Ley General de Desaparición</w:t>
      </w:r>
      <w:r w:rsidR="006A2DF3" w:rsidRPr="00FA506F">
        <w:rPr>
          <w:lang w:val="es-ES"/>
        </w:rPr>
        <w:t xml:space="preserve">. </w:t>
      </w:r>
      <w:r w:rsidR="002350CE" w:rsidRPr="00FA506F">
        <w:rPr>
          <w:lang w:val="es-ES"/>
        </w:rPr>
        <w:t>En tanto e</w:t>
      </w:r>
      <w:r w:rsidR="00446F81" w:rsidRPr="00FA506F">
        <w:rPr>
          <w:lang w:val="es-ES"/>
        </w:rPr>
        <w:t>l</w:t>
      </w:r>
      <w:r w:rsidRPr="00FA506F">
        <w:rPr>
          <w:lang w:val="es-ES"/>
        </w:rPr>
        <w:t xml:space="preserve"> Estado no ha informado sobre medidas concretas orientadas a consolidar y fortalecer los registros establecidos por la ley</w:t>
      </w:r>
      <w:r w:rsidR="002350CE" w:rsidRPr="00FA506F">
        <w:rPr>
          <w:lang w:val="es-ES"/>
        </w:rPr>
        <w:t>, la Comisión concluye que</w:t>
      </w:r>
      <w:r w:rsidRPr="00FA506F">
        <w:rPr>
          <w:lang w:val="es-ES"/>
        </w:rPr>
        <w:t xml:space="preserve"> la recomendación permanece en </w:t>
      </w:r>
      <w:r w:rsidRPr="00FA506F">
        <w:rPr>
          <w:b/>
          <w:bCs/>
          <w:lang w:val="es-ES"/>
        </w:rPr>
        <w:t>cumplimiento parcial.</w:t>
      </w:r>
    </w:p>
    <w:p w14:paraId="7FA09CED" w14:textId="4FB11BD8" w:rsidR="00AA09E3" w:rsidRPr="00FA506F" w:rsidRDefault="00F55FC1" w:rsidP="00FD7038">
      <w:pPr>
        <w:pStyle w:val="IAPrrafo"/>
        <w:ind w:left="540" w:firstLine="180"/>
        <w:rPr>
          <w:rFonts w:eastAsia="Cambria" w:cs="Cambria"/>
          <w:i/>
          <w:iCs/>
          <w:color w:val="000000" w:themeColor="text1"/>
          <w:szCs w:val="20"/>
          <w:lang w:val="es-ES"/>
        </w:rPr>
      </w:pPr>
      <w:r w:rsidRPr="00FA506F">
        <w:rPr>
          <w:rFonts w:eastAsia="Cambria" w:cs="Cambria"/>
          <w:i/>
          <w:iCs/>
          <w:color w:val="000000" w:themeColor="text1"/>
          <w:szCs w:val="20"/>
          <w:lang w:val="es-ES"/>
        </w:rPr>
        <w:t xml:space="preserve">Medidas e información para avanzar en el cumplimiento de la recomendación </w:t>
      </w:r>
    </w:p>
    <w:p w14:paraId="4572E694" w14:textId="2E201664" w:rsidR="005820EE" w:rsidRPr="00FA506F" w:rsidRDefault="005820EE" w:rsidP="00B80A67">
      <w:pPr>
        <w:pStyle w:val="IAPrrafo"/>
        <w:numPr>
          <w:ilvl w:val="0"/>
          <w:numId w:val="4"/>
        </w:numPr>
        <w:tabs>
          <w:tab w:val="num" w:pos="720"/>
        </w:tabs>
        <w:ind w:firstLine="720"/>
        <w:rPr>
          <w:lang w:val="es-ES"/>
        </w:rPr>
      </w:pPr>
      <w:r w:rsidRPr="00FA506F">
        <w:rPr>
          <w:lang w:val="es-ES"/>
        </w:rPr>
        <w:t xml:space="preserve">Para el cumplimiento de esta recomendación, la CIDH reitera su llamado de años anteriores, </w:t>
      </w:r>
      <w:r w:rsidR="00BD5C40" w:rsidRPr="00FA506F">
        <w:rPr>
          <w:lang w:val="es-ES"/>
        </w:rPr>
        <w:t xml:space="preserve">por el cual apela </w:t>
      </w:r>
      <w:r w:rsidRPr="00FA506F">
        <w:rPr>
          <w:lang w:val="es-ES"/>
        </w:rPr>
        <w:t xml:space="preserve">al Estado </w:t>
      </w:r>
      <w:r w:rsidR="00BD5C40" w:rsidRPr="00FA506F">
        <w:rPr>
          <w:lang w:val="es-ES"/>
        </w:rPr>
        <w:t>a</w:t>
      </w:r>
      <w:r w:rsidRPr="00FA506F">
        <w:rPr>
          <w:lang w:val="es-ES"/>
        </w:rPr>
        <w:t xml:space="preserve"> finalizar con la creación e implementación efectiva del Banco de Datos Forenses, </w:t>
      </w:r>
      <w:r w:rsidR="00845817" w:rsidRPr="00FA506F">
        <w:rPr>
          <w:lang w:val="es-ES"/>
        </w:rPr>
        <w:t>d</w:t>
      </w:r>
      <w:r w:rsidRPr="00FA506F">
        <w:rPr>
          <w:lang w:val="es-ES"/>
        </w:rPr>
        <w:t xml:space="preserve">el Registro de personas fallecidas no identificadas y no reclamadas, </w:t>
      </w:r>
      <w:r w:rsidR="00622000" w:rsidRPr="00FA506F">
        <w:rPr>
          <w:lang w:val="es-ES"/>
        </w:rPr>
        <w:t>d</w:t>
      </w:r>
      <w:r w:rsidRPr="00FA506F">
        <w:rPr>
          <w:lang w:val="es-ES"/>
        </w:rPr>
        <w:t xml:space="preserve">el Registro Nacional de Fosas, y </w:t>
      </w:r>
      <w:r w:rsidR="00622000" w:rsidRPr="00FA506F">
        <w:rPr>
          <w:lang w:val="es-ES"/>
        </w:rPr>
        <w:t>d</w:t>
      </w:r>
      <w:r w:rsidRPr="00FA506F">
        <w:rPr>
          <w:lang w:val="es-ES"/>
        </w:rPr>
        <w:t xml:space="preserve">el Programa de Exhumaciones. Por otra parte, es importante que el Estado informe a la Comisión del proceso de actualización del RNPDNO y/o, en su caso, de la realización del censo antes referido, considerando que la recomendación </w:t>
      </w:r>
      <w:r w:rsidR="00622000" w:rsidRPr="00FA506F">
        <w:rPr>
          <w:lang w:val="es-ES"/>
        </w:rPr>
        <w:t xml:space="preserve">resalta </w:t>
      </w:r>
      <w:r w:rsidRPr="00FA506F">
        <w:rPr>
          <w:lang w:val="es-ES"/>
        </w:rPr>
        <w:t xml:space="preserve">la </w:t>
      </w:r>
      <w:r w:rsidR="001F36AF" w:rsidRPr="00FA506F">
        <w:rPr>
          <w:lang w:val="es-ES"/>
        </w:rPr>
        <w:t xml:space="preserve">relevancia </w:t>
      </w:r>
      <w:r w:rsidRPr="00FA506F">
        <w:rPr>
          <w:lang w:val="es-ES"/>
        </w:rPr>
        <w:t xml:space="preserve">de contar con un registro único. De igual forma, a la luz de las recomendaciones emitidas por el Comité contra la </w:t>
      </w:r>
      <w:r w:rsidR="00622000" w:rsidRPr="00FA506F">
        <w:rPr>
          <w:lang w:val="es-ES"/>
        </w:rPr>
        <w:t>D</w:t>
      </w:r>
      <w:r w:rsidRPr="00FA506F">
        <w:rPr>
          <w:lang w:val="es-ES"/>
        </w:rPr>
        <w:t xml:space="preserve">esaparición </w:t>
      </w:r>
      <w:r w:rsidR="0042639F" w:rsidRPr="00FA506F">
        <w:rPr>
          <w:lang w:val="es-ES"/>
        </w:rPr>
        <w:t>F</w:t>
      </w:r>
      <w:r w:rsidRPr="00FA506F">
        <w:rPr>
          <w:lang w:val="es-ES"/>
        </w:rPr>
        <w:t xml:space="preserve">orzada </w:t>
      </w:r>
      <w:r w:rsidR="0042639F" w:rsidRPr="00FA506F">
        <w:rPr>
          <w:lang w:val="es-ES"/>
        </w:rPr>
        <w:t xml:space="preserve">de </w:t>
      </w:r>
      <w:r w:rsidR="00290A05" w:rsidRPr="00FA506F">
        <w:rPr>
          <w:lang w:val="es-ES"/>
        </w:rPr>
        <w:t>la ONU</w:t>
      </w:r>
      <w:r w:rsidRPr="00FA506F">
        <w:rPr>
          <w:lang w:val="es-ES"/>
        </w:rPr>
        <w:t xml:space="preserve">, es </w:t>
      </w:r>
      <w:r w:rsidR="00EC10D6" w:rsidRPr="00FA506F">
        <w:rPr>
          <w:lang w:val="es-ES"/>
        </w:rPr>
        <w:t xml:space="preserve">crucial </w:t>
      </w:r>
      <w:r w:rsidRPr="00FA506F">
        <w:rPr>
          <w:lang w:val="es-ES"/>
        </w:rPr>
        <w:t>“asegurar que las distintas instituciones informen de los casos de personas desaparecidas que conocen y que el RNPDNO identifique claramente el fenómeno de las desapariciones de personas en situación migratoria regular o irregular y sea interoperable con los registros de personas migrantes existentes”</w:t>
      </w:r>
      <w:r w:rsidRPr="00FA506F">
        <w:rPr>
          <w:rStyle w:val="FootnoteReference"/>
          <w:lang w:val="es-ES"/>
        </w:rPr>
        <w:footnoteReference w:id="71"/>
      </w:r>
      <w:r w:rsidRPr="00FA506F">
        <w:rPr>
          <w:lang w:val="es-ES"/>
        </w:rPr>
        <w:t xml:space="preserve">. La Comisión reitera que la creación y fortalecimiento del Registro Nacional de Personas Desaparecidas debe garantizar su transparencia y el acceso de familiares. En el caso de la </w:t>
      </w:r>
      <w:r w:rsidR="00EC10D6" w:rsidRPr="00FA506F">
        <w:rPr>
          <w:lang w:val="es-ES"/>
        </w:rPr>
        <w:t xml:space="preserve">implementación </w:t>
      </w:r>
      <w:r w:rsidRPr="00FA506F">
        <w:rPr>
          <w:lang w:val="es-ES"/>
        </w:rPr>
        <w:t>de</w:t>
      </w:r>
      <w:r w:rsidR="00EC10D6" w:rsidRPr="00FA506F">
        <w:rPr>
          <w:lang w:val="es-ES"/>
        </w:rPr>
        <w:t xml:space="preserve"> un</w:t>
      </w:r>
      <w:r w:rsidRPr="00FA506F">
        <w:rPr>
          <w:lang w:val="es-ES"/>
        </w:rPr>
        <w:t xml:space="preserve"> censo, sería necesario que se haga público el procedimiento de la alegada depuración de datos y los mecanismos mediante los cuales se estaría realizando el padrón de personas desaparecidas, </w:t>
      </w:r>
      <w:r w:rsidR="005C388E" w:rsidRPr="00FA506F">
        <w:rPr>
          <w:lang w:val="es-ES"/>
        </w:rPr>
        <w:t xml:space="preserve">transmitiendo </w:t>
      </w:r>
      <w:r w:rsidRPr="00FA506F">
        <w:rPr>
          <w:lang w:val="es-ES"/>
        </w:rPr>
        <w:t xml:space="preserve">a la ciudadanía </w:t>
      </w:r>
      <w:r w:rsidR="000B5A87" w:rsidRPr="00FA506F">
        <w:rPr>
          <w:lang w:val="es-ES"/>
        </w:rPr>
        <w:t>cuál es</w:t>
      </w:r>
      <w:r w:rsidRPr="00FA506F">
        <w:rPr>
          <w:lang w:val="es-ES"/>
        </w:rPr>
        <w:t xml:space="preserve"> el funcionariado autorizado y </w:t>
      </w:r>
      <w:r w:rsidR="00997139" w:rsidRPr="00FA506F">
        <w:rPr>
          <w:lang w:val="es-ES"/>
        </w:rPr>
        <w:t>cuáles son</w:t>
      </w:r>
      <w:r w:rsidRPr="00FA506F">
        <w:rPr>
          <w:lang w:val="es-ES"/>
        </w:rPr>
        <w:t xml:space="preserve"> </w:t>
      </w:r>
      <w:r w:rsidR="00997139" w:rsidRPr="00FA506F">
        <w:rPr>
          <w:lang w:val="es-ES"/>
        </w:rPr>
        <w:t>las</w:t>
      </w:r>
      <w:r w:rsidRPr="00FA506F">
        <w:rPr>
          <w:lang w:val="es-ES"/>
        </w:rPr>
        <w:t xml:space="preserve"> preguntas </w:t>
      </w:r>
      <w:r w:rsidR="009A7177" w:rsidRPr="00FA506F">
        <w:rPr>
          <w:lang w:val="es-ES"/>
        </w:rPr>
        <w:t xml:space="preserve">que guiarán </w:t>
      </w:r>
      <w:r w:rsidRPr="00FA506F">
        <w:rPr>
          <w:lang w:val="es-ES"/>
        </w:rPr>
        <w:t>su realización.</w:t>
      </w:r>
    </w:p>
    <w:p w14:paraId="741C9F2E" w14:textId="57CDD0F7" w:rsidR="00F55FC1" w:rsidRPr="00FA506F" w:rsidRDefault="00F55FC1"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12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Fortalecer los mecanismos existentes en materia de alerta temprana y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búsqueda</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urgente en casos de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desaparición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de mujeres y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niñas</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para asegurar su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aplicación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efectiva a nivel federal, estatal y municipal. Asimismo, fortalecer el Registro Nacional de Datos de Personas Extraviadas o Desaparecidas para que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este</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proporcione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información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precisa y confiable sobre las mujeres y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niñas</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desaparecidas y desaparecidas forzadamente. </w:t>
      </w:r>
    </w:p>
    <w:p w14:paraId="7811D884" w14:textId="77777777" w:rsidR="00F55FC1" w:rsidRPr="00FA506F" w:rsidRDefault="00F55FC1" w:rsidP="00B80A67">
      <w:pPr>
        <w:jc w:val="both"/>
        <w:rPr>
          <w:rFonts w:ascii="Cambria" w:eastAsia="Cambria" w:hAnsi="Cambria" w:cs="Cambria"/>
          <w:i/>
          <w:iCs/>
          <w:color w:val="000000" w:themeColor="text1"/>
          <w:sz w:val="20"/>
          <w:szCs w:val="20"/>
          <w:lang w:val="es-ES"/>
        </w:rPr>
      </w:pPr>
    </w:p>
    <w:p w14:paraId="00075FD1" w14:textId="2007C57C" w:rsidR="00780614" w:rsidRPr="00FA506F" w:rsidRDefault="00F55FC1" w:rsidP="00B80A67">
      <w:pPr>
        <w:pStyle w:val="IAPrrafo"/>
        <w:numPr>
          <w:ilvl w:val="0"/>
          <w:numId w:val="4"/>
        </w:numPr>
        <w:tabs>
          <w:tab w:val="num" w:pos="720"/>
        </w:tabs>
        <w:ind w:firstLine="720"/>
        <w:rPr>
          <w:lang w:val="es-ES"/>
        </w:rPr>
      </w:pPr>
      <w:r w:rsidRPr="00FA506F">
        <w:rPr>
          <w:lang w:val="es-ES"/>
        </w:rPr>
        <w:t xml:space="preserve">En el </w:t>
      </w:r>
      <w:r w:rsidR="00AD6035" w:rsidRPr="00FA506F">
        <w:rPr>
          <w:lang w:val="es-ES"/>
        </w:rPr>
        <w:t xml:space="preserve">marco del </w:t>
      </w:r>
      <w:r w:rsidRPr="00FA506F">
        <w:rPr>
          <w:lang w:val="es-ES"/>
        </w:rPr>
        <w:t>Capítulo V del Informe Anual de 202</w:t>
      </w:r>
      <w:r w:rsidR="4A9D5D1E" w:rsidRPr="00FA506F">
        <w:rPr>
          <w:lang w:val="es-ES"/>
        </w:rPr>
        <w:t>3</w:t>
      </w:r>
      <w:r w:rsidRPr="00FA506F">
        <w:rPr>
          <w:lang w:val="es-ES"/>
        </w:rPr>
        <w:t xml:space="preserve">, </w:t>
      </w:r>
      <w:r w:rsidR="51C91D59" w:rsidRPr="00FA506F">
        <w:rPr>
          <w:lang w:val="es-ES"/>
        </w:rPr>
        <w:t xml:space="preserve">el Estado informó que el Protocolo Alba y la Alerta Amber están en funcionamiento en todo México, con enfoques diferenciados según género y condición de </w:t>
      </w:r>
      <w:r w:rsidR="00435D65" w:rsidRPr="00FA506F">
        <w:rPr>
          <w:lang w:val="es-ES"/>
        </w:rPr>
        <w:t>niños, niñas y adolescentes</w:t>
      </w:r>
      <w:r w:rsidR="51C91D59" w:rsidRPr="00FA506F">
        <w:rPr>
          <w:lang w:val="es-ES"/>
        </w:rPr>
        <w:t xml:space="preserve">. Sin embargo, organizaciones civiles </w:t>
      </w:r>
      <w:r w:rsidR="00BE6519" w:rsidRPr="00FA506F">
        <w:rPr>
          <w:lang w:val="es-ES"/>
        </w:rPr>
        <w:t>destacaron</w:t>
      </w:r>
      <w:r w:rsidR="51C91D59" w:rsidRPr="00FA506F">
        <w:rPr>
          <w:lang w:val="es-ES"/>
        </w:rPr>
        <w:t xml:space="preserve"> problemas en la homologación del Protocolo Alba, </w:t>
      </w:r>
      <w:r w:rsidR="00483511" w:rsidRPr="00FA506F">
        <w:rPr>
          <w:lang w:val="es-ES"/>
        </w:rPr>
        <w:t xml:space="preserve">su </w:t>
      </w:r>
      <w:r w:rsidR="51C91D59" w:rsidRPr="00FA506F">
        <w:rPr>
          <w:lang w:val="es-ES"/>
        </w:rPr>
        <w:t xml:space="preserve">falta de difusión y de recursos adecuados para su implementación. La CIDH </w:t>
      </w:r>
      <w:r w:rsidR="007B2547" w:rsidRPr="00FA506F">
        <w:rPr>
          <w:lang w:val="es-ES"/>
        </w:rPr>
        <w:t>celebró</w:t>
      </w:r>
      <w:r w:rsidR="51C91D59" w:rsidRPr="00FA506F">
        <w:rPr>
          <w:lang w:val="es-ES"/>
        </w:rPr>
        <w:t xml:space="preserve"> la inclusión de enfoques diferenciados en el </w:t>
      </w:r>
      <w:r w:rsidR="000533EC" w:rsidRPr="00FA506F">
        <w:rPr>
          <w:lang w:val="es-ES"/>
        </w:rPr>
        <w:t>Protocolo Homologado de Búsqueda</w:t>
      </w:r>
      <w:r w:rsidR="51C91D59" w:rsidRPr="00FA506F">
        <w:rPr>
          <w:lang w:val="es-ES"/>
        </w:rPr>
        <w:t xml:space="preserve">, pero observó que el Estado no </w:t>
      </w:r>
      <w:r w:rsidR="00DA3594" w:rsidRPr="00FA506F">
        <w:rPr>
          <w:lang w:val="es-ES"/>
        </w:rPr>
        <w:t>había</w:t>
      </w:r>
      <w:r w:rsidR="51C91D59" w:rsidRPr="00FA506F">
        <w:rPr>
          <w:lang w:val="es-ES"/>
        </w:rPr>
        <w:t xml:space="preserve"> presentado actualizaciones recientes sobre medidas para la homologación del Protocolo Alba. Por lo tanto, la recomendación se mantuvo en cumplimiento parcial sustancial. La CIDH instó al Estado a estandarizar la aplicación de estos protocolos y a garantizar su implementación efectiva en todos los estados</w:t>
      </w:r>
      <w:r w:rsidRPr="00FA506F">
        <w:rPr>
          <w:rStyle w:val="FootnoteReference"/>
          <w:lang w:val="es-ES"/>
        </w:rPr>
        <w:footnoteReference w:id="72"/>
      </w:r>
      <w:r w:rsidRPr="00FA506F">
        <w:rPr>
          <w:lang w:val="es-ES"/>
        </w:rPr>
        <w:t xml:space="preserve">. </w:t>
      </w:r>
    </w:p>
    <w:p w14:paraId="59DEB370" w14:textId="619675DA" w:rsidR="00780614" w:rsidRPr="00FA506F" w:rsidRDefault="00780614" w:rsidP="00FD7038">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3D4AFCC0" w14:textId="77777777" w:rsidR="00780614" w:rsidRPr="00FA506F" w:rsidRDefault="00780614" w:rsidP="00B80A67">
      <w:pPr>
        <w:ind w:firstLine="360"/>
        <w:jc w:val="both"/>
        <w:rPr>
          <w:rFonts w:ascii="Cambria" w:eastAsia="Cambria" w:hAnsi="Cambria" w:cs="Cambria"/>
          <w:i/>
          <w:iCs/>
          <w:color w:val="000000" w:themeColor="text1"/>
          <w:sz w:val="20"/>
          <w:szCs w:val="20"/>
          <w:lang w:val="es-ES"/>
        </w:rPr>
      </w:pPr>
    </w:p>
    <w:p w14:paraId="42A4A2E2" w14:textId="652FE0A4" w:rsidR="005E3DB3" w:rsidRPr="00FA506F" w:rsidRDefault="00745F10" w:rsidP="00B80A67">
      <w:pPr>
        <w:pStyle w:val="IAPrrafo"/>
        <w:numPr>
          <w:ilvl w:val="0"/>
          <w:numId w:val="4"/>
        </w:numPr>
        <w:tabs>
          <w:tab w:val="num" w:pos="720"/>
        </w:tabs>
        <w:ind w:firstLine="720"/>
        <w:rPr>
          <w:lang w:val="es-ES"/>
        </w:rPr>
      </w:pPr>
      <w:r w:rsidRPr="00FA506F">
        <w:rPr>
          <w:lang w:val="es-ES"/>
        </w:rPr>
        <w:t xml:space="preserve">En 2024 el Estado reportó que el PHB </w:t>
      </w:r>
      <w:r w:rsidR="00391C23" w:rsidRPr="00FA506F">
        <w:rPr>
          <w:lang w:val="es-ES"/>
        </w:rPr>
        <w:t>incluye un apartado titulado “Lineamientos de Búsqueda Diferenciada”, que resum</w:t>
      </w:r>
      <w:r w:rsidR="005E3DB3" w:rsidRPr="00FA506F">
        <w:rPr>
          <w:lang w:val="es-ES"/>
        </w:rPr>
        <w:t>iría</w:t>
      </w:r>
      <w:r w:rsidR="00391C23" w:rsidRPr="00FA506F">
        <w:rPr>
          <w:lang w:val="es-ES"/>
        </w:rPr>
        <w:t xml:space="preserve"> las acciones específicas a seguir cuando las personas desaparecidas o no localizadas pertenecen a grupos vulnerables, como migrantes, personas con discapacidad, mujeres, niñas, niños, adolescentes, defensores de derechos humanos, y periodistas, entre otros</w:t>
      </w:r>
      <w:r w:rsidR="007B2547" w:rsidRPr="00FA506F">
        <w:rPr>
          <w:lang w:val="es-ES"/>
        </w:rPr>
        <w:t>. C</w:t>
      </w:r>
      <w:r w:rsidR="005E3DB3" w:rsidRPr="00FA506F">
        <w:rPr>
          <w:lang w:val="es-ES"/>
        </w:rPr>
        <w:t xml:space="preserve">on esto se </w:t>
      </w:r>
      <w:r w:rsidR="00AF4A47" w:rsidRPr="00FA506F">
        <w:rPr>
          <w:lang w:val="es-ES"/>
        </w:rPr>
        <w:t xml:space="preserve">pretendería </w:t>
      </w:r>
      <w:r w:rsidR="000E046B" w:rsidRPr="00FA506F">
        <w:rPr>
          <w:lang w:val="es-ES"/>
        </w:rPr>
        <w:t>distinguir</w:t>
      </w:r>
      <w:r w:rsidR="00391C23" w:rsidRPr="00FA506F">
        <w:rPr>
          <w:lang w:val="es-ES"/>
        </w:rPr>
        <w:t xml:space="preserve"> </w:t>
      </w:r>
      <w:r w:rsidR="00AA09E3" w:rsidRPr="00FA506F">
        <w:rPr>
          <w:lang w:val="es-ES"/>
        </w:rPr>
        <w:t>las condiciones de vulnerabilidad</w:t>
      </w:r>
      <w:r w:rsidR="00391C23" w:rsidRPr="00FA506F">
        <w:rPr>
          <w:lang w:val="es-ES"/>
        </w:rPr>
        <w:t xml:space="preserve"> asociad</w:t>
      </w:r>
      <w:r w:rsidR="00AA09E3" w:rsidRPr="00FA506F">
        <w:rPr>
          <w:lang w:val="es-ES"/>
        </w:rPr>
        <w:t>a</w:t>
      </w:r>
      <w:r w:rsidR="00391C23" w:rsidRPr="00FA506F">
        <w:rPr>
          <w:lang w:val="es-ES"/>
        </w:rPr>
        <w:t xml:space="preserve">s a la desaparición </w:t>
      </w:r>
      <w:r w:rsidR="005E3DB3" w:rsidRPr="00FA506F">
        <w:rPr>
          <w:lang w:val="es-ES"/>
        </w:rPr>
        <w:t xml:space="preserve">para </w:t>
      </w:r>
      <w:r w:rsidR="00C77350" w:rsidRPr="00FA506F">
        <w:rPr>
          <w:lang w:val="es-ES"/>
        </w:rPr>
        <w:t xml:space="preserve">ser </w:t>
      </w:r>
      <w:r w:rsidR="00E73C0B" w:rsidRPr="00FA506F">
        <w:rPr>
          <w:lang w:val="es-ES"/>
        </w:rPr>
        <w:t>ponderadas</w:t>
      </w:r>
      <w:r w:rsidR="00C77350" w:rsidRPr="00FA506F">
        <w:rPr>
          <w:lang w:val="es-ES"/>
        </w:rPr>
        <w:t xml:space="preserve"> </w:t>
      </w:r>
      <w:r w:rsidR="00391C23" w:rsidRPr="00FA506F">
        <w:rPr>
          <w:lang w:val="es-ES"/>
        </w:rPr>
        <w:t xml:space="preserve">como ejes centrales en los procesos de búsqueda. </w:t>
      </w:r>
      <w:r w:rsidR="005E3DB3" w:rsidRPr="00FA506F">
        <w:rPr>
          <w:lang w:val="es-ES"/>
        </w:rPr>
        <w:t xml:space="preserve">El Estado </w:t>
      </w:r>
      <w:r w:rsidR="00C77350" w:rsidRPr="00FA506F">
        <w:rPr>
          <w:lang w:val="es-ES"/>
        </w:rPr>
        <w:t>precisó</w:t>
      </w:r>
      <w:r w:rsidR="005E3DB3" w:rsidRPr="00FA506F">
        <w:rPr>
          <w:lang w:val="es-ES"/>
        </w:rPr>
        <w:t xml:space="preserve"> que c</w:t>
      </w:r>
      <w:r w:rsidR="00391C23" w:rsidRPr="00FA506F">
        <w:rPr>
          <w:lang w:val="es-ES"/>
        </w:rPr>
        <w:t>uando se busca a personas de pueblos indígenas, se debe emplear una perspectiva intercultural que garantice el derecho a la participación y la información de sus comunidades</w:t>
      </w:r>
      <w:r w:rsidR="005E3DB3" w:rsidRPr="00FA506F">
        <w:rPr>
          <w:lang w:val="es-ES"/>
        </w:rPr>
        <w:t xml:space="preserve">, lo que incluiría </w:t>
      </w:r>
      <w:r w:rsidR="00391C23" w:rsidRPr="00FA506F">
        <w:rPr>
          <w:lang w:val="es-ES"/>
        </w:rPr>
        <w:t>la disponibilidad de intérpretes y de autoridades tradicionales como representantes de las familias en el proceso de búsqueda</w:t>
      </w:r>
      <w:r w:rsidR="008577FF" w:rsidRPr="00FA506F">
        <w:rPr>
          <w:rStyle w:val="FootnoteReference"/>
          <w:lang w:val="es-ES"/>
        </w:rPr>
        <w:footnoteReference w:id="73"/>
      </w:r>
      <w:r w:rsidR="00391C23" w:rsidRPr="00FA506F">
        <w:rPr>
          <w:lang w:val="es-ES"/>
        </w:rPr>
        <w:t>.</w:t>
      </w:r>
      <w:r w:rsidR="00A25DCA" w:rsidRPr="00FA506F">
        <w:rPr>
          <w:lang w:val="es-ES"/>
        </w:rPr>
        <w:t xml:space="preserve"> </w:t>
      </w:r>
    </w:p>
    <w:p w14:paraId="694974C9" w14:textId="78C9CF10" w:rsidR="005E3DB3" w:rsidRPr="00FA506F" w:rsidRDefault="00E73C0B" w:rsidP="00B80A67">
      <w:pPr>
        <w:pStyle w:val="IAPrrafo"/>
        <w:numPr>
          <w:ilvl w:val="0"/>
          <w:numId w:val="4"/>
        </w:numPr>
        <w:tabs>
          <w:tab w:val="num" w:pos="720"/>
        </w:tabs>
        <w:ind w:firstLine="720"/>
        <w:rPr>
          <w:lang w:val="es-ES"/>
        </w:rPr>
      </w:pPr>
      <w:r w:rsidRPr="00FA506F">
        <w:rPr>
          <w:lang w:val="es-ES"/>
        </w:rPr>
        <w:t>De acuerdo con el Estado</w:t>
      </w:r>
      <w:r w:rsidR="00C424D6" w:rsidRPr="00FA506F">
        <w:rPr>
          <w:lang w:val="es-ES"/>
        </w:rPr>
        <w:t>, e</w:t>
      </w:r>
      <w:r w:rsidR="00391C23" w:rsidRPr="00FA506F">
        <w:rPr>
          <w:lang w:val="es-ES"/>
        </w:rPr>
        <w:t xml:space="preserve">n el caso de personas desaparecidas de la </w:t>
      </w:r>
      <w:r w:rsidR="00DA3594" w:rsidRPr="00FA506F">
        <w:rPr>
          <w:lang w:val="es-ES"/>
        </w:rPr>
        <w:t xml:space="preserve">población </w:t>
      </w:r>
      <w:r w:rsidR="00391C23" w:rsidRPr="00FA506F">
        <w:rPr>
          <w:lang w:val="es-ES"/>
        </w:rPr>
        <w:t>LGBT</w:t>
      </w:r>
      <w:r w:rsidR="008F2190" w:rsidRPr="00FA506F">
        <w:rPr>
          <w:lang w:val="es-ES"/>
        </w:rPr>
        <w:t>I</w:t>
      </w:r>
      <w:r w:rsidR="00391C23" w:rsidRPr="00FA506F">
        <w:rPr>
          <w:lang w:val="es-ES"/>
        </w:rPr>
        <w:t>, poblaciones en situación de calle o trabajadoras sexuales, las autoridades debe</w:t>
      </w:r>
      <w:r w:rsidR="005E3DB3" w:rsidRPr="00FA506F">
        <w:rPr>
          <w:lang w:val="es-ES"/>
        </w:rPr>
        <w:t>ría</w:t>
      </w:r>
      <w:r w:rsidR="00391C23" w:rsidRPr="00FA506F">
        <w:rPr>
          <w:lang w:val="es-ES"/>
        </w:rPr>
        <w:t>n reconocer que su vínculo más cercano puede ser comunitario,</w:t>
      </w:r>
      <w:r w:rsidR="005E3DB3" w:rsidRPr="00FA506F">
        <w:rPr>
          <w:lang w:val="es-ES"/>
        </w:rPr>
        <w:t xml:space="preserve"> por lo que los derechos</w:t>
      </w:r>
      <w:r w:rsidR="00391C23" w:rsidRPr="00FA506F">
        <w:rPr>
          <w:lang w:val="es-ES"/>
        </w:rPr>
        <w:t xml:space="preserve"> de participación e información que otorga la Ley General debe</w:t>
      </w:r>
      <w:r w:rsidR="005E3DB3" w:rsidRPr="00FA506F">
        <w:rPr>
          <w:lang w:val="es-ES"/>
        </w:rPr>
        <w:t>ría</w:t>
      </w:r>
      <w:r w:rsidR="00391C23" w:rsidRPr="00FA506F">
        <w:rPr>
          <w:lang w:val="es-ES"/>
        </w:rPr>
        <w:t xml:space="preserve">n extenderse a los integrantes de estas </w:t>
      </w:r>
      <w:r w:rsidR="00DA3594" w:rsidRPr="00FA506F">
        <w:rPr>
          <w:lang w:val="es-ES"/>
        </w:rPr>
        <w:t>poblaciones</w:t>
      </w:r>
      <w:r w:rsidR="00391C23" w:rsidRPr="00FA506F">
        <w:rPr>
          <w:lang w:val="es-ES"/>
        </w:rPr>
        <w:t>, asegurando que se les incluya en el proceso de búsqueda. Aunado a ello, el enfoque de género permit</w:t>
      </w:r>
      <w:r w:rsidR="005E3DB3" w:rsidRPr="00FA506F">
        <w:rPr>
          <w:lang w:val="es-ES"/>
        </w:rPr>
        <w:t>iría</w:t>
      </w:r>
      <w:r w:rsidR="00391C23" w:rsidRPr="00FA506F">
        <w:rPr>
          <w:lang w:val="es-ES"/>
        </w:rPr>
        <w:t xml:space="preserve"> analizar las dinámicas de poder y vulnerabilidad asociadas a la identidad sexual y de género en casos de desaparición. </w:t>
      </w:r>
      <w:r w:rsidR="005E3DB3" w:rsidRPr="00FA506F">
        <w:rPr>
          <w:lang w:val="es-ES"/>
        </w:rPr>
        <w:t xml:space="preserve">El Estado </w:t>
      </w:r>
      <w:r w:rsidR="00454AE0" w:rsidRPr="00FA506F">
        <w:rPr>
          <w:lang w:val="es-ES"/>
        </w:rPr>
        <w:t>informó</w:t>
      </w:r>
      <w:r w:rsidR="005E3DB3" w:rsidRPr="00FA506F">
        <w:rPr>
          <w:lang w:val="es-ES"/>
        </w:rPr>
        <w:t xml:space="preserve"> que l</w:t>
      </w:r>
      <w:r w:rsidR="00391C23" w:rsidRPr="00FA506F">
        <w:rPr>
          <w:lang w:val="es-ES"/>
        </w:rPr>
        <w:t>as fiscalías y comisiones de búsqueda t</w:t>
      </w:r>
      <w:r w:rsidR="005E3DB3" w:rsidRPr="00FA506F">
        <w:rPr>
          <w:lang w:val="es-ES"/>
        </w:rPr>
        <w:t>endría</w:t>
      </w:r>
      <w:r w:rsidR="00391C23" w:rsidRPr="00FA506F">
        <w:rPr>
          <w:lang w:val="es-ES"/>
        </w:rPr>
        <w:t xml:space="preserve">n la responsabilidad de </w:t>
      </w:r>
      <w:r w:rsidR="009112C5" w:rsidRPr="00FA506F">
        <w:rPr>
          <w:lang w:val="es-ES"/>
        </w:rPr>
        <w:t xml:space="preserve">mapear </w:t>
      </w:r>
      <w:r w:rsidR="00391C23" w:rsidRPr="00FA506F">
        <w:rPr>
          <w:lang w:val="es-ES"/>
        </w:rPr>
        <w:t xml:space="preserve">patrones de desaparición relacionados con el género. </w:t>
      </w:r>
      <w:r w:rsidR="005E3DB3" w:rsidRPr="00FA506F">
        <w:rPr>
          <w:lang w:val="es-ES"/>
        </w:rPr>
        <w:t>Así, e</w:t>
      </w:r>
      <w:r w:rsidR="00391C23" w:rsidRPr="00FA506F">
        <w:rPr>
          <w:lang w:val="es-ES"/>
        </w:rPr>
        <w:t>l Protocolo Alba establece</w:t>
      </w:r>
      <w:r w:rsidR="005E3DB3" w:rsidRPr="00FA506F">
        <w:rPr>
          <w:lang w:val="es-ES"/>
        </w:rPr>
        <w:t xml:space="preserve">ría </w:t>
      </w:r>
      <w:r w:rsidR="00391C23" w:rsidRPr="00FA506F">
        <w:rPr>
          <w:lang w:val="es-ES"/>
        </w:rPr>
        <w:t xml:space="preserve">directrices para la búsqueda diferenciada de mujeres, y la CNB, junto con la </w:t>
      </w:r>
      <w:r w:rsidR="005974B8" w:rsidRPr="00FA506F">
        <w:rPr>
          <w:lang w:val="es-ES"/>
        </w:rPr>
        <w:t>Comisión Nacional para Prevenir y Erradicar la Violencia contra las Mujeres (</w:t>
      </w:r>
      <w:r w:rsidR="00391C23" w:rsidRPr="00FA506F">
        <w:rPr>
          <w:lang w:val="es-ES"/>
        </w:rPr>
        <w:t>CONAVIM</w:t>
      </w:r>
      <w:r w:rsidR="005974B8" w:rsidRPr="00FA506F">
        <w:rPr>
          <w:lang w:val="es-ES"/>
        </w:rPr>
        <w:t>)</w:t>
      </w:r>
      <w:r w:rsidR="00391C23" w:rsidRPr="00FA506F">
        <w:rPr>
          <w:lang w:val="es-ES"/>
        </w:rPr>
        <w:t>, ha</w:t>
      </w:r>
      <w:r w:rsidR="005E3DB3" w:rsidRPr="00FA506F">
        <w:rPr>
          <w:lang w:val="es-ES"/>
        </w:rPr>
        <w:t>bría</w:t>
      </w:r>
      <w:r w:rsidR="00D11043" w:rsidRPr="00FA506F">
        <w:rPr>
          <w:lang w:val="es-ES"/>
        </w:rPr>
        <w:t>n</w:t>
      </w:r>
      <w:r w:rsidR="00391C23" w:rsidRPr="00FA506F">
        <w:rPr>
          <w:lang w:val="es-ES"/>
        </w:rPr>
        <w:t xml:space="preserve"> trabajado en armonizar este protocolo en las 32 entidades federativas. Aunque algunos protocolos estatales todavía aplica</w:t>
      </w:r>
      <w:r w:rsidR="005E3DB3" w:rsidRPr="00FA506F">
        <w:rPr>
          <w:lang w:val="es-ES"/>
        </w:rPr>
        <w:t>rían</w:t>
      </w:r>
      <w:r w:rsidR="00391C23" w:rsidRPr="00FA506F">
        <w:rPr>
          <w:lang w:val="es-ES"/>
        </w:rPr>
        <w:t xml:space="preserve"> un plazo de 72 horas para la búsqueda, </w:t>
      </w:r>
      <w:r w:rsidR="00B71D1B" w:rsidRPr="00FA506F">
        <w:rPr>
          <w:lang w:val="es-ES"/>
        </w:rPr>
        <w:t>aclaró que</w:t>
      </w:r>
      <w:r w:rsidR="00391C23" w:rsidRPr="00FA506F">
        <w:rPr>
          <w:lang w:val="es-ES"/>
        </w:rPr>
        <w:t xml:space="preserve"> el </w:t>
      </w:r>
      <w:r w:rsidR="00266A80" w:rsidRPr="00FA506F">
        <w:rPr>
          <w:lang w:val="es-ES"/>
        </w:rPr>
        <w:t xml:space="preserve">Protocolo Homologado de Búsqueda </w:t>
      </w:r>
      <w:r w:rsidR="00391C23" w:rsidRPr="00FA506F">
        <w:rPr>
          <w:lang w:val="es-ES"/>
        </w:rPr>
        <w:t>y el Protocolo Adicional para la Búsqueda de Niñas, Niños y Adolescentes (PANNA) exig</w:t>
      </w:r>
      <w:r w:rsidR="005E3DB3" w:rsidRPr="00FA506F">
        <w:rPr>
          <w:lang w:val="es-ES"/>
        </w:rPr>
        <w:t>iría</w:t>
      </w:r>
      <w:r w:rsidR="00391C23" w:rsidRPr="00FA506F">
        <w:rPr>
          <w:lang w:val="es-ES"/>
        </w:rPr>
        <w:t>n una respuesta inmediata</w:t>
      </w:r>
      <w:r w:rsidR="008577FF" w:rsidRPr="00FA506F">
        <w:rPr>
          <w:rStyle w:val="FootnoteReference"/>
          <w:lang w:val="es-ES"/>
        </w:rPr>
        <w:footnoteReference w:id="74"/>
      </w:r>
      <w:r w:rsidR="00391C23" w:rsidRPr="00FA506F">
        <w:rPr>
          <w:lang w:val="es-ES"/>
        </w:rPr>
        <w:t xml:space="preserve">. </w:t>
      </w:r>
    </w:p>
    <w:p w14:paraId="2DD351F4" w14:textId="711990B2" w:rsidR="0032647B" w:rsidRPr="00FA506F" w:rsidRDefault="008C2DA5" w:rsidP="00B80A67">
      <w:pPr>
        <w:pStyle w:val="IAPrrafo"/>
        <w:numPr>
          <w:ilvl w:val="0"/>
          <w:numId w:val="4"/>
        </w:numPr>
        <w:tabs>
          <w:tab w:val="num" w:pos="720"/>
        </w:tabs>
        <w:ind w:firstLine="720"/>
        <w:rPr>
          <w:lang w:val="es-ES"/>
        </w:rPr>
      </w:pPr>
      <w:r w:rsidRPr="00FA506F">
        <w:rPr>
          <w:lang w:val="es-ES"/>
        </w:rPr>
        <w:t>En</w:t>
      </w:r>
      <w:r w:rsidR="00391C23" w:rsidRPr="00FA506F">
        <w:rPr>
          <w:lang w:val="es-ES"/>
        </w:rPr>
        <w:t xml:space="preserve"> el marco del PHB, </w:t>
      </w:r>
      <w:r w:rsidR="005E3DB3" w:rsidRPr="00FA506F">
        <w:rPr>
          <w:lang w:val="es-ES"/>
        </w:rPr>
        <w:t xml:space="preserve">el Estado refirió que </w:t>
      </w:r>
      <w:r w:rsidR="00391C23" w:rsidRPr="00FA506F">
        <w:rPr>
          <w:lang w:val="es-ES"/>
        </w:rPr>
        <w:t>las autoridades t</w:t>
      </w:r>
      <w:r w:rsidR="005E3DB3" w:rsidRPr="00FA506F">
        <w:rPr>
          <w:lang w:val="es-ES"/>
        </w:rPr>
        <w:t>endrían</w:t>
      </w:r>
      <w:r w:rsidR="00391C23" w:rsidRPr="00FA506F">
        <w:rPr>
          <w:lang w:val="es-ES"/>
        </w:rPr>
        <w:t xml:space="preserve"> un deber reforzado de diligencia en la búsqueda de niñas, niños y adolescentes, aplica</w:t>
      </w:r>
      <w:r w:rsidR="005E3DB3" w:rsidRPr="00FA506F">
        <w:rPr>
          <w:lang w:val="es-ES"/>
        </w:rPr>
        <w:t>ndo</w:t>
      </w:r>
      <w:r w:rsidR="00391C23" w:rsidRPr="00FA506F">
        <w:rPr>
          <w:lang w:val="es-ES"/>
        </w:rPr>
        <w:t xml:space="preserve"> el interés superior de la niñez</w:t>
      </w:r>
      <w:r w:rsidR="000061F4" w:rsidRPr="00FA506F">
        <w:rPr>
          <w:lang w:val="es-ES"/>
        </w:rPr>
        <w:t>.</w:t>
      </w:r>
      <w:r w:rsidR="00391C23" w:rsidRPr="00FA506F">
        <w:rPr>
          <w:lang w:val="es-ES"/>
        </w:rPr>
        <w:t xml:space="preserve"> </w:t>
      </w:r>
      <w:r w:rsidR="00967662" w:rsidRPr="00FA506F">
        <w:rPr>
          <w:lang w:val="es-ES"/>
        </w:rPr>
        <w:t>Por otra parte, l</w:t>
      </w:r>
      <w:r w:rsidR="00391C23" w:rsidRPr="00FA506F">
        <w:rPr>
          <w:lang w:val="es-ES"/>
        </w:rPr>
        <w:t xml:space="preserve">a Alerta Amber </w:t>
      </w:r>
      <w:r w:rsidR="00967662" w:rsidRPr="00FA506F">
        <w:rPr>
          <w:lang w:val="es-ES"/>
        </w:rPr>
        <w:t>representaría</w:t>
      </w:r>
      <w:r w:rsidR="00391C23" w:rsidRPr="00FA506F">
        <w:rPr>
          <w:lang w:val="es-ES"/>
        </w:rPr>
        <w:t xml:space="preserve"> un mecanismo nacional para la búsqueda rápida de menores desaparecidos, que involucra a diversas autoridades y sectores de la sociedad. </w:t>
      </w:r>
      <w:r w:rsidR="004D5A22" w:rsidRPr="00FA506F">
        <w:rPr>
          <w:lang w:val="es-ES"/>
        </w:rPr>
        <w:t>Según México, c</w:t>
      </w:r>
      <w:r w:rsidR="00391C23" w:rsidRPr="00FA506F">
        <w:rPr>
          <w:lang w:val="es-ES"/>
        </w:rPr>
        <w:t>uando se reporta la desaparición de un</w:t>
      </w:r>
      <w:r w:rsidR="00E75798" w:rsidRPr="00FA506F">
        <w:rPr>
          <w:lang w:val="es-ES"/>
        </w:rPr>
        <w:t>a persona</w:t>
      </w:r>
      <w:r w:rsidR="00391C23" w:rsidRPr="00FA506F">
        <w:rPr>
          <w:lang w:val="es-ES"/>
        </w:rPr>
        <w:t xml:space="preserve"> menor</w:t>
      </w:r>
      <w:r w:rsidR="00B154CC" w:rsidRPr="00FA506F">
        <w:rPr>
          <w:lang w:val="es-ES"/>
        </w:rPr>
        <w:t xml:space="preserve"> de edad</w:t>
      </w:r>
      <w:r w:rsidR="00391C23" w:rsidRPr="00FA506F">
        <w:rPr>
          <w:lang w:val="es-ES"/>
        </w:rPr>
        <w:t>, se coordina</w:t>
      </w:r>
      <w:r w:rsidR="00967662" w:rsidRPr="00FA506F">
        <w:rPr>
          <w:lang w:val="es-ES"/>
        </w:rPr>
        <w:t xml:space="preserve">ría </w:t>
      </w:r>
      <w:r w:rsidR="00391C23" w:rsidRPr="00FA506F">
        <w:rPr>
          <w:lang w:val="es-ES"/>
        </w:rPr>
        <w:t xml:space="preserve">de inmediato la estrategia de búsqueda, decidiendo si se activa la Alerta Amber. </w:t>
      </w:r>
      <w:r w:rsidR="00967662" w:rsidRPr="00FA506F">
        <w:rPr>
          <w:lang w:val="es-ES"/>
        </w:rPr>
        <w:t xml:space="preserve">De esta forma, los </w:t>
      </w:r>
      <w:r w:rsidR="00391C23" w:rsidRPr="00FA506F">
        <w:rPr>
          <w:lang w:val="es-ES"/>
        </w:rPr>
        <w:t>mecanismos fortalecidos permit</w:t>
      </w:r>
      <w:r w:rsidR="00967662" w:rsidRPr="00FA506F">
        <w:rPr>
          <w:lang w:val="es-ES"/>
        </w:rPr>
        <w:t>iría</w:t>
      </w:r>
      <w:r w:rsidR="00391C23" w:rsidRPr="00FA506F">
        <w:rPr>
          <w:lang w:val="es-ES"/>
        </w:rPr>
        <w:t>n una respuesta más rápida, coordinada y adaptada a las necesidades de grupos vulnerables, asegurando información precisa y confiable sobre mujeres y niñas desaparecidas</w:t>
      </w:r>
      <w:r w:rsidR="008577FF" w:rsidRPr="00FA506F">
        <w:rPr>
          <w:rStyle w:val="FootnoteReference"/>
          <w:lang w:val="es-ES"/>
        </w:rPr>
        <w:footnoteReference w:id="75"/>
      </w:r>
      <w:r w:rsidR="00391C23" w:rsidRPr="00FA506F">
        <w:rPr>
          <w:lang w:val="es-ES"/>
        </w:rPr>
        <w:t xml:space="preserve">. </w:t>
      </w:r>
    </w:p>
    <w:p w14:paraId="53D7CD17" w14:textId="77777777" w:rsidR="00F55FC1" w:rsidRPr="00FA506F" w:rsidRDefault="00F55FC1" w:rsidP="00FD7038">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18E3D981"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5FF3A0A3" w14:textId="510F98A7" w:rsidR="41E0CC97" w:rsidRPr="00FA506F" w:rsidRDefault="00967662" w:rsidP="00B80A67">
      <w:pPr>
        <w:pStyle w:val="IAPrrafo"/>
        <w:numPr>
          <w:ilvl w:val="0"/>
          <w:numId w:val="4"/>
        </w:numPr>
        <w:tabs>
          <w:tab w:val="num" w:pos="720"/>
        </w:tabs>
        <w:ind w:firstLine="720"/>
        <w:rPr>
          <w:lang w:val="es-ES"/>
        </w:rPr>
      </w:pPr>
      <w:r w:rsidRPr="00FA506F">
        <w:rPr>
          <w:lang w:val="es-ES"/>
        </w:rPr>
        <w:t>La Comisión valora de manera positiva el fortalecimiento de protocolos y alertas</w:t>
      </w:r>
      <w:r w:rsidR="009B2F71" w:rsidRPr="00FA506F">
        <w:rPr>
          <w:lang w:val="es-ES"/>
        </w:rPr>
        <w:t xml:space="preserve"> de búsqueda</w:t>
      </w:r>
      <w:r w:rsidRPr="00FA506F">
        <w:rPr>
          <w:lang w:val="es-ES"/>
        </w:rPr>
        <w:t xml:space="preserve"> que </w:t>
      </w:r>
      <w:r w:rsidR="00C26987" w:rsidRPr="00FA506F">
        <w:rPr>
          <w:lang w:val="es-ES"/>
        </w:rPr>
        <w:t>aseguran</w:t>
      </w:r>
      <w:r w:rsidRPr="00FA506F">
        <w:rPr>
          <w:lang w:val="es-ES"/>
        </w:rPr>
        <w:t xml:space="preserve"> un enfoque diferenciado que at</w:t>
      </w:r>
      <w:r w:rsidR="007235E4" w:rsidRPr="00FA506F">
        <w:rPr>
          <w:lang w:val="es-ES"/>
        </w:rPr>
        <w:t>i</w:t>
      </w:r>
      <w:r w:rsidRPr="00FA506F">
        <w:rPr>
          <w:lang w:val="es-ES"/>
        </w:rPr>
        <w:t xml:space="preserve">ende a las particularidades de los diversos grupos en situación de vulnerabilidad. En ese sentido, la primera parte de la recomendación </w:t>
      </w:r>
      <w:r w:rsidR="007B2547" w:rsidRPr="00FA506F">
        <w:rPr>
          <w:lang w:val="es-ES"/>
        </w:rPr>
        <w:t>avanza a</w:t>
      </w:r>
      <w:r w:rsidRPr="00FA506F">
        <w:rPr>
          <w:lang w:val="es-ES"/>
        </w:rPr>
        <w:t xml:space="preserve"> </w:t>
      </w:r>
      <w:r w:rsidRPr="00FA506F">
        <w:rPr>
          <w:b/>
          <w:bCs/>
          <w:lang w:val="es-ES"/>
        </w:rPr>
        <w:t xml:space="preserve">cumplimiento total. </w:t>
      </w:r>
      <w:r w:rsidRPr="00FA506F">
        <w:rPr>
          <w:lang w:val="es-ES"/>
        </w:rPr>
        <w:t xml:space="preserve">Sin embargo, la CIDH reitera su preocupación en cuanto a los retos y desafíos identificados en relación con el Registro de Personas </w:t>
      </w:r>
      <w:r w:rsidR="003C6759" w:rsidRPr="00FA506F">
        <w:rPr>
          <w:lang w:val="es-ES"/>
        </w:rPr>
        <w:t>D</w:t>
      </w:r>
      <w:r w:rsidRPr="00FA506F">
        <w:rPr>
          <w:lang w:val="es-ES"/>
        </w:rPr>
        <w:t xml:space="preserve">esaparecidas, los cuales fueron desarrollados en el análisis de la recomendación anterior. En ese sentido, si bien esta recomendación se encuentra totalmente cumplida, </w:t>
      </w:r>
      <w:r w:rsidR="001E53DA" w:rsidRPr="00FA506F">
        <w:rPr>
          <w:lang w:val="es-ES"/>
        </w:rPr>
        <w:t xml:space="preserve">la CIDH </w:t>
      </w:r>
      <w:r w:rsidR="00442E72" w:rsidRPr="00FA506F">
        <w:rPr>
          <w:lang w:val="es-ES"/>
        </w:rPr>
        <w:t xml:space="preserve">continuará monitoreando </w:t>
      </w:r>
      <w:r w:rsidRPr="00FA506F">
        <w:rPr>
          <w:lang w:val="es-ES"/>
        </w:rPr>
        <w:t xml:space="preserve">el fortalecimiento del Registro de Personas </w:t>
      </w:r>
      <w:r w:rsidR="00442E72" w:rsidRPr="00FA506F">
        <w:rPr>
          <w:lang w:val="es-ES"/>
        </w:rPr>
        <w:t>D</w:t>
      </w:r>
      <w:r w:rsidRPr="00FA506F">
        <w:rPr>
          <w:lang w:val="es-ES"/>
        </w:rPr>
        <w:t>esaparecidas en el marco de</w:t>
      </w:r>
      <w:r w:rsidR="00442E72" w:rsidRPr="00FA506F">
        <w:rPr>
          <w:lang w:val="es-ES"/>
        </w:rPr>
        <w:t>l segui</w:t>
      </w:r>
      <w:r w:rsidR="001E53DA" w:rsidRPr="00FA506F">
        <w:rPr>
          <w:lang w:val="es-ES"/>
        </w:rPr>
        <w:t>miento a</w:t>
      </w:r>
      <w:r w:rsidRPr="00FA506F">
        <w:rPr>
          <w:lang w:val="es-ES"/>
        </w:rPr>
        <w:t xml:space="preserve"> la Recomendación 11 del presente Informe.</w:t>
      </w:r>
    </w:p>
    <w:p w14:paraId="0B470FF1" w14:textId="589611E1" w:rsidR="00F55FC1" w:rsidRPr="00FA506F" w:rsidRDefault="00F55FC1"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13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Atender las recomendaciones del GIEI conforme las atribuciones conferidas en su mandato,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específicamente</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su solicitud reiterada de entrevistarse con los integrantes del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Ejército</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así</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como para visitar el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Batallón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27 y continuar con las investigaciones en el caso. Considerar la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utilización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de mecanismos similares para otros casos de graves violaciones a los derechos humanos. </w:t>
      </w:r>
    </w:p>
    <w:p w14:paraId="2A653C15" w14:textId="77777777" w:rsidR="00F55FC1" w:rsidRPr="00FA506F" w:rsidRDefault="00F55FC1" w:rsidP="00B80A67">
      <w:pPr>
        <w:jc w:val="both"/>
        <w:rPr>
          <w:rFonts w:ascii="Cambria" w:eastAsia="Cambria" w:hAnsi="Cambria" w:cs="Cambria"/>
          <w:i/>
          <w:iCs/>
          <w:color w:val="000000" w:themeColor="text1"/>
          <w:sz w:val="20"/>
          <w:szCs w:val="20"/>
          <w:lang w:val="es-ES"/>
        </w:rPr>
      </w:pPr>
    </w:p>
    <w:p w14:paraId="28ACFFE4" w14:textId="3F855F5F" w:rsidR="009B1845" w:rsidRPr="00FA506F" w:rsidRDefault="53DD6788" w:rsidP="00B80A67">
      <w:pPr>
        <w:pStyle w:val="IAPrrafo"/>
        <w:numPr>
          <w:ilvl w:val="0"/>
          <w:numId w:val="4"/>
        </w:numPr>
        <w:tabs>
          <w:tab w:val="num" w:pos="720"/>
        </w:tabs>
        <w:ind w:firstLine="720"/>
        <w:rPr>
          <w:rFonts w:cs="Times New Roman"/>
          <w:lang w:val="es-ES"/>
        </w:rPr>
      </w:pPr>
      <w:r w:rsidRPr="00FA506F">
        <w:rPr>
          <w:rFonts w:cs="Times New Roman"/>
          <w:lang w:val="es-ES"/>
        </w:rPr>
        <w:t xml:space="preserve">En 2023, el Estado destacó avances en el caso Ayotzinapa, como la </w:t>
      </w:r>
      <w:r w:rsidR="004A5510" w:rsidRPr="00FA506F">
        <w:rPr>
          <w:rFonts w:cs="Times New Roman"/>
          <w:lang w:val="es-ES"/>
        </w:rPr>
        <w:t>Comisión para la Verdad</w:t>
      </w:r>
      <w:r w:rsidR="00571AF0" w:rsidRPr="00FA506F">
        <w:rPr>
          <w:rFonts w:cs="Times New Roman"/>
          <w:lang w:val="es-ES"/>
        </w:rPr>
        <w:t xml:space="preserve"> y el Acceso a la Justicia del Caso</w:t>
      </w:r>
      <w:r w:rsidR="004A5510" w:rsidRPr="00FA506F">
        <w:rPr>
          <w:rFonts w:cs="Times New Roman"/>
          <w:lang w:val="es-ES"/>
        </w:rPr>
        <w:t xml:space="preserve"> Ayotzinapa (</w:t>
      </w:r>
      <w:r w:rsidRPr="00FA506F">
        <w:rPr>
          <w:rFonts w:cs="Times New Roman"/>
          <w:lang w:val="es-ES"/>
        </w:rPr>
        <w:t>COVAJ</w:t>
      </w:r>
      <w:r w:rsidR="004A5510" w:rsidRPr="00FA506F">
        <w:rPr>
          <w:rFonts w:cs="Times New Roman"/>
          <w:lang w:val="es-ES"/>
        </w:rPr>
        <w:t>)</w:t>
      </w:r>
      <w:r w:rsidRPr="00FA506F">
        <w:rPr>
          <w:rFonts w:cs="Times New Roman"/>
          <w:lang w:val="es-ES"/>
        </w:rPr>
        <w:t xml:space="preserve"> reconociendo el crimen de Estado y nuevas líneas de investigación</w:t>
      </w:r>
      <w:r w:rsidR="00C55596" w:rsidRPr="00FA506F">
        <w:rPr>
          <w:rFonts w:cs="Times New Roman"/>
          <w:lang w:val="es-ES"/>
        </w:rPr>
        <w:t>;</w:t>
      </w:r>
      <w:r w:rsidR="005076DB" w:rsidRPr="00FA506F">
        <w:rPr>
          <w:rFonts w:cs="Times New Roman"/>
          <w:lang w:val="es-ES"/>
        </w:rPr>
        <w:t xml:space="preserve"> y </w:t>
      </w:r>
      <w:r w:rsidRPr="00FA506F">
        <w:rPr>
          <w:rFonts w:cs="Times New Roman"/>
          <w:lang w:val="es-ES"/>
        </w:rPr>
        <w:t xml:space="preserve">mencionó la identificación de tres estudiantes y la reactivación de búsquedas. Sin embargo, organizaciones </w:t>
      </w:r>
      <w:r w:rsidR="00E65F73" w:rsidRPr="00FA506F">
        <w:rPr>
          <w:rFonts w:cs="Times New Roman"/>
          <w:lang w:val="es-ES"/>
        </w:rPr>
        <w:t>de la sociedad</w:t>
      </w:r>
      <w:r w:rsidRPr="00FA506F">
        <w:rPr>
          <w:rFonts w:cs="Times New Roman"/>
          <w:lang w:val="es-ES"/>
        </w:rPr>
        <w:t xml:space="preserve"> civil expresaron preocupación por la falta de avances significativos, la relación deteriorada con las familias, y la negativa de las FFAA a colaborar con el GIEI</w:t>
      </w:r>
      <w:r w:rsidR="69E98B80" w:rsidRPr="00FA506F">
        <w:rPr>
          <w:rFonts w:cs="Times New Roman"/>
          <w:lang w:val="es-ES"/>
        </w:rPr>
        <w:t>, el cual</w:t>
      </w:r>
      <w:r w:rsidRPr="00FA506F">
        <w:rPr>
          <w:rFonts w:cs="Times New Roman"/>
          <w:lang w:val="es-ES"/>
        </w:rPr>
        <w:t xml:space="preserve"> se retiró debido a obstáculos en el acceso a información crucial</w:t>
      </w:r>
      <w:r w:rsidR="19087AC9" w:rsidRPr="00FA506F">
        <w:rPr>
          <w:rFonts w:cs="Times New Roman"/>
          <w:lang w:val="es-ES"/>
        </w:rPr>
        <w:t xml:space="preserve">. </w:t>
      </w:r>
      <w:r w:rsidRPr="00FA506F">
        <w:rPr>
          <w:rFonts w:eastAsiaTheme="minorEastAsia" w:cs="Times New Roman"/>
          <w:color w:val="000000" w:themeColor="text1"/>
          <w:szCs w:val="20"/>
          <w:lang w:val="es-ES"/>
        </w:rPr>
        <w:t xml:space="preserve">La CIDH valoró positivamente la creación de la COVAJ y la </w:t>
      </w:r>
      <w:r w:rsidR="00BB0D62" w:rsidRPr="00FA506F">
        <w:rPr>
          <w:rFonts w:eastAsiaTheme="minorEastAsia" w:cs="Times New Roman"/>
          <w:color w:val="000000" w:themeColor="text1"/>
          <w:szCs w:val="20"/>
          <w:lang w:val="es-ES"/>
        </w:rPr>
        <w:t>Unidad Especial de Investigación y Litigación para el Caso Ayotzinapa</w:t>
      </w:r>
      <w:r w:rsidR="00981E5A" w:rsidRPr="00FA506F">
        <w:rPr>
          <w:rFonts w:eastAsiaTheme="minorEastAsia" w:cs="Times New Roman"/>
          <w:color w:val="000000" w:themeColor="text1"/>
          <w:szCs w:val="20"/>
          <w:lang w:val="es-ES"/>
        </w:rPr>
        <w:t xml:space="preserve"> del Ministerio Público</w:t>
      </w:r>
      <w:r w:rsidR="00BB0D62" w:rsidRPr="00FA506F">
        <w:rPr>
          <w:rFonts w:eastAsiaTheme="minorEastAsia" w:cs="Times New Roman"/>
          <w:color w:val="000000" w:themeColor="text1"/>
          <w:szCs w:val="20"/>
          <w:lang w:val="es-ES"/>
        </w:rPr>
        <w:t xml:space="preserve"> </w:t>
      </w:r>
      <w:r w:rsidR="00E26C80" w:rsidRPr="00FA506F">
        <w:rPr>
          <w:rFonts w:eastAsiaTheme="minorEastAsia" w:cs="Times New Roman"/>
          <w:color w:val="000000" w:themeColor="text1"/>
          <w:szCs w:val="20"/>
          <w:lang w:val="es-ES"/>
        </w:rPr>
        <w:t>(</w:t>
      </w:r>
      <w:r w:rsidRPr="00FA506F">
        <w:rPr>
          <w:rFonts w:eastAsiaTheme="minorEastAsia" w:cs="Times New Roman"/>
          <w:color w:val="000000" w:themeColor="text1"/>
          <w:szCs w:val="20"/>
          <w:lang w:val="es-ES"/>
        </w:rPr>
        <w:t>UEILCA</w:t>
      </w:r>
      <w:r w:rsidR="00E26C80" w:rsidRPr="00FA506F">
        <w:rPr>
          <w:rFonts w:eastAsiaTheme="minorEastAsia" w:cs="Times New Roman"/>
          <w:color w:val="000000" w:themeColor="text1"/>
          <w:szCs w:val="20"/>
          <w:lang w:val="es-ES"/>
        </w:rPr>
        <w:t>)</w:t>
      </w:r>
      <w:r w:rsidRPr="00FA506F">
        <w:rPr>
          <w:rFonts w:eastAsiaTheme="minorEastAsia" w:cs="Times New Roman"/>
          <w:color w:val="000000" w:themeColor="text1"/>
          <w:szCs w:val="20"/>
          <w:lang w:val="es-ES"/>
        </w:rPr>
        <w:t xml:space="preserve">, pero observó que el GIEI </w:t>
      </w:r>
      <w:r w:rsidR="00903B1B" w:rsidRPr="00FA506F">
        <w:rPr>
          <w:rFonts w:eastAsiaTheme="minorEastAsia" w:cs="Times New Roman"/>
          <w:color w:val="000000" w:themeColor="text1"/>
          <w:szCs w:val="20"/>
          <w:lang w:val="es-ES"/>
        </w:rPr>
        <w:t xml:space="preserve">había enfrentado </w:t>
      </w:r>
      <w:r w:rsidRPr="00FA506F">
        <w:rPr>
          <w:rFonts w:eastAsiaTheme="minorEastAsia" w:cs="Times New Roman"/>
          <w:color w:val="000000" w:themeColor="text1"/>
          <w:szCs w:val="20"/>
          <w:lang w:val="es-ES"/>
        </w:rPr>
        <w:t>serias dificultades en su labor, incluyendo la negativa de las FFAA a entregar documentos. La Comisión consider</w:t>
      </w:r>
      <w:r w:rsidR="00E26C80" w:rsidRPr="00FA506F">
        <w:rPr>
          <w:rFonts w:eastAsiaTheme="minorEastAsia" w:cs="Times New Roman"/>
          <w:color w:val="000000" w:themeColor="text1"/>
          <w:szCs w:val="20"/>
          <w:lang w:val="es-ES"/>
        </w:rPr>
        <w:t>ó</w:t>
      </w:r>
      <w:r w:rsidRPr="00FA506F">
        <w:rPr>
          <w:rFonts w:eastAsiaTheme="minorEastAsia" w:cs="Times New Roman"/>
          <w:color w:val="000000" w:themeColor="text1"/>
          <w:szCs w:val="20"/>
          <w:lang w:val="es-ES"/>
        </w:rPr>
        <w:t xml:space="preserve"> que, a pesar de algunos avances, </w:t>
      </w:r>
      <w:r w:rsidR="007B6A32" w:rsidRPr="00FA506F">
        <w:rPr>
          <w:rFonts w:eastAsiaTheme="minorEastAsia" w:cs="Times New Roman"/>
          <w:color w:val="000000" w:themeColor="text1"/>
          <w:szCs w:val="20"/>
          <w:lang w:val="es-ES"/>
        </w:rPr>
        <w:t>la recomendación</w:t>
      </w:r>
      <w:r w:rsidRPr="00FA506F">
        <w:rPr>
          <w:rFonts w:eastAsiaTheme="minorEastAsia" w:cs="Times New Roman"/>
          <w:color w:val="000000" w:themeColor="text1"/>
          <w:szCs w:val="20"/>
          <w:lang w:val="es-ES"/>
        </w:rPr>
        <w:t xml:space="preserve"> s</w:t>
      </w:r>
      <w:r w:rsidR="007B6A32" w:rsidRPr="00FA506F">
        <w:rPr>
          <w:rFonts w:eastAsiaTheme="minorEastAsia" w:cs="Times New Roman"/>
          <w:color w:val="000000" w:themeColor="text1"/>
          <w:szCs w:val="20"/>
          <w:lang w:val="es-ES"/>
        </w:rPr>
        <w:t>eguía</w:t>
      </w:r>
      <w:r w:rsidRPr="00FA506F">
        <w:rPr>
          <w:rFonts w:eastAsiaTheme="minorEastAsia" w:cs="Times New Roman"/>
          <w:color w:val="000000" w:themeColor="text1"/>
          <w:szCs w:val="20"/>
          <w:lang w:val="es-ES"/>
        </w:rPr>
        <w:t xml:space="preserve"> en cumplimiento parcial debido a la falta de cooperación completa y </w:t>
      </w:r>
      <w:r w:rsidR="007B6A32" w:rsidRPr="00FA506F">
        <w:rPr>
          <w:rFonts w:eastAsiaTheme="minorEastAsia" w:cs="Times New Roman"/>
          <w:color w:val="000000" w:themeColor="text1"/>
          <w:szCs w:val="20"/>
          <w:lang w:val="es-ES"/>
        </w:rPr>
        <w:t xml:space="preserve">a </w:t>
      </w:r>
      <w:r w:rsidRPr="00FA506F">
        <w:rPr>
          <w:rFonts w:eastAsiaTheme="minorEastAsia" w:cs="Times New Roman"/>
          <w:color w:val="000000" w:themeColor="text1"/>
          <w:szCs w:val="20"/>
          <w:lang w:val="es-ES"/>
        </w:rPr>
        <w:t>la necesidad de medidas adicionales para garantizar la justicia y el acceso a la información</w:t>
      </w:r>
      <w:r w:rsidR="009B1845" w:rsidRPr="00FA506F">
        <w:rPr>
          <w:rFonts w:eastAsiaTheme="minorEastAsia" w:cs="Times New Roman"/>
          <w:color w:val="000000" w:themeColor="text1"/>
          <w:szCs w:val="20"/>
          <w:vertAlign w:val="superscript"/>
          <w:lang w:val="es-ES"/>
        </w:rPr>
        <w:footnoteReference w:id="76"/>
      </w:r>
      <w:r w:rsidR="009B1845" w:rsidRPr="00FA506F">
        <w:rPr>
          <w:rFonts w:eastAsiaTheme="minorEastAsia" w:cs="Times New Roman"/>
          <w:color w:val="000000" w:themeColor="text1"/>
          <w:szCs w:val="20"/>
          <w:lang w:val="es-ES"/>
        </w:rPr>
        <w:t>.</w:t>
      </w:r>
    </w:p>
    <w:p w14:paraId="619FA977" w14:textId="36D6070C" w:rsidR="00780614" w:rsidRPr="00FA506F" w:rsidRDefault="00780614" w:rsidP="00FD7038">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66AE7E48" w14:textId="77777777" w:rsidR="00780614" w:rsidRPr="00FA506F" w:rsidRDefault="00780614" w:rsidP="00B80A67">
      <w:pPr>
        <w:ind w:firstLine="360"/>
        <w:jc w:val="both"/>
        <w:rPr>
          <w:rFonts w:ascii="Cambria" w:eastAsia="Cambria" w:hAnsi="Cambria" w:cs="Cambria"/>
          <w:i/>
          <w:iCs/>
          <w:color w:val="000000" w:themeColor="text1"/>
          <w:sz w:val="20"/>
          <w:szCs w:val="20"/>
          <w:lang w:val="es-ES"/>
        </w:rPr>
      </w:pPr>
    </w:p>
    <w:p w14:paraId="10CA0084" w14:textId="5D824A36" w:rsidR="00391C23" w:rsidRPr="00FA506F" w:rsidRDefault="00B637A4" w:rsidP="00B80A67">
      <w:pPr>
        <w:pStyle w:val="IAPrrafo"/>
        <w:numPr>
          <w:ilvl w:val="0"/>
          <w:numId w:val="4"/>
        </w:numPr>
        <w:tabs>
          <w:tab w:val="num" w:pos="720"/>
        </w:tabs>
        <w:ind w:firstLine="720"/>
        <w:rPr>
          <w:lang w:val="es-ES"/>
        </w:rPr>
      </w:pPr>
      <w:r w:rsidRPr="00FA506F">
        <w:rPr>
          <w:lang w:val="es-ES"/>
        </w:rPr>
        <w:t>En 2024, el Estado reportó que la</w:t>
      </w:r>
      <w:r w:rsidR="00391C23" w:rsidRPr="00FA506F">
        <w:rPr>
          <w:lang w:val="es-ES"/>
        </w:rPr>
        <w:t xml:space="preserve"> C</w:t>
      </w:r>
      <w:r w:rsidR="00F50925" w:rsidRPr="00FA506F">
        <w:rPr>
          <w:lang w:val="es-ES"/>
        </w:rPr>
        <w:t>O</w:t>
      </w:r>
      <w:r w:rsidR="00391C23" w:rsidRPr="00FA506F">
        <w:rPr>
          <w:lang w:val="es-ES"/>
        </w:rPr>
        <w:t>VAJ ha</w:t>
      </w:r>
      <w:r w:rsidRPr="00FA506F">
        <w:rPr>
          <w:lang w:val="es-ES"/>
        </w:rPr>
        <w:t>bría</w:t>
      </w:r>
      <w:r w:rsidR="00391C23" w:rsidRPr="00FA506F">
        <w:rPr>
          <w:lang w:val="es-ES"/>
        </w:rPr>
        <w:t xml:space="preserve"> implementado un modelo integral centrado en las víctimas</w:t>
      </w:r>
      <w:r w:rsidRPr="00FA506F">
        <w:rPr>
          <w:lang w:val="es-ES"/>
        </w:rPr>
        <w:t xml:space="preserve">. </w:t>
      </w:r>
      <w:r w:rsidR="00555FE1" w:rsidRPr="00FA506F">
        <w:rPr>
          <w:lang w:val="es-ES"/>
        </w:rPr>
        <w:t>En tal sentido, aclaró que l</w:t>
      </w:r>
      <w:r w:rsidR="00391C23" w:rsidRPr="00FA506F">
        <w:rPr>
          <w:lang w:val="es-ES"/>
        </w:rPr>
        <w:t xml:space="preserve">a </w:t>
      </w:r>
      <w:r w:rsidR="00191372" w:rsidRPr="00FA506F">
        <w:rPr>
          <w:lang w:val="es-ES"/>
        </w:rPr>
        <w:t>C</w:t>
      </w:r>
      <w:r w:rsidR="005059C6" w:rsidRPr="00FA506F">
        <w:rPr>
          <w:lang w:val="es-ES"/>
        </w:rPr>
        <w:t>OVAJ</w:t>
      </w:r>
      <w:r w:rsidR="00391C23" w:rsidRPr="00FA506F">
        <w:rPr>
          <w:lang w:val="es-ES"/>
        </w:rPr>
        <w:t xml:space="preserve"> ha</w:t>
      </w:r>
      <w:r w:rsidRPr="00FA506F">
        <w:rPr>
          <w:lang w:val="es-ES"/>
        </w:rPr>
        <w:t>bría</w:t>
      </w:r>
      <w:r w:rsidR="00391C23" w:rsidRPr="00FA506F">
        <w:rPr>
          <w:lang w:val="es-ES"/>
        </w:rPr>
        <w:t xml:space="preserve"> realizado 79 reuniones</w:t>
      </w:r>
      <w:r w:rsidRPr="00FA506F">
        <w:rPr>
          <w:lang w:val="es-ES"/>
        </w:rPr>
        <w:t xml:space="preserve"> para la </w:t>
      </w:r>
      <w:r w:rsidR="00391C23" w:rsidRPr="00FA506F">
        <w:rPr>
          <w:lang w:val="es-ES"/>
        </w:rPr>
        <w:t>evalua</w:t>
      </w:r>
      <w:r w:rsidRPr="00FA506F">
        <w:rPr>
          <w:lang w:val="es-ES"/>
        </w:rPr>
        <w:t>ción</w:t>
      </w:r>
      <w:r w:rsidR="00391C23" w:rsidRPr="00FA506F">
        <w:rPr>
          <w:lang w:val="es-ES"/>
        </w:rPr>
        <w:t xml:space="preserve"> </w:t>
      </w:r>
      <w:r w:rsidRPr="00FA506F">
        <w:rPr>
          <w:lang w:val="es-ES"/>
        </w:rPr>
        <w:t>d</w:t>
      </w:r>
      <w:r w:rsidR="00391C23" w:rsidRPr="00FA506F">
        <w:rPr>
          <w:lang w:val="es-ES"/>
        </w:rPr>
        <w:t xml:space="preserve">el progreso del caso. </w:t>
      </w:r>
      <w:r w:rsidR="008C2DA5" w:rsidRPr="00FA506F">
        <w:rPr>
          <w:lang w:val="es-ES"/>
        </w:rPr>
        <w:t>El</w:t>
      </w:r>
      <w:r w:rsidRPr="00FA506F">
        <w:rPr>
          <w:lang w:val="es-ES"/>
        </w:rPr>
        <w:t xml:space="preserve"> Estado </w:t>
      </w:r>
      <w:r w:rsidR="00555FE1" w:rsidRPr="00FA506F">
        <w:rPr>
          <w:lang w:val="es-ES"/>
        </w:rPr>
        <w:t>se refirió a</w:t>
      </w:r>
      <w:r w:rsidRPr="00FA506F">
        <w:rPr>
          <w:lang w:val="es-ES"/>
        </w:rPr>
        <w:t xml:space="preserve"> la publicación del</w:t>
      </w:r>
      <w:r w:rsidR="00391C23" w:rsidRPr="00FA506F">
        <w:rPr>
          <w:lang w:val="es-ES"/>
        </w:rPr>
        <w:t xml:space="preserve"> Segundo Informe</w:t>
      </w:r>
      <w:r w:rsidR="00555FE1" w:rsidRPr="00FA506F">
        <w:rPr>
          <w:lang w:val="es-ES"/>
        </w:rPr>
        <w:t>,</w:t>
      </w:r>
      <w:r w:rsidR="00391C23" w:rsidRPr="00FA506F">
        <w:rPr>
          <w:lang w:val="es-ES"/>
        </w:rPr>
        <w:t xml:space="preserve"> en septiembre de 2023</w:t>
      </w:r>
      <w:r w:rsidR="00555FE1" w:rsidRPr="00FA506F">
        <w:rPr>
          <w:lang w:val="es-ES"/>
        </w:rPr>
        <w:t>;</w:t>
      </w:r>
      <w:r w:rsidRPr="00FA506F">
        <w:rPr>
          <w:lang w:val="es-ES"/>
        </w:rPr>
        <w:t xml:space="preserve"> y </w:t>
      </w:r>
      <w:r w:rsidR="00555FE1" w:rsidRPr="00FA506F">
        <w:rPr>
          <w:lang w:val="es-ES"/>
        </w:rPr>
        <w:t>a</w:t>
      </w:r>
      <w:r w:rsidRPr="00FA506F">
        <w:rPr>
          <w:lang w:val="es-ES"/>
        </w:rPr>
        <w:t xml:space="preserve"> la publicación de un </w:t>
      </w:r>
      <w:r w:rsidRPr="00FA506F">
        <w:rPr>
          <w:i/>
          <w:lang w:val="es-ES"/>
        </w:rPr>
        <w:t>adendum</w:t>
      </w:r>
      <w:r w:rsidRPr="00FA506F">
        <w:rPr>
          <w:lang w:val="es-ES"/>
        </w:rPr>
        <w:t xml:space="preserve"> en </w:t>
      </w:r>
      <w:r w:rsidR="00391C23" w:rsidRPr="00FA506F">
        <w:rPr>
          <w:lang w:val="es-ES"/>
        </w:rPr>
        <w:t>octubre</w:t>
      </w:r>
      <w:r w:rsidRPr="00FA506F">
        <w:rPr>
          <w:lang w:val="es-ES"/>
        </w:rPr>
        <w:t xml:space="preserve">. El Estado </w:t>
      </w:r>
      <w:r w:rsidR="00D66FDC" w:rsidRPr="00FA506F">
        <w:rPr>
          <w:lang w:val="es-ES"/>
        </w:rPr>
        <w:t xml:space="preserve">resaltó </w:t>
      </w:r>
      <w:r w:rsidRPr="00FA506F">
        <w:rPr>
          <w:lang w:val="es-ES"/>
        </w:rPr>
        <w:t>que se habrían realizado</w:t>
      </w:r>
      <w:r w:rsidR="00391C23" w:rsidRPr="00FA506F">
        <w:rPr>
          <w:lang w:val="es-ES"/>
        </w:rPr>
        <w:t xml:space="preserve"> 191 acciones de búsqueda en instalaciones bajo control militar entre septiembre de 2023 y junio de 2024. Producto de estas investigaciones se</w:t>
      </w:r>
      <w:r w:rsidRPr="00FA506F">
        <w:rPr>
          <w:lang w:val="es-ES"/>
        </w:rPr>
        <w:t xml:space="preserve"> habría</w:t>
      </w:r>
      <w:r w:rsidR="00391C23" w:rsidRPr="00FA506F">
        <w:rPr>
          <w:lang w:val="es-ES"/>
        </w:rPr>
        <w:t xml:space="preserve"> logr</w:t>
      </w:r>
      <w:r w:rsidRPr="00FA506F">
        <w:rPr>
          <w:lang w:val="es-ES"/>
        </w:rPr>
        <w:t>ado</w:t>
      </w:r>
      <w:r w:rsidR="00391C23" w:rsidRPr="00FA506F">
        <w:rPr>
          <w:lang w:val="es-ES"/>
        </w:rPr>
        <w:t xml:space="preserve"> la detención de 124 personas, de las cuales 35 s</w:t>
      </w:r>
      <w:r w:rsidRPr="00FA506F">
        <w:rPr>
          <w:lang w:val="es-ES"/>
        </w:rPr>
        <w:t>erían</w:t>
      </w:r>
      <w:r w:rsidR="00391C23" w:rsidRPr="00FA506F">
        <w:rPr>
          <w:lang w:val="es-ES"/>
        </w:rPr>
        <w:t xml:space="preserve"> integrantes de la organización criminal </w:t>
      </w:r>
      <w:r w:rsidR="005059C6" w:rsidRPr="00FA506F">
        <w:rPr>
          <w:lang w:val="es-ES"/>
        </w:rPr>
        <w:t>“</w:t>
      </w:r>
      <w:r w:rsidR="00391C23" w:rsidRPr="00FA506F">
        <w:rPr>
          <w:lang w:val="es-ES"/>
        </w:rPr>
        <w:t>Guerreros Unidos</w:t>
      </w:r>
      <w:r w:rsidR="005059C6" w:rsidRPr="00FA506F">
        <w:rPr>
          <w:lang w:val="es-ES"/>
        </w:rPr>
        <w:t>”</w:t>
      </w:r>
      <w:r w:rsidR="00D66FDC" w:rsidRPr="00FA506F">
        <w:rPr>
          <w:lang w:val="es-ES"/>
        </w:rPr>
        <w:t>,</w:t>
      </w:r>
      <w:r w:rsidR="00391C23" w:rsidRPr="00FA506F">
        <w:rPr>
          <w:lang w:val="es-ES"/>
        </w:rPr>
        <w:t xml:space="preserve"> y 70 policías de distintas corporaciones y </w:t>
      </w:r>
      <w:r w:rsidR="00D66FDC" w:rsidRPr="00FA506F">
        <w:rPr>
          <w:lang w:val="es-ES"/>
        </w:rPr>
        <w:t>exservidores</w:t>
      </w:r>
      <w:r w:rsidR="00391C23" w:rsidRPr="00FA506F">
        <w:rPr>
          <w:lang w:val="es-ES"/>
        </w:rPr>
        <w:t xml:space="preserve"> públicos. En términos de judicialización, se ha</w:t>
      </w:r>
      <w:r w:rsidRPr="00FA506F">
        <w:rPr>
          <w:lang w:val="es-ES"/>
        </w:rPr>
        <w:t>bría</w:t>
      </w:r>
      <w:r w:rsidR="00391C23" w:rsidRPr="00FA506F">
        <w:rPr>
          <w:lang w:val="es-ES"/>
        </w:rPr>
        <w:t>n llevado a cabo 48 sesiones de trabajo con nuevos informantes, y se contin</w:t>
      </w:r>
      <w:r w:rsidRPr="00FA506F">
        <w:rPr>
          <w:lang w:val="es-ES"/>
        </w:rPr>
        <w:t>uarí</w:t>
      </w:r>
      <w:r w:rsidR="00391C23" w:rsidRPr="00FA506F">
        <w:rPr>
          <w:lang w:val="es-ES"/>
        </w:rPr>
        <w:t xml:space="preserve">a la colaboración con el gobierno de Israel en el proceso de extradición de Tomás Zerón. </w:t>
      </w:r>
      <w:r w:rsidR="00787C86" w:rsidRPr="00FA506F">
        <w:rPr>
          <w:lang w:val="es-ES"/>
        </w:rPr>
        <w:t>Según información aportada por el Estado, s</w:t>
      </w:r>
      <w:r w:rsidR="00391C23" w:rsidRPr="00FA506F">
        <w:rPr>
          <w:lang w:val="es-ES"/>
        </w:rPr>
        <w:t>e ha</w:t>
      </w:r>
      <w:r w:rsidRPr="00FA506F">
        <w:rPr>
          <w:lang w:val="es-ES"/>
        </w:rPr>
        <w:t>bría</w:t>
      </w:r>
      <w:r w:rsidR="00391C23" w:rsidRPr="00FA506F">
        <w:rPr>
          <w:lang w:val="es-ES"/>
        </w:rPr>
        <w:t>n brindado 5</w:t>
      </w:r>
      <w:r w:rsidR="00CB6EE7" w:rsidRPr="00FA506F">
        <w:rPr>
          <w:lang w:val="es-ES"/>
        </w:rPr>
        <w:t>.</w:t>
      </w:r>
      <w:r w:rsidR="00391C23" w:rsidRPr="00FA506F">
        <w:rPr>
          <w:lang w:val="es-ES"/>
        </w:rPr>
        <w:t>677 consultas a las familias de las víctimas, quienes s</w:t>
      </w:r>
      <w:r w:rsidRPr="00FA506F">
        <w:rPr>
          <w:lang w:val="es-ES"/>
        </w:rPr>
        <w:t>eguirían</w:t>
      </w:r>
      <w:r w:rsidR="00391C23" w:rsidRPr="00FA506F">
        <w:rPr>
          <w:lang w:val="es-ES"/>
        </w:rPr>
        <w:t xml:space="preserve"> recibiendo apoyo de programas sociales</w:t>
      </w:r>
      <w:r w:rsidR="00E73208" w:rsidRPr="00FA506F">
        <w:rPr>
          <w:rStyle w:val="FootnoteReference"/>
          <w:lang w:val="es-ES"/>
        </w:rPr>
        <w:footnoteReference w:id="77"/>
      </w:r>
      <w:r w:rsidR="00391C23" w:rsidRPr="00FA506F">
        <w:rPr>
          <w:lang w:val="es-ES"/>
        </w:rPr>
        <w:t xml:space="preserve">. </w:t>
      </w:r>
    </w:p>
    <w:p w14:paraId="19F209FE" w14:textId="7432F64E" w:rsidR="00522FE8" w:rsidRPr="00FA506F" w:rsidRDefault="00B637A4" w:rsidP="00937E52">
      <w:pPr>
        <w:pStyle w:val="IAPrrafo"/>
        <w:numPr>
          <w:ilvl w:val="0"/>
          <w:numId w:val="4"/>
        </w:numPr>
        <w:tabs>
          <w:tab w:val="num" w:pos="720"/>
        </w:tabs>
        <w:ind w:firstLine="720"/>
        <w:rPr>
          <w:color w:val="000000" w:themeColor="text1"/>
          <w:lang w:val="es-ES"/>
        </w:rPr>
      </w:pPr>
      <w:r w:rsidRPr="00FA506F">
        <w:rPr>
          <w:color w:val="000000" w:themeColor="text1"/>
          <w:lang w:val="es-ES"/>
        </w:rPr>
        <w:t>Por su parte, organizaciones de la sociedad</w:t>
      </w:r>
      <w:r w:rsidR="00910FE4" w:rsidRPr="00FA506F">
        <w:rPr>
          <w:color w:val="000000" w:themeColor="text1"/>
          <w:lang w:val="es-ES"/>
        </w:rPr>
        <w:t xml:space="preserve"> civil</w:t>
      </w:r>
      <w:r w:rsidRPr="00FA506F">
        <w:rPr>
          <w:color w:val="000000" w:themeColor="text1"/>
          <w:lang w:val="es-ES"/>
        </w:rPr>
        <w:t xml:space="preserve"> relacionadas</w:t>
      </w:r>
      <w:r w:rsidR="00264957" w:rsidRPr="00FA506F">
        <w:rPr>
          <w:color w:val="000000" w:themeColor="text1"/>
          <w:lang w:val="es-ES"/>
        </w:rPr>
        <w:t xml:space="preserve"> con el caso</w:t>
      </w:r>
      <w:r w:rsidRPr="00FA506F">
        <w:rPr>
          <w:color w:val="000000" w:themeColor="text1"/>
          <w:lang w:val="es-ES"/>
        </w:rPr>
        <w:t xml:space="preserve"> reiteraron su preocupación, debido a que habría pocos avances </w:t>
      </w:r>
      <w:r w:rsidR="00264957" w:rsidRPr="00FA506F">
        <w:rPr>
          <w:color w:val="000000" w:themeColor="text1"/>
          <w:lang w:val="es-ES"/>
        </w:rPr>
        <w:t>en el proceso de investigación</w:t>
      </w:r>
      <w:r w:rsidRPr="00FA506F">
        <w:rPr>
          <w:color w:val="000000" w:themeColor="text1"/>
          <w:lang w:val="es-ES"/>
        </w:rPr>
        <w:t xml:space="preserve"> durante el último año</w:t>
      </w:r>
      <w:r w:rsidR="0085254D" w:rsidRPr="00FA506F">
        <w:rPr>
          <w:color w:val="000000" w:themeColor="text1"/>
          <w:lang w:val="es-ES"/>
        </w:rPr>
        <w:t>. A</w:t>
      </w:r>
      <w:r w:rsidRPr="00FA506F">
        <w:rPr>
          <w:color w:val="000000" w:themeColor="text1"/>
          <w:lang w:val="es-ES"/>
        </w:rPr>
        <w:t xml:space="preserve"> esto se le sumaría un deterioro de la relación con las familias de los 43 estudiantes desaparecidos con las autoridades</w:t>
      </w:r>
      <w:r w:rsidR="000212A3" w:rsidRPr="00FA506F">
        <w:rPr>
          <w:color w:val="000000" w:themeColor="text1"/>
          <w:lang w:val="es-ES"/>
        </w:rPr>
        <w:t>. Las organizaciones</w:t>
      </w:r>
      <w:r w:rsidR="00446F81" w:rsidRPr="00FA506F">
        <w:rPr>
          <w:color w:val="000000" w:themeColor="text1"/>
          <w:lang w:val="es-ES"/>
        </w:rPr>
        <w:t xml:space="preserve"> </w:t>
      </w:r>
      <w:r w:rsidR="00264957" w:rsidRPr="00FA506F">
        <w:rPr>
          <w:color w:val="000000" w:themeColor="text1"/>
          <w:lang w:val="es-ES"/>
        </w:rPr>
        <w:t xml:space="preserve">resaltaron que </w:t>
      </w:r>
      <w:r w:rsidR="00F67E90" w:rsidRPr="00FA506F">
        <w:rPr>
          <w:color w:val="000000" w:themeColor="text1"/>
          <w:lang w:val="es-ES"/>
        </w:rPr>
        <w:t xml:space="preserve">después de </w:t>
      </w:r>
      <w:r w:rsidRPr="00FA506F">
        <w:rPr>
          <w:color w:val="000000" w:themeColor="text1"/>
          <w:lang w:val="es-ES"/>
        </w:rPr>
        <w:t xml:space="preserve">la salida del GIEI </w:t>
      </w:r>
      <w:r w:rsidR="00264957" w:rsidRPr="00FA506F">
        <w:rPr>
          <w:color w:val="000000" w:themeColor="text1"/>
          <w:lang w:val="es-ES"/>
        </w:rPr>
        <w:t xml:space="preserve">no habrían existido mecanismos </w:t>
      </w:r>
      <w:r w:rsidR="0085254D" w:rsidRPr="00FA506F">
        <w:rPr>
          <w:color w:val="000000" w:themeColor="text1"/>
          <w:lang w:val="es-ES"/>
        </w:rPr>
        <w:t>similares</w:t>
      </w:r>
      <w:r w:rsidR="00264957" w:rsidRPr="00FA506F">
        <w:rPr>
          <w:color w:val="000000" w:themeColor="text1"/>
          <w:lang w:val="es-ES"/>
        </w:rPr>
        <w:t>.</w:t>
      </w:r>
      <w:r w:rsidR="00522FE8" w:rsidRPr="00FA506F">
        <w:rPr>
          <w:color w:val="000000" w:themeColor="text1"/>
          <w:lang w:val="es-ES"/>
        </w:rPr>
        <w:t xml:space="preserve"> De igual forma, </w:t>
      </w:r>
      <w:r w:rsidR="003F477D" w:rsidRPr="00FA506F">
        <w:rPr>
          <w:color w:val="000000" w:themeColor="text1"/>
          <w:lang w:val="es-ES"/>
        </w:rPr>
        <w:t xml:space="preserve">precisaron </w:t>
      </w:r>
      <w:r w:rsidR="00522FE8" w:rsidRPr="00FA506F">
        <w:rPr>
          <w:color w:val="000000" w:themeColor="text1"/>
          <w:lang w:val="es-ES"/>
        </w:rPr>
        <w:t>que</w:t>
      </w:r>
      <w:r w:rsidR="003F477D" w:rsidRPr="00FA506F">
        <w:rPr>
          <w:color w:val="000000" w:themeColor="text1"/>
          <w:lang w:val="es-ES"/>
        </w:rPr>
        <w:t>,</w:t>
      </w:r>
      <w:r w:rsidR="00522FE8" w:rsidRPr="00FA506F">
        <w:rPr>
          <w:color w:val="000000" w:themeColor="text1"/>
          <w:lang w:val="es-ES"/>
        </w:rPr>
        <w:t xml:space="preserve"> con base en el último informe del GIEI en el que se denunció que las </w:t>
      </w:r>
      <w:r w:rsidR="00E05C93" w:rsidRPr="00FA506F">
        <w:rPr>
          <w:color w:val="000000" w:themeColor="text1"/>
          <w:lang w:val="es-ES"/>
        </w:rPr>
        <w:t>Fuerzas Armadas</w:t>
      </w:r>
      <w:r w:rsidR="00522FE8" w:rsidRPr="00FA506F">
        <w:rPr>
          <w:color w:val="000000" w:themeColor="text1"/>
          <w:lang w:val="es-ES"/>
        </w:rPr>
        <w:t xml:space="preserve"> no </w:t>
      </w:r>
      <w:r w:rsidR="00D00843" w:rsidRPr="00FA506F">
        <w:rPr>
          <w:color w:val="000000" w:themeColor="text1"/>
          <w:lang w:val="es-ES"/>
        </w:rPr>
        <w:t xml:space="preserve">habían </w:t>
      </w:r>
      <w:r w:rsidR="00522FE8" w:rsidRPr="00FA506F">
        <w:rPr>
          <w:color w:val="000000" w:themeColor="text1"/>
          <w:lang w:val="es-ES"/>
        </w:rPr>
        <w:t>coopera</w:t>
      </w:r>
      <w:r w:rsidR="00D00843" w:rsidRPr="00FA506F">
        <w:rPr>
          <w:color w:val="000000" w:themeColor="text1"/>
          <w:lang w:val="es-ES"/>
        </w:rPr>
        <w:t>do</w:t>
      </w:r>
      <w:r w:rsidR="00522FE8" w:rsidRPr="00FA506F">
        <w:rPr>
          <w:color w:val="000000" w:themeColor="text1"/>
          <w:lang w:val="es-ES"/>
        </w:rPr>
        <w:t xml:space="preserve"> para entregar toda la información requerida, las familias habrían impulsado diversas acciones de denuncia y litigio para que la información de inteligencia requerida sea remitida</w:t>
      </w:r>
      <w:r w:rsidR="00522FE8" w:rsidRPr="00FA506F">
        <w:rPr>
          <w:rStyle w:val="FootnoteReference"/>
          <w:color w:val="000000" w:themeColor="text1"/>
          <w:lang w:val="es-ES"/>
        </w:rPr>
        <w:footnoteReference w:id="78"/>
      </w:r>
      <w:r w:rsidR="00D00843" w:rsidRPr="00FA506F">
        <w:rPr>
          <w:color w:val="000000" w:themeColor="text1"/>
          <w:lang w:val="es-ES"/>
        </w:rPr>
        <w:t>: e</w:t>
      </w:r>
      <w:r w:rsidR="00522FE8" w:rsidRPr="00FA506F">
        <w:rPr>
          <w:color w:val="000000" w:themeColor="text1"/>
          <w:lang w:val="es-ES"/>
        </w:rPr>
        <w:t>n particular, un número indeterminado</w:t>
      </w:r>
      <w:r w:rsidR="007B2547" w:rsidRPr="00FA506F">
        <w:rPr>
          <w:color w:val="000000" w:themeColor="text1"/>
          <w:lang w:val="es-ES"/>
        </w:rPr>
        <w:t xml:space="preserve"> (</w:t>
      </w:r>
      <w:r w:rsidR="00522FE8" w:rsidRPr="00FA506F">
        <w:rPr>
          <w:color w:val="000000" w:themeColor="text1"/>
          <w:lang w:val="es-ES"/>
        </w:rPr>
        <w:t>al menos 800</w:t>
      </w:r>
      <w:r w:rsidR="007B2547" w:rsidRPr="00FA506F">
        <w:rPr>
          <w:color w:val="000000" w:themeColor="text1"/>
          <w:lang w:val="es-ES"/>
        </w:rPr>
        <w:t xml:space="preserve">) </w:t>
      </w:r>
      <w:r w:rsidR="00522FE8" w:rsidRPr="00FA506F">
        <w:rPr>
          <w:color w:val="000000" w:themeColor="text1"/>
          <w:lang w:val="es-ES"/>
        </w:rPr>
        <w:t>de reportes del Centro Regional de Fusión de Inteligencia. S</w:t>
      </w:r>
      <w:r w:rsidR="00DF0DFD" w:rsidRPr="00FA506F">
        <w:rPr>
          <w:color w:val="000000" w:themeColor="text1"/>
          <w:lang w:val="es-ES"/>
        </w:rPr>
        <w:t xml:space="preserve">egún las organizaciones, a pesar de estos esfuerzos, </w:t>
      </w:r>
      <w:r w:rsidR="00522FE8" w:rsidRPr="00FA506F">
        <w:rPr>
          <w:color w:val="000000" w:themeColor="text1"/>
          <w:lang w:val="es-ES"/>
        </w:rPr>
        <w:t xml:space="preserve">la información </w:t>
      </w:r>
      <w:r w:rsidR="00DF0DFD" w:rsidRPr="00FA506F">
        <w:rPr>
          <w:color w:val="000000" w:themeColor="text1"/>
          <w:lang w:val="es-ES"/>
        </w:rPr>
        <w:t xml:space="preserve">aún </w:t>
      </w:r>
      <w:r w:rsidR="00522FE8" w:rsidRPr="00FA506F">
        <w:rPr>
          <w:color w:val="000000" w:themeColor="text1"/>
          <w:lang w:val="es-ES"/>
        </w:rPr>
        <w:t xml:space="preserve">no habría sido otorgada, lo que culminaría por deteriorar aún más el diálogo entre las familias y las autoridades federales. </w:t>
      </w:r>
      <w:r w:rsidR="008C2DA5" w:rsidRPr="00FA506F">
        <w:rPr>
          <w:color w:val="000000" w:themeColor="text1"/>
          <w:lang w:val="es-ES"/>
        </w:rPr>
        <w:t>Por otra parte</w:t>
      </w:r>
      <w:r w:rsidR="00522FE8" w:rsidRPr="00FA506F">
        <w:rPr>
          <w:color w:val="000000" w:themeColor="text1"/>
          <w:lang w:val="es-ES"/>
        </w:rPr>
        <w:t>,</w:t>
      </w:r>
      <w:r w:rsidR="008C2DA5" w:rsidRPr="00FA506F">
        <w:rPr>
          <w:color w:val="000000" w:themeColor="text1"/>
          <w:lang w:val="es-ES"/>
        </w:rPr>
        <w:t xml:space="preserve"> las organizaciones refirieron que</w:t>
      </w:r>
      <w:r w:rsidR="00522FE8" w:rsidRPr="00FA506F">
        <w:rPr>
          <w:color w:val="000000" w:themeColor="text1"/>
          <w:lang w:val="es-ES"/>
        </w:rPr>
        <w:t xml:space="preserve"> las autoridades </w:t>
      </w:r>
      <w:r w:rsidR="00BF78BB" w:rsidRPr="00FA506F">
        <w:rPr>
          <w:color w:val="000000" w:themeColor="text1"/>
          <w:lang w:val="es-ES"/>
        </w:rPr>
        <w:t xml:space="preserve">buscaron </w:t>
      </w:r>
      <w:r w:rsidR="00522FE8" w:rsidRPr="00FA506F">
        <w:rPr>
          <w:color w:val="000000" w:themeColor="text1"/>
          <w:lang w:val="es-ES"/>
        </w:rPr>
        <w:t xml:space="preserve">imponer la carga de la búsqueda de información </w:t>
      </w:r>
      <w:r w:rsidR="00BF78BB" w:rsidRPr="00FA506F">
        <w:rPr>
          <w:color w:val="000000" w:themeColor="text1"/>
          <w:lang w:val="es-ES"/>
        </w:rPr>
        <w:t>en las propias</w:t>
      </w:r>
      <w:r w:rsidR="00522FE8" w:rsidRPr="00FA506F">
        <w:rPr>
          <w:color w:val="000000" w:themeColor="text1"/>
          <w:lang w:val="es-ES"/>
        </w:rPr>
        <w:t xml:space="preserve"> familias</w:t>
      </w:r>
      <w:r w:rsidR="00CE21AD" w:rsidRPr="00FA506F">
        <w:rPr>
          <w:color w:val="000000" w:themeColor="text1"/>
          <w:lang w:val="es-ES"/>
        </w:rPr>
        <w:t>.</w:t>
      </w:r>
      <w:r w:rsidR="00522FE8" w:rsidRPr="00FA506F">
        <w:rPr>
          <w:color w:val="000000" w:themeColor="text1"/>
          <w:lang w:val="es-ES"/>
        </w:rPr>
        <w:t xml:space="preserve"> </w:t>
      </w:r>
      <w:r w:rsidR="00DF0DFD" w:rsidRPr="00FA506F">
        <w:rPr>
          <w:color w:val="000000" w:themeColor="text1"/>
          <w:lang w:val="es-ES"/>
        </w:rPr>
        <w:t xml:space="preserve">En tal sentido, </w:t>
      </w:r>
      <w:r w:rsidR="002102D4" w:rsidRPr="00FA506F">
        <w:rPr>
          <w:color w:val="000000" w:themeColor="text1"/>
          <w:lang w:val="es-ES"/>
        </w:rPr>
        <w:t>transmitieron</w:t>
      </w:r>
      <w:r w:rsidR="00C273DC" w:rsidRPr="00FA506F">
        <w:rPr>
          <w:color w:val="000000" w:themeColor="text1"/>
          <w:lang w:val="es-ES"/>
        </w:rPr>
        <w:t xml:space="preserve"> que</w:t>
      </w:r>
      <w:r w:rsidR="002102D4" w:rsidRPr="00FA506F">
        <w:rPr>
          <w:color w:val="000000" w:themeColor="text1"/>
          <w:lang w:val="es-ES"/>
        </w:rPr>
        <w:t xml:space="preserve"> e</w:t>
      </w:r>
      <w:r w:rsidR="00522FE8" w:rsidRPr="00FA506F">
        <w:rPr>
          <w:color w:val="000000" w:themeColor="text1"/>
          <w:lang w:val="es-ES"/>
        </w:rPr>
        <w:t>n junio de 2024 el Gobierno Federal entreg</w:t>
      </w:r>
      <w:r w:rsidR="00A11599" w:rsidRPr="00FA506F">
        <w:rPr>
          <w:color w:val="000000" w:themeColor="text1"/>
          <w:lang w:val="es-ES"/>
        </w:rPr>
        <w:t>ó</w:t>
      </w:r>
      <w:r w:rsidR="00522FE8" w:rsidRPr="00FA506F">
        <w:rPr>
          <w:color w:val="000000" w:themeColor="text1"/>
          <w:lang w:val="es-ES"/>
        </w:rPr>
        <w:t xml:space="preserve"> a las familias 15 folios de los más de 800 que </w:t>
      </w:r>
      <w:r w:rsidR="00C273DC" w:rsidRPr="00FA506F">
        <w:rPr>
          <w:color w:val="000000" w:themeColor="text1"/>
          <w:lang w:val="es-ES"/>
        </w:rPr>
        <w:t xml:space="preserve">habían </w:t>
      </w:r>
      <w:r w:rsidR="00522FE8" w:rsidRPr="00FA506F">
        <w:rPr>
          <w:color w:val="000000" w:themeColor="text1"/>
          <w:lang w:val="es-ES"/>
        </w:rPr>
        <w:t>solicita</w:t>
      </w:r>
      <w:r w:rsidR="00C273DC" w:rsidRPr="00FA506F">
        <w:rPr>
          <w:color w:val="000000" w:themeColor="text1"/>
          <w:lang w:val="es-ES"/>
        </w:rPr>
        <w:t>do</w:t>
      </w:r>
      <w:r w:rsidR="00522FE8" w:rsidRPr="00FA506F">
        <w:rPr>
          <w:color w:val="000000" w:themeColor="text1"/>
          <w:lang w:val="es-ES"/>
        </w:rPr>
        <w:t xml:space="preserve"> las familias por escrito al </w:t>
      </w:r>
      <w:r w:rsidR="00FD7038" w:rsidRPr="00FA506F">
        <w:rPr>
          <w:color w:val="000000" w:themeColor="text1"/>
          <w:lang w:val="es-ES"/>
        </w:rPr>
        <w:t>presidente</w:t>
      </w:r>
      <w:r w:rsidR="00522FE8" w:rsidRPr="00FA506F">
        <w:rPr>
          <w:color w:val="000000" w:themeColor="text1"/>
          <w:lang w:val="es-ES"/>
        </w:rPr>
        <w:t xml:space="preserve"> de la República. Los folios entregados confirmarían que en los archivos militares aún habría más información que tendría que entregarse</w:t>
      </w:r>
      <w:r w:rsidR="00522FE8" w:rsidRPr="00FA506F">
        <w:rPr>
          <w:rStyle w:val="FootnoteReference"/>
          <w:color w:val="000000" w:themeColor="text1"/>
          <w:lang w:val="es-ES"/>
        </w:rPr>
        <w:footnoteReference w:id="79"/>
      </w:r>
      <w:r w:rsidR="00522FE8" w:rsidRPr="00FA506F">
        <w:rPr>
          <w:color w:val="000000" w:themeColor="text1"/>
          <w:lang w:val="es-ES"/>
        </w:rPr>
        <w:t xml:space="preserve">. </w:t>
      </w:r>
      <w:r w:rsidR="00A61C99" w:rsidRPr="00FA506F">
        <w:rPr>
          <w:color w:val="000000" w:themeColor="text1"/>
          <w:lang w:val="es-ES"/>
        </w:rPr>
        <w:t>La</w:t>
      </w:r>
      <w:r w:rsidR="00A11599" w:rsidRPr="00FA506F">
        <w:rPr>
          <w:color w:val="000000" w:themeColor="text1"/>
          <w:lang w:val="es-ES"/>
        </w:rPr>
        <w:t>s</w:t>
      </w:r>
      <w:r w:rsidR="00A61C99" w:rsidRPr="00FA506F">
        <w:rPr>
          <w:color w:val="000000" w:themeColor="text1"/>
          <w:lang w:val="es-ES"/>
        </w:rPr>
        <w:t xml:space="preserve"> organizaci</w:t>
      </w:r>
      <w:r w:rsidR="00A11599" w:rsidRPr="00FA506F">
        <w:rPr>
          <w:color w:val="000000" w:themeColor="text1"/>
          <w:lang w:val="es-ES"/>
        </w:rPr>
        <w:t xml:space="preserve">ones </w:t>
      </w:r>
      <w:r w:rsidR="00B52C00" w:rsidRPr="00FA506F">
        <w:rPr>
          <w:color w:val="000000" w:themeColor="text1"/>
          <w:lang w:val="es-ES"/>
        </w:rPr>
        <w:t xml:space="preserve">reportaron </w:t>
      </w:r>
      <w:r w:rsidR="00A61C99" w:rsidRPr="00FA506F">
        <w:rPr>
          <w:color w:val="000000" w:themeColor="text1"/>
          <w:lang w:val="es-ES"/>
        </w:rPr>
        <w:t xml:space="preserve">que </w:t>
      </w:r>
      <w:r w:rsidR="00522FE8" w:rsidRPr="00FA506F">
        <w:rPr>
          <w:color w:val="000000" w:themeColor="text1"/>
          <w:lang w:val="es-ES"/>
        </w:rPr>
        <w:t xml:space="preserve">estos documentos </w:t>
      </w:r>
      <w:r w:rsidR="00A61C99" w:rsidRPr="00FA506F">
        <w:rPr>
          <w:color w:val="000000" w:themeColor="text1"/>
          <w:lang w:val="es-ES"/>
        </w:rPr>
        <w:t>transcribirían</w:t>
      </w:r>
      <w:r w:rsidR="00522FE8" w:rsidRPr="00FA506F">
        <w:rPr>
          <w:color w:val="000000" w:themeColor="text1"/>
          <w:lang w:val="es-ES"/>
        </w:rPr>
        <w:t xml:space="preserve"> intervenciones telefónicas realizadas </w:t>
      </w:r>
      <w:r w:rsidR="00454AE0" w:rsidRPr="00FA506F">
        <w:rPr>
          <w:color w:val="000000" w:themeColor="text1"/>
          <w:lang w:val="es-ES"/>
        </w:rPr>
        <w:t>en</w:t>
      </w:r>
      <w:r w:rsidR="00522FE8" w:rsidRPr="00FA506F">
        <w:rPr>
          <w:color w:val="000000" w:themeColor="text1"/>
          <w:lang w:val="es-ES"/>
        </w:rPr>
        <w:t xml:space="preserve"> comunicaciones</w:t>
      </w:r>
      <w:r w:rsidR="00A61C99" w:rsidRPr="00FA506F">
        <w:rPr>
          <w:color w:val="000000" w:themeColor="text1"/>
          <w:lang w:val="es-ES"/>
        </w:rPr>
        <w:t xml:space="preserve"> </w:t>
      </w:r>
      <w:r w:rsidR="00522FE8" w:rsidRPr="00FA506F">
        <w:rPr>
          <w:color w:val="000000" w:themeColor="text1"/>
          <w:lang w:val="es-ES"/>
        </w:rPr>
        <w:t xml:space="preserve">de personas posiblemente relacionadas con los hechos, lo que </w:t>
      </w:r>
      <w:r w:rsidR="004B5C59" w:rsidRPr="00FA506F">
        <w:rPr>
          <w:color w:val="000000" w:themeColor="text1"/>
          <w:lang w:val="es-ES"/>
        </w:rPr>
        <w:t xml:space="preserve">reforzaría </w:t>
      </w:r>
      <w:r w:rsidR="00522FE8" w:rsidRPr="00FA506F">
        <w:rPr>
          <w:color w:val="000000" w:themeColor="text1"/>
          <w:lang w:val="es-ES"/>
        </w:rPr>
        <w:t>la necesidad de que se ponga a</w:t>
      </w:r>
      <w:r w:rsidR="00A61C99" w:rsidRPr="00FA506F">
        <w:rPr>
          <w:color w:val="000000" w:themeColor="text1"/>
          <w:lang w:val="es-ES"/>
        </w:rPr>
        <w:t xml:space="preserve"> </w:t>
      </w:r>
      <w:r w:rsidR="00522FE8" w:rsidRPr="00FA506F">
        <w:rPr>
          <w:color w:val="000000" w:themeColor="text1"/>
          <w:lang w:val="es-ES"/>
        </w:rPr>
        <w:t>disposición toda la información relacionada con estas</w:t>
      </w:r>
      <w:r w:rsidR="00A61C99" w:rsidRPr="00FA506F">
        <w:rPr>
          <w:color w:val="000000" w:themeColor="text1"/>
          <w:lang w:val="es-ES"/>
        </w:rPr>
        <w:t xml:space="preserve">. </w:t>
      </w:r>
      <w:r w:rsidR="00522FE8" w:rsidRPr="00FA506F">
        <w:rPr>
          <w:color w:val="000000" w:themeColor="text1"/>
          <w:lang w:val="es-ES"/>
        </w:rPr>
        <w:t xml:space="preserve">Adicionalmente, </w:t>
      </w:r>
      <w:r w:rsidR="00A61C99" w:rsidRPr="00FA506F">
        <w:rPr>
          <w:color w:val="000000" w:themeColor="text1"/>
          <w:lang w:val="es-ES"/>
        </w:rPr>
        <w:t>informaron que</w:t>
      </w:r>
      <w:r w:rsidR="009434B8" w:rsidRPr="00FA506F">
        <w:rPr>
          <w:color w:val="000000" w:themeColor="text1"/>
          <w:lang w:val="es-ES"/>
        </w:rPr>
        <w:t>,</w:t>
      </w:r>
      <w:r w:rsidR="008B2969" w:rsidRPr="00FA506F">
        <w:rPr>
          <w:color w:val="000000" w:themeColor="text1"/>
          <w:lang w:val="es-ES"/>
        </w:rPr>
        <w:t xml:space="preserve"> </w:t>
      </w:r>
      <w:r w:rsidR="00522FE8" w:rsidRPr="00FA506F">
        <w:rPr>
          <w:color w:val="000000" w:themeColor="text1"/>
          <w:lang w:val="es-ES"/>
        </w:rPr>
        <w:t xml:space="preserve">en </w:t>
      </w:r>
      <w:r w:rsidR="008B2969" w:rsidRPr="00FA506F">
        <w:rPr>
          <w:color w:val="000000" w:themeColor="text1"/>
          <w:lang w:val="es-ES"/>
        </w:rPr>
        <w:t xml:space="preserve">una </w:t>
      </w:r>
      <w:r w:rsidR="00522FE8" w:rsidRPr="00FA506F">
        <w:rPr>
          <w:color w:val="000000" w:themeColor="text1"/>
          <w:lang w:val="es-ES"/>
        </w:rPr>
        <w:t xml:space="preserve">reunión con autoridades federales, incluyendo </w:t>
      </w:r>
      <w:r w:rsidR="008B2969" w:rsidRPr="00FA506F">
        <w:rPr>
          <w:color w:val="000000" w:themeColor="text1"/>
          <w:lang w:val="es-ES"/>
        </w:rPr>
        <w:t>a</w:t>
      </w:r>
      <w:r w:rsidR="00522FE8" w:rsidRPr="00FA506F">
        <w:rPr>
          <w:color w:val="000000" w:themeColor="text1"/>
          <w:lang w:val="es-ES"/>
        </w:rPr>
        <w:t xml:space="preserve">l entonces </w:t>
      </w:r>
      <w:r w:rsidR="00FD7038" w:rsidRPr="00FA506F">
        <w:rPr>
          <w:color w:val="000000" w:themeColor="text1"/>
          <w:lang w:val="es-ES"/>
        </w:rPr>
        <w:t>presidente</w:t>
      </w:r>
      <w:r w:rsidR="008B2969" w:rsidRPr="00FA506F">
        <w:rPr>
          <w:color w:val="000000" w:themeColor="text1"/>
          <w:lang w:val="es-ES"/>
        </w:rPr>
        <w:t xml:space="preserve"> de la República</w:t>
      </w:r>
      <w:r w:rsidR="00522FE8" w:rsidRPr="00FA506F">
        <w:rPr>
          <w:color w:val="000000" w:themeColor="text1"/>
          <w:lang w:val="es-ES"/>
        </w:rPr>
        <w:t>, se habló de que habría</w:t>
      </w:r>
      <w:r w:rsidR="00A61C99" w:rsidRPr="00FA506F">
        <w:rPr>
          <w:color w:val="000000" w:themeColor="text1"/>
          <w:lang w:val="es-ES"/>
        </w:rPr>
        <w:t xml:space="preserve"> </w:t>
      </w:r>
      <w:r w:rsidR="00522FE8" w:rsidRPr="00FA506F">
        <w:rPr>
          <w:color w:val="000000" w:themeColor="text1"/>
          <w:lang w:val="es-ES"/>
        </w:rPr>
        <w:t>poco más de 600 folios que el Ejército, unilateralmente, determin</w:t>
      </w:r>
      <w:r w:rsidR="00822249" w:rsidRPr="00FA506F">
        <w:rPr>
          <w:color w:val="000000" w:themeColor="text1"/>
          <w:lang w:val="es-ES"/>
        </w:rPr>
        <w:t>ó</w:t>
      </w:r>
      <w:r w:rsidR="00522FE8" w:rsidRPr="00FA506F">
        <w:rPr>
          <w:color w:val="000000" w:themeColor="text1"/>
          <w:lang w:val="es-ES"/>
        </w:rPr>
        <w:t xml:space="preserve"> que no eran relevantes</w:t>
      </w:r>
      <w:r w:rsidR="00A61C99" w:rsidRPr="00FA506F">
        <w:rPr>
          <w:rStyle w:val="FootnoteReference"/>
          <w:color w:val="000000" w:themeColor="text1"/>
          <w:lang w:val="es-ES"/>
        </w:rPr>
        <w:footnoteReference w:id="80"/>
      </w:r>
      <w:r w:rsidR="00522FE8" w:rsidRPr="00FA506F">
        <w:rPr>
          <w:color w:val="000000" w:themeColor="text1"/>
          <w:lang w:val="es-ES"/>
        </w:rPr>
        <w:t>.</w:t>
      </w:r>
      <w:r w:rsidR="00B52C00" w:rsidRPr="00FA506F">
        <w:rPr>
          <w:color w:val="000000" w:themeColor="text1"/>
          <w:lang w:val="es-ES"/>
        </w:rPr>
        <w:t xml:space="preserve"> </w:t>
      </w:r>
      <w:r w:rsidR="00800DEF" w:rsidRPr="00FA506F">
        <w:rPr>
          <w:color w:val="000000" w:themeColor="text1"/>
          <w:lang w:val="es-ES"/>
        </w:rPr>
        <w:t>Finalmente, l</w:t>
      </w:r>
      <w:r w:rsidR="00927CC2" w:rsidRPr="00FA506F">
        <w:rPr>
          <w:color w:val="000000" w:themeColor="text1"/>
          <w:szCs w:val="20"/>
          <w:lang w:val="es-ES"/>
        </w:rPr>
        <w:t xml:space="preserve">a Comisión Interamericana tomó conocimiento de que el 4 de diciembre, los familiares de las víctimas tuvieron una </w:t>
      </w:r>
      <w:r w:rsidR="00697149" w:rsidRPr="00FA506F">
        <w:rPr>
          <w:color w:val="000000" w:themeColor="text1"/>
          <w:szCs w:val="20"/>
          <w:lang w:val="es-ES"/>
        </w:rPr>
        <w:t xml:space="preserve">primera </w:t>
      </w:r>
      <w:r w:rsidR="00927CC2" w:rsidRPr="00FA506F">
        <w:rPr>
          <w:color w:val="000000" w:themeColor="text1"/>
          <w:szCs w:val="20"/>
          <w:lang w:val="es-ES"/>
        </w:rPr>
        <w:t>reuni</w:t>
      </w:r>
      <w:r w:rsidR="00D03060" w:rsidRPr="00FA506F">
        <w:rPr>
          <w:color w:val="000000" w:themeColor="text1"/>
          <w:szCs w:val="20"/>
          <w:lang w:val="es-ES"/>
        </w:rPr>
        <w:t>ón con la Presidenta Claudia Shei</w:t>
      </w:r>
      <w:r w:rsidR="00697149" w:rsidRPr="00FA506F">
        <w:rPr>
          <w:color w:val="000000" w:themeColor="text1"/>
          <w:szCs w:val="20"/>
          <w:lang w:val="es-ES"/>
        </w:rPr>
        <w:t>n</w:t>
      </w:r>
      <w:r w:rsidR="00D03060" w:rsidRPr="00FA506F">
        <w:rPr>
          <w:color w:val="000000" w:themeColor="text1"/>
          <w:szCs w:val="20"/>
          <w:lang w:val="es-ES"/>
        </w:rPr>
        <w:t>baum</w:t>
      </w:r>
      <w:r w:rsidR="00257C73" w:rsidRPr="00FA506F">
        <w:rPr>
          <w:color w:val="000000" w:themeColor="text1"/>
          <w:szCs w:val="20"/>
          <w:lang w:val="es-ES"/>
        </w:rPr>
        <w:t xml:space="preserve">. Según los representantes, la </w:t>
      </w:r>
      <w:r w:rsidR="00FD7038" w:rsidRPr="00FA506F">
        <w:rPr>
          <w:color w:val="000000" w:themeColor="text1"/>
          <w:szCs w:val="20"/>
          <w:lang w:val="es-ES"/>
        </w:rPr>
        <w:t>presidenta</w:t>
      </w:r>
      <w:r w:rsidR="00257C73" w:rsidRPr="00FA506F">
        <w:rPr>
          <w:color w:val="000000" w:themeColor="text1"/>
          <w:szCs w:val="20"/>
          <w:lang w:val="es-ES"/>
        </w:rPr>
        <w:t xml:space="preserve"> “fue clara </w:t>
      </w:r>
      <w:r w:rsidR="00497472" w:rsidRPr="00FA506F">
        <w:rPr>
          <w:color w:val="000000" w:themeColor="text1"/>
          <w:szCs w:val="20"/>
          <w:lang w:val="es-ES"/>
        </w:rPr>
        <w:t>en la necesidad de reconstruir el di</w:t>
      </w:r>
      <w:r w:rsidR="007B5D38" w:rsidRPr="00FA506F">
        <w:rPr>
          <w:color w:val="000000" w:themeColor="text1"/>
          <w:szCs w:val="20"/>
          <w:lang w:val="es-ES"/>
        </w:rPr>
        <w:t>á</w:t>
      </w:r>
      <w:r w:rsidR="00497472" w:rsidRPr="00FA506F">
        <w:rPr>
          <w:color w:val="000000" w:themeColor="text1"/>
          <w:szCs w:val="20"/>
          <w:lang w:val="es-ES"/>
        </w:rPr>
        <w:t>logo</w:t>
      </w:r>
      <w:r w:rsidR="007B5D38" w:rsidRPr="00FA506F">
        <w:rPr>
          <w:color w:val="000000" w:themeColor="text1"/>
          <w:szCs w:val="20"/>
          <w:lang w:val="es-ES"/>
        </w:rPr>
        <w:t>”</w:t>
      </w:r>
      <w:r w:rsidR="003E6870" w:rsidRPr="00FA506F">
        <w:rPr>
          <w:rStyle w:val="FootnoteReference"/>
          <w:color w:val="000000" w:themeColor="text1"/>
          <w:szCs w:val="20"/>
          <w:lang w:val="es-ES"/>
        </w:rPr>
        <w:footnoteReference w:id="81"/>
      </w:r>
      <w:r w:rsidR="001209CD" w:rsidRPr="00FA506F">
        <w:rPr>
          <w:color w:val="000000" w:themeColor="text1"/>
          <w:szCs w:val="20"/>
          <w:lang w:val="es-ES"/>
        </w:rPr>
        <w:t>; y</w:t>
      </w:r>
      <w:r w:rsidR="00E44CAA" w:rsidRPr="00FA506F">
        <w:rPr>
          <w:color w:val="000000" w:themeColor="text1"/>
          <w:szCs w:val="20"/>
          <w:lang w:val="es-ES"/>
        </w:rPr>
        <w:t xml:space="preserve"> ofreció “</w:t>
      </w:r>
      <w:r w:rsidR="00E44CAA" w:rsidRPr="00FA506F">
        <w:rPr>
          <w:rFonts w:eastAsia="Times New Roman"/>
          <w:color w:val="000000" w:themeColor="text1"/>
          <w:szCs w:val="20"/>
          <w:shd w:val="clear" w:color="auto" w:fill="FFFFFF"/>
          <w:lang w:val="es-ES"/>
        </w:rPr>
        <w:t>una nueva ruta para seguir con las investigaciones del paradero de los estudiantes, con la conformación de un equipo de expertos que utilizarán la tecnología, y hacer una nueva revisión de los expedientes actuales</w:t>
      </w:r>
      <w:r w:rsidR="00DC5CBE" w:rsidRPr="00FA506F">
        <w:rPr>
          <w:rFonts w:eastAsia="Times New Roman"/>
          <w:color w:val="000000" w:themeColor="text1"/>
          <w:szCs w:val="20"/>
          <w:shd w:val="clear" w:color="auto" w:fill="FFFFFF"/>
          <w:lang w:val="es-ES"/>
        </w:rPr>
        <w:t>”</w:t>
      </w:r>
      <w:r w:rsidR="00DC5CBE" w:rsidRPr="00FA506F">
        <w:rPr>
          <w:rStyle w:val="FootnoteReference"/>
          <w:rFonts w:eastAsia="Times New Roman"/>
          <w:color w:val="000000" w:themeColor="text1"/>
          <w:szCs w:val="20"/>
          <w:shd w:val="clear" w:color="auto" w:fill="FFFFFF"/>
          <w:lang w:val="es-ES"/>
        </w:rPr>
        <w:footnoteReference w:id="82"/>
      </w:r>
      <w:r w:rsidR="00E44CAA" w:rsidRPr="00FA506F">
        <w:rPr>
          <w:rFonts w:eastAsia="Times New Roman"/>
          <w:color w:val="000000" w:themeColor="text1"/>
          <w:szCs w:val="20"/>
          <w:shd w:val="clear" w:color="auto" w:fill="FFFFFF"/>
          <w:lang w:val="es-ES"/>
        </w:rPr>
        <w:t>.</w:t>
      </w:r>
    </w:p>
    <w:p w14:paraId="6CC93DD3" w14:textId="77777777" w:rsidR="00F55FC1" w:rsidRPr="00FA506F" w:rsidRDefault="00F55FC1" w:rsidP="00FD7038">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7F55CB99"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6C91CB2E" w14:textId="77777777" w:rsidR="00DB4A17" w:rsidRPr="00FA506F" w:rsidRDefault="00937E52" w:rsidP="00937E52">
      <w:pPr>
        <w:pStyle w:val="IAPrrafo"/>
        <w:numPr>
          <w:ilvl w:val="0"/>
          <w:numId w:val="4"/>
        </w:numPr>
        <w:tabs>
          <w:tab w:val="num" w:pos="720"/>
        </w:tabs>
        <w:ind w:firstLine="720"/>
        <w:rPr>
          <w:lang w:val="es-ES"/>
        </w:rPr>
      </w:pPr>
      <w:r w:rsidRPr="00FA506F">
        <w:rPr>
          <w:lang w:val="es-ES"/>
        </w:rPr>
        <w:t>La</w:t>
      </w:r>
      <w:r w:rsidR="00A61C99" w:rsidRPr="00FA506F">
        <w:rPr>
          <w:lang w:val="es-ES"/>
        </w:rPr>
        <w:t xml:space="preserve"> CIDH </w:t>
      </w:r>
      <w:r w:rsidRPr="00FA506F">
        <w:rPr>
          <w:lang w:val="es-ES"/>
        </w:rPr>
        <w:t xml:space="preserve">saluda los esfuerzos de la nueva administración de retomar el diálogo y la confianza con las familias, y la implementación de medidas orientadas a garantizar recursos y expertos a las autoridades judiciales a cargo de la investigación. Sin perjuicio de lo anterior, la Comisión </w:t>
      </w:r>
      <w:r w:rsidR="00A61C99" w:rsidRPr="00FA506F">
        <w:rPr>
          <w:lang w:val="es-ES"/>
        </w:rPr>
        <w:t>observa con preocupación la falta de avances en la investigación que reportan las familias y sus representantes</w:t>
      </w:r>
      <w:r w:rsidRPr="00FA506F">
        <w:rPr>
          <w:lang w:val="es-ES"/>
        </w:rPr>
        <w:t xml:space="preserve">, así como </w:t>
      </w:r>
      <w:r w:rsidR="00A8381D" w:rsidRPr="00FA506F">
        <w:rPr>
          <w:lang w:val="es-ES"/>
        </w:rPr>
        <w:t xml:space="preserve">la salida del </w:t>
      </w:r>
      <w:r w:rsidR="00A61C99" w:rsidRPr="00FA506F">
        <w:rPr>
          <w:lang w:val="es-ES"/>
        </w:rPr>
        <w:t xml:space="preserve">GIEI </w:t>
      </w:r>
      <w:r w:rsidR="00AB5B8A" w:rsidRPr="00FA506F">
        <w:rPr>
          <w:lang w:val="es-ES"/>
        </w:rPr>
        <w:t>que</w:t>
      </w:r>
      <w:r w:rsidR="00A61C99" w:rsidRPr="00FA506F">
        <w:rPr>
          <w:lang w:val="es-ES"/>
        </w:rPr>
        <w:t xml:space="preserve"> </w:t>
      </w:r>
      <w:r w:rsidR="000061F4" w:rsidRPr="00FA506F">
        <w:rPr>
          <w:lang w:val="es-ES"/>
        </w:rPr>
        <w:t>determinó</w:t>
      </w:r>
      <w:r w:rsidR="00A61C99" w:rsidRPr="00FA506F">
        <w:rPr>
          <w:lang w:val="es-ES"/>
        </w:rPr>
        <w:t xml:space="preserve"> no continuar con su labor en México</w:t>
      </w:r>
      <w:r w:rsidR="000061F4" w:rsidRPr="00FA506F">
        <w:rPr>
          <w:lang w:val="es-ES"/>
        </w:rPr>
        <w:t xml:space="preserve"> </w:t>
      </w:r>
      <w:r w:rsidR="00AB5B8A" w:rsidRPr="00FA506F">
        <w:rPr>
          <w:lang w:val="es-ES"/>
        </w:rPr>
        <w:t xml:space="preserve">como </w:t>
      </w:r>
      <w:r w:rsidR="000061F4" w:rsidRPr="00FA506F">
        <w:rPr>
          <w:lang w:val="es-ES"/>
        </w:rPr>
        <w:t>resultado de “un ocultamiento sistemático de información por parte de la SEDENA”</w:t>
      </w:r>
      <w:r w:rsidR="000061F4" w:rsidRPr="00FA506F">
        <w:rPr>
          <w:rStyle w:val="FootnoteReference"/>
          <w:lang w:val="es-ES"/>
        </w:rPr>
        <w:footnoteReference w:id="83"/>
      </w:r>
      <w:r w:rsidR="000061F4" w:rsidRPr="00FA506F">
        <w:rPr>
          <w:lang w:val="es-ES"/>
        </w:rPr>
        <w:t xml:space="preserve">. </w:t>
      </w:r>
      <w:r w:rsidRPr="00FA506F">
        <w:rPr>
          <w:lang w:val="es-ES"/>
        </w:rPr>
        <w:t>Las</w:t>
      </w:r>
      <w:r w:rsidR="00A61C99" w:rsidRPr="00FA506F">
        <w:rPr>
          <w:lang w:val="es-ES"/>
        </w:rPr>
        <w:t xml:space="preserve"> familias y sus representantes tienen el derecho de acceder a la información relacionada con el caso, sin importar</w:t>
      </w:r>
      <w:r w:rsidR="00FF490E" w:rsidRPr="00FA506F">
        <w:rPr>
          <w:lang w:val="es-ES"/>
        </w:rPr>
        <w:t xml:space="preserve"> la pertinencia con la</w:t>
      </w:r>
      <w:r w:rsidR="00A61C99" w:rsidRPr="00FA506F">
        <w:rPr>
          <w:lang w:val="es-ES"/>
        </w:rPr>
        <w:t xml:space="preserve"> que las autoridades </w:t>
      </w:r>
      <w:r w:rsidR="00FF490E" w:rsidRPr="00FA506F">
        <w:rPr>
          <w:lang w:val="es-ES"/>
        </w:rPr>
        <w:t xml:space="preserve">las </w:t>
      </w:r>
      <w:r w:rsidR="00A61C99" w:rsidRPr="00FA506F">
        <w:rPr>
          <w:lang w:val="es-ES"/>
        </w:rPr>
        <w:t>califiquen</w:t>
      </w:r>
      <w:r w:rsidR="00FF490E" w:rsidRPr="00FA506F">
        <w:rPr>
          <w:lang w:val="es-ES"/>
        </w:rPr>
        <w:t>.</w:t>
      </w:r>
      <w:r w:rsidR="00DB4A17" w:rsidRPr="00FA506F">
        <w:rPr>
          <w:lang w:val="es-ES"/>
        </w:rPr>
        <w:t xml:space="preserve"> </w:t>
      </w:r>
    </w:p>
    <w:p w14:paraId="2D76D663" w14:textId="2A6B167F" w:rsidR="001221B2" w:rsidRPr="00FA506F" w:rsidRDefault="00DB4A17" w:rsidP="00937E52">
      <w:pPr>
        <w:pStyle w:val="IAPrrafo"/>
        <w:numPr>
          <w:ilvl w:val="0"/>
          <w:numId w:val="4"/>
        </w:numPr>
        <w:tabs>
          <w:tab w:val="num" w:pos="720"/>
        </w:tabs>
        <w:ind w:firstLine="720"/>
        <w:rPr>
          <w:lang w:val="es-ES"/>
        </w:rPr>
      </w:pPr>
      <w:r w:rsidRPr="00FA506F">
        <w:rPr>
          <w:lang w:val="es-ES"/>
        </w:rPr>
        <w:t>Ahora bien</w:t>
      </w:r>
      <w:r w:rsidR="00937E52" w:rsidRPr="00FA506F">
        <w:rPr>
          <w:lang w:val="es-ES"/>
        </w:rPr>
        <w:t xml:space="preserve">, </w:t>
      </w:r>
      <w:r w:rsidR="00355935" w:rsidRPr="00FA506F">
        <w:rPr>
          <w:lang w:val="es-ES"/>
        </w:rPr>
        <w:t xml:space="preserve">teniendo en cuenta que </w:t>
      </w:r>
      <w:r w:rsidR="00937E52" w:rsidRPr="00FA506F">
        <w:rPr>
          <w:lang w:val="es-ES"/>
        </w:rPr>
        <w:t xml:space="preserve">la recomendación prevé </w:t>
      </w:r>
      <w:r w:rsidRPr="00FA506F">
        <w:rPr>
          <w:lang w:val="es-ES"/>
        </w:rPr>
        <w:t>que</w:t>
      </w:r>
      <w:r w:rsidR="00937E52" w:rsidRPr="00FA506F">
        <w:rPr>
          <w:lang w:val="es-ES"/>
        </w:rPr>
        <w:t xml:space="preserve"> el Estado garantice al GIEI la posibilidad de entrevistarse con el Ejército</w:t>
      </w:r>
      <w:r w:rsidR="00355935" w:rsidRPr="00FA506F">
        <w:rPr>
          <w:lang w:val="es-ES"/>
        </w:rPr>
        <w:t xml:space="preserve"> y </w:t>
      </w:r>
      <w:r w:rsidRPr="00FA506F">
        <w:rPr>
          <w:lang w:val="es-ES"/>
        </w:rPr>
        <w:t xml:space="preserve">dicho Grupo ya no se encuentra en funcionamiento, el cumplimiento de esta recomendación queda sin materia, por lo cual </w:t>
      </w:r>
      <w:r w:rsidRPr="00FA506F">
        <w:rPr>
          <w:b/>
          <w:bCs/>
          <w:lang w:val="es-ES"/>
        </w:rPr>
        <w:t>su seguimiento se da por cerrado</w:t>
      </w:r>
      <w:r w:rsidRPr="00FA506F">
        <w:rPr>
          <w:lang w:val="es-ES"/>
        </w:rPr>
        <w:t>. Lo anterior, no significa que las obligaciones del Estado, en relación con los derechos de las víctimas y sus familias en el aso Ayotzinapa, hayan sido cumplidas</w:t>
      </w:r>
      <w:r w:rsidR="009C4B65" w:rsidRPr="00FA506F">
        <w:rPr>
          <w:lang w:val="es-ES"/>
        </w:rPr>
        <w:t>;</w:t>
      </w:r>
      <w:r w:rsidRPr="00FA506F">
        <w:rPr>
          <w:lang w:val="es-ES"/>
        </w:rPr>
        <w:t xml:space="preserve"> sin embargo, </w:t>
      </w:r>
      <w:r w:rsidR="009C4B65" w:rsidRPr="00FA506F">
        <w:rPr>
          <w:lang w:val="es-ES"/>
        </w:rPr>
        <w:t xml:space="preserve">la CIDH continuará realizando </w:t>
      </w:r>
      <w:r w:rsidRPr="00FA506F">
        <w:rPr>
          <w:lang w:val="es-ES"/>
        </w:rPr>
        <w:t>el seguimiento de estas obligaciones en el marco de la Medida Cautelar 409/14</w:t>
      </w:r>
      <w:r w:rsidR="004929E0" w:rsidRPr="00FA506F">
        <w:rPr>
          <w:lang w:val="es-ES"/>
        </w:rPr>
        <w:t xml:space="preserve"> y sus funciones de monitoreo</w:t>
      </w:r>
      <w:r w:rsidRPr="00FA506F">
        <w:rPr>
          <w:lang w:val="es-ES"/>
        </w:rPr>
        <w:t xml:space="preserve">. </w:t>
      </w:r>
    </w:p>
    <w:p w14:paraId="7F711EA1" w14:textId="77777777" w:rsidR="00F55FC1" w:rsidRPr="00FA506F" w:rsidRDefault="00F55FC1" w:rsidP="00B80A67">
      <w:pPr>
        <w:pStyle w:val="IASubttulo2"/>
        <w:numPr>
          <w:ilvl w:val="0"/>
          <w:numId w:val="3"/>
        </w:numPr>
        <w:tabs>
          <w:tab w:val="num" w:pos="720"/>
        </w:tabs>
        <w:ind w:left="1440" w:hanging="720"/>
        <w:rPr>
          <w:sz w:val="22"/>
          <w:szCs w:val="22"/>
          <w:lang w:val="es-ES"/>
        </w:rPr>
      </w:pPr>
      <w:bookmarkStart w:id="14" w:name="_Toc195618108"/>
      <w:r w:rsidRPr="00FA506F">
        <w:rPr>
          <w:sz w:val="22"/>
          <w:szCs w:val="22"/>
          <w:lang w:val="es-ES"/>
        </w:rPr>
        <w:t>Tortura</w:t>
      </w:r>
      <w:bookmarkEnd w:id="14"/>
    </w:p>
    <w:p w14:paraId="31B0F097" w14:textId="77777777" w:rsidR="00F55FC1" w:rsidRPr="00FA506F" w:rsidRDefault="00F55FC1"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14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Adoptar una Ley General sobre Tortura y otros tratos o penas crueles, inhumanos o degradantes y adoptar todas las medidas necesarias para asegurar que, tanto a nivel federal como estatal, la legislación y las prácticas se ajusten a los estándares internacionales en la materia, en particular en la Convención Interamericana para Prevenir y Sancionar la Tortura.</w:t>
      </w:r>
    </w:p>
    <w:p w14:paraId="1ECF3965" w14:textId="77777777" w:rsidR="00F55FC1" w:rsidRPr="00FA506F" w:rsidRDefault="00F55FC1" w:rsidP="00B80A67">
      <w:pPr>
        <w:jc w:val="both"/>
        <w:rPr>
          <w:rFonts w:ascii="Cambria" w:eastAsia="Cambria" w:hAnsi="Cambria" w:cs="Cambria"/>
          <w:i/>
          <w:iCs/>
          <w:color w:val="000000" w:themeColor="text1"/>
          <w:sz w:val="20"/>
          <w:szCs w:val="20"/>
          <w:lang w:val="es-ES"/>
        </w:rPr>
      </w:pPr>
    </w:p>
    <w:p w14:paraId="1D633B5D" w14:textId="4FC163D9" w:rsidR="007B674E" w:rsidRPr="00FA506F" w:rsidRDefault="00F55FC1" w:rsidP="00B80A67">
      <w:pPr>
        <w:pStyle w:val="IAPrrafo"/>
        <w:numPr>
          <w:ilvl w:val="0"/>
          <w:numId w:val="4"/>
        </w:numPr>
        <w:tabs>
          <w:tab w:val="num" w:pos="720"/>
        </w:tabs>
        <w:ind w:firstLine="720"/>
        <w:rPr>
          <w:lang w:val="es-ES"/>
        </w:rPr>
      </w:pPr>
      <w:r w:rsidRPr="00FA506F">
        <w:rPr>
          <w:lang w:val="es-ES"/>
        </w:rPr>
        <w:t>En el Capítulo V del Informe Anual de 202</w:t>
      </w:r>
      <w:r w:rsidR="3DE81150" w:rsidRPr="00FA506F">
        <w:rPr>
          <w:lang w:val="es-ES"/>
        </w:rPr>
        <w:t>3</w:t>
      </w:r>
      <w:r w:rsidRPr="00FA506F">
        <w:rPr>
          <w:lang w:val="es-ES"/>
        </w:rPr>
        <w:t xml:space="preserve">, </w:t>
      </w:r>
      <w:r w:rsidR="0A36D944" w:rsidRPr="00FA506F">
        <w:rPr>
          <w:lang w:val="es-ES"/>
        </w:rPr>
        <w:t>el Estado informó que la FGR estableció los Lineamientos de Operación del Registro Nacional del Delito de Tortura (</w:t>
      </w:r>
      <w:r w:rsidR="00B52380" w:rsidRPr="00FA506F">
        <w:rPr>
          <w:lang w:val="es-ES"/>
        </w:rPr>
        <w:t>en adelante, “</w:t>
      </w:r>
      <w:r w:rsidR="0A36D944" w:rsidRPr="00FA506F">
        <w:rPr>
          <w:lang w:val="es-ES"/>
        </w:rPr>
        <w:t>RENATED</w:t>
      </w:r>
      <w:r w:rsidR="00B52380" w:rsidRPr="00FA506F">
        <w:rPr>
          <w:lang w:val="es-ES"/>
        </w:rPr>
        <w:t>”</w:t>
      </w:r>
      <w:r w:rsidR="0A36D944" w:rsidRPr="00FA506F">
        <w:rPr>
          <w:lang w:val="es-ES"/>
        </w:rPr>
        <w:t>) y cuenta con una Fiscalía Especializada para la investigación de la tortura. Sin embargo, organizaciones civiles reportaron una alta incidencia de tortura física y psicológica durante las detenciones, según la Encuesta Nacional a la Población Privada de Libertad (ENPOL 2021)</w:t>
      </w:r>
      <w:r w:rsidR="003C0AC6" w:rsidRPr="00FA506F">
        <w:rPr>
          <w:lang w:val="es-ES"/>
        </w:rPr>
        <w:t>;</w:t>
      </w:r>
      <w:r w:rsidR="008C2DA5" w:rsidRPr="00FA506F">
        <w:rPr>
          <w:lang w:val="es-ES"/>
        </w:rPr>
        <w:t xml:space="preserve"> y</w:t>
      </w:r>
      <w:r w:rsidR="0A36D944" w:rsidRPr="00FA506F">
        <w:rPr>
          <w:lang w:val="es-ES"/>
        </w:rPr>
        <w:t xml:space="preserve"> </w:t>
      </w:r>
      <w:r w:rsidR="00BE6519" w:rsidRPr="00FA506F">
        <w:rPr>
          <w:lang w:val="es-ES"/>
        </w:rPr>
        <w:t>destacaron</w:t>
      </w:r>
      <w:r w:rsidR="0A36D944" w:rsidRPr="00FA506F">
        <w:rPr>
          <w:lang w:val="es-ES"/>
        </w:rPr>
        <w:t xml:space="preserve"> la falta de publicación del Programa Nacional para Prevenir y Sancionar la Tortura (</w:t>
      </w:r>
      <w:r w:rsidR="003C0AC6" w:rsidRPr="00FA506F">
        <w:rPr>
          <w:lang w:val="es-ES"/>
        </w:rPr>
        <w:t>en adelante, “</w:t>
      </w:r>
      <w:r w:rsidR="0A36D944" w:rsidRPr="00FA506F">
        <w:rPr>
          <w:lang w:val="es-ES"/>
        </w:rPr>
        <w:t>PNCT</w:t>
      </w:r>
      <w:r w:rsidR="003C0AC6" w:rsidRPr="00FA506F">
        <w:rPr>
          <w:lang w:val="es-ES"/>
        </w:rPr>
        <w:t>”</w:t>
      </w:r>
      <w:r w:rsidR="0A36D944" w:rsidRPr="00FA506F">
        <w:rPr>
          <w:lang w:val="es-ES"/>
        </w:rPr>
        <w:t xml:space="preserve">), a pesar de que la SEGOB presentó la Estrategia contra la Tortura. </w:t>
      </w:r>
      <w:r w:rsidR="0A36D944" w:rsidRPr="00FA506F">
        <w:rPr>
          <w:rFonts w:eastAsiaTheme="minorEastAsia"/>
          <w:color w:val="000000" w:themeColor="text1"/>
          <w:szCs w:val="20"/>
          <w:lang w:val="es-ES"/>
        </w:rPr>
        <w:t xml:space="preserve">La CIDH consideró que, aunque se ha avanzado en la creación de la legislación y estructuras necesarias, persisten desafíos significativos, incluyendo la aplicación efectiva de la Ley General </w:t>
      </w:r>
      <w:r w:rsidR="00A61DB7" w:rsidRPr="00FA506F">
        <w:rPr>
          <w:lang w:val="es-ES"/>
        </w:rPr>
        <w:t>para Prevenir, Investigar y Sancionar la Tortura</w:t>
      </w:r>
      <w:r w:rsidR="00A61DB7" w:rsidRPr="00FA506F">
        <w:rPr>
          <w:rFonts w:eastAsiaTheme="minorEastAsia"/>
          <w:color w:val="000000" w:themeColor="text1"/>
          <w:szCs w:val="20"/>
          <w:lang w:val="es-ES"/>
        </w:rPr>
        <w:t xml:space="preserve"> </w:t>
      </w:r>
      <w:r w:rsidR="001558A9" w:rsidRPr="00FA506F">
        <w:rPr>
          <w:lang w:val="es-ES"/>
        </w:rPr>
        <w:t>y otros tratos o penas crueles, inhumanos o degradantes</w:t>
      </w:r>
      <w:r w:rsidR="001558A9" w:rsidRPr="00FA506F">
        <w:rPr>
          <w:rFonts w:eastAsiaTheme="minorEastAsia"/>
          <w:color w:val="000000" w:themeColor="text1"/>
          <w:szCs w:val="20"/>
          <w:lang w:val="es-ES"/>
        </w:rPr>
        <w:t xml:space="preserve"> </w:t>
      </w:r>
      <w:r w:rsidR="00D54A16" w:rsidRPr="00FA506F">
        <w:rPr>
          <w:rFonts w:eastAsiaTheme="minorEastAsia"/>
          <w:color w:val="000000" w:themeColor="text1"/>
          <w:szCs w:val="20"/>
          <w:lang w:val="es-ES"/>
        </w:rPr>
        <w:t>(</w:t>
      </w:r>
      <w:r w:rsidR="00A61DB7" w:rsidRPr="00FA506F">
        <w:rPr>
          <w:rFonts w:eastAsiaTheme="minorEastAsia"/>
          <w:color w:val="000000" w:themeColor="text1"/>
          <w:szCs w:val="20"/>
          <w:lang w:val="es-ES"/>
        </w:rPr>
        <w:t>en adelante</w:t>
      </w:r>
      <w:r w:rsidR="00914810" w:rsidRPr="00FA506F">
        <w:rPr>
          <w:rFonts w:eastAsiaTheme="minorEastAsia"/>
          <w:color w:val="000000" w:themeColor="text1"/>
          <w:szCs w:val="20"/>
          <w:lang w:val="es-ES"/>
        </w:rPr>
        <w:t>, “Ley General contra la Tortura” o “</w:t>
      </w:r>
      <w:r w:rsidR="00D54A16" w:rsidRPr="00FA506F">
        <w:rPr>
          <w:rFonts w:eastAsiaTheme="minorEastAsia"/>
          <w:color w:val="000000" w:themeColor="text1"/>
          <w:szCs w:val="20"/>
          <w:lang w:val="es-ES"/>
        </w:rPr>
        <w:t>LGT</w:t>
      </w:r>
      <w:r w:rsidR="00914810" w:rsidRPr="00FA506F">
        <w:rPr>
          <w:rFonts w:eastAsiaTheme="minorEastAsia"/>
          <w:color w:val="000000" w:themeColor="text1"/>
          <w:szCs w:val="20"/>
          <w:lang w:val="es-ES"/>
        </w:rPr>
        <w:t>”</w:t>
      </w:r>
      <w:r w:rsidR="00D54A16" w:rsidRPr="00FA506F">
        <w:rPr>
          <w:rFonts w:eastAsiaTheme="minorEastAsia"/>
          <w:color w:val="000000" w:themeColor="text1"/>
          <w:szCs w:val="20"/>
          <w:lang w:val="es-ES"/>
        </w:rPr>
        <w:t xml:space="preserve">) </w:t>
      </w:r>
      <w:r w:rsidR="0A36D944" w:rsidRPr="00FA506F">
        <w:rPr>
          <w:rFonts w:eastAsiaTheme="minorEastAsia"/>
          <w:color w:val="000000" w:themeColor="text1"/>
          <w:szCs w:val="20"/>
          <w:lang w:val="es-ES"/>
        </w:rPr>
        <w:t>y la publicación del PNCT. Por lo tanto, el cumplimiento de la recomendación se mantuvo en un nivel parcial. La Comisión subrayó la necesidad de armonizar la legislación local con los estándares internacionales y de asegurar la implementación completa de la Ley General en la materia</w:t>
      </w:r>
      <w:r w:rsidRPr="00FA506F">
        <w:rPr>
          <w:rStyle w:val="FootnoteReference"/>
          <w:lang w:val="es-ES"/>
        </w:rPr>
        <w:footnoteReference w:id="84"/>
      </w:r>
      <w:r w:rsidRPr="00FA506F">
        <w:rPr>
          <w:lang w:val="es-ES"/>
        </w:rPr>
        <w:t>.</w:t>
      </w:r>
    </w:p>
    <w:p w14:paraId="3A3D93E9" w14:textId="7CFF0153" w:rsidR="00780614" w:rsidRPr="00FA506F" w:rsidRDefault="00780614" w:rsidP="007935DE">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61E142BC" w14:textId="77777777" w:rsidR="00780614" w:rsidRPr="00FA506F" w:rsidRDefault="00780614" w:rsidP="00B80A67">
      <w:pPr>
        <w:ind w:firstLine="360"/>
        <w:jc w:val="both"/>
        <w:rPr>
          <w:rFonts w:ascii="Cambria" w:eastAsia="Cambria" w:hAnsi="Cambria" w:cs="Cambria"/>
          <w:i/>
          <w:iCs/>
          <w:color w:val="000000" w:themeColor="text1"/>
          <w:sz w:val="20"/>
          <w:szCs w:val="20"/>
          <w:lang w:val="es-ES"/>
        </w:rPr>
      </w:pPr>
    </w:p>
    <w:p w14:paraId="12767A8D" w14:textId="292A46E8" w:rsidR="008577FF" w:rsidRPr="00FA506F" w:rsidRDefault="008577FF" w:rsidP="00B80A67">
      <w:pPr>
        <w:pStyle w:val="IAPrrafo"/>
        <w:numPr>
          <w:ilvl w:val="0"/>
          <w:numId w:val="4"/>
        </w:numPr>
        <w:tabs>
          <w:tab w:val="num" w:pos="720"/>
        </w:tabs>
        <w:ind w:firstLine="720"/>
        <w:rPr>
          <w:rFonts w:eastAsia="Cambria" w:cs="Cambria"/>
          <w:i/>
          <w:iCs/>
          <w:color w:val="000000" w:themeColor="text1"/>
          <w:szCs w:val="20"/>
          <w:lang w:val="es-ES"/>
        </w:rPr>
      </w:pPr>
      <w:r w:rsidRPr="00FA506F">
        <w:rPr>
          <w:lang w:val="es-ES"/>
        </w:rPr>
        <w:t>En 202</w:t>
      </w:r>
      <w:r w:rsidR="00B44136" w:rsidRPr="00FA506F">
        <w:rPr>
          <w:lang w:val="es-ES"/>
        </w:rPr>
        <w:t>4</w:t>
      </w:r>
      <w:r w:rsidRPr="00FA506F">
        <w:rPr>
          <w:lang w:val="es-ES"/>
        </w:rPr>
        <w:t xml:space="preserve">, el Estado </w:t>
      </w:r>
      <w:r w:rsidR="00BE6519" w:rsidRPr="00FA506F">
        <w:rPr>
          <w:lang w:val="es-ES"/>
        </w:rPr>
        <w:t xml:space="preserve">informó sobre la </w:t>
      </w:r>
      <w:r w:rsidRPr="00FA506F">
        <w:rPr>
          <w:lang w:val="es-ES"/>
        </w:rPr>
        <w:t>implement</w:t>
      </w:r>
      <w:r w:rsidR="00BE6519" w:rsidRPr="00FA506F">
        <w:rPr>
          <w:lang w:val="es-ES"/>
        </w:rPr>
        <w:t>ación de</w:t>
      </w:r>
      <w:r w:rsidRPr="00FA506F">
        <w:rPr>
          <w:lang w:val="es-ES"/>
        </w:rPr>
        <w:t xml:space="preserve"> la</w:t>
      </w:r>
      <w:r w:rsidR="00391C23" w:rsidRPr="00FA506F">
        <w:rPr>
          <w:rFonts w:eastAsia="Cambria" w:cs="Cambria"/>
          <w:color w:val="000000" w:themeColor="text1"/>
          <w:szCs w:val="20"/>
          <w:lang w:val="es-ES"/>
        </w:rPr>
        <w:t xml:space="preserve"> Estrategia Nacional Contra la Tortura (ENCT)</w:t>
      </w:r>
      <w:r w:rsidR="0014154B" w:rsidRPr="00FA506F">
        <w:rPr>
          <w:rFonts w:eastAsia="Cambria" w:cs="Cambria"/>
          <w:color w:val="000000" w:themeColor="text1"/>
          <w:szCs w:val="20"/>
          <w:lang w:val="es-ES"/>
        </w:rPr>
        <w:t>,</w:t>
      </w:r>
      <w:r w:rsidR="00391C23" w:rsidRPr="00FA506F">
        <w:rPr>
          <w:rFonts w:eastAsia="Cambria" w:cs="Cambria"/>
          <w:color w:val="000000" w:themeColor="text1"/>
          <w:szCs w:val="20"/>
          <w:lang w:val="es-ES"/>
        </w:rPr>
        <w:t xml:space="preserve"> </w:t>
      </w:r>
      <w:r w:rsidRPr="00FA506F">
        <w:rPr>
          <w:rFonts w:eastAsia="Cambria" w:cs="Cambria"/>
          <w:color w:val="000000" w:themeColor="text1"/>
          <w:szCs w:val="20"/>
          <w:lang w:val="es-ES"/>
        </w:rPr>
        <w:t xml:space="preserve">la cual tendría </w:t>
      </w:r>
      <w:r w:rsidR="00391C23" w:rsidRPr="00FA506F">
        <w:rPr>
          <w:rFonts w:eastAsia="Cambria" w:cs="Cambria"/>
          <w:color w:val="000000" w:themeColor="text1"/>
          <w:szCs w:val="20"/>
          <w:lang w:val="es-ES"/>
        </w:rPr>
        <w:t>como objetivo</w:t>
      </w:r>
      <w:r w:rsidRPr="00FA506F">
        <w:rPr>
          <w:rFonts w:eastAsia="Cambria" w:cs="Cambria"/>
          <w:color w:val="000000" w:themeColor="text1"/>
          <w:szCs w:val="20"/>
          <w:lang w:val="es-ES"/>
        </w:rPr>
        <w:t xml:space="preserve"> </w:t>
      </w:r>
      <w:r w:rsidR="00391C23" w:rsidRPr="00FA506F">
        <w:rPr>
          <w:rFonts w:eastAsia="Cambria" w:cs="Cambria"/>
          <w:color w:val="000000" w:themeColor="text1"/>
          <w:szCs w:val="20"/>
          <w:lang w:val="es-ES"/>
        </w:rPr>
        <w:t>articular una política pública para atender este delito bajo dos ejes</w:t>
      </w:r>
      <w:r w:rsidRPr="00FA506F">
        <w:rPr>
          <w:rFonts w:eastAsia="Cambria" w:cs="Cambria"/>
          <w:color w:val="000000" w:themeColor="text1"/>
          <w:szCs w:val="20"/>
          <w:lang w:val="es-ES"/>
        </w:rPr>
        <w:t xml:space="preserve">: </w:t>
      </w:r>
      <w:r w:rsidR="001E133B">
        <w:rPr>
          <w:rFonts w:eastAsia="Cambria" w:cs="Cambria"/>
          <w:color w:val="000000" w:themeColor="text1"/>
          <w:szCs w:val="20"/>
          <w:lang w:val="es-ES"/>
        </w:rPr>
        <w:t>(</w:t>
      </w:r>
      <w:r w:rsidR="00391C23" w:rsidRPr="00FA506F">
        <w:rPr>
          <w:rFonts w:eastAsia="Cambria" w:cs="Cambria"/>
          <w:color w:val="000000" w:themeColor="text1"/>
          <w:szCs w:val="20"/>
          <w:lang w:val="es-ES"/>
        </w:rPr>
        <w:t>1) prevención de la tortura</w:t>
      </w:r>
      <w:r w:rsidR="0045466E" w:rsidRPr="00FA506F">
        <w:rPr>
          <w:rFonts w:eastAsia="Cambria" w:cs="Cambria"/>
          <w:color w:val="000000" w:themeColor="text1"/>
          <w:szCs w:val="20"/>
          <w:lang w:val="es-ES"/>
        </w:rPr>
        <w:t>;</w:t>
      </w:r>
      <w:r w:rsidR="00391C23" w:rsidRPr="00FA506F">
        <w:rPr>
          <w:rFonts w:eastAsia="Cambria" w:cs="Cambria"/>
          <w:color w:val="000000" w:themeColor="text1"/>
          <w:szCs w:val="20"/>
          <w:lang w:val="es-ES"/>
        </w:rPr>
        <w:t xml:space="preserve"> y </w:t>
      </w:r>
      <w:r w:rsidR="001E133B">
        <w:rPr>
          <w:rFonts w:eastAsia="Cambria" w:cs="Cambria"/>
          <w:color w:val="000000" w:themeColor="text1"/>
          <w:szCs w:val="20"/>
          <w:lang w:val="es-ES"/>
        </w:rPr>
        <w:t>(</w:t>
      </w:r>
      <w:r w:rsidR="00391C23" w:rsidRPr="00FA506F">
        <w:rPr>
          <w:rFonts w:eastAsia="Cambria" w:cs="Cambria"/>
          <w:color w:val="000000" w:themeColor="text1"/>
          <w:szCs w:val="20"/>
          <w:lang w:val="es-ES"/>
        </w:rPr>
        <w:t xml:space="preserve">2) atención, asistencia y reparación integral a víctimas de tortura. La ENCT se compone de 66 líneas de acción enfocadas en la prevención y atención de la tortura y seis en materia de atención, asistencia y reparación integral a víctimas del delito de tortura. En su implementación participan 18 </w:t>
      </w:r>
      <w:r w:rsidR="0045466E" w:rsidRPr="00FA506F">
        <w:rPr>
          <w:rFonts w:eastAsia="Cambria" w:cs="Cambria"/>
          <w:color w:val="000000" w:themeColor="text1"/>
          <w:szCs w:val="20"/>
          <w:lang w:val="es-ES"/>
        </w:rPr>
        <w:t>d</w:t>
      </w:r>
      <w:r w:rsidR="00391C23" w:rsidRPr="00FA506F">
        <w:rPr>
          <w:rFonts w:eastAsia="Cambria" w:cs="Cambria"/>
          <w:color w:val="000000" w:themeColor="text1"/>
          <w:szCs w:val="20"/>
          <w:lang w:val="es-ES"/>
        </w:rPr>
        <w:t xml:space="preserve">ependencias y </w:t>
      </w:r>
      <w:r w:rsidR="0045466E" w:rsidRPr="00FA506F">
        <w:rPr>
          <w:rFonts w:eastAsia="Cambria" w:cs="Cambria"/>
          <w:color w:val="000000" w:themeColor="text1"/>
          <w:szCs w:val="20"/>
          <w:lang w:val="es-ES"/>
        </w:rPr>
        <w:t>u</w:t>
      </w:r>
      <w:r w:rsidR="00391C23" w:rsidRPr="00FA506F">
        <w:rPr>
          <w:rFonts w:eastAsia="Cambria" w:cs="Cambria"/>
          <w:color w:val="000000" w:themeColor="text1"/>
          <w:szCs w:val="20"/>
          <w:lang w:val="es-ES"/>
        </w:rPr>
        <w:t xml:space="preserve">nidades </w:t>
      </w:r>
      <w:r w:rsidR="0045466E" w:rsidRPr="00FA506F">
        <w:rPr>
          <w:rFonts w:eastAsia="Cambria" w:cs="Cambria"/>
          <w:color w:val="000000" w:themeColor="text1"/>
          <w:szCs w:val="20"/>
          <w:lang w:val="es-ES"/>
        </w:rPr>
        <w:t>a</w:t>
      </w:r>
      <w:r w:rsidR="00391C23" w:rsidRPr="00FA506F">
        <w:rPr>
          <w:rFonts w:eastAsia="Cambria" w:cs="Cambria"/>
          <w:color w:val="000000" w:themeColor="text1"/>
          <w:szCs w:val="20"/>
          <w:lang w:val="es-ES"/>
        </w:rPr>
        <w:t xml:space="preserve">dministrativas de la Administración Pública Federal, así como las 32 entidades federativas. </w:t>
      </w:r>
      <w:r w:rsidR="00BE6519" w:rsidRPr="00FA506F">
        <w:rPr>
          <w:rFonts w:eastAsia="Cambria" w:cs="Cambria"/>
          <w:color w:val="000000" w:themeColor="text1"/>
          <w:szCs w:val="20"/>
          <w:lang w:val="es-ES"/>
        </w:rPr>
        <w:t>Así,</w:t>
      </w:r>
      <w:r w:rsidRPr="00FA506F">
        <w:rPr>
          <w:rFonts w:eastAsia="Cambria" w:cs="Cambria"/>
          <w:color w:val="000000" w:themeColor="text1"/>
          <w:szCs w:val="20"/>
          <w:lang w:val="es-ES"/>
        </w:rPr>
        <w:t xml:space="preserve"> </w:t>
      </w:r>
      <w:r w:rsidR="00391C23" w:rsidRPr="00FA506F">
        <w:rPr>
          <w:rFonts w:eastAsia="Cambria" w:cs="Cambria"/>
          <w:color w:val="000000" w:themeColor="text1"/>
          <w:szCs w:val="20"/>
          <w:lang w:val="es-ES"/>
        </w:rPr>
        <w:t>la estrategia se centra</w:t>
      </w:r>
      <w:r w:rsidRPr="00FA506F">
        <w:rPr>
          <w:rFonts w:eastAsia="Cambria" w:cs="Cambria"/>
          <w:color w:val="000000" w:themeColor="text1"/>
          <w:szCs w:val="20"/>
          <w:lang w:val="es-ES"/>
        </w:rPr>
        <w:t>ría</w:t>
      </w:r>
      <w:r w:rsidR="00391C23" w:rsidRPr="00FA506F">
        <w:rPr>
          <w:rFonts w:eastAsia="Cambria" w:cs="Cambria"/>
          <w:color w:val="000000" w:themeColor="text1"/>
          <w:szCs w:val="20"/>
          <w:lang w:val="es-ES"/>
        </w:rPr>
        <w:t xml:space="preserve"> en la protección y promoción de los derechos humanos. </w:t>
      </w:r>
      <w:r w:rsidRPr="00FA506F">
        <w:rPr>
          <w:rFonts w:eastAsia="Cambria" w:cs="Cambria"/>
          <w:color w:val="000000" w:themeColor="text1"/>
          <w:szCs w:val="20"/>
          <w:lang w:val="es-ES"/>
        </w:rPr>
        <w:t xml:space="preserve">De igual forma, </w:t>
      </w:r>
      <w:r w:rsidR="007569A2" w:rsidRPr="00FA506F">
        <w:rPr>
          <w:rFonts w:eastAsia="Cambria" w:cs="Cambria"/>
          <w:color w:val="000000" w:themeColor="text1"/>
          <w:szCs w:val="20"/>
          <w:lang w:val="es-ES"/>
        </w:rPr>
        <w:t xml:space="preserve">México resaltó </w:t>
      </w:r>
      <w:r w:rsidRPr="00FA506F">
        <w:rPr>
          <w:rFonts w:eastAsia="Cambria" w:cs="Cambria"/>
          <w:color w:val="000000" w:themeColor="text1"/>
          <w:szCs w:val="20"/>
          <w:lang w:val="es-ES"/>
        </w:rPr>
        <w:t>que, e</w:t>
      </w:r>
      <w:r w:rsidR="00391C23" w:rsidRPr="00FA506F">
        <w:rPr>
          <w:rFonts w:eastAsia="Cambria" w:cs="Cambria"/>
          <w:color w:val="000000" w:themeColor="text1"/>
          <w:szCs w:val="20"/>
          <w:lang w:val="es-ES"/>
        </w:rPr>
        <w:t>n octubre de 2023, todas las entidades federativas se sumar</w:t>
      </w:r>
      <w:r w:rsidRPr="00FA506F">
        <w:rPr>
          <w:rFonts w:eastAsia="Cambria" w:cs="Cambria"/>
          <w:color w:val="000000" w:themeColor="text1"/>
          <w:szCs w:val="20"/>
          <w:lang w:val="es-ES"/>
        </w:rPr>
        <w:t>ían</w:t>
      </w:r>
      <w:r w:rsidR="00391C23" w:rsidRPr="00FA506F">
        <w:rPr>
          <w:rFonts w:eastAsia="Cambria" w:cs="Cambria"/>
          <w:color w:val="000000" w:themeColor="text1"/>
          <w:szCs w:val="20"/>
          <w:lang w:val="es-ES"/>
        </w:rPr>
        <w:t xml:space="preserve"> a la ENCT</w:t>
      </w:r>
      <w:r w:rsidR="004542F5" w:rsidRPr="00FA506F">
        <w:rPr>
          <w:rFonts w:eastAsia="Cambria" w:cs="Cambria"/>
          <w:color w:val="000000" w:themeColor="text1"/>
          <w:szCs w:val="20"/>
          <w:lang w:val="es-ES"/>
        </w:rPr>
        <w:t>. E</w:t>
      </w:r>
      <w:r w:rsidRPr="00FA506F">
        <w:rPr>
          <w:rFonts w:eastAsia="Cambria" w:cs="Cambria"/>
          <w:color w:val="000000" w:themeColor="text1"/>
          <w:szCs w:val="20"/>
          <w:lang w:val="es-ES"/>
        </w:rPr>
        <w:t>n ese contexto</w:t>
      </w:r>
      <w:r w:rsidR="004542F5" w:rsidRPr="00FA506F">
        <w:rPr>
          <w:rFonts w:eastAsia="Cambria" w:cs="Cambria"/>
          <w:color w:val="000000" w:themeColor="text1"/>
          <w:szCs w:val="20"/>
          <w:lang w:val="es-ES"/>
        </w:rPr>
        <w:t>,</w:t>
      </w:r>
      <w:r w:rsidRPr="00FA506F">
        <w:rPr>
          <w:rFonts w:eastAsia="Cambria" w:cs="Cambria"/>
          <w:color w:val="000000" w:themeColor="text1"/>
          <w:szCs w:val="20"/>
          <w:lang w:val="es-ES"/>
        </w:rPr>
        <w:t xml:space="preserve"> se habrían implementado </w:t>
      </w:r>
      <w:r w:rsidR="00391C23" w:rsidRPr="00FA506F">
        <w:rPr>
          <w:rFonts w:eastAsia="Cambria" w:cs="Cambria"/>
          <w:color w:val="000000" w:themeColor="text1"/>
          <w:szCs w:val="20"/>
          <w:lang w:val="es-ES"/>
        </w:rPr>
        <w:t xml:space="preserve">acciones </w:t>
      </w:r>
      <w:r w:rsidRPr="00FA506F">
        <w:rPr>
          <w:rFonts w:eastAsia="Cambria" w:cs="Cambria"/>
          <w:color w:val="000000" w:themeColor="text1"/>
          <w:szCs w:val="20"/>
          <w:lang w:val="es-ES"/>
        </w:rPr>
        <w:t xml:space="preserve">tales como </w:t>
      </w:r>
      <w:r w:rsidR="00391C23" w:rsidRPr="00FA506F">
        <w:rPr>
          <w:rFonts w:eastAsia="Cambria" w:cs="Cambria"/>
          <w:color w:val="000000" w:themeColor="text1"/>
          <w:szCs w:val="20"/>
          <w:lang w:val="es-ES"/>
        </w:rPr>
        <w:t>el Programa Nacional de Capacitación en materia de Tortura 2024-2025, que busca</w:t>
      </w:r>
      <w:r w:rsidRPr="00FA506F">
        <w:rPr>
          <w:rFonts w:eastAsia="Cambria" w:cs="Cambria"/>
          <w:color w:val="000000" w:themeColor="text1"/>
          <w:szCs w:val="20"/>
          <w:lang w:val="es-ES"/>
        </w:rPr>
        <w:t>ría</w:t>
      </w:r>
      <w:r w:rsidR="00391C23" w:rsidRPr="00FA506F">
        <w:rPr>
          <w:rFonts w:eastAsia="Cambria" w:cs="Cambria"/>
          <w:color w:val="000000" w:themeColor="text1"/>
          <w:szCs w:val="20"/>
          <w:lang w:val="es-ES"/>
        </w:rPr>
        <w:t xml:space="preserve"> formar a servidores públicos en la prevención y combate a la tortura</w:t>
      </w:r>
      <w:r w:rsidR="008C2DA5" w:rsidRPr="00FA506F">
        <w:rPr>
          <w:rFonts w:eastAsia="Cambria" w:cs="Cambria"/>
          <w:color w:val="000000" w:themeColor="text1"/>
          <w:szCs w:val="20"/>
          <w:lang w:val="es-ES"/>
        </w:rPr>
        <w:t xml:space="preserve"> y </w:t>
      </w:r>
      <w:r w:rsidR="007E13A5" w:rsidRPr="00FA506F">
        <w:rPr>
          <w:rFonts w:eastAsia="Cambria" w:cs="Cambria"/>
          <w:color w:val="000000" w:themeColor="text1"/>
          <w:szCs w:val="20"/>
          <w:lang w:val="es-ES"/>
        </w:rPr>
        <w:t>expl</w:t>
      </w:r>
      <w:r w:rsidR="00972C82" w:rsidRPr="00FA506F">
        <w:rPr>
          <w:rFonts w:eastAsia="Cambria" w:cs="Cambria"/>
          <w:color w:val="000000" w:themeColor="text1"/>
          <w:szCs w:val="20"/>
          <w:lang w:val="es-ES"/>
        </w:rPr>
        <w:t>icó</w:t>
      </w:r>
      <w:r w:rsidRPr="00FA506F">
        <w:rPr>
          <w:rFonts w:eastAsia="Cambria" w:cs="Cambria"/>
          <w:color w:val="000000" w:themeColor="text1"/>
          <w:szCs w:val="20"/>
          <w:lang w:val="es-ES"/>
        </w:rPr>
        <w:t xml:space="preserve"> el establecimiento</w:t>
      </w:r>
      <w:r w:rsidR="00391C23" w:rsidRPr="00FA506F">
        <w:rPr>
          <w:rFonts w:eastAsia="Cambria" w:cs="Cambria"/>
          <w:color w:val="000000" w:themeColor="text1"/>
          <w:szCs w:val="20"/>
          <w:lang w:val="es-ES"/>
        </w:rPr>
        <w:t xml:space="preserve"> </w:t>
      </w:r>
      <w:r w:rsidRPr="00FA506F">
        <w:rPr>
          <w:rFonts w:eastAsia="Cambria" w:cs="Cambria"/>
          <w:color w:val="000000" w:themeColor="text1"/>
          <w:szCs w:val="20"/>
          <w:lang w:val="es-ES"/>
        </w:rPr>
        <w:t>d</w:t>
      </w:r>
      <w:r w:rsidR="00391C23" w:rsidRPr="00FA506F">
        <w:rPr>
          <w:rFonts w:eastAsia="Cambria" w:cs="Cambria"/>
          <w:color w:val="000000" w:themeColor="text1"/>
          <w:szCs w:val="20"/>
          <w:lang w:val="es-ES"/>
        </w:rPr>
        <w:t xml:space="preserve">el Programa Anual de Trabajo 2024 y la Campaña Nacional Contra la Tortura 2024, cuyo objetivo principal </w:t>
      </w:r>
      <w:r w:rsidRPr="00FA506F">
        <w:rPr>
          <w:rFonts w:eastAsia="Cambria" w:cs="Cambria"/>
          <w:color w:val="000000" w:themeColor="text1"/>
          <w:szCs w:val="20"/>
          <w:lang w:val="es-ES"/>
        </w:rPr>
        <w:t>sería</w:t>
      </w:r>
      <w:r w:rsidR="00391C23" w:rsidRPr="00FA506F">
        <w:rPr>
          <w:rFonts w:eastAsia="Cambria" w:cs="Cambria"/>
          <w:color w:val="000000" w:themeColor="text1"/>
          <w:szCs w:val="20"/>
          <w:lang w:val="es-ES"/>
        </w:rPr>
        <w:t xml:space="preserve"> sensibilizar a la ciudadanía y al personal del gobierno sobre la erradicación de este delito</w:t>
      </w:r>
      <w:r w:rsidRPr="00FA506F">
        <w:rPr>
          <w:rStyle w:val="FootnoteReference"/>
          <w:rFonts w:eastAsia="Cambria" w:cs="Cambria"/>
          <w:color w:val="000000" w:themeColor="text1"/>
          <w:szCs w:val="20"/>
          <w:lang w:val="es-ES"/>
        </w:rPr>
        <w:footnoteReference w:id="85"/>
      </w:r>
      <w:r w:rsidR="00391C23" w:rsidRPr="00FA506F">
        <w:rPr>
          <w:rFonts w:eastAsia="Cambria" w:cs="Cambria"/>
          <w:color w:val="000000" w:themeColor="text1"/>
          <w:szCs w:val="20"/>
          <w:lang w:val="es-ES"/>
        </w:rPr>
        <w:t xml:space="preserve">. </w:t>
      </w:r>
    </w:p>
    <w:p w14:paraId="060400C4" w14:textId="4219445B" w:rsidR="00391C23" w:rsidRPr="00FA506F" w:rsidRDefault="008577FF" w:rsidP="00B80A67">
      <w:pPr>
        <w:pStyle w:val="IAPrrafo"/>
        <w:numPr>
          <w:ilvl w:val="0"/>
          <w:numId w:val="4"/>
        </w:numPr>
        <w:tabs>
          <w:tab w:val="num" w:pos="720"/>
        </w:tabs>
        <w:ind w:firstLine="720"/>
        <w:rPr>
          <w:rFonts w:eastAsia="Cambria" w:cs="Cambria"/>
          <w:i/>
          <w:iCs/>
          <w:color w:val="000000" w:themeColor="text1"/>
          <w:szCs w:val="20"/>
          <w:lang w:val="es-ES"/>
        </w:rPr>
      </w:pPr>
      <w:r w:rsidRPr="00FA506F">
        <w:rPr>
          <w:rFonts w:eastAsia="Cambria" w:cs="Cambria"/>
          <w:color w:val="000000" w:themeColor="text1"/>
          <w:szCs w:val="20"/>
          <w:lang w:val="es-ES"/>
        </w:rPr>
        <w:t xml:space="preserve">El Estado </w:t>
      </w:r>
      <w:r w:rsidR="00972C82" w:rsidRPr="00FA506F">
        <w:rPr>
          <w:rFonts w:eastAsia="Cambria" w:cs="Cambria"/>
          <w:color w:val="000000" w:themeColor="text1"/>
          <w:szCs w:val="20"/>
          <w:lang w:val="es-ES"/>
        </w:rPr>
        <w:t>se refirió</w:t>
      </w:r>
      <w:r w:rsidRPr="00FA506F">
        <w:rPr>
          <w:rFonts w:eastAsia="Cambria" w:cs="Cambria"/>
          <w:color w:val="000000" w:themeColor="text1"/>
          <w:szCs w:val="20"/>
          <w:lang w:val="es-ES"/>
        </w:rPr>
        <w:t xml:space="preserve"> </w:t>
      </w:r>
      <w:r w:rsidR="00972C82" w:rsidRPr="00FA506F">
        <w:rPr>
          <w:rFonts w:eastAsia="Cambria" w:cs="Cambria"/>
          <w:color w:val="000000" w:themeColor="text1"/>
          <w:szCs w:val="20"/>
          <w:lang w:val="es-ES"/>
        </w:rPr>
        <w:t>a</w:t>
      </w:r>
      <w:r w:rsidRPr="00FA506F">
        <w:rPr>
          <w:rFonts w:eastAsia="Cambria" w:cs="Cambria"/>
          <w:color w:val="000000" w:themeColor="text1"/>
          <w:szCs w:val="20"/>
          <w:lang w:val="es-ES"/>
        </w:rPr>
        <w:t>l</w:t>
      </w:r>
      <w:r w:rsidR="00391C23" w:rsidRPr="00FA506F">
        <w:rPr>
          <w:rFonts w:eastAsia="Cambria" w:cs="Cambria"/>
          <w:color w:val="000000" w:themeColor="text1"/>
          <w:szCs w:val="20"/>
          <w:lang w:val="es-ES"/>
        </w:rPr>
        <w:t xml:space="preserve"> Informe Anual de Resultados, </w:t>
      </w:r>
      <w:r w:rsidRPr="00FA506F">
        <w:rPr>
          <w:rFonts w:eastAsia="Cambria" w:cs="Cambria"/>
          <w:color w:val="000000" w:themeColor="text1"/>
          <w:szCs w:val="20"/>
          <w:lang w:val="es-ES"/>
        </w:rPr>
        <w:t>que prevé una evaluación de</w:t>
      </w:r>
      <w:r w:rsidR="00391C23" w:rsidRPr="00FA506F">
        <w:rPr>
          <w:rFonts w:eastAsia="Cambria" w:cs="Cambria"/>
          <w:color w:val="000000" w:themeColor="text1"/>
          <w:szCs w:val="20"/>
          <w:lang w:val="es-ES"/>
        </w:rPr>
        <w:t xml:space="preserve">l impacto de estas medidas en los próximos años. </w:t>
      </w:r>
      <w:r w:rsidR="00646DB7" w:rsidRPr="00FA506F">
        <w:rPr>
          <w:rFonts w:eastAsia="Cambria" w:cs="Cambria"/>
          <w:color w:val="000000" w:themeColor="text1"/>
          <w:szCs w:val="20"/>
          <w:lang w:val="es-ES"/>
        </w:rPr>
        <w:t>Agreg</w:t>
      </w:r>
      <w:r w:rsidR="00124059" w:rsidRPr="00FA506F">
        <w:rPr>
          <w:rFonts w:eastAsia="Cambria" w:cs="Cambria"/>
          <w:color w:val="000000" w:themeColor="text1"/>
          <w:szCs w:val="20"/>
          <w:lang w:val="es-ES"/>
        </w:rPr>
        <w:t>ó que</w:t>
      </w:r>
      <w:r w:rsidRPr="00FA506F">
        <w:rPr>
          <w:rFonts w:eastAsia="Cambria" w:cs="Cambria"/>
          <w:color w:val="000000" w:themeColor="text1"/>
          <w:szCs w:val="20"/>
          <w:lang w:val="es-ES"/>
        </w:rPr>
        <w:t xml:space="preserve"> la</w:t>
      </w:r>
      <w:r w:rsidR="00391C23" w:rsidRPr="00FA506F">
        <w:rPr>
          <w:rFonts w:eastAsia="Cambria" w:cs="Cambria"/>
          <w:color w:val="000000" w:themeColor="text1"/>
          <w:szCs w:val="20"/>
          <w:lang w:val="es-ES"/>
        </w:rPr>
        <w:t xml:space="preserve"> Campaña Nacional Contra la Tortura </w:t>
      </w:r>
      <w:r w:rsidR="00972C82" w:rsidRPr="00FA506F">
        <w:rPr>
          <w:rFonts w:eastAsia="Cambria" w:cs="Cambria"/>
          <w:color w:val="000000" w:themeColor="text1"/>
          <w:szCs w:val="20"/>
          <w:lang w:val="es-ES"/>
        </w:rPr>
        <w:t>“</w:t>
      </w:r>
      <w:r w:rsidR="00391C23" w:rsidRPr="00FA506F">
        <w:rPr>
          <w:rFonts w:eastAsia="Cambria" w:cs="Cambria"/>
          <w:color w:val="000000" w:themeColor="text1"/>
          <w:szCs w:val="20"/>
          <w:lang w:val="es-ES"/>
        </w:rPr>
        <w:t>México Sin Tortura</w:t>
      </w:r>
      <w:r w:rsidR="001A48E6" w:rsidRPr="00FA506F">
        <w:rPr>
          <w:rFonts w:eastAsia="Cambria" w:cs="Cambria"/>
          <w:color w:val="000000" w:themeColor="text1"/>
          <w:szCs w:val="20"/>
          <w:lang w:val="es-ES"/>
        </w:rPr>
        <w:t>”</w:t>
      </w:r>
      <w:r w:rsidR="00391C23" w:rsidRPr="00FA506F">
        <w:rPr>
          <w:rFonts w:eastAsia="Cambria" w:cs="Cambria"/>
          <w:color w:val="000000" w:themeColor="text1"/>
          <w:szCs w:val="20"/>
          <w:lang w:val="es-ES"/>
        </w:rPr>
        <w:t>, lanzada en junio de 2024, t</w:t>
      </w:r>
      <w:r w:rsidRPr="00FA506F">
        <w:rPr>
          <w:rFonts w:eastAsia="Cambria" w:cs="Cambria"/>
          <w:color w:val="000000" w:themeColor="text1"/>
          <w:szCs w:val="20"/>
          <w:lang w:val="es-ES"/>
        </w:rPr>
        <w:t>endría</w:t>
      </w:r>
      <w:r w:rsidR="00391C23" w:rsidRPr="00FA506F">
        <w:rPr>
          <w:rFonts w:eastAsia="Cambria" w:cs="Cambria"/>
          <w:color w:val="000000" w:themeColor="text1"/>
          <w:szCs w:val="20"/>
          <w:lang w:val="es-ES"/>
        </w:rPr>
        <w:t xml:space="preserve"> como objetivo visibilizar el problema de la tortura y prevenir su ocurrencia a través de comunicaciones dirigidas a la sociedad y servidores públicos. Esta campaña inclu</w:t>
      </w:r>
      <w:r w:rsidRPr="00FA506F">
        <w:rPr>
          <w:rFonts w:eastAsia="Cambria" w:cs="Cambria"/>
          <w:color w:val="000000" w:themeColor="text1"/>
          <w:szCs w:val="20"/>
          <w:lang w:val="es-ES"/>
        </w:rPr>
        <w:t>iría</w:t>
      </w:r>
      <w:r w:rsidR="00391C23" w:rsidRPr="00FA506F">
        <w:rPr>
          <w:rFonts w:eastAsia="Cambria" w:cs="Cambria"/>
          <w:color w:val="000000" w:themeColor="text1"/>
          <w:szCs w:val="20"/>
          <w:lang w:val="es-ES"/>
        </w:rPr>
        <w:t xml:space="preserve"> imágenes y mensajes que reforza</w:t>
      </w:r>
      <w:r w:rsidRPr="00FA506F">
        <w:rPr>
          <w:rFonts w:eastAsia="Cambria" w:cs="Cambria"/>
          <w:color w:val="000000" w:themeColor="text1"/>
          <w:szCs w:val="20"/>
          <w:lang w:val="es-ES"/>
        </w:rPr>
        <w:t>rían</w:t>
      </w:r>
      <w:r w:rsidR="00391C23" w:rsidRPr="00FA506F">
        <w:rPr>
          <w:rFonts w:eastAsia="Cambria" w:cs="Cambria"/>
          <w:color w:val="000000" w:themeColor="text1"/>
          <w:szCs w:val="20"/>
          <w:lang w:val="es-ES"/>
        </w:rPr>
        <w:t xml:space="preserve"> la importancia de respetar los derechos humanos y promover una política de </w:t>
      </w:r>
      <w:r w:rsidR="007935DE" w:rsidRPr="00FA506F">
        <w:rPr>
          <w:rFonts w:eastAsia="Cambria" w:cs="Cambria"/>
          <w:color w:val="000000" w:themeColor="text1"/>
          <w:szCs w:val="20"/>
          <w:lang w:val="es-ES"/>
        </w:rPr>
        <w:t>cero tolerancias</w:t>
      </w:r>
      <w:r w:rsidR="009434B8" w:rsidRPr="00FA506F">
        <w:rPr>
          <w:rFonts w:eastAsia="Cambria" w:cs="Cambria"/>
          <w:color w:val="000000" w:themeColor="text1"/>
          <w:szCs w:val="20"/>
          <w:lang w:val="es-ES"/>
        </w:rPr>
        <w:t xml:space="preserve"> </w:t>
      </w:r>
      <w:r w:rsidR="00391C23" w:rsidRPr="00FA506F">
        <w:rPr>
          <w:rFonts w:eastAsia="Cambria" w:cs="Cambria"/>
          <w:color w:val="000000" w:themeColor="text1"/>
          <w:szCs w:val="20"/>
          <w:lang w:val="es-ES"/>
        </w:rPr>
        <w:t xml:space="preserve">ante la tortura. </w:t>
      </w:r>
      <w:r w:rsidRPr="00FA506F">
        <w:rPr>
          <w:rFonts w:eastAsia="Cambria" w:cs="Cambria"/>
          <w:color w:val="000000" w:themeColor="text1"/>
          <w:szCs w:val="20"/>
          <w:lang w:val="es-ES"/>
        </w:rPr>
        <w:t>Adicionalmente</w:t>
      </w:r>
      <w:r w:rsidR="00BE6519" w:rsidRPr="00FA506F">
        <w:rPr>
          <w:rFonts w:eastAsia="Cambria" w:cs="Cambria"/>
          <w:color w:val="000000" w:themeColor="text1"/>
          <w:szCs w:val="20"/>
          <w:lang w:val="es-ES"/>
        </w:rPr>
        <w:t xml:space="preserve">, </w:t>
      </w:r>
      <w:r w:rsidRPr="00FA506F">
        <w:rPr>
          <w:rFonts w:eastAsia="Cambria" w:cs="Cambria"/>
          <w:color w:val="000000" w:themeColor="text1"/>
          <w:szCs w:val="20"/>
          <w:lang w:val="es-ES"/>
        </w:rPr>
        <w:t>en el marco d</w:t>
      </w:r>
      <w:r w:rsidR="00391C23" w:rsidRPr="00FA506F">
        <w:rPr>
          <w:rFonts w:eastAsia="Cambria" w:cs="Cambria"/>
          <w:color w:val="000000" w:themeColor="text1"/>
          <w:szCs w:val="20"/>
          <w:lang w:val="es-ES"/>
        </w:rPr>
        <w:t>el Día Internacional en Apoyo a las Víctimas de Tortura</w:t>
      </w:r>
      <w:r w:rsidR="00F653AE" w:rsidRPr="00FA506F">
        <w:rPr>
          <w:rFonts w:eastAsia="Cambria" w:cs="Cambria"/>
          <w:color w:val="000000" w:themeColor="text1"/>
          <w:szCs w:val="20"/>
          <w:lang w:val="es-ES"/>
        </w:rPr>
        <w:t>,</w:t>
      </w:r>
      <w:r w:rsidR="00391C23" w:rsidRPr="00FA506F">
        <w:rPr>
          <w:rFonts w:eastAsia="Cambria" w:cs="Cambria"/>
          <w:color w:val="000000" w:themeColor="text1"/>
          <w:szCs w:val="20"/>
          <w:lang w:val="es-ES"/>
        </w:rPr>
        <w:t xml:space="preserve"> </w:t>
      </w:r>
      <w:r w:rsidRPr="00FA506F">
        <w:rPr>
          <w:rFonts w:eastAsia="Cambria" w:cs="Cambria"/>
          <w:color w:val="000000" w:themeColor="text1"/>
          <w:szCs w:val="20"/>
          <w:lang w:val="es-ES"/>
        </w:rPr>
        <w:t>se realizó un</w:t>
      </w:r>
      <w:r w:rsidR="00391C23" w:rsidRPr="00FA506F">
        <w:rPr>
          <w:rFonts w:eastAsia="Cambria" w:cs="Cambria"/>
          <w:color w:val="000000" w:themeColor="text1"/>
          <w:szCs w:val="20"/>
          <w:lang w:val="es-ES"/>
        </w:rPr>
        <w:t xml:space="preserve"> encuentro virtual que reunió a autoridades de las 32 entidades federativas. </w:t>
      </w:r>
      <w:r w:rsidR="009434B8" w:rsidRPr="00FA506F">
        <w:rPr>
          <w:rFonts w:eastAsia="Cambria" w:cs="Cambria"/>
          <w:color w:val="000000" w:themeColor="text1"/>
          <w:szCs w:val="20"/>
          <w:lang w:val="es-ES"/>
        </w:rPr>
        <w:t>Finalmente,</w:t>
      </w:r>
      <w:r w:rsidR="00536F2F" w:rsidRPr="00FA506F">
        <w:rPr>
          <w:rFonts w:eastAsia="Cambria" w:cs="Cambria"/>
          <w:color w:val="000000" w:themeColor="text1"/>
          <w:szCs w:val="20"/>
          <w:lang w:val="es-ES"/>
        </w:rPr>
        <w:t xml:space="preserve"> el Estado</w:t>
      </w:r>
      <w:r w:rsidR="00F653AE" w:rsidRPr="00FA506F">
        <w:rPr>
          <w:rFonts w:eastAsia="Cambria" w:cs="Cambria"/>
          <w:color w:val="000000" w:themeColor="text1"/>
          <w:szCs w:val="20"/>
          <w:lang w:val="es-ES"/>
        </w:rPr>
        <w:t xml:space="preserve"> mencion</w:t>
      </w:r>
      <w:r w:rsidR="00357AC3" w:rsidRPr="00FA506F">
        <w:rPr>
          <w:rFonts w:eastAsia="Cambria" w:cs="Cambria"/>
          <w:color w:val="000000" w:themeColor="text1"/>
          <w:szCs w:val="20"/>
          <w:lang w:val="es-ES"/>
        </w:rPr>
        <w:t xml:space="preserve">ó </w:t>
      </w:r>
      <w:r w:rsidRPr="00FA506F">
        <w:rPr>
          <w:rFonts w:eastAsia="Cambria" w:cs="Cambria"/>
          <w:color w:val="000000" w:themeColor="text1"/>
          <w:szCs w:val="20"/>
          <w:lang w:val="es-ES"/>
        </w:rPr>
        <w:t>que e</w:t>
      </w:r>
      <w:r w:rsidR="00391C23" w:rsidRPr="00FA506F">
        <w:rPr>
          <w:rFonts w:eastAsia="Cambria" w:cs="Cambria"/>
          <w:color w:val="000000" w:themeColor="text1"/>
          <w:szCs w:val="20"/>
          <w:lang w:val="es-ES"/>
        </w:rPr>
        <w:t xml:space="preserve">l Mecanismo de Seguimiento de Casos de Tortura Sexual Cometida contra </w:t>
      </w:r>
      <w:r w:rsidR="009434B8" w:rsidRPr="00FA506F">
        <w:rPr>
          <w:rFonts w:eastAsia="Cambria" w:cs="Cambria"/>
          <w:color w:val="000000" w:themeColor="text1"/>
          <w:szCs w:val="20"/>
          <w:lang w:val="es-ES"/>
        </w:rPr>
        <w:t>Mujeres es</w:t>
      </w:r>
      <w:r w:rsidR="00391C23" w:rsidRPr="00FA506F">
        <w:rPr>
          <w:rFonts w:eastAsia="Cambria" w:cs="Cambria"/>
          <w:color w:val="000000" w:themeColor="text1"/>
          <w:szCs w:val="20"/>
          <w:lang w:val="es-ES"/>
        </w:rPr>
        <w:t xml:space="preserve"> una instancia creada para monitorear y acompañar a mujeres víctimas de tortura sexual, con un enfoque especial en aquellas que están privadas de su libertad</w:t>
      </w:r>
      <w:r w:rsidRPr="00FA506F">
        <w:rPr>
          <w:rStyle w:val="FootnoteReference"/>
          <w:rFonts w:eastAsia="Cambria" w:cs="Cambria"/>
          <w:color w:val="000000" w:themeColor="text1"/>
          <w:szCs w:val="20"/>
          <w:lang w:val="es-ES"/>
        </w:rPr>
        <w:footnoteReference w:id="86"/>
      </w:r>
      <w:r w:rsidR="00391C23" w:rsidRPr="00FA506F">
        <w:rPr>
          <w:rFonts w:eastAsia="Cambria" w:cs="Cambria"/>
          <w:color w:val="000000" w:themeColor="text1"/>
          <w:szCs w:val="20"/>
          <w:lang w:val="es-ES"/>
        </w:rPr>
        <w:t xml:space="preserve">. </w:t>
      </w:r>
    </w:p>
    <w:p w14:paraId="63D6179A" w14:textId="4B219BEE" w:rsidR="00E05860" w:rsidRPr="00FA506F" w:rsidRDefault="00E05860" w:rsidP="00B80A67">
      <w:pPr>
        <w:pStyle w:val="IAPrrafo"/>
        <w:numPr>
          <w:ilvl w:val="0"/>
          <w:numId w:val="4"/>
        </w:numPr>
        <w:tabs>
          <w:tab w:val="num" w:pos="720"/>
        </w:tabs>
        <w:ind w:firstLine="720"/>
        <w:rPr>
          <w:rFonts w:eastAsia="Cambria" w:cs="Cambria"/>
          <w:color w:val="000000" w:themeColor="text1"/>
          <w:szCs w:val="20"/>
          <w:lang w:val="es-ES"/>
        </w:rPr>
      </w:pPr>
      <w:r w:rsidRPr="00FA506F">
        <w:rPr>
          <w:rFonts w:eastAsia="Cambria" w:cs="Cambria"/>
          <w:color w:val="000000" w:themeColor="text1"/>
          <w:szCs w:val="20"/>
          <w:lang w:val="es-ES"/>
        </w:rPr>
        <w:t xml:space="preserve">Por su parte, organizaciones de la sociedad civil </w:t>
      </w:r>
      <w:r w:rsidR="00BE6519" w:rsidRPr="00FA506F">
        <w:rPr>
          <w:rFonts w:eastAsia="Cambria" w:cs="Cambria"/>
          <w:color w:val="000000" w:themeColor="text1"/>
          <w:szCs w:val="20"/>
          <w:lang w:val="es-ES"/>
        </w:rPr>
        <w:t>refirieron</w:t>
      </w:r>
      <w:r w:rsidRPr="00FA506F">
        <w:rPr>
          <w:rFonts w:eastAsia="Cambria" w:cs="Cambria"/>
          <w:color w:val="000000" w:themeColor="text1"/>
          <w:szCs w:val="20"/>
          <w:lang w:val="es-ES"/>
        </w:rPr>
        <w:t xml:space="preserve"> que, a siete años de la publicación de la Ley General </w:t>
      </w:r>
      <w:r w:rsidR="00E20AB7" w:rsidRPr="00FA506F">
        <w:rPr>
          <w:rFonts w:eastAsia="Cambria" w:cs="Cambria"/>
          <w:color w:val="000000" w:themeColor="text1"/>
          <w:szCs w:val="20"/>
          <w:lang w:val="es-ES"/>
        </w:rPr>
        <w:t>contra la</w:t>
      </w:r>
      <w:r w:rsidRPr="00FA506F">
        <w:rPr>
          <w:rFonts w:eastAsia="Cambria" w:cs="Cambria"/>
          <w:color w:val="000000" w:themeColor="text1"/>
          <w:szCs w:val="20"/>
          <w:lang w:val="es-ES"/>
        </w:rPr>
        <w:t xml:space="preserve"> Tortura (LGT) sólo un estado de la república</w:t>
      </w:r>
      <w:r w:rsidR="004542F5" w:rsidRPr="00FA506F">
        <w:rPr>
          <w:rFonts w:eastAsia="Cambria" w:cs="Cambria"/>
          <w:color w:val="000000" w:themeColor="text1"/>
          <w:szCs w:val="20"/>
          <w:lang w:val="es-ES"/>
        </w:rPr>
        <w:t xml:space="preserve">, </w:t>
      </w:r>
      <w:r w:rsidRPr="00FA506F">
        <w:rPr>
          <w:rFonts w:eastAsia="Cambria" w:cs="Cambria"/>
          <w:color w:val="000000" w:themeColor="text1"/>
          <w:szCs w:val="20"/>
          <w:lang w:val="es-ES"/>
        </w:rPr>
        <w:t>Oaxaca</w:t>
      </w:r>
      <w:r w:rsidR="004542F5" w:rsidRPr="00FA506F">
        <w:rPr>
          <w:rFonts w:eastAsia="Cambria" w:cs="Cambria"/>
          <w:color w:val="000000" w:themeColor="text1"/>
          <w:szCs w:val="20"/>
          <w:lang w:val="es-ES"/>
        </w:rPr>
        <w:t xml:space="preserve">, </w:t>
      </w:r>
      <w:r w:rsidRPr="00FA506F">
        <w:rPr>
          <w:rFonts w:eastAsia="Cambria" w:cs="Cambria"/>
          <w:color w:val="000000" w:themeColor="text1"/>
          <w:szCs w:val="20"/>
          <w:lang w:val="es-ES"/>
        </w:rPr>
        <w:t>contaría con una ley armonizada en la materia</w:t>
      </w:r>
      <w:r w:rsidR="00357AC3" w:rsidRPr="00FA506F">
        <w:rPr>
          <w:rFonts w:eastAsia="Cambria" w:cs="Cambria"/>
          <w:color w:val="000000" w:themeColor="text1"/>
          <w:szCs w:val="20"/>
          <w:lang w:val="es-ES"/>
        </w:rPr>
        <w:t>;</w:t>
      </w:r>
      <w:r w:rsidRPr="00FA506F">
        <w:rPr>
          <w:rFonts w:eastAsia="Cambria" w:cs="Cambria"/>
          <w:color w:val="000000" w:themeColor="text1"/>
          <w:szCs w:val="20"/>
          <w:lang w:val="es-ES"/>
        </w:rPr>
        <w:t xml:space="preserve"> sin que haya una acción coordinada para impulsar </w:t>
      </w:r>
      <w:r w:rsidR="00E64AA7" w:rsidRPr="00FA506F">
        <w:rPr>
          <w:rFonts w:eastAsia="Cambria" w:cs="Cambria"/>
          <w:color w:val="000000" w:themeColor="text1"/>
          <w:szCs w:val="20"/>
          <w:lang w:val="es-ES"/>
        </w:rPr>
        <w:t>una ley así</w:t>
      </w:r>
      <w:r w:rsidRPr="00FA506F">
        <w:rPr>
          <w:rFonts w:eastAsia="Cambria" w:cs="Cambria"/>
          <w:color w:val="000000" w:themeColor="text1"/>
          <w:szCs w:val="20"/>
          <w:lang w:val="es-ES"/>
        </w:rPr>
        <w:t xml:space="preserve"> en todas las entidades</w:t>
      </w:r>
      <w:r w:rsidR="00E64AA7" w:rsidRPr="00FA506F">
        <w:rPr>
          <w:rFonts w:eastAsia="Cambria" w:cs="Cambria"/>
          <w:color w:val="000000" w:themeColor="text1"/>
          <w:szCs w:val="20"/>
          <w:lang w:val="es-ES"/>
        </w:rPr>
        <w:t xml:space="preserve">; y que ello </w:t>
      </w:r>
      <w:r w:rsidRPr="00FA506F">
        <w:rPr>
          <w:rFonts w:eastAsia="Cambria" w:cs="Cambria"/>
          <w:color w:val="000000" w:themeColor="text1"/>
          <w:szCs w:val="20"/>
          <w:lang w:val="es-ES"/>
        </w:rPr>
        <w:t>ha sido reconocido por el Mecanismo de Seguimiento a casos de Tortura Sexual</w:t>
      </w:r>
      <w:r w:rsidRPr="00FA506F">
        <w:rPr>
          <w:rStyle w:val="FootnoteReference"/>
          <w:rFonts w:eastAsia="Cambria" w:cs="Cambria"/>
          <w:color w:val="000000" w:themeColor="text1"/>
          <w:szCs w:val="20"/>
          <w:lang w:val="es-ES"/>
        </w:rPr>
        <w:footnoteReference w:id="87"/>
      </w:r>
      <w:r w:rsidRPr="00FA506F">
        <w:rPr>
          <w:rFonts w:eastAsia="Cambria" w:cs="Cambria"/>
          <w:color w:val="000000" w:themeColor="text1"/>
          <w:szCs w:val="20"/>
          <w:lang w:val="es-ES"/>
        </w:rPr>
        <w:t xml:space="preserve">. En relación con el Programa Nacional contra la Tortura (PNT), entre 2019 y 2021 un grupo de organizaciones trabajaron propuestas con las diversas autoridades responsables, incluyendo a la SEGOB y a la FGR. </w:t>
      </w:r>
      <w:r w:rsidR="0088718E" w:rsidRPr="00FA506F">
        <w:rPr>
          <w:rFonts w:eastAsia="Cambria" w:cs="Cambria"/>
          <w:color w:val="000000" w:themeColor="text1"/>
          <w:szCs w:val="20"/>
          <w:lang w:val="es-ES"/>
        </w:rPr>
        <w:t xml:space="preserve">Sin embargo, </w:t>
      </w:r>
      <w:r w:rsidRPr="00FA506F">
        <w:rPr>
          <w:rFonts w:eastAsia="Cambria" w:cs="Cambria"/>
          <w:color w:val="000000" w:themeColor="text1"/>
          <w:szCs w:val="20"/>
          <w:lang w:val="es-ES"/>
        </w:rPr>
        <w:t>ante la omisión de la F</w:t>
      </w:r>
      <w:r w:rsidR="0088718E" w:rsidRPr="00FA506F">
        <w:rPr>
          <w:rFonts w:eastAsia="Cambria" w:cs="Cambria"/>
          <w:color w:val="000000" w:themeColor="text1"/>
          <w:szCs w:val="20"/>
          <w:lang w:val="es-ES"/>
        </w:rPr>
        <w:t xml:space="preserve">iscalía General </w:t>
      </w:r>
      <w:r w:rsidRPr="00FA506F">
        <w:rPr>
          <w:rFonts w:eastAsia="Cambria" w:cs="Cambria"/>
          <w:color w:val="000000" w:themeColor="text1"/>
          <w:szCs w:val="20"/>
          <w:lang w:val="es-ES"/>
        </w:rPr>
        <w:t>de publicar el P</w:t>
      </w:r>
      <w:r w:rsidR="0088718E" w:rsidRPr="00FA506F">
        <w:rPr>
          <w:rFonts w:eastAsia="Cambria" w:cs="Cambria"/>
          <w:color w:val="000000" w:themeColor="text1"/>
          <w:szCs w:val="20"/>
          <w:lang w:val="es-ES"/>
        </w:rPr>
        <w:t xml:space="preserve">rograma </w:t>
      </w:r>
      <w:r w:rsidR="006D6718" w:rsidRPr="00FA506F">
        <w:rPr>
          <w:rFonts w:eastAsia="Cambria" w:cs="Cambria"/>
          <w:color w:val="000000" w:themeColor="text1"/>
          <w:szCs w:val="20"/>
          <w:lang w:val="es-ES"/>
        </w:rPr>
        <w:t>de conformidad con el artículo 70 de la Ley</w:t>
      </w:r>
      <w:r w:rsidR="00B2733E" w:rsidRPr="00FA506F">
        <w:rPr>
          <w:rFonts w:eastAsia="Cambria" w:cs="Cambria"/>
          <w:color w:val="000000" w:themeColor="text1"/>
          <w:szCs w:val="20"/>
          <w:lang w:val="es-ES"/>
        </w:rPr>
        <w:t xml:space="preserve"> —</w:t>
      </w:r>
      <w:r w:rsidRPr="00FA506F">
        <w:rPr>
          <w:rFonts w:eastAsia="Cambria" w:cs="Cambria"/>
          <w:color w:val="000000" w:themeColor="text1"/>
          <w:szCs w:val="20"/>
          <w:lang w:val="es-ES"/>
        </w:rPr>
        <w:t xml:space="preserve">que </w:t>
      </w:r>
      <w:r w:rsidR="00A72EBA" w:rsidRPr="00FA506F">
        <w:rPr>
          <w:rFonts w:eastAsia="Cambria" w:cs="Cambria"/>
          <w:color w:val="000000" w:themeColor="text1"/>
          <w:szCs w:val="20"/>
          <w:lang w:val="es-ES"/>
        </w:rPr>
        <w:t xml:space="preserve">establece que </w:t>
      </w:r>
      <w:r w:rsidRPr="00FA506F">
        <w:rPr>
          <w:rFonts w:eastAsia="Cambria" w:cs="Cambria"/>
          <w:color w:val="000000" w:themeColor="text1"/>
          <w:szCs w:val="20"/>
          <w:lang w:val="es-ES"/>
        </w:rPr>
        <w:t xml:space="preserve">debía ser publicado 180 días después de la publicación de la </w:t>
      </w:r>
      <w:r w:rsidR="00095257" w:rsidRPr="00FA506F">
        <w:rPr>
          <w:rFonts w:eastAsia="Cambria" w:cs="Cambria"/>
          <w:color w:val="000000" w:themeColor="text1"/>
          <w:szCs w:val="20"/>
          <w:lang w:val="es-ES"/>
        </w:rPr>
        <w:t>l</w:t>
      </w:r>
      <w:r w:rsidRPr="00FA506F">
        <w:rPr>
          <w:rFonts w:eastAsia="Cambria" w:cs="Cambria"/>
          <w:color w:val="000000" w:themeColor="text1"/>
          <w:szCs w:val="20"/>
          <w:lang w:val="es-ES"/>
        </w:rPr>
        <w:t>e</w:t>
      </w:r>
      <w:r w:rsidR="009A76FC" w:rsidRPr="00FA506F">
        <w:rPr>
          <w:rFonts w:eastAsia="Cambria" w:cs="Cambria"/>
          <w:color w:val="000000" w:themeColor="text1"/>
          <w:szCs w:val="20"/>
          <w:lang w:val="es-ES"/>
        </w:rPr>
        <w:t>y</w:t>
      </w:r>
      <w:r w:rsidR="001E133B">
        <w:rPr>
          <w:rFonts w:eastAsia="Cambria" w:cs="Cambria"/>
          <w:color w:val="000000" w:themeColor="text1"/>
          <w:szCs w:val="20"/>
          <w:lang w:val="es-ES"/>
        </w:rPr>
        <w:t xml:space="preserve"> </w:t>
      </w:r>
      <w:r w:rsidR="00C3451F" w:rsidRPr="00FA506F">
        <w:rPr>
          <w:rFonts w:eastAsia="Cambria" w:cs="Cambria"/>
          <w:color w:val="000000" w:themeColor="text1"/>
          <w:szCs w:val="20"/>
          <w:lang w:val="es-ES"/>
        </w:rPr>
        <w:t xml:space="preserve">—, </w:t>
      </w:r>
      <w:r w:rsidRPr="00FA506F">
        <w:rPr>
          <w:rFonts w:eastAsia="Cambria" w:cs="Cambria"/>
          <w:color w:val="000000" w:themeColor="text1"/>
          <w:szCs w:val="20"/>
          <w:lang w:val="es-ES"/>
        </w:rPr>
        <w:t xml:space="preserve">diversas organizaciones habrían presentado recursos legales que continúan en desahogo. </w:t>
      </w:r>
      <w:r w:rsidR="009A76FC" w:rsidRPr="00FA506F">
        <w:rPr>
          <w:rFonts w:eastAsia="Cambria" w:cs="Cambria"/>
          <w:color w:val="000000" w:themeColor="text1"/>
          <w:szCs w:val="20"/>
          <w:lang w:val="es-ES"/>
        </w:rPr>
        <w:t xml:space="preserve">Las organizaciones destacan que, </w:t>
      </w:r>
      <w:r w:rsidRPr="00FA506F">
        <w:rPr>
          <w:rFonts w:eastAsia="Cambria" w:cs="Cambria"/>
          <w:color w:val="000000" w:themeColor="text1"/>
          <w:szCs w:val="20"/>
          <w:lang w:val="es-ES"/>
        </w:rPr>
        <w:t>a siete años de la publicación de la L</w:t>
      </w:r>
      <w:r w:rsidR="001714B0" w:rsidRPr="00FA506F">
        <w:rPr>
          <w:rFonts w:eastAsia="Cambria" w:cs="Cambria"/>
          <w:color w:val="000000" w:themeColor="text1"/>
          <w:szCs w:val="20"/>
          <w:lang w:val="es-ES"/>
        </w:rPr>
        <w:t xml:space="preserve">ey General </w:t>
      </w:r>
      <w:r w:rsidR="00C3451F" w:rsidRPr="00FA506F">
        <w:rPr>
          <w:rFonts w:eastAsia="Cambria" w:cs="Cambria"/>
          <w:color w:val="000000" w:themeColor="text1"/>
          <w:szCs w:val="20"/>
          <w:lang w:val="es-ES"/>
        </w:rPr>
        <w:t xml:space="preserve">contra la </w:t>
      </w:r>
      <w:r w:rsidR="001714B0" w:rsidRPr="00FA506F">
        <w:rPr>
          <w:rFonts w:eastAsia="Cambria" w:cs="Cambria"/>
          <w:color w:val="000000" w:themeColor="text1"/>
          <w:szCs w:val="20"/>
          <w:lang w:val="es-ES"/>
        </w:rPr>
        <w:t>Tortura</w:t>
      </w:r>
      <w:r w:rsidRPr="00FA506F">
        <w:rPr>
          <w:rFonts w:eastAsia="Cambria" w:cs="Cambria"/>
          <w:color w:val="000000" w:themeColor="text1"/>
          <w:szCs w:val="20"/>
          <w:lang w:val="es-ES"/>
        </w:rPr>
        <w:t>, el PNT no ha sido publicado</w:t>
      </w:r>
      <w:r w:rsidR="008C2DA5" w:rsidRPr="00FA506F">
        <w:rPr>
          <w:rFonts w:eastAsia="Cambria" w:cs="Cambria"/>
          <w:color w:val="000000" w:themeColor="text1"/>
          <w:szCs w:val="20"/>
          <w:lang w:val="es-ES"/>
        </w:rPr>
        <w:t xml:space="preserve"> y </w:t>
      </w:r>
      <w:r w:rsidR="001714B0" w:rsidRPr="00FA506F">
        <w:rPr>
          <w:rFonts w:eastAsia="Cambria" w:cs="Cambria"/>
          <w:color w:val="000000" w:themeColor="text1"/>
          <w:szCs w:val="20"/>
          <w:lang w:val="es-ES"/>
        </w:rPr>
        <w:t>advierte</w:t>
      </w:r>
      <w:r w:rsidR="006B64C7" w:rsidRPr="00FA506F">
        <w:rPr>
          <w:rFonts w:eastAsia="Cambria" w:cs="Cambria"/>
          <w:color w:val="000000" w:themeColor="text1"/>
          <w:szCs w:val="20"/>
          <w:lang w:val="es-ES"/>
        </w:rPr>
        <w:t xml:space="preserve">n que la Estrategia Nacional contra la Tortura, presentada por la </w:t>
      </w:r>
      <w:r w:rsidR="00DB4A17" w:rsidRPr="00FA506F">
        <w:rPr>
          <w:rFonts w:eastAsia="Cambria" w:cs="Cambria"/>
          <w:color w:val="000000" w:themeColor="text1"/>
          <w:szCs w:val="20"/>
          <w:lang w:val="es-ES"/>
        </w:rPr>
        <w:t>SEGOB</w:t>
      </w:r>
      <w:r w:rsidR="006B64C7" w:rsidRPr="00FA506F">
        <w:rPr>
          <w:rFonts w:eastAsia="Cambria" w:cs="Cambria"/>
          <w:color w:val="000000" w:themeColor="text1"/>
          <w:szCs w:val="20"/>
          <w:lang w:val="es-ES"/>
        </w:rPr>
        <w:t>, no cumpliría con lo establecido en la LGT</w:t>
      </w:r>
      <w:r w:rsidR="006B64C7" w:rsidRPr="00FA506F">
        <w:rPr>
          <w:vertAlign w:val="superscript"/>
          <w:lang w:val="es-ES"/>
        </w:rPr>
        <w:footnoteReference w:id="88"/>
      </w:r>
      <w:r w:rsidR="006B64C7" w:rsidRPr="00FA506F">
        <w:rPr>
          <w:rFonts w:eastAsia="Cambria" w:cs="Cambria"/>
          <w:color w:val="000000" w:themeColor="text1"/>
          <w:szCs w:val="20"/>
          <w:lang w:val="es-ES"/>
        </w:rPr>
        <w:t>.</w:t>
      </w:r>
    </w:p>
    <w:p w14:paraId="2E7161D6" w14:textId="2FE95374" w:rsidR="00F55FC1" w:rsidRPr="00FA506F" w:rsidRDefault="00F55FC1" w:rsidP="007935DE">
      <w:pPr>
        <w:pStyle w:val="IAPrrafo"/>
        <w:tabs>
          <w:tab w:val="num" w:pos="720"/>
        </w:tabs>
        <w:ind w:left="360" w:firstLine="360"/>
        <w:rPr>
          <w:rFonts w:eastAsia="Cambria" w:cs="Cambria"/>
          <w:i/>
          <w:iCs/>
          <w:color w:val="000000" w:themeColor="text1"/>
          <w:szCs w:val="20"/>
          <w:lang w:val="es-ES"/>
        </w:rPr>
      </w:pPr>
      <w:r w:rsidRPr="00FA506F">
        <w:rPr>
          <w:rFonts w:eastAsia="Cambria" w:cs="Cambria"/>
          <w:i/>
          <w:iCs/>
          <w:color w:val="000000" w:themeColor="text1"/>
          <w:szCs w:val="20"/>
          <w:lang w:val="es-ES"/>
        </w:rPr>
        <w:t>Análisis y nivel de cumplimiento de la recomendación</w:t>
      </w:r>
    </w:p>
    <w:p w14:paraId="6F8F1932" w14:textId="5983066C" w:rsidR="001D6C84" w:rsidRPr="00FA506F" w:rsidRDefault="00E05860" w:rsidP="00B80A67">
      <w:pPr>
        <w:pStyle w:val="IAPrrafo"/>
        <w:numPr>
          <w:ilvl w:val="0"/>
          <w:numId w:val="4"/>
        </w:numPr>
        <w:tabs>
          <w:tab w:val="num" w:pos="720"/>
        </w:tabs>
        <w:ind w:firstLine="720"/>
        <w:rPr>
          <w:lang w:val="es-ES"/>
        </w:rPr>
      </w:pPr>
      <w:r w:rsidRPr="00FA506F">
        <w:rPr>
          <w:lang w:val="es-ES"/>
        </w:rPr>
        <w:t>La CIDH reitera su análisis de 2023</w:t>
      </w:r>
      <w:r w:rsidR="0039111B" w:rsidRPr="00FA506F">
        <w:rPr>
          <w:rStyle w:val="FootnoteReference"/>
          <w:lang w:val="es-ES"/>
        </w:rPr>
        <w:footnoteReference w:id="89"/>
      </w:r>
      <w:r w:rsidR="004362CA" w:rsidRPr="00FA506F">
        <w:rPr>
          <w:lang w:val="es-ES"/>
        </w:rPr>
        <w:t>,</w:t>
      </w:r>
      <w:r w:rsidRPr="00FA506F">
        <w:rPr>
          <w:lang w:val="es-ES"/>
        </w:rPr>
        <w:t xml:space="preserve"> en cuanto a que el primer componente de esta recomendación que solicita la adopción de una Ley General en la </w:t>
      </w:r>
      <w:r w:rsidR="0039111B" w:rsidRPr="00FA506F">
        <w:rPr>
          <w:lang w:val="es-ES"/>
        </w:rPr>
        <w:t>materia</w:t>
      </w:r>
      <w:r w:rsidRPr="00FA506F">
        <w:rPr>
          <w:lang w:val="es-ES"/>
        </w:rPr>
        <w:t xml:space="preserve"> estaría </w:t>
      </w:r>
      <w:r w:rsidR="004542F5" w:rsidRPr="00FA506F">
        <w:rPr>
          <w:lang w:val="es-ES"/>
        </w:rPr>
        <w:t xml:space="preserve">totalmente </w:t>
      </w:r>
      <w:r w:rsidRPr="00FA506F">
        <w:rPr>
          <w:lang w:val="es-ES"/>
        </w:rPr>
        <w:t>cumplido, debido a que dicha ley fue publicada en el DOF el 26 de junio de 2017</w:t>
      </w:r>
      <w:r w:rsidRPr="00FA506F">
        <w:rPr>
          <w:rStyle w:val="FootnoteReference"/>
          <w:lang w:val="es-ES"/>
        </w:rPr>
        <w:footnoteReference w:id="90"/>
      </w:r>
      <w:r w:rsidRPr="00FA506F">
        <w:rPr>
          <w:lang w:val="es-ES"/>
        </w:rPr>
        <w:t xml:space="preserve">. </w:t>
      </w:r>
      <w:r w:rsidR="0039111B" w:rsidRPr="00FA506F">
        <w:rPr>
          <w:lang w:val="es-ES"/>
        </w:rPr>
        <w:t>No obstante</w:t>
      </w:r>
      <w:r w:rsidRPr="00FA506F">
        <w:rPr>
          <w:lang w:val="es-ES"/>
        </w:rPr>
        <w:t xml:space="preserve">, la </w:t>
      </w:r>
      <w:r w:rsidR="0039111B" w:rsidRPr="00FA506F">
        <w:rPr>
          <w:lang w:val="es-ES"/>
        </w:rPr>
        <w:t>recomendación</w:t>
      </w:r>
      <w:r w:rsidR="00030660" w:rsidRPr="00FA506F">
        <w:rPr>
          <w:lang w:val="es-ES"/>
        </w:rPr>
        <w:t xml:space="preserve"> también</w:t>
      </w:r>
      <w:r w:rsidR="00446F81" w:rsidRPr="00FA506F">
        <w:rPr>
          <w:lang w:val="es-ES"/>
        </w:rPr>
        <w:t xml:space="preserve"> </w:t>
      </w:r>
      <w:r w:rsidR="00030660" w:rsidRPr="00FA506F">
        <w:rPr>
          <w:lang w:val="es-ES"/>
        </w:rPr>
        <w:t xml:space="preserve">insta a </w:t>
      </w:r>
      <w:r w:rsidRPr="00FA506F">
        <w:rPr>
          <w:lang w:val="es-ES"/>
        </w:rPr>
        <w:t>la adopción de medidas para asegurar que la legislación y</w:t>
      </w:r>
      <w:r w:rsidR="00030660" w:rsidRPr="00FA506F">
        <w:rPr>
          <w:lang w:val="es-ES"/>
        </w:rPr>
        <w:t xml:space="preserve"> las</w:t>
      </w:r>
      <w:r w:rsidRPr="00FA506F">
        <w:rPr>
          <w:lang w:val="es-ES"/>
        </w:rPr>
        <w:t xml:space="preserve"> prácticas se ajusten a estándares</w:t>
      </w:r>
      <w:r w:rsidR="0039111B" w:rsidRPr="00FA506F">
        <w:rPr>
          <w:lang w:val="es-ES"/>
        </w:rPr>
        <w:t xml:space="preserve"> </w:t>
      </w:r>
      <w:r w:rsidRPr="00FA506F">
        <w:rPr>
          <w:lang w:val="es-ES"/>
        </w:rPr>
        <w:t xml:space="preserve">internacionales en la materia. </w:t>
      </w:r>
      <w:r w:rsidR="004542F5" w:rsidRPr="00FA506F">
        <w:rPr>
          <w:lang w:val="es-ES"/>
        </w:rPr>
        <w:t>L</w:t>
      </w:r>
      <w:r w:rsidRPr="00FA506F">
        <w:rPr>
          <w:lang w:val="es-ES"/>
        </w:rPr>
        <w:t xml:space="preserve">a información disponible aportada a esta Comisión da cuenta </w:t>
      </w:r>
      <w:r w:rsidR="004362CA" w:rsidRPr="00FA506F">
        <w:rPr>
          <w:lang w:val="es-ES"/>
        </w:rPr>
        <w:t>de</w:t>
      </w:r>
      <w:r w:rsidRPr="00FA506F">
        <w:rPr>
          <w:lang w:val="es-ES"/>
        </w:rPr>
        <w:t xml:space="preserve"> desafíos importantes</w:t>
      </w:r>
      <w:r w:rsidR="004542F5" w:rsidRPr="00FA506F">
        <w:rPr>
          <w:lang w:val="es-ES"/>
        </w:rPr>
        <w:t xml:space="preserve"> a este respecto</w:t>
      </w:r>
      <w:r w:rsidRPr="00FA506F">
        <w:rPr>
          <w:lang w:val="es-ES"/>
        </w:rPr>
        <w:t>. De igual forma, la Comisión destaca que el Estado no aportó</w:t>
      </w:r>
      <w:r w:rsidR="0039111B" w:rsidRPr="00FA506F">
        <w:rPr>
          <w:lang w:val="es-ES"/>
        </w:rPr>
        <w:t xml:space="preserve"> </w:t>
      </w:r>
      <w:r w:rsidRPr="00FA506F">
        <w:rPr>
          <w:lang w:val="es-ES"/>
        </w:rPr>
        <w:t>información actualizada relacionada con la armonización legislativa a nivel local de conformidad con la Ley</w:t>
      </w:r>
      <w:r w:rsidR="0039111B" w:rsidRPr="00FA506F">
        <w:rPr>
          <w:lang w:val="es-ES"/>
        </w:rPr>
        <w:t xml:space="preserve"> </w:t>
      </w:r>
      <w:r w:rsidRPr="00FA506F">
        <w:rPr>
          <w:lang w:val="es-ES"/>
        </w:rPr>
        <w:t xml:space="preserve">General para Prevenir, Investigar y Sancionar la </w:t>
      </w:r>
      <w:r w:rsidR="00EA1044" w:rsidRPr="00FA506F">
        <w:rPr>
          <w:lang w:val="es-ES"/>
        </w:rPr>
        <w:t>T</w:t>
      </w:r>
      <w:r w:rsidRPr="00FA506F">
        <w:rPr>
          <w:lang w:val="es-ES"/>
        </w:rPr>
        <w:t>ortura y otros tratos o penas crueles, inhumanos o</w:t>
      </w:r>
      <w:r w:rsidR="0039111B" w:rsidRPr="00FA506F">
        <w:rPr>
          <w:lang w:val="es-ES"/>
        </w:rPr>
        <w:t xml:space="preserve"> </w:t>
      </w:r>
      <w:r w:rsidRPr="00FA506F">
        <w:rPr>
          <w:lang w:val="es-ES"/>
        </w:rPr>
        <w:t>degradantes</w:t>
      </w:r>
      <w:r w:rsidR="00DB4A17" w:rsidRPr="00FA506F">
        <w:rPr>
          <w:lang w:val="es-ES"/>
        </w:rPr>
        <w:t xml:space="preserve"> (Ley General contra la Tortura)</w:t>
      </w:r>
      <w:r w:rsidRPr="00FA506F">
        <w:rPr>
          <w:lang w:val="es-ES"/>
        </w:rPr>
        <w:t xml:space="preserve"> y los estándares internacionales en la materia. Finalmente, en el marco de la aplicación de la L</w:t>
      </w:r>
      <w:r w:rsidR="007E2EAD" w:rsidRPr="00FA506F">
        <w:rPr>
          <w:lang w:val="es-ES"/>
        </w:rPr>
        <w:t>GT</w:t>
      </w:r>
      <w:r w:rsidR="003A0242" w:rsidRPr="00FA506F">
        <w:rPr>
          <w:lang w:val="es-ES"/>
        </w:rPr>
        <w:t>,</w:t>
      </w:r>
      <w:r w:rsidRPr="00FA506F">
        <w:rPr>
          <w:lang w:val="es-ES"/>
        </w:rPr>
        <w:t xml:space="preserve"> la Comisión </w:t>
      </w:r>
      <w:r w:rsidR="0039111B" w:rsidRPr="00FA506F">
        <w:rPr>
          <w:lang w:val="es-ES"/>
        </w:rPr>
        <w:t xml:space="preserve">reitera su </w:t>
      </w:r>
      <w:r w:rsidRPr="00FA506F">
        <w:rPr>
          <w:lang w:val="es-ES"/>
        </w:rPr>
        <w:t xml:space="preserve">preocupación </w:t>
      </w:r>
      <w:r w:rsidR="0039111B" w:rsidRPr="00FA506F">
        <w:rPr>
          <w:lang w:val="es-ES"/>
        </w:rPr>
        <w:t xml:space="preserve">frente a </w:t>
      </w:r>
      <w:r w:rsidRPr="00FA506F">
        <w:rPr>
          <w:lang w:val="es-ES"/>
        </w:rPr>
        <w:t>las manifestaciones que, según la información allegada,</w:t>
      </w:r>
      <w:r w:rsidR="0039111B" w:rsidRPr="00FA506F">
        <w:rPr>
          <w:lang w:val="es-ES"/>
        </w:rPr>
        <w:t xml:space="preserve"> </w:t>
      </w:r>
      <w:r w:rsidRPr="00FA506F">
        <w:rPr>
          <w:lang w:val="es-ES"/>
        </w:rPr>
        <w:t>habría realizado la FGR en el sentido de la “imposibilidad material para la publicación del PNCT”</w:t>
      </w:r>
      <w:r w:rsidR="0039111B" w:rsidRPr="00FA506F">
        <w:rPr>
          <w:rStyle w:val="FootnoteReference"/>
          <w:lang w:val="es-ES"/>
        </w:rPr>
        <w:footnoteReference w:id="91"/>
      </w:r>
      <w:r w:rsidRPr="00FA506F">
        <w:rPr>
          <w:lang w:val="es-ES"/>
        </w:rPr>
        <w:t>. En</w:t>
      </w:r>
      <w:r w:rsidR="0039111B" w:rsidRPr="00FA506F">
        <w:rPr>
          <w:lang w:val="es-ES"/>
        </w:rPr>
        <w:t xml:space="preserve"> </w:t>
      </w:r>
      <w:r w:rsidRPr="00FA506F">
        <w:rPr>
          <w:lang w:val="es-ES"/>
        </w:rPr>
        <w:t xml:space="preserve">consecuencia, la CIDH </w:t>
      </w:r>
      <w:r w:rsidR="008C2DA5" w:rsidRPr="00FA506F">
        <w:rPr>
          <w:lang w:val="es-ES"/>
        </w:rPr>
        <w:t>concluye</w:t>
      </w:r>
      <w:r w:rsidRPr="00FA506F">
        <w:rPr>
          <w:lang w:val="es-ES"/>
        </w:rPr>
        <w:t xml:space="preserve"> que esta recomendación mantiene un nivel de </w:t>
      </w:r>
      <w:r w:rsidRPr="00FA506F">
        <w:rPr>
          <w:b/>
          <w:bCs/>
          <w:lang w:val="es-ES"/>
        </w:rPr>
        <w:t>cumplimiento parcial.</w:t>
      </w:r>
    </w:p>
    <w:p w14:paraId="305A6968" w14:textId="77777777" w:rsidR="00F55FC1" w:rsidRPr="00FA506F" w:rsidRDefault="00F55FC1" w:rsidP="007935DE">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178A7B26"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0B74BF31" w14:textId="0D9FE711" w:rsidR="0039111B" w:rsidRPr="00FA506F" w:rsidRDefault="0039111B" w:rsidP="00B80A67">
      <w:pPr>
        <w:pStyle w:val="IAPrrafo"/>
        <w:numPr>
          <w:ilvl w:val="0"/>
          <w:numId w:val="4"/>
        </w:numPr>
        <w:tabs>
          <w:tab w:val="num" w:pos="720"/>
        </w:tabs>
        <w:ind w:firstLine="720"/>
        <w:rPr>
          <w:lang w:val="es-ES"/>
        </w:rPr>
      </w:pPr>
      <w:r w:rsidRPr="00FA506F">
        <w:rPr>
          <w:lang w:val="es-ES"/>
        </w:rPr>
        <w:t xml:space="preserve">Para el cumplimiento de esta recomendación, es necesario que el Estado aporte información relacionada con los avances alcanzados en </w:t>
      </w:r>
      <w:r w:rsidR="002A2740" w:rsidRPr="00FA506F">
        <w:rPr>
          <w:lang w:val="es-ES"/>
        </w:rPr>
        <w:t xml:space="preserve">la </w:t>
      </w:r>
      <w:r w:rsidRPr="00FA506F">
        <w:rPr>
          <w:lang w:val="es-ES"/>
        </w:rPr>
        <w:t xml:space="preserve">armonización legislativa a nivel local con estándares internacionales para prevenir y sancionar la tortura, </w:t>
      </w:r>
      <w:r w:rsidR="002A2740" w:rsidRPr="00FA506F">
        <w:rPr>
          <w:lang w:val="es-ES"/>
        </w:rPr>
        <w:t xml:space="preserve">valorando </w:t>
      </w:r>
      <w:r w:rsidRPr="00FA506F">
        <w:rPr>
          <w:lang w:val="es-ES"/>
        </w:rPr>
        <w:t xml:space="preserve">el progreso reportado en años anteriores. Lo anterior permitirá que la aplicación de la </w:t>
      </w:r>
      <w:r w:rsidR="00E6673B" w:rsidRPr="00FA506F">
        <w:rPr>
          <w:lang w:val="es-ES"/>
        </w:rPr>
        <w:t>LGT</w:t>
      </w:r>
      <w:r w:rsidRPr="00FA506F">
        <w:rPr>
          <w:lang w:val="es-ES"/>
        </w:rPr>
        <w:t xml:space="preserve"> y el combate contra la tortura se realice de forma transversal en todo el aparato institucional del Estado. De igual forma, es </w:t>
      </w:r>
      <w:r w:rsidR="002A2740" w:rsidRPr="00FA506F">
        <w:rPr>
          <w:lang w:val="es-ES"/>
        </w:rPr>
        <w:t xml:space="preserve">indispensable </w:t>
      </w:r>
      <w:r w:rsidRPr="00FA506F">
        <w:rPr>
          <w:lang w:val="es-ES"/>
        </w:rPr>
        <w:t xml:space="preserve">que el Estado cumpla con el segundo componente de la recomendación relacionado con la aplicación efectiva de la Ley General </w:t>
      </w:r>
      <w:r w:rsidR="00E6673B" w:rsidRPr="00FA506F">
        <w:rPr>
          <w:lang w:val="es-ES"/>
        </w:rPr>
        <w:t>contra la Tortura</w:t>
      </w:r>
      <w:r w:rsidR="00AF1CF9" w:rsidRPr="00FA506F">
        <w:rPr>
          <w:lang w:val="es-ES"/>
        </w:rPr>
        <w:t xml:space="preserve">, y ello implica </w:t>
      </w:r>
      <w:r w:rsidRPr="00FA506F">
        <w:rPr>
          <w:lang w:val="es-ES"/>
        </w:rPr>
        <w:t xml:space="preserve">cumplir con la publicación del Programa Nacional contra la Tortura (PNCT), en los términos del artículo 70 de dicha </w:t>
      </w:r>
      <w:r w:rsidR="00F806F4" w:rsidRPr="00FA506F">
        <w:rPr>
          <w:lang w:val="es-ES"/>
        </w:rPr>
        <w:t>l</w:t>
      </w:r>
      <w:r w:rsidRPr="00FA506F">
        <w:rPr>
          <w:lang w:val="es-ES"/>
        </w:rPr>
        <w:t>ey</w:t>
      </w:r>
      <w:r w:rsidRPr="00FA506F">
        <w:rPr>
          <w:rStyle w:val="FootnoteReference"/>
          <w:lang w:val="es-ES"/>
        </w:rPr>
        <w:footnoteReference w:id="92"/>
      </w:r>
      <w:r w:rsidRPr="00FA506F">
        <w:rPr>
          <w:lang w:val="es-ES"/>
        </w:rPr>
        <w:t>.</w:t>
      </w:r>
    </w:p>
    <w:p w14:paraId="45812249" w14:textId="45F966A4" w:rsidR="00F55FC1" w:rsidRPr="00FA506F" w:rsidRDefault="00F55FC1" w:rsidP="00B80A67">
      <w:pPr>
        <w:pBdr>
          <w:top w:val="single" w:sz="4" w:space="1" w:color="000000"/>
          <w:left w:val="single" w:sz="4" w:space="4" w:color="000000"/>
          <w:bottom w:val="single" w:sz="4" w:space="1" w:color="000000"/>
          <w:right w:val="single" w:sz="4" w:space="4" w:color="000000"/>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17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Investigar casos en los que los jueces no han ordenado una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investigación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cuando existan denuncias o indicios de tortura o malos tratos. Asegurar que se aplique el Protocolo de Estambul a nivel nacional por autoridades competentes e independientes en forma expedita y bajo riesgo de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sanción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w:t>
      </w:r>
    </w:p>
    <w:p w14:paraId="5E1138EC" w14:textId="77777777" w:rsidR="00F55FC1" w:rsidRPr="00FA506F" w:rsidRDefault="00F55FC1" w:rsidP="00B80A67">
      <w:pPr>
        <w:jc w:val="both"/>
        <w:rPr>
          <w:rFonts w:ascii="Cambria" w:eastAsia="Cambria" w:hAnsi="Cambria" w:cs="Cambria"/>
          <w:i/>
          <w:iCs/>
          <w:color w:val="000000" w:themeColor="text1"/>
          <w:sz w:val="20"/>
          <w:szCs w:val="20"/>
          <w:lang w:val="es-ES"/>
        </w:rPr>
      </w:pPr>
    </w:p>
    <w:p w14:paraId="2687357F" w14:textId="4A7038F6" w:rsidR="00780614" w:rsidRPr="00FA506F" w:rsidRDefault="00F55FC1" w:rsidP="00B80A67">
      <w:pPr>
        <w:pStyle w:val="IAPrrafo"/>
        <w:numPr>
          <w:ilvl w:val="0"/>
          <w:numId w:val="4"/>
        </w:numPr>
        <w:tabs>
          <w:tab w:val="num" w:pos="720"/>
        </w:tabs>
        <w:ind w:firstLine="720"/>
        <w:rPr>
          <w:lang w:val="es-ES"/>
        </w:rPr>
      </w:pPr>
      <w:r w:rsidRPr="00FA506F">
        <w:rPr>
          <w:lang w:val="es-ES"/>
        </w:rPr>
        <w:t xml:space="preserve">En el </w:t>
      </w:r>
      <w:r w:rsidR="00446786" w:rsidRPr="00FA506F">
        <w:rPr>
          <w:lang w:val="es-ES"/>
        </w:rPr>
        <w:t xml:space="preserve">marco del </w:t>
      </w:r>
      <w:r w:rsidRPr="00FA506F">
        <w:rPr>
          <w:lang w:val="es-ES"/>
        </w:rPr>
        <w:t>Capítulo V del Informe Anual de 202</w:t>
      </w:r>
      <w:r w:rsidR="3A7CB3A5" w:rsidRPr="00FA506F">
        <w:rPr>
          <w:lang w:val="es-ES"/>
        </w:rPr>
        <w:t>3</w:t>
      </w:r>
      <w:r w:rsidRPr="00FA506F">
        <w:rPr>
          <w:lang w:val="es-ES"/>
        </w:rPr>
        <w:t xml:space="preserve">, la CIDH conoció </w:t>
      </w:r>
      <w:r w:rsidR="135B4C89" w:rsidRPr="00FA506F">
        <w:rPr>
          <w:lang w:val="es-ES"/>
        </w:rPr>
        <w:t xml:space="preserve">del Registro Nacional del Delito de Tortura (RENADET), una herramienta para la investigación y recopilación de datos sobre casos de tortura y tratos crueles. Sin embargo, organizaciones civiles </w:t>
      </w:r>
      <w:r w:rsidR="00BE6519" w:rsidRPr="00FA506F">
        <w:rPr>
          <w:lang w:val="es-ES"/>
        </w:rPr>
        <w:t>destacaron</w:t>
      </w:r>
      <w:r w:rsidR="135B4C89" w:rsidRPr="00FA506F">
        <w:rPr>
          <w:lang w:val="es-ES"/>
        </w:rPr>
        <w:t xml:space="preserve"> que, desde enero de 2006 hasta octubre de 2022, se registraron al menos 33</w:t>
      </w:r>
      <w:r w:rsidR="3EC91E4F" w:rsidRPr="00FA506F">
        <w:rPr>
          <w:lang w:val="es-ES"/>
        </w:rPr>
        <w:t>.</w:t>
      </w:r>
      <w:r w:rsidR="135B4C89" w:rsidRPr="00FA506F">
        <w:rPr>
          <w:lang w:val="es-ES"/>
        </w:rPr>
        <w:t>768 expedientes relacionados con tortura, con una cifra total estimada de 50</w:t>
      </w:r>
      <w:r w:rsidR="546241EB" w:rsidRPr="00FA506F">
        <w:rPr>
          <w:lang w:val="es-ES"/>
        </w:rPr>
        <w:t>.</w:t>
      </w:r>
      <w:r w:rsidR="135B4C89" w:rsidRPr="00FA506F">
        <w:rPr>
          <w:lang w:val="es-ES"/>
        </w:rPr>
        <w:t xml:space="preserve">523 expedientes a nivel nacional. </w:t>
      </w:r>
      <w:r w:rsidR="135B4C89" w:rsidRPr="00FA506F">
        <w:rPr>
          <w:rFonts w:eastAsiaTheme="minorEastAsia"/>
          <w:color w:val="000000" w:themeColor="text1"/>
          <w:szCs w:val="20"/>
          <w:lang w:val="es-ES"/>
        </w:rPr>
        <w:t xml:space="preserve">La CIDH destacó que el cumplimiento de la recomendación </w:t>
      </w:r>
      <w:r w:rsidR="00754B8B" w:rsidRPr="00FA506F">
        <w:rPr>
          <w:rFonts w:eastAsiaTheme="minorEastAsia"/>
          <w:color w:val="000000" w:themeColor="text1"/>
          <w:szCs w:val="20"/>
          <w:lang w:val="es-ES"/>
        </w:rPr>
        <w:t xml:space="preserve">requería </w:t>
      </w:r>
      <w:r w:rsidR="135B4C89" w:rsidRPr="00FA506F">
        <w:rPr>
          <w:rFonts w:eastAsiaTheme="minorEastAsia"/>
          <w:color w:val="000000" w:themeColor="text1"/>
          <w:szCs w:val="20"/>
          <w:lang w:val="es-ES"/>
        </w:rPr>
        <w:t>avances en la investigación de casos donde jueces no hayan ordenado investigaciones frente a denuncias de tortura, así como la aplicación del Protocolo de Estambul. Aunque se ha</w:t>
      </w:r>
      <w:r w:rsidR="00A66F82" w:rsidRPr="00FA506F">
        <w:rPr>
          <w:rFonts w:eastAsiaTheme="minorEastAsia"/>
          <w:color w:val="000000" w:themeColor="text1"/>
          <w:szCs w:val="20"/>
          <w:lang w:val="es-ES"/>
        </w:rPr>
        <w:t>bía</w:t>
      </w:r>
      <w:r w:rsidR="135B4C89" w:rsidRPr="00FA506F">
        <w:rPr>
          <w:rFonts w:eastAsiaTheme="minorEastAsia"/>
          <w:color w:val="000000" w:themeColor="text1"/>
          <w:szCs w:val="20"/>
          <w:lang w:val="es-ES"/>
        </w:rPr>
        <w:t>n implementado medidas y capacitaciones, la información disponible no fue suficiente para confirmar el cumplimiento total. Por lo tanto, el nivel de cumplimiento se consideró parcial y la CIDH instó al Estado a proporcionar información sobre los mecanismos para investigar casos de tortura y la aplicación del Protocolo de Estambul en todos los casos pertinentes</w:t>
      </w:r>
      <w:r w:rsidRPr="00FA506F">
        <w:rPr>
          <w:lang w:val="es-ES"/>
        </w:rPr>
        <w:t>.</w:t>
      </w:r>
    </w:p>
    <w:p w14:paraId="4E8221F9" w14:textId="624D0AA5" w:rsidR="00780614" w:rsidRPr="00FA506F" w:rsidRDefault="00780614" w:rsidP="007935DE">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153F14C1" w14:textId="77777777" w:rsidR="00780614" w:rsidRPr="00FA506F" w:rsidRDefault="00780614" w:rsidP="00B80A67">
      <w:pPr>
        <w:ind w:firstLine="360"/>
        <w:jc w:val="both"/>
        <w:rPr>
          <w:rFonts w:ascii="Cambria" w:eastAsia="Cambria" w:hAnsi="Cambria" w:cs="Cambria"/>
          <w:i/>
          <w:iCs/>
          <w:color w:val="000000" w:themeColor="text1"/>
          <w:sz w:val="20"/>
          <w:szCs w:val="20"/>
          <w:lang w:val="es-ES"/>
        </w:rPr>
      </w:pPr>
    </w:p>
    <w:p w14:paraId="674520D3" w14:textId="11AC5334" w:rsidR="005B7446" w:rsidRPr="00616692" w:rsidRDefault="0039111B" w:rsidP="005B7446">
      <w:pPr>
        <w:pStyle w:val="IAPrrafo"/>
        <w:numPr>
          <w:ilvl w:val="0"/>
          <w:numId w:val="4"/>
        </w:numPr>
        <w:tabs>
          <w:tab w:val="num" w:pos="720"/>
        </w:tabs>
        <w:ind w:firstLine="720"/>
        <w:rPr>
          <w:lang w:val="es-ES"/>
        </w:rPr>
      </w:pPr>
      <w:r w:rsidRPr="00616692">
        <w:rPr>
          <w:lang w:val="es-ES"/>
        </w:rPr>
        <w:t xml:space="preserve">En 2024 el Estado refirió que la SCJN habría </w:t>
      </w:r>
      <w:r w:rsidR="00391C23" w:rsidRPr="00616692">
        <w:rPr>
          <w:lang w:val="es-ES"/>
        </w:rPr>
        <w:t>fortalecido su protección al derecho de no sufrir tortura y a la integridad personal mediante resoluciones que exig</w:t>
      </w:r>
      <w:r w:rsidRPr="00616692">
        <w:rPr>
          <w:lang w:val="es-ES"/>
        </w:rPr>
        <w:t>iría</w:t>
      </w:r>
      <w:r w:rsidR="00391C23" w:rsidRPr="00616692">
        <w:rPr>
          <w:lang w:val="es-ES"/>
        </w:rPr>
        <w:t>n la debida diligencia en la investigación de actos de tortura</w:t>
      </w:r>
      <w:r w:rsidR="00446F81" w:rsidRPr="00616692">
        <w:rPr>
          <w:lang w:val="es-ES"/>
        </w:rPr>
        <w:t xml:space="preserve"> y</w:t>
      </w:r>
      <w:r w:rsidR="00391C23" w:rsidRPr="00616692">
        <w:rPr>
          <w:lang w:val="es-ES"/>
        </w:rPr>
        <w:t xml:space="preserve"> </w:t>
      </w:r>
      <w:r w:rsidRPr="00616692">
        <w:rPr>
          <w:lang w:val="es-ES"/>
        </w:rPr>
        <w:t xml:space="preserve">actualizó </w:t>
      </w:r>
      <w:r w:rsidR="00391C23" w:rsidRPr="00616692">
        <w:rPr>
          <w:lang w:val="es-ES"/>
        </w:rPr>
        <w:t xml:space="preserve">el </w:t>
      </w:r>
      <w:r w:rsidR="008B15A5" w:rsidRPr="00616692">
        <w:rPr>
          <w:lang w:val="es-ES"/>
        </w:rPr>
        <w:t>“</w:t>
      </w:r>
      <w:r w:rsidR="00391C23" w:rsidRPr="00616692">
        <w:rPr>
          <w:lang w:val="es-ES"/>
        </w:rPr>
        <w:t>Protocolo para Juzgar Casos de Tortura y Malos Tratos</w:t>
      </w:r>
      <w:r w:rsidR="005745AF" w:rsidRPr="00616692">
        <w:rPr>
          <w:lang w:val="es-ES"/>
        </w:rPr>
        <w:t>”</w:t>
      </w:r>
      <w:r w:rsidR="00391C23" w:rsidRPr="00616692">
        <w:rPr>
          <w:lang w:val="es-ES"/>
        </w:rPr>
        <w:t xml:space="preserve">, que guía a jueces sobre el debido proceso y el acceso a la justicia. </w:t>
      </w:r>
      <w:r w:rsidR="00C6183E" w:rsidRPr="00616692">
        <w:rPr>
          <w:lang w:val="es-ES"/>
        </w:rPr>
        <w:t>México reportó además que l</w:t>
      </w:r>
      <w:r w:rsidR="008C2DA5" w:rsidRPr="00616692">
        <w:rPr>
          <w:lang w:val="es-ES"/>
        </w:rPr>
        <w:t>a</w:t>
      </w:r>
      <w:r w:rsidR="00391C23" w:rsidRPr="00616692">
        <w:rPr>
          <w:lang w:val="es-ES"/>
        </w:rPr>
        <w:t xml:space="preserve"> SCJN ha</w:t>
      </w:r>
      <w:r w:rsidRPr="00616692">
        <w:rPr>
          <w:lang w:val="es-ES"/>
        </w:rPr>
        <w:t>bría</w:t>
      </w:r>
      <w:r w:rsidR="00391C23" w:rsidRPr="00616692">
        <w:rPr>
          <w:lang w:val="es-ES"/>
        </w:rPr>
        <w:t xml:space="preserve"> promovido capacitaciones sobre el Protocolo de Estambul y su aplicación. </w:t>
      </w:r>
      <w:r w:rsidR="005B28C2" w:rsidRPr="00616692">
        <w:rPr>
          <w:lang w:val="es-ES"/>
        </w:rPr>
        <w:t>Asimismo,</w:t>
      </w:r>
      <w:r w:rsidR="00C6183E" w:rsidRPr="00616692">
        <w:rPr>
          <w:lang w:val="es-ES"/>
        </w:rPr>
        <w:t xml:space="preserve"> se resaltó que e</w:t>
      </w:r>
      <w:r w:rsidR="00391C23" w:rsidRPr="00616692">
        <w:rPr>
          <w:lang w:val="es-ES"/>
        </w:rPr>
        <w:t xml:space="preserve">l Instituto Federal de la Defensoría Pública (IFDP), desde 2019, cuenta con una Secretaría Técnica de Combate a la Tortura, encargada de atender casos de tortura y malos tratos. </w:t>
      </w:r>
      <w:r w:rsidR="005B7446" w:rsidRPr="00616692">
        <w:rPr>
          <w:lang w:val="es-ES"/>
        </w:rPr>
        <w:t>En sus observaciones al presente Informe, el Estado informó que el IFDP cuenta con un Área de Ciencias Forenses (ACF), que proporciona dictámenes y asesorías siguiendo este protocolo en casos de tortura y tratos crueles. En 2024, el IFDP organizó talleres sobre exclusión probatoria, dirigidos por expertos en litigio, para fortalecer estrategias que aseguren la eliminación de pruebas obtenidas por medios ilícitos, cuyos insumos están siendo utilizados para desarrollar nuevos lineamientos. Además, el CJF ha difundido boletines para promover el uso del Protocolo de Estambul, reforzando la documentación efectiva de la tortura y tratos crueles. Asimismo, en el marco del proyecto FORTAJUS-DH, se han desarrollado 12 reglas que facilitan la identificación de obligaciones internacionales en materia de tortura y 21 indicadores para medir su cumplimiento</w:t>
      </w:r>
      <w:r w:rsidR="005B7446" w:rsidRPr="00616692">
        <w:rPr>
          <w:rStyle w:val="FootnoteReference"/>
          <w:lang w:val="es-ES"/>
        </w:rPr>
        <w:footnoteReference w:id="93"/>
      </w:r>
      <w:r w:rsidR="005B7446" w:rsidRPr="00616692">
        <w:rPr>
          <w:lang w:val="es-ES"/>
        </w:rPr>
        <w:t>.</w:t>
      </w:r>
    </w:p>
    <w:p w14:paraId="517D3B7B" w14:textId="25667938" w:rsidR="00391C23" w:rsidRPr="00FA506F" w:rsidRDefault="005745AF" w:rsidP="00B80A67">
      <w:pPr>
        <w:pStyle w:val="IAPrrafo"/>
        <w:numPr>
          <w:ilvl w:val="0"/>
          <w:numId w:val="4"/>
        </w:numPr>
        <w:tabs>
          <w:tab w:val="num" w:pos="720"/>
        </w:tabs>
        <w:ind w:firstLine="720"/>
        <w:rPr>
          <w:lang w:val="es-ES"/>
        </w:rPr>
      </w:pPr>
      <w:r w:rsidRPr="00616692">
        <w:rPr>
          <w:lang w:val="es-ES"/>
        </w:rPr>
        <w:t>Según el Estado, e</w:t>
      </w:r>
      <w:r w:rsidR="00391C23" w:rsidRPr="00616692">
        <w:rPr>
          <w:lang w:val="es-ES"/>
        </w:rPr>
        <w:t>ste organismo ha</w:t>
      </w:r>
      <w:r w:rsidR="0039111B" w:rsidRPr="00616692">
        <w:rPr>
          <w:lang w:val="es-ES"/>
        </w:rPr>
        <w:t>bría</w:t>
      </w:r>
      <w:r w:rsidR="00391C23" w:rsidRPr="00616692">
        <w:rPr>
          <w:lang w:val="es-ES"/>
        </w:rPr>
        <w:t xml:space="preserve"> desarrollado proyectos para documentar adecuadamente la exclusión de pruebas obtenidas bajo tortura y otras violaciones de derechos humanos en los procesos judiciales. Hasta la fecha, ha</w:t>
      </w:r>
      <w:r w:rsidR="0039111B" w:rsidRPr="00616692">
        <w:rPr>
          <w:lang w:val="es-ES"/>
        </w:rPr>
        <w:t>bría</w:t>
      </w:r>
      <w:r w:rsidR="00391C23" w:rsidRPr="00616692">
        <w:rPr>
          <w:lang w:val="es-ES"/>
        </w:rPr>
        <w:t xml:space="preserve"> obtenido 33 sentencias favorables en amparos en beneficio de sobrevivientes de tortura, y ha judicializado tres casos por este delito. De 2022 a 2023, el IFDP presentó diversas acciones legales en defensa de 345 personas en condiciones penitenciarias que constituían actos de tortura, logrando suspensiones inmediatas para atender estos</w:t>
      </w:r>
      <w:r w:rsidR="00391C23" w:rsidRPr="00FA506F">
        <w:rPr>
          <w:lang w:val="es-ES"/>
        </w:rPr>
        <w:t xml:space="preserve"> casos</w:t>
      </w:r>
      <w:r w:rsidR="00D4382C" w:rsidRPr="00FA506F">
        <w:rPr>
          <w:rStyle w:val="FootnoteReference"/>
          <w:lang w:val="es-ES"/>
        </w:rPr>
        <w:footnoteReference w:id="94"/>
      </w:r>
      <w:r w:rsidR="00391C23" w:rsidRPr="00FA506F">
        <w:rPr>
          <w:lang w:val="es-ES"/>
        </w:rPr>
        <w:t>.</w:t>
      </w:r>
    </w:p>
    <w:p w14:paraId="0183790E" w14:textId="77777777" w:rsidR="00F55FC1" w:rsidRPr="00FA506F" w:rsidRDefault="00F55FC1" w:rsidP="007935DE">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2BC7AF78"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6E45E224" w14:textId="586E0708" w:rsidR="00D42493" w:rsidRPr="00FA506F" w:rsidRDefault="00D42493" w:rsidP="00B80A67">
      <w:pPr>
        <w:pStyle w:val="IAPrrafo"/>
        <w:numPr>
          <w:ilvl w:val="0"/>
          <w:numId w:val="4"/>
        </w:numPr>
        <w:tabs>
          <w:tab w:val="num" w:pos="720"/>
        </w:tabs>
        <w:ind w:firstLine="720"/>
        <w:rPr>
          <w:rFonts w:eastAsia="Cambria"/>
          <w:color w:val="000000" w:themeColor="text1"/>
          <w:kern w:val="2"/>
          <w:szCs w:val="20"/>
          <w:shd w:val="clear" w:color="auto" w:fill="D0CECE" w:themeFill="background2" w:themeFillShade="E6"/>
          <w:lang w:val="es-ES"/>
          <w14:ligatures w14:val="standardContextual"/>
        </w:rPr>
      </w:pPr>
      <w:r w:rsidRPr="00FA506F">
        <w:rPr>
          <w:lang w:val="es-ES"/>
        </w:rPr>
        <w:t xml:space="preserve">La CIDH destaca que el contenido de esta recomendación tiene dos vertientes, la primera en relación con </w:t>
      </w:r>
      <w:r w:rsidR="00896250" w:rsidRPr="00FA506F">
        <w:rPr>
          <w:lang w:val="es-ES"/>
        </w:rPr>
        <w:t>el</w:t>
      </w:r>
      <w:r w:rsidR="008F11D8" w:rsidRPr="00FA506F">
        <w:rPr>
          <w:lang w:val="es-ES"/>
        </w:rPr>
        <w:t xml:space="preserve"> impulso de </w:t>
      </w:r>
      <w:r w:rsidRPr="00FA506F">
        <w:rPr>
          <w:lang w:val="es-ES"/>
        </w:rPr>
        <w:t>la investigación en casos con denuncias o indicios de tortura, el segundo relacionado con la aplicación del Protocolo de Estambul a nivel nacional</w:t>
      </w:r>
      <w:r w:rsidR="008F11D8" w:rsidRPr="00FA506F">
        <w:rPr>
          <w:lang w:val="es-ES"/>
        </w:rPr>
        <w:t>, para que las investigaciones sean diligentes</w:t>
      </w:r>
      <w:r w:rsidRPr="00FA506F">
        <w:rPr>
          <w:lang w:val="es-ES"/>
        </w:rPr>
        <w:t>.</w:t>
      </w:r>
      <w:r w:rsidR="007E3840" w:rsidRPr="00FA506F">
        <w:rPr>
          <w:lang w:val="es-ES"/>
        </w:rPr>
        <w:t xml:space="preserve"> En ese sentido, si bien el Estado reportó información sobre medidas orientadas a la prevención de la tortura y destacó la actuación del IFDP en la atención de casos de tortura, el Estado no remitió información relacionada sobre cómo procede o qué medidas ha implementado para iniciar procesos de investigación frente a jueces</w:t>
      </w:r>
      <w:r w:rsidR="001C21BB" w:rsidRPr="00FA506F">
        <w:rPr>
          <w:lang w:val="es-ES"/>
        </w:rPr>
        <w:t xml:space="preserve"> o juezas</w:t>
      </w:r>
      <w:r w:rsidR="007E3840" w:rsidRPr="00FA506F">
        <w:rPr>
          <w:lang w:val="es-ES"/>
        </w:rPr>
        <w:t xml:space="preserve"> que no ordenaron investigaciones frente a posibles actos de tortura. De igual forma, la segunda vertiente de la recomendación guarda relación con la recomendación 14 que solicita la implementación de medidas para asegurar la armonización a nivel federal y estatal de estándares internacionales en la materia. </w:t>
      </w:r>
      <w:r w:rsidR="008C2DA5" w:rsidRPr="00FA506F">
        <w:rPr>
          <w:lang w:val="es-ES"/>
        </w:rPr>
        <w:t>La Comisión</w:t>
      </w:r>
      <w:r w:rsidR="007E3840" w:rsidRPr="00FA506F">
        <w:rPr>
          <w:lang w:val="es-ES"/>
        </w:rPr>
        <w:t xml:space="preserve"> resalta que, de las 32 entidades federativas de México, solo una</w:t>
      </w:r>
      <w:r w:rsidR="007E3840" w:rsidRPr="00FA506F">
        <w:rPr>
          <w:rFonts w:eastAsia="Cambria" w:cs="Cambria"/>
          <w:color w:val="000000" w:themeColor="text1"/>
          <w:szCs w:val="20"/>
          <w:lang w:val="es-ES"/>
        </w:rPr>
        <w:t xml:space="preserve"> contaría con una ley armonizada en la materia, por lo cual no se podría desprender que la aplicación del Protocolo de Estambul se garantice en todo el país</w:t>
      </w:r>
      <w:r w:rsidR="007E3840" w:rsidRPr="00FA506F">
        <w:rPr>
          <w:lang w:val="es-ES"/>
        </w:rPr>
        <w:t xml:space="preserve">. Por tanto, la recomendación permanece con un </w:t>
      </w:r>
      <w:r w:rsidR="007E3840" w:rsidRPr="00FA506F">
        <w:rPr>
          <w:b/>
          <w:bCs/>
          <w:lang w:val="es-ES"/>
        </w:rPr>
        <w:t>cumplimiento parcial.</w:t>
      </w:r>
      <w:r w:rsidR="007E3840" w:rsidRPr="00FA506F">
        <w:rPr>
          <w:rFonts w:eastAsia="Cambria"/>
          <w:color w:val="000000" w:themeColor="text1"/>
          <w:kern w:val="2"/>
          <w:szCs w:val="20"/>
          <w:shd w:val="clear" w:color="auto" w:fill="D0CECE" w:themeFill="background2" w:themeFillShade="E6"/>
          <w:lang w:val="es-ES"/>
          <w14:ligatures w14:val="standardContextual"/>
        </w:rPr>
        <w:t xml:space="preserve"> </w:t>
      </w:r>
    </w:p>
    <w:p w14:paraId="6295FDD7" w14:textId="77777777" w:rsidR="00F55FC1" w:rsidRPr="00FA506F" w:rsidRDefault="00F55FC1" w:rsidP="006D507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2F381698"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0984B773" w14:textId="3614406B" w:rsidR="00501AB9" w:rsidRPr="00FA506F" w:rsidRDefault="007E3840" w:rsidP="00B80A67">
      <w:pPr>
        <w:pStyle w:val="IAPrrafo"/>
        <w:numPr>
          <w:ilvl w:val="0"/>
          <w:numId w:val="4"/>
        </w:numPr>
        <w:tabs>
          <w:tab w:val="num" w:pos="720"/>
        </w:tabs>
        <w:ind w:firstLine="720"/>
        <w:rPr>
          <w:lang w:val="es-ES"/>
        </w:rPr>
      </w:pPr>
      <w:r w:rsidRPr="00FA506F">
        <w:rPr>
          <w:lang w:val="es-ES"/>
        </w:rPr>
        <w:t xml:space="preserve">Para el cumplimiento de esta recomendación, </w:t>
      </w:r>
      <w:r w:rsidR="00D4382C" w:rsidRPr="00FA506F">
        <w:rPr>
          <w:lang w:val="es-ES"/>
        </w:rPr>
        <w:t xml:space="preserve">la CIDH invita al Estado a aportar información relacionada con los mecanismos implementados para garantizar la investigación de casos donde existan indicios de tortura, cuando jueces y juezas no hayan ordenado dichas investigaciones, incluyendo los resultados generados con estas investigaciones. </w:t>
      </w:r>
      <w:r w:rsidR="008C2DA5" w:rsidRPr="00FA506F">
        <w:rPr>
          <w:lang w:val="es-ES"/>
        </w:rPr>
        <w:t>Es</w:t>
      </w:r>
      <w:r w:rsidR="00D4382C" w:rsidRPr="00FA506F">
        <w:rPr>
          <w:lang w:val="es-ES"/>
        </w:rPr>
        <w:t xml:space="preserve"> necesario que se reporte información sobre los procesos </w:t>
      </w:r>
      <w:r w:rsidR="00750952" w:rsidRPr="00FA506F">
        <w:rPr>
          <w:lang w:val="es-ES"/>
        </w:rPr>
        <w:t>judiciales en curso</w:t>
      </w:r>
      <w:r w:rsidR="00D4382C" w:rsidRPr="00FA506F">
        <w:rPr>
          <w:lang w:val="es-ES"/>
        </w:rPr>
        <w:t xml:space="preserve"> que permitan garantizar la aplicación del </w:t>
      </w:r>
      <w:r w:rsidR="00750952" w:rsidRPr="00FA506F">
        <w:rPr>
          <w:lang w:val="es-ES"/>
        </w:rPr>
        <w:t>P</w:t>
      </w:r>
      <w:r w:rsidR="00D4382C" w:rsidRPr="00FA506F">
        <w:rPr>
          <w:lang w:val="es-ES"/>
        </w:rPr>
        <w:t>rotocolo de Estambul en todos los casos donde existan denuncias o indicios de tortura</w:t>
      </w:r>
      <w:r w:rsidR="00D4382C" w:rsidRPr="00FA506F">
        <w:rPr>
          <w:rStyle w:val="FootnoteReference"/>
          <w:lang w:val="es-ES"/>
        </w:rPr>
        <w:footnoteReference w:id="95"/>
      </w:r>
      <w:r w:rsidR="00D4382C" w:rsidRPr="00FA506F">
        <w:rPr>
          <w:lang w:val="es-ES"/>
        </w:rPr>
        <w:t>.</w:t>
      </w:r>
    </w:p>
    <w:p w14:paraId="2519E08A" w14:textId="3210BD63" w:rsidR="00F55FC1" w:rsidRPr="00FA506F" w:rsidRDefault="00F55FC1"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18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Establecer el uso obligatorio de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cámaras</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y otros protocolos de seguridad durante los interrogatorios y en las patrullas como medida preventiva de la tortura y otros tratos crueles, inhumanos y degradantes. </w:t>
      </w:r>
    </w:p>
    <w:p w14:paraId="0E5B6F86" w14:textId="77777777" w:rsidR="00F55FC1" w:rsidRPr="00FA506F" w:rsidRDefault="00F55FC1" w:rsidP="00B80A67">
      <w:pPr>
        <w:jc w:val="both"/>
        <w:rPr>
          <w:rFonts w:ascii="Cambria" w:eastAsia="Cambria" w:hAnsi="Cambria" w:cs="Cambria"/>
          <w:i/>
          <w:iCs/>
          <w:color w:val="000000" w:themeColor="text1"/>
          <w:sz w:val="20"/>
          <w:szCs w:val="20"/>
          <w:lang w:val="es-ES"/>
        </w:rPr>
      </w:pPr>
    </w:p>
    <w:p w14:paraId="56ECBE13" w14:textId="090C2B9C" w:rsidR="00780614" w:rsidRPr="00FA506F" w:rsidRDefault="00F069BF" w:rsidP="00B80A67">
      <w:pPr>
        <w:pStyle w:val="IAPrrafo"/>
        <w:numPr>
          <w:ilvl w:val="0"/>
          <w:numId w:val="4"/>
        </w:numPr>
        <w:tabs>
          <w:tab w:val="num" w:pos="720"/>
        </w:tabs>
        <w:ind w:firstLine="720"/>
        <w:rPr>
          <w:lang w:val="es-ES"/>
        </w:rPr>
      </w:pPr>
      <w:r w:rsidRPr="00FA506F">
        <w:rPr>
          <w:lang w:val="es-ES"/>
        </w:rPr>
        <w:t xml:space="preserve">Según </w:t>
      </w:r>
      <w:r w:rsidR="00F55FC1" w:rsidRPr="00FA506F">
        <w:rPr>
          <w:lang w:val="es-ES"/>
        </w:rPr>
        <w:t>el Capítulo V del Informe Anual de 202</w:t>
      </w:r>
      <w:r w:rsidR="2EF2E529" w:rsidRPr="00FA506F">
        <w:rPr>
          <w:lang w:val="es-ES"/>
        </w:rPr>
        <w:t>3</w:t>
      </w:r>
      <w:r w:rsidR="00F55FC1" w:rsidRPr="00FA506F">
        <w:rPr>
          <w:lang w:val="es-ES"/>
        </w:rPr>
        <w:t xml:space="preserve">, el Estado </w:t>
      </w:r>
      <w:r w:rsidR="00646A51" w:rsidRPr="00FA506F">
        <w:rPr>
          <w:lang w:val="es-ES"/>
        </w:rPr>
        <w:t>refiri</w:t>
      </w:r>
      <w:r w:rsidR="009366C2" w:rsidRPr="00FA506F">
        <w:rPr>
          <w:lang w:val="es-ES"/>
        </w:rPr>
        <w:t>ó</w:t>
      </w:r>
      <w:r w:rsidR="00646A51" w:rsidRPr="00FA506F">
        <w:rPr>
          <w:lang w:val="es-ES"/>
        </w:rPr>
        <w:t xml:space="preserve"> </w:t>
      </w:r>
      <w:r w:rsidR="50F39811" w:rsidRPr="00FA506F">
        <w:rPr>
          <w:lang w:val="es-ES"/>
        </w:rPr>
        <w:t>que había realizado reuniones con las FFAA y corporaciones polic</w:t>
      </w:r>
      <w:r w:rsidR="00411DE4" w:rsidRPr="00FA506F">
        <w:rPr>
          <w:lang w:val="es-ES"/>
        </w:rPr>
        <w:t>í</w:t>
      </w:r>
      <w:r w:rsidR="50F39811" w:rsidRPr="00FA506F">
        <w:rPr>
          <w:lang w:val="es-ES"/>
        </w:rPr>
        <w:t xml:space="preserve">acas para abordar la implementación de cámaras corporales, incluyendo </w:t>
      </w:r>
      <w:r w:rsidR="00411DE4" w:rsidRPr="00FA506F">
        <w:rPr>
          <w:lang w:val="es-ES"/>
        </w:rPr>
        <w:t xml:space="preserve">su colocación </w:t>
      </w:r>
      <w:r w:rsidR="50F39811" w:rsidRPr="00FA506F">
        <w:rPr>
          <w:lang w:val="es-ES"/>
        </w:rPr>
        <w:t>en áreas de detención, y que estaba trabajando en fortalecer la capacitación del personal en esta materia. Sin embargo, las organizaciones de la sociedad civil reportaron que en 2020 y 2021 solo se habían otorgado 435 y 110 cámaras a agentes estatales de seguridad pública, respectivamente, frente a un total de 174.536 agentes a nivel nacional.</w:t>
      </w:r>
      <w:r w:rsidR="00A25DCA" w:rsidRPr="00FA506F">
        <w:rPr>
          <w:lang w:val="es-ES"/>
        </w:rPr>
        <w:t xml:space="preserve"> </w:t>
      </w:r>
      <w:r w:rsidR="50F39811" w:rsidRPr="00FA506F">
        <w:rPr>
          <w:lang w:val="es-ES"/>
        </w:rPr>
        <w:t>La CIDH observó que, en la práctica, el uso obligatorio de cámaras y otros protocolos de seguridad en los interrogatorios no estaba garantizado</w:t>
      </w:r>
      <w:r w:rsidR="009366C2" w:rsidRPr="00FA506F">
        <w:rPr>
          <w:lang w:val="es-ES"/>
        </w:rPr>
        <w:t>. A</w:t>
      </w:r>
      <w:r w:rsidR="50F39811" w:rsidRPr="00FA506F">
        <w:rPr>
          <w:lang w:val="es-ES"/>
        </w:rPr>
        <w:t xml:space="preserve">unque saludó las iniciativas del Estado, </w:t>
      </w:r>
      <w:r w:rsidR="00DB4A17" w:rsidRPr="00FA506F">
        <w:rPr>
          <w:lang w:val="es-ES"/>
        </w:rPr>
        <w:t xml:space="preserve">determinó </w:t>
      </w:r>
      <w:r w:rsidR="50F39811" w:rsidRPr="00FA506F">
        <w:rPr>
          <w:lang w:val="es-ES"/>
        </w:rPr>
        <w:t>que estas eran solo un primer paso para cumplir con la recomendación</w:t>
      </w:r>
      <w:r w:rsidR="00D242A9" w:rsidRPr="00FA506F">
        <w:rPr>
          <w:lang w:val="es-ES"/>
        </w:rPr>
        <w:t xml:space="preserve">, que </w:t>
      </w:r>
      <w:r w:rsidR="50F39811" w:rsidRPr="00FA506F">
        <w:rPr>
          <w:lang w:val="es-ES"/>
        </w:rPr>
        <w:t>seguía pendiente de cumplimiento. La CIDH instó al Estado a presentar información sobre los avances en la implementación de cámaras y a ejecutar las acciones necesarias a nivel legislativo para garantizar la regulación y obligatoriedad del uso de cámaras en los interrogatorios</w:t>
      </w:r>
      <w:r w:rsidR="00126316" w:rsidRPr="00FA506F">
        <w:rPr>
          <w:rStyle w:val="FootnoteReference"/>
          <w:lang w:val="es-ES"/>
        </w:rPr>
        <w:footnoteReference w:id="96"/>
      </w:r>
      <w:r w:rsidR="00F55FC1" w:rsidRPr="00FA506F">
        <w:rPr>
          <w:lang w:val="es-ES"/>
        </w:rPr>
        <w:t>.</w:t>
      </w:r>
    </w:p>
    <w:p w14:paraId="0DD4E9AF" w14:textId="215A5C5D" w:rsidR="00780614" w:rsidRPr="00FA506F" w:rsidRDefault="00780614" w:rsidP="006D507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753867F4" w14:textId="77777777" w:rsidR="00780614" w:rsidRPr="00FA506F" w:rsidRDefault="00780614" w:rsidP="00B80A67">
      <w:pPr>
        <w:ind w:firstLine="360"/>
        <w:jc w:val="both"/>
        <w:rPr>
          <w:rFonts w:ascii="Cambria" w:eastAsia="Cambria" w:hAnsi="Cambria" w:cs="Cambria"/>
          <w:i/>
          <w:iCs/>
          <w:color w:val="000000" w:themeColor="text1"/>
          <w:sz w:val="20"/>
          <w:szCs w:val="20"/>
          <w:lang w:val="es-ES"/>
        </w:rPr>
      </w:pPr>
    </w:p>
    <w:p w14:paraId="43E408BC" w14:textId="090DA59E" w:rsidR="00391C23" w:rsidRPr="00FA506F" w:rsidRDefault="00D4382C" w:rsidP="00B80A67">
      <w:pPr>
        <w:pStyle w:val="IAPrrafo"/>
        <w:numPr>
          <w:ilvl w:val="0"/>
          <w:numId w:val="4"/>
        </w:numPr>
        <w:tabs>
          <w:tab w:val="num" w:pos="720"/>
        </w:tabs>
        <w:ind w:firstLine="720"/>
        <w:rPr>
          <w:color w:val="000000" w:themeColor="text1"/>
          <w:lang w:val="es-ES"/>
        </w:rPr>
      </w:pPr>
      <w:r w:rsidRPr="00FA506F">
        <w:rPr>
          <w:lang w:val="es-ES"/>
        </w:rPr>
        <w:t>En 2024,</w:t>
      </w:r>
      <w:r w:rsidRPr="00FA506F">
        <w:rPr>
          <w:color w:val="000000" w:themeColor="text1"/>
          <w:lang w:val="es-ES"/>
        </w:rPr>
        <w:t xml:space="preserve"> e</w:t>
      </w:r>
      <w:r w:rsidR="00391C23" w:rsidRPr="00FA506F">
        <w:rPr>
          <w:color w:val="000000" w:themeColor="text1"/>
          <w:lang w:val="es-ES"/>
        </w:rPr>
        <w:t xml:space="preserve">l Estado </w:t>
      </w:r>
      <w:r w:rsidRPr="00FA506F">
        <w:rPr>
          <w:color w:val="000000" w:themeColor="text1"/>
          <w:lang w:val="es-ES"/>
        </w:rPr>
        <w:t xml:space="preserve">informó que </w:t>
      </w:r>
      <w:r w:rsidR="00391C23" w:rsidRPr="00FA506F">
        <w:rPr>
          <w:color w:val="000000" w:themeColor="text1"/>
          <w:lang w:val="es-ES"/>
        </w:rPr>
        <w:t>ha</w:t>
      </w:r>
      <w:r w:rsidRPr="00FA506F">
        <w:rPr>
          <w:color w:val="000000" w:themeColor="text1"/>
          <w:lang w:val="es-ES"/>
        </w:rPr>
        <w:t xml:space="preserve">bría </w:t>
      </w:r>
      <w:r w:rsidR="00391C23" w:rsidRPr="00FA506F">
        <w:rPr>
          <w:color w:val="000000" w:themeColor="text1"/>
          <w:lang w:val="es-ES"/>
        </w:rPr>
        <w:t xml:space="preserve">adoptado medidas dentro de su Estrategia Nacional contra la Tortura para garantizar la prevención de la tortura en el contexto de entrevistas. </w:t>
      </w:r>
      <w:r w:rsidR="005B28C2" w:rsidRPr="00FA506F">
        <w:rPr>
          <w:color w:val="000000" w:themeColor="text1"/>
          <w:lang w:val="es-ES"/>
        </w:rPr>
        <w:t>Y reiteró la información proporcionada en el marco del cumplimiento de la recomendación 17</w:t>
      </w:r>
      <w:r w:rsidRPr="00FA506F">
        <w:rPr>
          <w:rStyle w:val="FootnoteReference"/>
          <w:color w:val="000000" w:themeColor="text1"/>
          <w:lang w:val="es-ES"/>
        </w:rPr>
        <w:footnoteReference w:id="97"/>
      </w:r>
      <w:r w:rsidR="00391C23" w:rsidRPr="00FA506F">
        <w:rPr>
          <w:color w:val="000000" w:themeColor="text1"/>
          <w:lang w:val="es-ES"/>
        </w:rPr>
        <w:t xml:space="preserve">. </w:t>
      </w:r>
    </w:p>
    <w:p w14:paraId="092B4845" w14:textId="77777777" w:rsidR="00F55FC1" w:rsidRPr="00FA506F" w:rsidRDefault="00F55FC1" w:rsidP="006D507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5C80395C"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4903C5F8" w14:textId="7AAA27C3" w:rsidR="00D4382C" w:rsidRPr="00FA506F" w:rsidRDefault="00D4382C" w:rsidP="00B80A67">
      <w:pPr>
        <w:pStyle w:val="IAPrrafo"/>
        <w:numPr>
          <w:ilvl w:val="0"/>
          <w:numId w:val="4"/>
        </w:numPr>
        <w:tabs>
          <w:tab w:val="num" w:pos="720"/>
        </w:tabs>
        <w:ind w:firstLine="720"/>
        <w:rPr>
          <w:lang w:val="es-ES"/>
        </w:rPr>
      </w:pPr>
      <w:r w:rsidRPr="00FA506F">
        <w:rPr>
          <w:lang w:val="es-ES"/>
        </w:rPr>
        <w:t>La CIDH valora de forma positiva las medidas reportadas por el Estado para la prevención de la tortura</w:t>
      </w:r>
      <w:r w:rsidR="00475C7C" w:rsidRPr="00FA506F">
        <w:rPr>
          <w:lang w:val="es-ES"/>
        </w:rPr>
        <w:t>. S</w:t>
      </w:r>
      <w:r w:rsidRPr="00FA506F">
        <w:rPr>
          <w:lang w:val="es-ES"/>
        </w:rPr>
        <w:t>in embargo, el contenido de esta recomendación atiende a la medida específica de establecer el uso obligatorio de cámaras y otros protocolos de seguridad en interrogatorios y patrullas</w:t>
      </w:r>
      <w:r w:rsidR="008C2DA5" w:rsidRPr="00FA506F">
        <w:rPr>
          <w:lang w:val="es-ES"/>
        </w:rPr>
        <w:t>. El</w:t>
      </w:r>
      <w:r w:rsidRPr="00FA506F">
        <w:rPr>
          <w:lang w:val="es-ES"/>
        </w:rPr>
        <w:t xml:space="preserve"> Estado no reportó información relacionada con dicha medida. </w:t>
      </w:r>
      <w:r w:rsidR="006F7A01" w:rsidRPr="00FA506F">
        <w:rPr>
          <w:lang w:val="es-ES"/>
        </w:rPr>
        <w:t>E</w:t>
      </w:r>
      <w:r w:rsidRPr="00FA506F">
        <w:rPr>
          <w:lang w:val="es-ES"/>
        </w:rPr>
        <w:t>n 2023</w:t>
      </w:r>
      <w:r w:rsidRPr="00FA506F">
        <w:rPr>
          <w:rStyle w:val="FootnoteReference"/>
          <w:lang w:val="es-ES"/>
        </w:rPr>
        <w:footnoteReference w:id="98"/>
      </w:r>
      <w:r w:rsidRPr="00FA506F">
        <w:rPr>
          <w:lang w:val="es-ES"/>
        </w:rPr>
        <w:t>, el Estado refirió que se habrían sostenido reuniones para la implementación de dichas cámaras</w:t>
      </w:r>
      <w:r w:rsidR="006F6089" w:rsidRPr="00FA506F">
        <w:rPr>
          <w:lang w:val="es-ES"/>
        </w:rPr>
        <w:t>. No obstante</w:t>
      </w:r>
      <w:r w:rsidRPr="00FA506F">
        <w:rPr>
          <w:lang w:val="es-ES"/>
        </w:rPr>
        <w:t xml:space="preserve">, para 2024, el Estado no reportó información </w:t>
      </w:r>
      <w:r w:rsidR="006F6089" w:rsidRPr="00FA506F">
        <w:rPr>
          <w:lang w:val="es-ES"/>
        </w:rPr>
        <w:t>concreta</w:t>
      </w:r>
      <w:r w:rsidRPr="00FA506F">
        <w:rPr>
          <w:lang w:val="es-ES"/>
        </w:rPr>
        <w:t xml:space="preserve">. A la espera de información sobre medidas de cumplimiento actualizadas, la CIDH </w:t>
      </w:r>
      <w:r w:rsidR="006F6089" w:rsidRPr="00FA506F">
        <w:rPr>
          <w:lang w:val="es-ES"/>
        </w:rPr>
        <w:t xml:space="preserve">concluye </w:t>
      </w:r>
      <w:r w:rsidRPr="00FA506F">
        <w:rPr>
          <w:lang w:val="es-ES"/>
        </w:rPr>
        <w:t xml:space="preserve">que esta recomendación continúa </w:t>
      </w:r>
      <w:r w:rsidRPr="00FA506F">
        <w:rPr>
          <w:b/>
          <w:bCs/>
          <w:lang w:val="es-ES"/>
        </w:rPr>
        <w:t>pendiente de cumplimiento.</w:t>
      </w:r>
    </w:p>
    <w:p w14:paraId="3B897F10" w14:textId="77777777" w:rsidR="00F55FC1" w:rsidRPr="00FA506F" w:rsidRDefault="00F55FC1" w:rsidP="006D507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24DC52C5"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158B2CC7" w14:textId="12F3A9F3" w:rsidR="00D4382C" w:rsidRPr="00FA506F" w:rsidRDefault="00D4382C" w:rsidP="00B80A67">
      <w:pPr>
        <w:pStyle w:val="IAPrrafo"/>
        <w:numPr>
          <w:ilvl w:val="0"/>
          <w:numId w:val="4"/>
        </w:numPr>
        <w:tabs>
          <w:tab w:val="num" w:pos="720"/>
        </w:tabs>
        <w:ind w:firstLine="720"/>
        <w:rPr>
          <w:lang w:val="es-ES"/>
        </w:rPr>
      </w:pPr>
      <w:r w:rsidRPr="00FA506F">
        <w:rPr>
          <w:lang w:val="es-ES"/>
        </w:rPr>
        <w:t xml:space="preserve">Para el cumplimiento de la recomendación, la Comisión invita al Estado a presentar información </w:t>
      </w:r>
      <w:r w:rsidR="005858B7" w:rsidRPr="00FA506F">
        <w:rPr>
          <w:lang w:val="es-ES"/>
        </w:rPr>
        <w:t>sobre</w:t>
      </w:r>
      <w:r w:rsidRPr="00FA506F">
        <w:rPr>
          <w:lang w:val="es-ES"/>
        </w:rPr>
        <w:t xml:space="preserve"> los avances y resultados de las iniciativas para implementar el uso de cámaras en interrogatorios. De igual forma, es necesario que se ejecuten las acciones suficientes, </w:t>
      </w:r>
      <w:r w:rsidR="003A09F3" w:rsidRPr="00FA506F">
        <w:rPr>
          <w:lang w:val="es-ES"/>
        </w:rPr>
        <w:t>indispensables</w:t>
      </w:r>
      <w:r w:rsidR="005858B7" w:rsidRPr="00FA506F">
        <w:rPr>
          <w:lang w:val="es-ES"/>
        </w:rPr>
        <w:t xml:space="preserve"> </w:t>
      </w:r>
      <w:r w:rsidRPr="00FA506F">
        <w:rPr>
          <w:lang w:val="es-ES"/>
        </w:rPr>
        <w:t>y oportunas a nivel legislativo para garantizar la regulación del uso obligatorio de cámaras y otros protocolos de seguridad en los interrogatorios</w:t>
      </w:r>
      <w:r w:rsidRPr="00FA506F">
        <w:rPr>
          <w:rStyle w:val="FootnoteReference"/>
          <w:lang w:val="es-ES"/>
        </w:rPr>
        <w:footnoteReference w:id="99"/>
      </w:r>
      <w:r w:rsidRPr="00FA506F">
        <w:rPr>
          <w:lang w:val="es-ES"/>
        </w:rPr>
        <w:t>.</w:t>
      </w:r>
    </w:p>
    <w:p w14:paraId="06FC9C2E" w14:textId="13D4F12A" w:rsidR="00F55FC1" w:rsidRPr="00FA506F" w:rsidRDefault="00F55FC1"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19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Establecer lineamientos de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aplicación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federal y estatal sobre la </w:t>
      </w:r>
      <w:r w:rsidR="006D507F"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recopilación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de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estadísticas</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uniformes en graves violaciones a los derechos humanos. En particular, el Estado debe mejorar el sistema de </w:t>
      </w:r>
      <w:r w:rsidR="006D507F"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recopilación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de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información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de forma desagregada, con una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metodología</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consistente y transparente. </w:t>
      </w:r>
    </w:p>
    <w:p w14:paraId="55A88572" w14:textId="77777777" w:rsidR="00F55FC1" w:rsidRPr="00FA506F" w:rsidRDefault="00F55FC1" w:rsidP="00B80A67">
      <w:pPr>
        <w:jc w:val="both"/>
        <w:rPr>
          <w:rFonts w:ascii="Cambria" w:eastAsia="Cambria" w:hAnsi="Cambria" w:cs="Cambria"/>
          <w:i/>
          <w:iCs/>
          <w:color w:val="000000" w:themeColor="text1"/>
          <w:sz w:val="20"/>
          <w:szCs w:val="20"/>
          <w:lang w:val="es-ES"/>
        </w:rPr>
      </w:pPr>
    </w:p>
    <w:p w14:paraId="77F493A8" w14:textId="28CB8A9F" w:rsidR="00780614" w:rsidRPr="00FA506F" w:rsidRDefault="00CD291B" w:rsidP="00B80A67">
      <w:pPr>
        <w:pStyle w:val="IAPrrafo"/>
        <w:numPr>
          <w:ilvl w:val="0"/>
          <w:numId w:val="4"/>
        </w:numPr>
        <w:tabs>
          <w:tab w:val="num" w:pos="720"/>
        </w:tabs>
        <w:ind w:firstLine="720"/>
        <w:rPr>
          <w:lang w:val="es-ES"/>
        </w:rPr>
      </w:pPr>
      <w:r w:rsidRPr="00FA506F">
        <w:rPr>
          <w:lang w:val="es-ES"/>
        </w:rPr>
        <w:t xml:space="preserve">Para </w:t>
      </w:r>
      <w:r w:rsidR="00F55FC1" w:rsidRPr="00FA506F">
        <w:rPr>
          <w:lang w:val="es-ES"/>
        </w:rPr>
        <w:t>el Capítulo V del Informe Anual de 202</w:t>
      </w:r>
      <w:r w:rsidR="23854BCA" w:rsidRPr="00FA506F">
        <w:rPr>
          <w:lang w:val="es-ES"/>
        </w:rPr>
        <w:t>3</w:t>
      </w:r>
      <w:r w:rsidR="00F55FC1" w:rsidRPr="00FA506F">
        <w:rPr>
          <w:lang w:val="es-ES"/>
        </w:rPr>
        <w:t>, el Estado</w:t>
      </w:r>
      <w:r w:rsidRPr="00FA506F">
        <w:rPr>
          <w:lang w:val="es-ES"/>
        </w:rPr>
        <w:t xml:space="preserve"> </w:t>
      </w:r>
      <w:r w:rsidR="00BE6519" w:rsidRPr="00FA506F">
        <w:rPr>
          <w:lang w:val="es-ES"/>
        </w:rPr>
        <w:t>refirió</w:t>
      </w:r>
      <w:r w:rsidRPr="00FA506F">
        <w:rPr>
          <w:lang w:val="es-ES"/>
        </w:rPr>
        <w:t xml:space="preserve"> que</w:t>
      </w:r>
      <w:r w:rsidR="3D3C3F8A" w:rsidRPr="00FA506F">
        <w:rPr>
          <w:lang w:val="es-ES"/>
        </w:rPr>
        <w:t xml:space="preserve">, desde 2017, el INEGI había estado generando anualmente información sobre la gestión y desempeño de organismos públicos en derechos humanos a través del Censo Nacional de Derechos Humanos y la Encuesta Nacional de Adolescentes en el Sistema de Justicia Penal (ENASJUP). </w:t>
      </w:r>
      <w:r w:rsidR="00446F81" w:rsidRPr="00FA506F">
        <w:rPr>
          <w:lang w:val="es-ES"/>
        </w:rPr>
        <w:t>El Estado</w:t>
      </w:r>
      <w:r w:rsidR="3D3C3F8A" w:rsidRPr="00FA506F">
        <w:rPr>
          <w:lang w:val="es-ES"/>
        </w:rPr>
        <w:t xml:space="preserve"> implementó un </w:t>
      </w:r>
      <w:r w:rsidR="00B4171E" w:rsidRPr="00FA506F">
        <w:rPr>
          <w:lang w:val="es-ES"/>
        </w:rPr>
        <w:t>p</w:t>
      </w:r>
      <w:r w:rsidR="3D3C3F8A" w:rsidRPr="00FA506F">
        <w:rPr>
          <w:lang w:val="es-ES"/>
        </w:rPr>
        <w:t xml:space="preserve">rotocolo para casos de tortura y se estaba desarrollando un Clasificador de Hechos Violatorios de Derechos Humanos. Sin embargo, la CIDH observó que la </w:t>
      </w:r>
      <w:r w:rsidR="009C2B3C" w:rsidRPr="00FA506F">
        <w:rPr>
          <w:lang w:val="es-ES"/>
        </w:rPr>
        <w:t xml:space="preserve">Encuesta Nacional a la Población Privada de Libertad </w:t>
      </w:r>
      <w:r w:rsidR="00B31E4C" w:rsidRPr="00FA506F">
        <w:rPr>
          <w:lang w:val="es-ES"/>
        </w:rPr>
        <w:t>(</w:t>
      </w:r>
      <w:r w:rsidR="3D3C3F8A" w:rsidRPr="00FA506F">
        <w:rPr>
          <w:lang w:val="es-ES"/>
        </w:rPr>
        <w:t>ENPOL</w:t>
      </w:r>
      <w:r w:rsidR="00B31E4C" w:rsidRPr="00FA506F">
        <w:rPr>
          <w:lang w:val="es-ES"/>
        </w:rPr>
        <w:t>)</w:t>
      </w:r>
      <w:r w:rsidR="3D3C3F8A" w:rsidRPr="00FA506F">
        <w:rPr>
          <w:lang w:val="es-ES"/>
        </w:rPr>
        <w:t xml:space="preserve"> solo procesaba datos de personas privadas de libertad y no cubría graves violaciones a derechos humanos de manera uniforme. A pesar de los avances, la información disponible no cumplía completamente con la recomendación, lo que llevó a clasificar el cumplimiento como parcial. Se instó al Estado a expandir la recopilación de datos y garantizar la transparencia en la recopilación de estadísticas sobre graves violaciones de derechos humanos</w:t>
      </w:r>
      <w:r w:rsidR="00F55FC1" w:rsidRPr="00FA506F">
        <w:rPr>
          <w:rStyle w:val="FootnoteReference"/>
          <w:lang w:val="es-ES"/>
        </w:rPr>
        <w:footnoteReference w:id="100"/>
      </w:r>
      <w:r w:rsidR="00F55FC1" w:rsidRPr="00FA506F">
        <w:rPr>
          <w:lang w:val="es-ES"/>
        </w:rPr>
        <w:t>.</w:t>
      </w:r>
    </w:p>
    <w:p w14:paraId="0C08D7D0" w14:textId="66D7914E" w:rsidR="00780614" w:rsidRPr="00FA506F" w:rsidRDefault="00780614" w:rsidP="006D507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2CE13E59" w14:textId="77777777" w:rsidR="00780614" w:rsidRPr="00FA506F" w:rsidRDefault="00780614" w:rsidP="00B80A67">
      <w:pPr>
        <w:ind w:firstLine="360"/>
        <w:jc w:val="both"/>
        <w:rPr>
          <w:rFonts w:ascii="Cambria" w:eastAsia="Cambria" w:hAnsi="Cambria" w:cs="Cambria"/>
          <w:i/>
          <w:iCs/>
          <w:color w:val="000000" w:themeColor="text1"/>
          <w:sz w:val="20"/>
          <w:szCs w:val="20"/>
          <w:lang w:val="es-ES"/>
        </w:rPr>
      </w:pPr>
    </w:p>
    <w:p w14:paraId="3AEBAE9D" w14:textId="58252495" w:rsidR="00391C23" w:rsidRPr="00FA506F" w:rsidRDefault="00D4382C" w:rsidP="00B80A67">
      <w:pPr>
        <w:pStyle w:val="IAPrrafo"/>
        <w:numPr>
          <w:ilvl w:val="0"/>
          <w:numId w:val="4"/>
        </w:numPr>
        <w:tabs>
          <w:tab w:val="num" w:pos="720"/>
        </w:tabs>
        <w:ind w:firstLine="720"/>
        <w:rPr>
          <w:lang w:val="es-ES"/>
        </w:rPr>
      </w:pPr>
      <w:r w:rsidRPr="00FA506F">
        <w:rPr>
          <w:lang w:val="es-ES"/>
        </w:rPr>
        <w:t>En 2024, el Estado reportó</w:t>
      </w:r>
      <w:r w:rsidR="00BA34CB" w:rsidRPr="00FA506F">
        <w:rPr>
          <w:lang w:val="es-ES"/>
        </w:rPr>
        <w:t xml:space="preserve"> que el INEGI </w:t>
      </w:r>
      <w:r w:rsidR="00391C23" w:rsidRPr="00FA506F">
        <w:rPr>
          <w:lang w:val="es-ES"/>
        </w:rPr>
        <w:t>presentó los resultados del Censo Nacional de Derechos Humanos Estatal (CNDHE) y del Censo Nacional de Derechos Humanos Federal (CNDHF) 2023. Estos censos brinda</w:t>
      </w:r>
      <w:r w:rsidR="00BA34CB" w:rsidRPr="00FA506F">
        <w:rPr>
          <w:lang w:val="es-ES"/>
        </w:rPr>
        <w:t>ría</w:t>
      </w:r>
      <w:r w:rsidR="00391C23" w:rsidRPr="00FA506F">
        <w:rPr>
          <w:lang w:val="es-ES"/>
        </w:rPr>
        <w:t xml:space="preserve">n información sobre la gestión y desempeño de la </w:t>
      </w:r>
      <w:r w:rsidR="00BA34CB" w:rsidRPr="00FA506F">
        <w:rPr>
          <w:lang w:val="es-ES"/>
        </w:rPr>
        <w:t>CNDH</w:t>
      </w:r>
      <w:r w:rsidR="00391C23" w:rsidRPr="00FA506F">
        <w:rPr>
          <w:lang w:val="es-ES"/>
        </w:rPr>
        <w:t xml:space="preserve"> y los Organismos Públicos de Derechos Humanos (OPDH) en cada entidad federativa, enfocándose en funciones de gobierno, capacitación, difusión, defensa y protección de los derechos humanos. Su objetivo </w:t>
      </w:r>
      <w:r w:rsidR="00BA34CB" w:rsidRPr="00FA506F">
        <w:rPr>
          <w:lang w:val="es-ES"/>
        </w:rPr>
        <w:t>sería</w:t>
      </w:r>
      <w:r w:rsidR="00391C23" w:rsidRPr="00FA506F">
        <w:rPr>
          <w:lang w:val="es-ES"/>
        </w:rPr>
        <w:t xml:space="preserve"> apoyar el diseño, implementación, monitoreo y evaluación de políticas públicas a nivel nacional. De acuerdo con el Censo Nacional, en 2022, se registraron 156</w:t>
      </w:r>
      <w:r w:rsidR="00CB6EE7" w:rsidRPr="00FA506F">
        <w:rPr>
          <w:lang w:val="es-ES"/>
        </w:rPr>
        <w:t>.</w:t>
      </w:r>
      <w:r w:rsidR="00391C23" w:rsidRPr="00FA506F">
        <w:rPr>
          <w:lang w:val="es-ES"/>
        </w:rPr>
        <w:t>743 hechos presuntamente violatorios de derechos humanos. De estos, 23</w:t>
      </w:r>
      <w:r w:rsidR="00CB6EE7" w:rsidRPr="00FA506F">
        <w:rPr>
          <w:lang w:val="es-ES"/>
        </w:rPr>
        <w:t>.</w:t>
      </w:r>
      <w:r w:rsidR="00391C23" w:rsidRPr="00FA506F">
        <w:rPr>
          <w:lang w:val="es-ES"/>
        </w:rPr>
        <w:t>749 fueron reportados a la CNDH y 132</w:t>
      </w:r>
      <w:r w:rsidR="00CB6EE7" w:rsidRPr="00FA506F">
        <w:rPr>
          <w:lang w:val="es-ES"/>
        </w:rPr>
        <w:t>.</w:t>
      </w:r>
      <w:r w:rsidR="00391C23" w:rsidRPr="00FA506F">
        <w:rPr>
          <w:lang w:val="es-ES"/>
        </w:rPr>
        <w:t>994 a los OPDH</w:t>
      </w:r>
      <w:r w:rsidR="00BA34CB" w:rsidRPr="00FA506F">
        <w:rPr>
          <w:rStyle w:val="FootnoteReference"/>
          <w:lang w:val="es-ES"/>
        </w:rPr>
        <w:footnoteReference w:id="101"/>
      </w:r>
      <w:r w:rsidR="00391C23" w:rsidRPr="00FA506F">
        <w:rPr>
          <w:lang w:val="es-ES"/>
        </w:rPr>
        <w:t>.</w:t>
      </w:r>
    </w:p>
    <w:p w14:paraId="3FB5536F" w14:textId="77777777" w:rsidR="00F55FC1" w:rsidRPr="00FA506F" w:rsidRDefault="00F55FC1" w:rsidP="006D507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2A4E9108"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3824B9D1" w14:textId="7B9BAE0C" w:rsidR="00785C4C" w:rsidRPr="00FA506F" w:rsidRDefault="00BA34CB" w:rsidP="00B80A67">
      <w:pPr>
        <w:pStyle w:val="IAPrrafo"/>
        <w:numPr>
          <w:ilvl w:val="0"/>
          <w:numId w:val="4"/>
        </w:numPr>
        <w:tabs>
          <w:tab w:val="num" w:pos="720"/>
        </w:tabs>
        <w:ind w:firstLine="720"/>
        <w:rPr>
          <w:lang w:val="es-ES"/>
        </w:rPr>
      </w:pPr>
      <w:r w:rsidRPr="00FA506F">
        <w:rPr>
          <w:lang w:val="es-ES"/>
        </w:rPr>
        <w:t xml:space="preserve">La CIDH retoma su análisis realizado en la recomendación 7, en el sentido de valorar de forma positiva la información proporcionada por el Estado, la cual permite dar cuenta de un sistema de información sólido que abona al análisis de datos </w:t>
      </w:r>
      <w:r w:rsidR="008C2DA5" w:rsidRPr="00FA506F">
        <w:rPr>
          <w:lang w:val="es-ES"/>
        </w:rPr>
        <w:t>relacionados con la</w:t>
      </w:r>
      <w:r w:rsidRPr="00FA506F">
        <w:rPr>
          <w:lang w:val="es-ES"/>
        </w:rPr>
        <w:t xml:space="preserve"> violencia en contra de grupos en situación de vulnerabilidad. La CIDH invita al Estado a garantizar y fortalecer el funcionamiento del INEGI, el cual es una institución ejemplo de buenas prácticas en materia de sistematización y procesamiento de la información. En ese sentido, la Comisión concluye que esta recomendación </w:t>
      </w:r>
      <w:r w:rsidR="00880744" w:rsidRPr="00FA506F">
        <w:rPr>
          <w:lang w:val="es-ES"/>
        </w:rPr>
        <w:t>avanza a</w:t>
      </w:r>
      <w:r w:rsidRPr="00FA506F">
        <w:rPr>
          <w:lang w:val="es-ES"/>
        </w:rPr>
        <w:t xml:space="preserve"> </w:t>
      </w:r>
      <w:r w:rsidRPr="00FA506F">
        <w:rPr>
          <w:b/>
          <w:bCs/>
          <w:lang w:val="es-ES"/>
        </w:rPr>
        <w:t>cumplimiento total.</w:t>
      </w:r>
    </w:p>
    <w:p w14:paraId="67E25B58" w14:textId="5BD5B087" w:rsidR="00F55FC1" w:rsidRPr="00FA506F" w:rsidRDefault="00F55FC1"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Cambria"/>
          <w:sz w:val="20"/>
          <w:szCs w:val="20"/>
          <w:lang w:val="es-ES"/>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20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Eliminar el arraigo y la flagrancia equiparada del ordenamiento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jurídico</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mexicano. </w:t>
      </w:r>
    </w:p>
    <w:p w14:paraId="29C7FFBF" w14:textId="77777777" w:rsidR="00F55FC1" w:rsidRPr="00FA506F" w:rsidRDefault="00F55FC1" w:rsidP="00B80A67">
      <w:pPr>
        <w:jc w:val="both"/>
        <w:rPr>
          <w:rFonts w:ascii="Cambria" w:eastAsia="Cambria" w:hAnsi="Cambria" w:cs="Cambria"/>
          <w:i/>
          <w:iCs/>
          <w:color w:val="000000" w:themeColor="text1"/>
          <w:sz w:val="20"/>
          <w:szCs w:val="20"/>
          <w:lang w:val="es-ES"/>
        </w:rPr>
      </w:pPr>
    </w:p>
    <w:p w14:paraId="1D3D2B5A" w14:textId="20239398" w:rsidR="00780614" w:rsidRPr="00FA506F" w:rsidRDefault="007D7E3F" w:rsidP="00B80A67">
      <w:pPr>
        <w:pStyle w:val="IAPrrafo"/>
        <w:numPr>
          <w:ilvl w:val="0"/>
          <w:numId w:val="4"/>
        </w:numPr>
        <w:tabs>
          <w:tab w:val="num" w:pos="720"/>
        </w:tabs>
        <w:ind w:firstLine="720"/>
        <w:rPr>
          <w:lang w:val="es-ES"/>
        </w:rPr>
      </w:pPr>
      <w:r w:rsidRPr="00FA506F">
        <w:rPr>
          <w:lang w:val="es-ES"/>
        </w:rPr>
        <w:t xml:space="preserve">Para </w:t>
      </w:r>
      <w:r w:rsidR="00F55FC1" w:rsidRPr="00FA506F">
        <w:rPr>
          <w:lang w:val="es-ES"/>
        </w:rPr>
        <w:t>el Capítulo V del Informe Anual de 202</w:t>
      </w:r>
      <w:r w:rsidR="614B6617" w:rsidRPr="00FA506F">
        <w:rPr>
          <w:lang w:val="es-ES"/>
        </w:rPr>
        <w:t>3</w:t>
      </w:r>
      <w:r w:rsidR="00F55FC1" w:rsidRPr="00FA506F">
        <w:rPr>
          <w:lang w:val="es-ES"/>
        </w:rPr>
        <w:t>, el Estado</w:t>
      </w:r>
      <w:r w:rsidRPr="00FA506F">
        <w:rPr>
          <w:lang w:val="es-ES"/>
        </w:rPr>
        <w:t xml:space="preserve"> </w:t>
      </w:r>
      <w:r w:rsidR="00BE6519" w:rsidRPr="00FA506F">
        <w:rPr>
          <w:lang w:val="es-ES"/>
        </w:rPr>
        <w:t>refirió</w:t>
      </w:r>
      <w:r w:rsidRPr="00FA506F">
        <w:rPr>
          <w:lang w:val="es-ES"/>
        </w:rPr>
        <w:t xml:space="preserve"> </w:t>
      </w:r>
      <w:r w:rsidR="163388E6" w:rsidRPr="00FA506F">
        <w:rPr>
          <w:lang w:val="es-ES"/>
        </w:rPr>
        <w:t xml:space="preserve">sobre el inicio de expedientes internos para estudiar el cumplimiento de las sentencias de la Corte Interamericana de Derechos Humanos (Corte IDH) en los casos </w:t>
      </w:r>
      <w:r w:rsidR="008D77DD" w:rsidRPr="00FA506F">
        <w:rPr>
          <w:lang w:val="es-ES"/>
        </w:rPr>
        <w:t>“</w:t>
      </w:r>
      <w:r w:rsidR="163388E6" w:rsidRPr="00FA506F">
        <w:rPr>
          <w:lang w:val="es-ES"/>
        </w:rPr>
        <w:t>García Rodríguez y otros vs. México</w:t>
      </w:r>
      <w:r w:rsidR="008D77DD" w:rsidRPr="00FA506F">
        <w:rPr>
          <w:lang w:val="es-ES"/>
        </w:rPr>
        <w:t>”</w:t>
      </w:r>
      <w:r w:rsidR="163388E6" w:rsidRPr="00FA506F">
        <w:rPr>
          <w:lang w:val="es-ES"/>
        </w:rPr>
        <w:t xml:space="preserve"> y </w:t>
      </w:r>
      <w:r w:rsidR="008D77DD" w:rsidRPr="00FA506F">
        <w:rPr>
          <w:lang w:val="es-ES"/>
        </w:rPr>
        <w:t>“</w:t>
      </w:r>
      <w:r w:rsidR="163388E6" w:rsidRPr="00FA506F">
        <w:rPr>
          <w:lang w:val="es-ES"/>
        </w:rPr>
        <w:t>Tzompaxtle Tecpile y otros vs. México</w:t>
      </w:r>
      <w:r w:rsidR="008D77DD" w:rsidRPr="00FA506F">
        <w:rPr>
          <w:lang w:val="es-ES"/>
        </w:rPr>
        <w:t>”</w:t>
      </w:r>
      <w:r w:rsidR="00126316" w:rsidRPr="00FA506F">
        <w:rPr>
          <w:rStyle w:val="FootnoteReference"/>
          <w:lang w:val="es-ES"/>
        </w:rPr>
        <w:footnoteReference w:id="102"/>
      </w:r>
      <w:r w:rsidR="163388E6" w:rsidRPr="00FA506F">
        <w:rPr>
          <w:lang w:val="es-ES"/>
        </w:rPr>
        <w:t xml:space="preserve">, con el fin de evaluar las medidas que el Poder Judicial debía adoptar para alinear el arraigo y la detención preventiva con </w:t>
      </w:r>
      <w:r w:rsidR="008D77DD" w:rsidRPr="00FA506F">
        <w:rPr>
          <w:lang w:val="es-ES"/>
        </w:rPr>
        <w:t xml:space="preserve">esas </w:t>
      </w:r>
      <w:r w:rsidR="163388E6" w:rsidRPr="00FA506F">
        <w:rPr>
          <w:lang w:val="es-ES"/>
        </w:rPr>
        <w:t>sentencias. Sin embargo, las organizaciones de la sociedad civil reportaron que, ocho meses después de la sentencia en el caso García Rodríguez</w:t>
      </w:r>
      <w:r w:rsidR="00126316" w:rsidRPr="00FA506F">
        <w:rPr>
          <w:rStyle w:val="FootnoteReference"/>
          <w:lang w:val="es-ES"/>
        </w:rPr>
        <w:footnoteReference w:id="103"/>
      </w:r>
      <w:r w:rsidR="163388E6" w:rsidRPr="00FA506F">
        <w:rPr>
          <w:lang w:val="es-ES"/>
        </w:rPr>
        <w:t xml:space="preserve">, no se habían eliminado las figuras del arraigo y la prisión preventiva oficiosa de la Constitución </w:t>
      </w:r>
      <w:r w:rsidR="001C73D4" w:rsidRPr="00FA506F">
        <w:rPr>
          <w:lang w:val="es-ES"/>
        </w:rPr>
        <w:t>m</w:t>
      </w:r>
      <w:r w:rsidR="163388E6" w:rsidRPr="00FA506F">
        <w:rPr>
          <w:lang w:val="es-ES"/>
        </w:rPr>
        <w:t>exicana</w:t>
      </w:r>
      <w:r w:rsidR="004F4282" w:rsidRPr="00FA506F">
        <w:rPr>
          <w:lang w:val="es-ES"/>
        </w:rPr>
        <w:t xml:space="preserve"> (sobre este tema, ver Recomendación</w:t>
      </w:r>
      <w:r w:rsidR="00A7373E" w:rsidRPr="00FA506F">
        <w:rPr>
          <w:lang w:val="es-ES"/>
        </w:rPr>
        <w:t xml:space="preserve"> </w:t>
      </w:r>
      <w:r w:rsidR="006D507F" w:rsidRPr="00FA506F">
        <w:rPr>
          <w:lang w:val="es-ES"/>
        </w:rPr>
        <w:t>N.º</w:t>
      </w:r>
      <w:r w:rsidR="00A7373E" w:rsidRPr="00FA506F">
        <w:rPr>
          <w:lang w:val="es-ES"/>
        </w:rPr>
        <w:t xml:space="preserve"> 50)</w:t>
      </w:r>
      <w:r w:rsidR="163388E6" w:rsidRPr="00FA506F">
        <w:rPr>
          <w:lang w:val="es-ES"/>
        </w:rPr>
        <w:t xml:space="preserve">. Aunque se había comenzado a aplicar </w:t>
      </w:r>
      <w:r w:rsidR="0050256E" w:rsidRPr="00FA506F">
        <w:rPr>
          <w:lang w:val="es-ES"/>
        </w:rPr>
        <w:t xml:space="preserve">judicialmente </w:t>
      </w:r>
      <w:r w:rsidR="163388E6" w:rsidRPr="00FA506F">
        <w:rPr>
          <w:lang w:val="es-ES"/>
        </w:rPr>
        <w:t>la jurisprudencia establecida por la Corte IDH, la recomendación fue considerada parcialmente cumplida debido a la falta de avances legislativos para eliminar el arraigo. La Comisión sugirió al Estado organizar foros públicos para discutir la eliminación de esta figura jurídica y tomar acciones concretas hacia ese fin</w:t>
      </w:r>
      <w:r w:rsidR="00F55FC1" w:rsidRPr="00FA506F">
        <w:rPr>
          <w:rStyle w:val="FootnoteReference"/>
          <w:lang w:val="es-ES"/>
        </w:rPr>
        <w:footnoteReference w:id="104"/>
      </w:r>
      <w:r w:rsidR="00BA34CB" w:rsidRPr="00FA506F">
        <w:rPr>
          <w:lang w:val="es-ES"/>
        </w:rPr>
        <w:t>.</w:t>
      </w:r>
    </w:p>
    <w:p w14:paraId="0D25B280" w14:textId="35340025" w:rsidR="00780614" w:rsidRPr="00FA506F" w:rsidRDefault="00780614" w:rsidP="006D507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54C95623" w14:textId="77777777" w:rsidR="00780614" w:rsidRPr="00FA506F" w:rsidRDefault="00780614" w:rsidP="00B80A67">
      <w:pPr>
        <w:ind w:firstLine="360"/>
        <w:jc w:val="both"/>
        <w:rPr>
          <w:rFonts w:ascii="Cambria" w:eastAsia="Cambria" w:hAnsi="Cambria" w:cs="Cambria"/>
          <w:i/>
          <w:iCs/>
          <w:color w:val="000000" w:themeColor="text1"/>
          <w:sz w:val="20"/>
          <w:szCs w:val="20"/>
          <w:lang w:val="es-ES"/>
        </w:rPr>
      </w:pPr>
    </w:p>
    <w:p w14:paraId="4C2C017D" w14:textId="4BAD76A9" w:rsidR="00BA34CB" w:rsidRPr="00FA506F" w:rsidRDefault="00BA34CB" w:rsidP="00B80A67">
      <w:pPr>
        <w:pStyle w:val="IAPrrafo"/>
        <w:numPr>
          <w:ilvl w:val="0"/>
          <w:numId w:val="4"/>
        </w:numPr>
        <w:tabs>
          <w:tab w:val="num" w:pos="720"/>
        </w:tabs>
        <w:ind w:firstLine="720"/>
        <w:rPr>
          <w:lang w:val="es-ES"/>
        </w:rPr>
      </w:pPr>
      <w:r w:rsidRPr="00FA506F">
        <w:rPr>
          <w:lang w:val="es-ES"/>
        </w:rPr>
        <w:t>En 2024, el Estado refirió que el</w:t>
      </w:r>
      <w:r w:rsidR="00391C23" w:rsidRPr="00FA506F">
        <w:rPr>
          <w:lang w:val="es-ES"/>
        </w:rPr>
        <w:t xml:space="preserve"> uso del arraigo ha</w:t>
      </w:r>
      <w:r w:rsidRPr="00FA506F">
        <w:rPr>
          <w:lang w:val="es-ES"/>
        </w:rPr>
        <w:t>bría</w:t>
      </w:r>
      <w:r w:rsidR="00391C23" w:rsidRPr="00FA506F">
        <w:rPr>
          <w:lang w:val="es-ES"/>
        </w:rPr>
        <w:t xml:space="preserve"> disminuido desde 2013</w:t>
      </w:r>
      <w:r w:rsidRPr="00FA506F">
        <w:rPr>
          <w:lang w:val="es-ES"/>
        </w:rPr>
        <w:t xml:space="preserve">. Así, </w:t>
      </w:r>
      <w:r w:rsidR="00454AE0" w:rsidRPr="00FA506F">
        <w:rPr>
          <w:lang w:val="es-ES"/>
        </w:rPr>
        <w:t>informó</w:t>
      </w:r>
      <w:r w:rsidRPr="00FA506F">
        <w:rPr>
          <w:lang w:val="es-ES"/>
        </w:rPr>
        <w:t xml:space="preserve"> que, e</w:t>
      </w:r>
      <w:r w:rsidR="00391C23" w:rsidRPr="00FA506F">
        <w:rPr>
          <w:lang w:val="es-ES"/>
        </w:rPr>
        <w:t>n 2022 se utilizó solo en 25 casos a nivel nacional</w:t>
      </w:r>
      <w:r w:rsidRPr="00FA506F">
        <w:rPr>
          <w:lang w:val="es-ES"/>
        </w:rPr>
        <w:t xml:space="preserve">. </w:t>
      </w:r>
      <w:r w:rsidR="00391C23" w:rsidRPr="00FA506F">
        <w:rPr>
          <w:lang w:val="es-ES"/>
        </w:rPr>
        <w:t xml:space="preserve">A partir de la reforma constitucional de 18 de junio de 2008, se delimitó la procedencia del arraigo solamente a delitos de delincuencia organizada. El criterio de la SCJN ha sido que la competencia exclusiva para legislar en materia de delincuencia organizada corresponde a la Federación y, por tanto, </w:t>
      </w:r>
      <w:r w:rsidRPr="00FA506F">
        <w:rPr>
          <w:lang w:val="es-ES"/>
        </w:rPr>
        <w:t>determinó que es únicamente</w:t>
      </w:r>
      <w:r w:rsidR="00391C23" w:rsidRPr="00FA506F">
        <w:rPr>
          <w:lang w:val="es-ES"/>
        </w:rPr>
        <w:t xml:space="preserve"> facultad de</w:t>
      </w:r>
      <w:r w:rsidRPr="00FA506F">
        <w:rPr>
          <w:lang w:val="es-ES"/>
        </w:rPr>
        <w:t xml:space="preserve"> la federación</w:t>
      </w:r>
      <w:r w:rsidR="00391C23" w:rsidRPr="00FA506F">
        <w:rPr>
          <w:lang w:val="es-ES"/>
        </w:rPr>
        <w:t xml:space="preserve"> legislar </w:t>
      </w:r>
      <w:r w:rsidRPr="00FA506F">
        <w:rPr>
          <w:lang w:val="es-ES"/>
        </w:rPr>
        <w:t xml:space="preserve">en </w:t>
      </w:r>
      <w:r w:rsidR="00391C23" w:rsidRPr="00FA506F">
        <w:rPr>
          <w:lang w:val="es-ES"/>
        </w:rPr>
        <w:t xml:space="preserve">relación </w:t>
      </w:r>
      <w:r w:rsidRPr="00FA506F">
        <w:rPr>
          <w:lang w:val="es-ES"/>
        </w:rPr>
        <w:t xml:space="preserve">con el </w:t>
      </w:r>
      <w:r w:rsidR="00391C23" w:rsidRPr="00FA506F">
        <w:rPr>
          <w:lang w:val="es-ES"/>
        </w:rPr>
        <w:t>arraigo. Esto implica</w:t>
      </w:r>
      <w:r w:rsidRPr="00FA506F">
        <w:rPr>
          <w:lang w:val="es-ES"/>
        </w:rPr>
        <w:t xml:space="preserve">ría </w:t>
      </w:r>
      <w:r w:rsidR="00391C23" w:rsidRPr="00FA506F">
        <w:rPr>
          <w:lang w:val="es-ES"/>
        </w:rPr>
        <w:t>que, con posterioridad a la reforma constitucional citada, ninguna entidad federativa est</w:t>
      </w:r>
      <w:r w:rsidRPr="00FA506F">
        <w:rPr>
          <w:lang w:val="es-ES"/>
        </w:rPr>
        <w:t>aría</w:t>
      </w:r>
      <w:r w:rsidR="00391C23" w:rsidRPr="00FA506F">
        <w:rPr>
          <w:lang w:val="es-ES"/>
        </w:rPr>
        <w:t xml:space="preserve"> facultada para legislar sobre esta figura</w:t>
      </w:r>
      <w:r w:rsidRPr="00FA506F">
        <w:rPr>
          <w:rStyle w:val="FootnoteReference"/>
          <w:lang w:val="es-ES"/>
        </w:rPr>
        <w:footnoteReference w:id="105"/>
      </w:r>
      <w:r w:rsidR="00391C23" w:rsidRPr="00FA506F">
        <w:rPr>
          <w:lang w:val="es-ES"/>
        </w:rPr>
        <w:t>.</w:t>
      </w:r>
    </w:p>
    <w:p w14:paraId="63F1241D" w14:textId="1769C2DF" w:rsidR="00BA34CB" w:rsidRPr="00FA506F" w:rsidRDefault="00BA34CB" w:rsidP="00B80A67">
      <w:pPr>
        <w:pStyle w:val="IAPrrafo"/>
        <w:numPr>
          <w:ilvl w:val="0"/>
          <w:numId w:val="4"/>
        </w:numPr>
        <w:tabs>
          <w:tab w:val="num" w:pos="720"/>
        </w:tabs>
        <w:ind w:firstLine="720"/>
        <w:rPr>
          <w:lang w:val="es-ES"/>
        </w:rPr>
      </w:pPr>
      <w:r w:rsidRPr="00FA506F">
        <w:rPr>
          <w:lang w:val="es-ES"/>
        </w:rPr>
        <w:t>Por su parte, organizaciones de la sociedad civil reportaron a la Comisión que el Estado no habría adoptado medidas legislativas para la eliminación de la figura del arraigo de la Constitución Mexicana.</w:t>
      </w:r>
      <w:r w:rsidR="00E05C93" w:rsidRPr="00FA506F">
        <w:rPr>
          <w:lang w:val="es-ES"/>
        </w:rPr>
        <w:t xml:space="preserve"> </w:t>
      </w:r>
      <w:r w:rsidRPr="00FA506F">
        <w:rPr>
          <w:lang w:val="es-ES"/>
        </w:rPr>
        <w:t xml:space="preserve">Las organizaciones </w:t>
      </w:r>
      <w:r w:rsidR="00BE6519" w:rsidRPr="00FA506F">
        <w:rPr>
          <w:lang w:val="es-ES"/>
        </w:rPr>
        <w:t>refirieron</w:t>
      </w:r>
      <w:r w:rsidRPr="00FA506F">
        <w:rPr>
          <w:lang w:val="es-ES"/>
        </w:rPr>
        <w:t xml:space="preserve"> que, ante la negativa del Congreso de cumplir las sentencias de la Corte IDH, el </w:t>
      </w:r>
      <w:r w:rsidR="003C3672" w:rsidRPr="00FA506F">
        <w:rPr>
          <w:lang w:val="es-ES"/>
        </w:rPr>
        <w:t>P</w:t>
      </w:r>
      <w:r w:rsidRPr="00FA506F">
        <w:rPr>
          <w:lang w:val="es-ES"/>
        </w:rPr>
        <w:t xml:space="preserve">oder </w:t>
      </w:r>
      <w:r w:rsidR="003C3672" w:rsidRPr="00FA506F">
        <w:rPr>
          <w:lang w:val="es-ES"/>
        </w:rPr>
        <w:t>J</w:t>
      </w:r>
      <w:r w:rsidRPr="00FA506F">
        <w:rPr>
          <w:lang w:val="es-ES"/>
        </w:rPr>
        <w:t xml:space="preserve">udicial habría comenzado </w:t>
      </w:r>
      <w:r w:rsidR="003C3672" w:rsidRPr="00FA506F">
        <w:rPr>
          <w:lang w:val="es-ES"/>
        </w:rPr>
        <w:t xml:space="preserve">a aplicar, </w:t>
      </w:r>
      <w:r w:rsidRPr="00FA506F">
        <w:rPr>
          <w:lang w:val="es-ES"/>
        </w:rPr>
        <w:t>por la vía jurisprudencial</w:t>
      </w:r>
      <w:r w:rsidR="003C3672" w:rsidRPr="00FA506F">
        <w:rPr>
          <w:lang w:val="es-ES"/>
        </w:rPr>
        <w:t>,</w:t>
      </w:r>
      <w:r w:rsidRPr="00FA506F">
        <w:rPr>
          <w:lang w:val="es-ES"/>
        </w:rPr>
        <w:t xml:space="preserve"> los estándares interamericanos establecidos</w:t>
      </w:r>
      <w:r w:rsidRPr="00FA506F">
        <w:rPr>
          <w:rStyle w:val="FootnoteReference"/>
          <w:lang w:val="es-ES"/>
        </w:rPr>
        <w:footnoteReference w:id="106"/>
      </w:r>
      <w:r w:rsidRPr="00FA506F">
        <w:rPr>
          <w:lang w:val="es-ES"/>
        </w:rPr>
        <w:t>.</w:t>
      </w:r>
    </w:p>
    <w:p w14:paraId="24BD4DA3" w14:textId="77777777" w:rsidR="00F55FC1" w:rsidRPr="00FA506F" w:rsidRDefault="00F55FC1" w:rsidP="006D507F">
      <w:pPr>
        <w:ind w:firstLine="81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0D5835DE" w14:textId="73C7224A" w:rsidR="00F55FC1" w:rsidRPr="00FA506F" w:rsidRDefault="007A0F52" w:rsidP="00B80A67">
      <w:pPr>
        <w:tabs>
          <w:tab w:val="left" w:pos="2202"/>
        </w:tabs>
        <w:ind w:firstLine="36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b/>
      </w:r>
    </w:p>
    <w:p w14:paraId="60DB7DBF" w14:textId="3130EEA2" w:rsidR="005008FA" w:rsidRPr="00FA506F" w:rsidRDefault="006F7A01" w:rsidP="00B80A67">
      <w:pPr>
        <w:pStyle w:val="IAPrrafo"/>
        <w:numPr>
          <w:ilvl w:val="0"/>
          <w:numId w:val="4"/>
        </w:numPr>
        <w:tabs>
          <w:tab w:val="num" w:pos="720"/>
        </w:tabs>
        <w:ind w:firstLine="720"/>
        <w:rPr>
          <w:lang w:val="es-ES"/>
        </w:rPr>
      </w:pPr>
      <w:r w:rsidRPr="00FA506F">
        <w:rPr>
          <w:lang w:val="es-ES"/>
        </w:rPr>
        <w:t>No</w:t>
      </w:r>
      <w:r w:rsidR="005008FA" w:rsidRPr="00FA506F">
        <w:rPr>
          <w:lang w:val="es-ES"/>
        </w:rPr>
        <w:t xml:space="preserve"> existe información reportada a la Comisión que dé cuenta de iniciativas orientadas para la eliminación de la figura de arraigo del ordenamiento jurídico mexicano. En ese sentido, la Comisión mantiene la recomendación en </w:t>
      </w:r>
      <w:r w:rsidR="005008FA" w:rsidRPr="00FA506F">
        <w:rPr>
          <w:b/>
          <w:bCs/>
          <w:lang w:val="es-ES"/>
        </w:rPr>
        <w:t>cumplimiento parcial.</w:t>
      </w:r>
    </w:p>
    <w:p w14:paraId="7272ECBC" w14:textId="77777777" w:rsidR="00F55FC1" w:rsidRPr="00FA506F" w:rsidRDefault="00F55FC1" w:rsidP="006D507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3DF0D04C"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34BEB70D" w14:textId="350362D2" w:rsidR="00FA1693" w:rsidRPr="00FA506F" w:rsidRDefault="00FA1693" w:rsidP="00B80A67">
      <w:pPr>
        <w:pStyle w:val="IAPrrafo"/>
        <w:numPr>
          <w:ilvl w:val="0"/>
          <w:numId w:val="4"/>
        </w:numPr>
        <w:tabs>
          <w:tab w:val="num" w:pos="720"/>
        </w:tabs>
        <w:ind w:firstLine="720"/>
        <w:rPr>
          <w:lang w:val="es-ES"/>
        </w:rPr>
      </w:pPr>
      <w:r w:rsidRPr="00FA506F">
        <w:rPr>
          <w:lang w:val="es-ES"/>
        </w:rPr>
        <w:t>La Comisión reitera lo manifestado anteriormente</w:t>
      </w:r>
      <w:r w:rsidR="008C2DA5" w:rsidRPr="00FA506F">
        <w:rPr>
          <w:lang w:val="es-ES"/>
        </w:rPr>
        <w:t xml:space="preserve"> en relación con que </w:t>
      </w:r>
      <w:r w:rsidRPr="00FA506F">
        <w:rPr>
          <w:lang w:val="es-ES"/>
        </w:rPr>
        <w:t xml:space="preserve">el cumplimiento de esta recomendación únicamente podrá darse con la eliminación legislativa del arraigo. La Comisión sugiere al Estado implementar foros de debate público y democrático para continuar con la discusión de la eliminación de dicha figura jurídica, </w:t>
      </w:r>
      <w:r w:rsidR="00905AFF" w:rsidRPr="00FA506F">
        <w:rPr>
          <w:lang w:val="es-ES"/>
        </w:rPr>
        <w:t>que ha sido utilizada para</w:t>
      </w:r>
      <w:r w:rsidR="00976263" w:rsidRPr="00FA506F">
        <w:rPr>
          <w:lang w:val="es-ES"/>
        </w:rPr>
        <w:t xml:space="preserve"> </w:t>
      </w:r>
      <w:r w:rsidR="00811992" w:rsidRPr="00FA506F">
        <w:rPr>
          <w:lang w:val="es-ES"/>
        </w:rPr>
        <w:t xml:space="preserve">favorecer prácticas de tortura, </w:t>
      </w:r>
      <w:r w:rsidRPr="00FA506F">
        <w:rPr>
          <w:lang w:val="es-ES"/>
        </w:rPr>
        <w:t>acompañados de acciones contundentes que concreten el objetivo de esta recomendación</w:t>
      </w:r>
      <w:r w:rsidRPr="00FA506F">
        <w:rPr>
          <w:rStyle w:val="FootnoteReference"/>
          <w:lang w:val="es-ES"/>
        </w:rPr>
        <w:footnoteReference w:id="107"/>
      </w:r>
      <w:r w:rsidRPr="00FA506F">
        <w:rPr>
          <w:lang w:val="es-ES"/>
        </w:rPr>
        <w:t>.</w:t>
      </w:r>
    </w:p>
    <w:p w14:paraId="2849FEB1" w14:textId="77777777" w:rsidR="00F55FC1" w:rsidRPr="00FA506F" w:rsidRDefault="00F55FC1" w:rsidP="00B80A67">
      <w:pPr>
        <w:pStyle w:val="IASubttulo2"/>
        <w:numPr>
          <w:ilvl w:val="0"/>
          <w:numId w:val="3"/>
        </w:numPr>
        <w:tabs>
          <w:tab w:val="num" w:pos="720"/>
        </w:tabs>
        <w:ind w:left="1440" w:hanging="720"/>
        <w:rPr>
          <w:sz w:val="22"/>
          <w:szCs w:val="22"/>
          <w:lang w:val="es-ES"/>
        </w:rPr>
      </w:pPr>
      <w:bookmarkStart w:id="15" w:name="_Toc195618109"/>
      <w:r w:rsidRPr="00FA506F">
        <w:rPr>
          <w:sz w:val="22"/>
          <w:szCs w:val="22"/>
          <w:lang w:val="es-ES"/>
        </w:rPr>
        <w:t>Ejecuciones extrajudiciales</w:t>
      </w:r>
      <w:bookmarkEnd w:id="15"/>
    </w:p>
    <w:p w14:paraId="39BC949B" w14:textId="77777777" w:rsidR="00F55FC1" w:rsidRPr="00FA506F" w:rsidRDefault="00F55FC1"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21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En cualquier acto en donde haya privación de la vida por integrantes de las fuerzas de seguridad, realizar una averiguación e investigación exhaustiva conforme a los estándares internacionales, que las investigaciones desde la escena del crimen sean procedidas por peritos no integrantes de organismos policiales o militares.</w:t>
      </w:r>
    </w:p>
    <w:p w14:paraId="74934ADA" w14:textId="77777777" w:rsidR="00F55FC1" w:rsidRPr="00FA506F" w:rsidRDefault="00F55FC1" w:rsidP="00B80A67">
      <w:pPr>
        <w:jc w:val="both"/>
        <w:rPr>
          <w:rFonts w:ascii="Cambria" w:eastAsia="Cambria" w:hAnsi="Cambria" w:cs="Cambria"/>
          <w:i/>
          <w:iCs/>
          <w:color w:val="000000" w:themeColor="text1"/>
          <w:sz w:val="20"/>
          <w:szCs w:val="20"/>
          <w:lang w:val="es-ES"/>
        </w:rPr>
      </w:pPr>
    </w:p>
    <w:p w14:paraId="04FEE769" w14:textId="12E9632B" w:rsidR="00780614" w:rsidRPr="00FA506F" w:rsidRDefault="00C33DAD" w:rsidP="00B80A67">
      <w:pPr>
        <w:pStyle w:val="IAPrrafo"/>
        <w:numPr>
          <w:ilvl w:val="0"/>
          <w:numId w:val="4"/>
        </w:numPr>
        <w:tabs>
          <w:tab w:val="num" w:pos="720"/>
        </w:tabs>
        <w:ind w:firstLine="720"/>
        <w:rPr>
          <w:lang w:val="es-ES"/>
        </w:rPr>
      </w:pPr>
      <w:r w:rsidRPr="00FA506F">
        <w:rPr>
          <w:lang w:val="es-ES"/>
        </w:rPr>
        <w:t xml:space="preserve">Para </w:t>
      </w:r>
      <w:r w:rsidR="00F55FC1" w:rsidRPr="00FA506F">
        <w:rPr>
          <w:lang w:val="es-ES"/>
        </w:rPr>
        <w:t>el Capítulo V del Informe Anual de 202</w:t>
      </w:r>
      <w:r w:rsidR="7A811797" w:rsidRPr="00FA506F">
        <w:rPr>
          <w:lang w:val="es-ES"/>
        </w:rPr>
        <w:t>3</w:t>
      </w:r>
      <w:r w:rsidR="00F55FC1" w:rsidRPr="00FA506F">
        <w:rPr>
          <w:lang w:val="es-ES"/>
        </w:rPr>
        <w:t xml:space="preserve">, el Estado </w:t>
      </w:r>
      <w:r w:rsidR="007003E4" w:rsidRPr="00FA506F">
        <w:rPr>
          <w:lang w:val="es-ES"/>
        </w:rPr>
        <w:t xml:space="preserve">reportó </w:t>
      </w:r>
      <w:r w:rsidR="00F55FC1" w:rsidRPr="00FA506F">
        <w:rPr>
          <w:lang w:val="es-ES"/>
        </w:rPr>
        <w:t>que</w:t>
      </w:r>
      <w:r w:rsidR="6287C27A" w:rsidRPr="00FA506F">
        <w:rPr>
          <w:lang w:val="es-ES"/>
        </w:rPr>
        <w:t xml:space="preserve">, conforme a la Ley General </w:t>
      </w:r>
      <w:r w:rsidR="00E64B6A" w:rsidRPr="00FA506F">
        <w:rPr>
          <w:lang w:val="es-ES"/>
        </w:rPr>
        <w:t>contra la Tortura</w:t>
      </w:r>
      <w:r w:rsidR="6287C27A" w:rsidRPr="00FA506F">
        <w:rPr>
          <w:lang w:val="es-ES"/>
        </w:rPr>
        <w:t>, las víctimas tienen derecho a ser evaluadas por médicos o psicólogos de su elección</w:t>
      </w:r>
      <w:r w:rsidR="009072DF" w:rsidRPr="00FA506F">
        <w:rPr>
          <w:lang w:val="es-ES"/>
        </w:rPr>
        <w:t>;</w:t>
      </w:r>
      <w:r w:rsidR="6287C27A" w:rsidRPr="00FA506F">
        <w:rPr>
          <w:lang w:val="es-ES"/>
        </w:rPr>
        <w:t xml:space="preserve"> y que los dictámenes médico-psicológicos deben cumplir con el Protocolo de Estambul. Sin embargo, las organizaciones de la sociedad civil reportaron la falta de una política pública para abordar ejecuciones extrajudiciales perpetradas por fuerzas de seguridad, lo que complicaría la identificación y seguimiento de estos casos</w:t>
      </w:r>
      <w:r w:rsidR="00446F81" w:rsidRPr="00FA506F">
        <w:rPr>
          <w:lang w:val="es-ES"/>
        </w:rPr>
        <w:t xml:space="preserve"> y</w:t>
      </w:r>
      <w:r w:rsidR="6287C27A" w:rsidRPr="00FA506F">
        <w:rPr>
          <w:lang w:val="es-ES"/>
        </w:rPr>
        <w:t xml:space="preserve"> </w:t>
      </w:r>
      <w:r w:rsidR="00BE6519" w:rsidRPr="00FA506F">
        <w:rPr>
          <w:lang w:val="es-ES"/>
        </w:rPr>
        <w:t>refirieron</w:t>
      </w:r>
      <w:r w:rsidR="6287C27A" w:rsidRPr="00FA506F">
        <w:rPr>
          <w:lang w:val="es-ES"/>
        </w:rPr>
        <w:t xml:space="preserve"> que el Estado no había creado la Comisión especial de investigación multidisciplinaria recomendada para casos de masacres y desapariciones de migrantes. A pesar de que el Estado ofreció detalles sobre los derechos de las víctimas en casos de tortura, la falta de información actualizada y medidas específicas para casos de privación de la vida por fuerzas de seguridad llevó a la Comisión a considerar la recomendación como pendiente de cumplimiento. Se sugirió al Estado proporcionar datos sobre investigaciones exhaustivas y la participación de peritos independientes en estos casos</w:t>
      </w:r>
      <w:r w:rsidR="00126316" w:rsidRPr="00FA506F">
        <w:rPr>
          <w:rStyle w:val="FootnoteReference"/>
          <w:lang w:val="es-ES"/>
        </w:rPr>
        <w:footnoteReference w:id="108"/>
      </w:r>
      <w:r w:rsidR="00F55FC1" w:rsidRPr="00FA506F">
        <w:rPr>
          <w:lang w:val="es-ES"/>
        </w:rPr>
        <w:t>.</w:t>
      </w:r>
    </w:p>
    <w:p w14:paraId="2405C766" w14:textId="3FA50744" w:rsidR="00780614" w:rsidRPr="00FA506F" w:rsidRDefault="00780614" w:rsidP="006D507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65EAA4F8" w14:textId="77777777" w:rsidR="00780614" w:rsidRPr="00FA506F" w:rsidRDefault="00780614" w:rsidP="00B80A67">
      <w:pPr>
        <w:ind w:firstLine="360"/>
        <w:jc w:val="both"/>
        <w:rPr>
          <w:rFonts w:ascii="Cambria" w:eastAsia="Cambria" w:hAnsi="Cambria" w:cs="Cambria"/>
          <w:i/>
          <w:iCs/>
          <w:color w:val="000000" w:themeColor="text1"/>
          <w:sz w:val="20"/>
          <w:szCs w:val="20"/>
          <w:lang w:val="es-ES"/>
        </w:rPr>
      </w:pPr>
    </w:p>
    <w:p w14:paraId="78084E95" w14:textId="2E7F968F" w:rsidR="00391C23" w:rsidRPr="00FA506F" w:rsidRDefault="00FA1693" w:rsidP="00B80A67">
      <w:pPr>
        <w:pStyle w:val="IAPrrafo"/>
        <w:numPr>
          <w:ilvl w:val="0"/>
          <w:numId w:val="4"/>
        </w:numPr>
        <w:tabs>
          <w:tab w:val="num" w:pos="720"/>
        </w:tabs>
        <w:ind w:firstLine="720"/>
        <w:rPr>
          <w:lang w:val="es-ES"/>
        </w:rPr>
      </w:pPr>
      <w:r w:rsidRPr="00FA506F">
        <w:rPr>
          <w:lang w:val="es-ES"/>
        </w:rPr>
        <w:t xml:space="preserve">En 2024, el Estado hizo referencia a que el </w:t>
      </w:r>
      <w:r w:rsidR="00391C23" w:rsidRPr="00FA506F">
        <w:rPr>
          <w:lang w:val="es-ES"/>
        </w:rPr>
        <w:t>Informe Policial Homologado</w:t>
      </w:r>
      <w:r w:rsidRPr="00FA506F">
        <w:rPr>
          <w:lang w:val="es-ES"/>
        </w:rPr>
        <w:t xml:space="preserve"> </w:t>
      </w:r>
      <w:r w:rsidR="00391C23" w:rsidRPr="00FA506F">
        <w:rPr>
          <w:lang w:val="es-ES"/>
        </w:rPr>
        <w:t>(</w:t>
      </w:r>
      <w:r w:rsidR="00E759B6" w:rsidRPr="00FA506F">
        <w:rPr>
          <w:lang w:val="es-ES"/>
        </w:rPr>
        <w:t>en adelante “</w:t>
      </w:r>
      <w:r w:rsidR="00391C23" w:rsidRPr="00FA506F">
        <w:rPr>
          <w:lang w:val="es-ES"/>
        </w:rPr>
        <w:t>IPH</w:t>
      </w:r>
      <w:r w:rsidR="00E759B6" w:rsidRPr="00FA506F">
        <w:rPr>
          <w:lang w:val="es-ES"/>
        </w:rPr>
        <w:t>”</w:t>
      </w:r>
      <w:r w:rsidR="00391C23" w:rsidRPr="00FA506F">
        <w:rPr>
          <w:lang w:val="es-ES"/>
        </w:rPr>
        <w:t>) s</w:t>
      </w:r>
      <w:r w:rsidRPr="00FA506F">
        <w:rPr>
          <w:lang w:val="es-ES"/>
        </w:rPr>
        <w:t>ería</w:t>
      </w:r>
      <w:r w:rsidR="00391C23" w:rsidRPr="00FA506F">
        <w:rPr>
          <w:lang w:val="es-ES"/>
        </w:rPr>
        <w:t xml:space="preserve"> una herramienta esencial para las instituciones policiales</w:t>
      </w:r>
      <w:r w:rsidR="002F7496" w:rsidRPr="00FA506F">
        <w:rPr>
          <w:lang w:val="es-ES"/>
        </w:rPr>
        <w:t>, pues</w:t>
      </w:r>
      <w:r w:rsidR="00391C23" w:rsidRPr="00FA506F">
        <w:rPr>
          <w:lang w:val="es-ES"/>
        </w:rPr>
        <w:t xml:space="preserve"> permit</w:t>
      </w:r>
      <w:r w:rsidR="0074769E" w:rsidRPr="00FA506F">
        <w:rPr>
          <w:lang w:val="es-ES"/>
        </w:rPr>
        <w:t>e</w:t>
      </w:r>
      <w:r w:rsidR="00391C23" w:rsidRPr="00FA506F">
        <w:rPr>
          <w:lang w:val="es-ES"/>
        </w:rPr>
        <w:t xml:space="preserve"> documentar de manera estandarizada la información relacionada con la puesta a disposición de personas y objetos tras las intervenciones</w:t>
      </w:r>
      <w:r w:rsidR="001863DB" w:rsidRPr="00FA506F">
        <w:rPr>
          <w:lang w:val="es-ES"/>
        </w:rPr>
        <w:t xml:space="preserve"> policiales</w:t>
      </w:r>
      <w:r w:rsidR="00391C23" w:rsidRPr="00FA506F">
        <w:rPr>
          <w:lang w:val="es-ES"/>
        </w:rPr>
        <w:t xml:space="preserve">. Su objetivo </w:t>
      </w:r>
      <w:r w:rsidRPr="00FA506F">
        <w:rPr>
          <w:lang w:val="es-ES"/>
        </w:rPr>
        <w:t>busca</w:t>
      </w:r>
      <w:r w:rsidR="00391C23" w:rsidRPr="00FA506F">
        <w:rPr>
          <w:lang w:val="es-ES"/>
        </w:rPr>
        <w:t xml:space="preserve"> mejorar la eficiencia de estos procedimientos, garantizar el debido proceso y emplear los datos para labores de inteligencia que apoyen los procedimientos ministeriales. Entre mayo de 2019 y marzo de 2024, se </w:t>
      </w:r>
      <w:r w:rsidRPr="00FA506F">
        <w:rPr>
          <w:lang w:val="es-ES"/>
        </w:rPr>
        <w:t xml:space="preserve">habrían </w:t>
      </w:r>
      <w:r w:rsidR="00391C23" w:rsidRPr="00FA506F">
        <w:rPr>
          <w:lang w:val="es-ES"/>
        </w:rPr>
        <w:t>registra</w:t>
      </w:r>
      <w:r w:rsidRPr="00FA506F">
        <w:rPr>
          <w:lang w:val="es-ES"/>
        </w:rPr>
        <w:t>do</w:t>
      </w:r>
      <w:r w:rsidR="00391C23" w:rsidRPr="00FA506F">
        <w:rPr>
          <w:lang w:val="es-ES"/>
        </w:rPr>
        <w:t xml:space="preserve"> 29</w:t>
      </w:r>
      <w:r w:rsidR="00644632" w:rsidRPr="00FA506F">
        <w:rPr>
          <w:lang w:val="es-ES"/>
        </w:rPr>
        <w:t>,</w:t>
      </w:r>
      <w:r w:rsidR="00391C23" w:rsidRPr="00FA506F">
        <w:rPr>
          <w:lang w:val="es-ES"/>
        </w:rPr>
        <w:t>3 millones de informes, con 1</w:t>
      </w:r>
      <w:r w:rsidR="00644632" w:rsidRPr="00FA506F">
        <w:rPr>
          <w:lang w:val="es-ES"/>
        </w:rPr>
        <w:t>,</w:t>
      </w:r>
      <w:r w:rsidR="00391C23" w:rsidRPr="00FA506F">
        <w:rPr>
          <w:lang w:val="es-ES"/>
        </w:rPr>
        <w:t xml:space="preserve">4 millones de nuevos registros en el último periodo, de los cuales el 57% cuenta con referencia cartográfica. En casos de intervenciones que resultan en lesionados o fallecidos, el IPH </w:t>
      </w:r>
      <w:r w:rsidR="00FB48CF" w:rsidRPr="00FA506F">
        <w:rPr>
          <w:lang w:val="es-ES"/>
        </w:rPr>
        <w:t xml:space="preserve">exige </w:t>
      </w:r>
      <w:r w:rsidR="00391C23" w:rsidRPr="00FA506F">
        <w:rPr>
          <w:lang w:val="es-ES"/>
        </w:rPr>
        <w:t>un informe detallado sobre el uso de la fuerza, en el que se describ</w:t>
      </w:r>
      <w:r w:rsidR="00FB48CF" w:rsidRPr="00FA506F">
        <w:rPr>
          <w:lang w:val="es-ES"/>
        </w:rPr>
        <w:t>a</w:t>
      </w:r>
      <w:r w:rsidR="00391C23" w:rsidRPr="00FA506F">
        <w:rPr>
          <w:lang w:val="es-ES"/>
        </w:rPr>
        <w:t xml:space="preserve"> la conducta que motivó el uso de </w:t>
      </w:r>
      <w:r w:rsidR="00C26987" w:rsidRPr="00FA506F">
        <w:rPr>
          <w:lang w:val="es-ES"/>
        </w:rPr>
        <w:t>esta</w:t>
      </w:r>
      <w:r w:rsidR="00391C23" w:rsidRPr="00FA506F">
        <w:rPr>
          <w:lang w:val="es-ES"/>
        </w:rPr>
        <w:t xml:space="preserve"> y el nivel proporcional empleado, conforme a lo establecido en los artículos 10 y 11 de la Ley Nacional sobre el Uso de la Fuerza</w:t>
      </w:r>
      <w:r w:rsidRPr="00FA506F">
        <w:rPr>
          <w:rStyle w:val="FootnoteReference"/>
          <w:lang w:val="es-ES"/>
        </w:rPr>
        <w:footnoteReference w:id="109"/>
      </w:r>
      <w:r w:rsidRPr="00FA506F">
        <w:rPr>
          <w:lang w:val="es-ES"/>
        </w:rPr>
        <w:t>.</w:t>
      </w:r>
    </w:p>
    <w:p w14:paraId="458EDA69" w14:textId="2AC8EB6B" w:rsidR="00FA1693" w:rsidRPr="00FA506F" w:rsidRDefault="00FA1693" w:rsidP="00B80A67">
      <w:pPr>
        <w:pStyle w:val="IAPrrafo"/>
        <w:numPr>
          <w:ilvl w:val="0"/>
          <w:numId w:val="4"/>
        </w:numPr>
        <w:tabs>
          <w:tab w:val="num" w:pos="720"/>
        </w:tabs>
        <w:ind w:firstLine="720"/>
        <w:rPr>
          <w:lang w:val="es-ES"/>
        </w:rPr>
      </w:pPr>
      <w:r w:rsidRPr="00FA506F">
        <w:rPr>
          <w:lang w:val="es-ES"/>
        </w:rPr>
        <w:t>Por su parte, organizaciones de la sociedad civil reportaron a la Comisión que no exist</w:t>
      </w:r>
      <w:r w:rsidR="00CD4E2B" w:rsidRPr="00FA506F">
        <w:rPr>
          <w:lang w:val="es-ES"/>
        </w:rPr>
        <w:t>e</w:t>
      </w:r>
      <w:r w:rsidRPr="00FA506F">
        <w:rPr>
          <w:lang w:val="es-ES"/>
        </w:rPr>
        <w:t xml:space="preserve"> una política pública para la atención a casos de ejecuciones que involucran a fuerzas de seguridad. Los casos de ejecuciones extrajudiciales se seguirían </w:t>
      </w:r>
      <w:r w:rsidR="00344A47" w:rsidRPr="00FA506F">
        <w:rPr>
          <w:lang w:val="es-ES"/>
        </w:rPr>
        <w:t xml:space="preserve">investigando </w:t>
      </w:r>
      <w:r w:rsidRPr="00FA506F">
        <w:rPr>
          <w:lang w:val="es-ES"/>
        </w:rPr>
        <w:t xml:space="preserve">por el delito de homicidio, de tal modo que no habría diferenciación ni medidas particulares cuando los perpetradores son servidores públicos. Según la información </w:t>
      </w:r>
      <w:r w:rsidR="00344A47" w:rsidRPr="00FA506F">
        <w:rPr>
          <w:lang w:val="es-ES"/>
        </w:rPr>
        <w:t>aportada</w:t>
      </w:r>
      <w:r w:rsidRPr="00FA506F">
        <w:rPr>
          <w:lang w:val="es-ES"/>
        </w:rPr>
        <w:t>, esa situación complejizaría la identificación de casos y su seguimient</w:t>
      </w:r>
      <w:r w:rsidR="006B4F48" w:rsidRPr="00FA506F">
        <w:rPr>
          <w:lang w:val="es-ES"/>
        </w:rPr>
        <w:t>o</w:t>
      </w:r>
      <w:r w:rsidR="00597BE8" w:rsidRPr="00FA506F">
        <w:rPr>
          <w:lang w:val="es-ES"/>
        </w:rPr>
        <w:t>;</w:t>
      </w:r>
      <w:r w:rsidR="006B4F48" w:rsidRPr="00FA506F">
        <w:rPr>
          <w:lang w:val="es-ES"/>
        </w:rPr>
        <w:t xml:space="preserve"> </w:t>
      </w:r>
      <w:r w:rsidRPr="00FA506F">
        <w:rPr>
          <w:lang w:val="es-ES"/>
        </w:rPr>
        <w:t>no existiría colaboración de las FFAA en las investigaciones de casos que involucran a sus integrantes</w:t>
      </w:r>
      <w:r w:rsidR="00597BE8" w:rsidRPr="00FA506F">
        <w:rPr>
          <w:lang w:val="es-ES"/>
        </w:rPr>
        <w:t>;</w:t>
      </w:r>
      <w:r w:rsidRPr="00FA506F">
        <w:rPr>
          <w:lang w:val="es-ES"/>
        </w:rPr>
        <w:t xml:space="preserve"> y las fiscalías tendrían una tendencia a minimizar el impacto de tales hechos</w:t>
      </w:r>
      <w:r w:rsidRPr="00FA506F">
        <w:rPr>
          <w:rStyle w:val="FootnoteReference"/>
          <w:lang w:val="es-ES"/>
        </w:rPr>
        <w:footnoteReference w:id="110"/>
      </w:r>
      <w:r w:rsidRPr="00FA506F">
        <w:rPr>
          <w:lang w:val="es-ES"/>
        </w:rPr>
        <w:t xml:space="preserve">. </w:t>
      </w:r>
      <w:r w:rsidR="008C2DA5" w:rsidRPr="00FA506F">
        <w:rPr>
          <w:lang w:val="es-ES"/>
        </w:rPr>
        <w:t>Las</w:t>
      </w:r>
      <w:r w:rsidRPr="00FA506F">
        <w:rPr>
          <w:lang w:val="es-ES"/>
        </w:rPr>
        <w:t xml:space="preserve"> organizaciones refirieron que, a la fecha, el Estado no ha creado la Comisión especial de investigación multidisciplinaria recomendada por el Comité contra la </w:t>
      </w:r>
      <w:r w:rsidR="00344A47" w:rsidRPr="00FA506F">
        <w:rPr>
          <w:lang w:val="es-ES"/>
        </w:rPr>
        <w:t>D</w:t>
      </w:r>
      <w:r w:rsidRPr="00FA506F">
        <w:rPr>
          <w:lang w:val="es-ES"/>
        </w:rPr>
        <w:t xml:space="preserve">esaparición </w:t>
      </w:r>
      <w:r w:rsidR="00344A47" w:rsidRPr="00FA506F">
        <w:rPr>
          <w:lang w:val="es-ES"/>
        </w:rPr>
        <w:t>F</w:t>
      </w:r>
      <w:r w:rsidRPr="00FA506F">
        <w:rPr>
          <w:lang w:val="es-ES"/>
        </w:rPr>
        <w:t>orzada</w:t>
      </w:r>
      <w:r w:rsidR="00344A47" w:rsidRPr="00FA506F">
        <w:rPr>
          <w:lang w:val="es-ES"/>
        </w:rPr>
        <w:t xml:space="preserve"> de Naciones Unidas</w:t>
      </w:r>
      <w:r w:rsidRPr="00FA506F">
        <w:rPr>
          <w:lang w:val="es-ES"/>
        </w:rPr>
        <w:t>, en abril del 2022, para casos de masacres y desapariciones de personas migrantes, la cual debería estar conformada por expertos nacionales e internacionales para apoyar las investigaciones con perspectiva regional</w:t>
      </w:r>
      <w:r w:rsidRPr="00FA506F">
        <w:rPr>
          <w:rStyle w:val="FootnoteReference"/>
          <w:lang w:val="es-ES"/>
        </w:rPr>
        <w:footnoteReference w:id="111"/>
      </w:r>
      <w:r w:rsidRPr="00FA506F">
        <w:rPr>
          <w:lang w:val="es-ES"/>
        </w:rPr>
        <w:t>.</w:t>
      </w:r>
    </w:p>
    <w:p w14:paraId="75A1443E" w14:textId="77777777" w:rsidR="00F55FC1" w:rsidRPr="00FA506F" w:rsidRDefault="00F55FC1" w:rsidP="006D507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46C3E493"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527CF681" w14:textId="7F2FC345" w:rsidR="00FA1693" w:rsidRPr="00FA506F" w:rsidRDefault="00FA1693" w:rsidP="00B80A67">
      <w:pPr>
        <w:pStyle w:val="IAPrrafo"/>
        <w:numPr>
          <w:ilvl w:val="0"/>
          <w:numId w:val="4"/>
        </w:numPr>
        <w:tabs>
          <w:tab w:val="num" w:pos="720"/>
        </w:tabs>
        <w:ind w:firstLine="720"/>
        <w:rPr>
          <w:lang w:val="es-ES"/>
        </w:rPr>
      </w:pPr>
      <w:r w:rsidRPr="00FA506F">
        <w:rPr>
          <w:lang w:val="es-ES"/>
        </w:rPr>
        <w:t>La información proporcionada no da cuenta de una medida específica orientada a</w:t>
      </w:r>
      <w:r w:rsidR="006D6718" w:rsidRPr="00FA506F">
        <w:rPr>
          <w:lang w:val="es-ES"/>
        </w:rPr>
        <w:t xml:space="preserve"> garantizar la averiguación e investigación exhaustiva en</w:t>
      </w:r>
      <w:r w:rsidRPr="00FA506F">
        <w:rPr>
          <w:lang w:val="es-ES"/>
        </w:rPr>
        <w:t xml:space="preserve"> casos donde integrantes de las </w:t>
      </w:r>
      <w:r w:rsidR="006D6718" w:rsidRPr="00FA506F">
        <w:rPr>
          <w:lang w:val="es-ES"/>
        </w:rPr>
        <w:t xml:space="preserve">fuerzas de seguridad </w:t>
      </w:r>
      <w:r w:rsidRPr="00FA506F">
        <w:rPr>
          <w:lang w:val="es-ES"/>
        </w:rPr>
        <w:t>estén involucrados</w:t>
      </w:r>
      <w:r w:rsidR="009A1255" w:rsidRPr="00FA506F">
        <w:rPr>
          <w:lang w:val="es-ES"/>
        </w:rPr>
        <w:t xml:space="preserve"> en supuestos de ejecuciones extrajudicial. S</w:t>
      </w:r>
      <w:r w:rsidR="006D6718" w:rsidRPr="00FA506F">
        <w:rPr>
          <w:lang w:val="es-ES"/>
        </w:rPr>
        <w:t>i bien, el Informe Policial</w:t>
      </w:r>
      <w:r w:rsidR="009A1255" w:rsidRPr="00FA506F">
        <w:rPr>
          <w:lang w:val="es-ES"/>
        </w:rPr>
        <w:t xml:space="preserve"> Homologado</w:t>
      </w:r>
      <w:r w:rsidR="006D6718" w:rsidRPr="00FA506F">
        <w:rPr>
          <w:lang w:val="es-ES"/>
        </w:rPr>
        <w:t xml:space="preserve"> representa un primer paso en la documentación de estos casos, no hay información sobre el seguimiento de los procesos de investigación</w:t>
      </w:r>
      <w:r w:rsidR="00E9006B" w:rsidRPr="00FA506F">
        <w:rPr>
          <w:lang w:val="es-ES"/>
        </w:rPr>
        <w:t xml:space="preserve"> y cómo su aplicación ha impactado en el esclarecimiento de las responsabilidades</w:t>
      </w:r>
      <w:r w:rsidRPr="00FA506F">
        <w:rPr>
          <w:lang w:val="es-ES"/>
        </w:rPr>
        <w:t xml:space="preserve">. En ese sentido, la recomendación continúa </w:t>
      </w:r>
      <w:r w:rsidR="005008FA" w:rsidRPr="00FA506F">
        <w:rPr>
          <w:b/>
          <w:bCs/>
          <w:lang w:val="es-ES"/>
        </w:rPr>
        <w:t>parcialmente cumplida</w:t>
      </w:r>
      <w:r w:rsidRPr="00FA506F">
        <w:rPr>
          <w:b/>
          <w:bCs/>
          <w:lang w:val="es-ES"/>
        </w:rPr>
        <w:t>.</w:t>
      </w:r>
    </w:p>
    <w:p w14:paraId="719442CF" w14:textId="77777777" w:rsidR="00F55FC1" w:rsidRPr="00FA506F" w:rsidRDefault="00F55FC1" w:rsidP="006D507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5FD4023F"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23923CBC" w14:textId="4F28EA48" w:rsidR="00FA1693" w:rsidRPr="00FA506F" w:rsidRDefault="00FA1693" w:rsidP="00B80A67">
      <w:pPr>
        <w:pStyle w:val="IAPrrafo"/>
        <w:numPr>
          <w:ilvl w:val="0"/>
          <w:numId w:val="4"/>
        </w:numPr>
        <w:tabs>
          <w:tab w:val="num" w:pos="720"/>
        </w:tabs>
        <w:ind w:firstLine="720"/>
        <w:rPr>
          <w:lang w:val="es-ES"/>
        </w:rPr>
      </w:pPr>
      <w:r w:rsidRPr="00FA506F">
        <w:rPr>
          <w:lang w:val="es-ES"/>
        </w:rPr>
        <w:t xml:space="preserve">De acuerdo con lo establecido en 2023, la CIDH reitera que el cumplimiento de la recomendación requiere </w:t>
      </w:r>
      <w:r w:rsidR="008070AB" w:rsidRPr="00FA506F">
        <w:rPr>
          <w:lang w:val="es-ES"/>
        </w:rPr>
        <w:t xml:space="preserve">de </w:t>
      </w:r>
      <w:r w:rsidRPr="00FA506F">
        <w:rPr>
          <w:lang w:val="es-ES"/>
        </w:rPr>
        <w:t xml:space="preserve">medidas que impulsen la investigación de los delitos en cuestión. </w:t>
      </w:r>
      <w:r w:rsidR="008C2DA5" w:rsidRPr="00FA506F">
        <w:rPr>
          <w:lang w:val="es-ES"/>
        </w:rPr>
        <w:t>La Comisión</w:t>
      </w:r>
      <w:r w:rsidRPr="00FA506F">
        <w:rPr>
          <w:lang w:val="es-ES"/>
        </w:rPr>
        <w:t xml:space="preserve"> considera importante que sean suministrados datos específicos </w:t>
      </w:r>
      <w:r w:rsidR="0010463E" w:rsidRPr="00FA506F">
        <w:rPr>
          <w:lang w:val="es-ES"/>
        </w:rPr>
        <w:t>sobre</w:t>
      </w:r>
      <w:r w:rsidRPr="00FA506F">
        <w:rPr>
          <w:lang w:val="es-ES"/>
        </w:rPr>
        <w:t xml:space="preserve"> cómo se está garantizando una investigación exhaustiva conforme a estándares internacionales. </w:t>
      </w:r>
      <w:r w:rsidR="008C2DA5" w:rsidRPr="00FA506F">
        <w:rPr>
          <w:lang w:val="es-ES"/>
        </w:rPr>
        <w:t>Resulta</w:t>
      </w:r>
      <w:r w:rsidRPr="00FA506F">
        <w:rPr>
          <w:lang w:val="es-ES"/>
        </w:rPr>
        <w:t xml:space="preserve"> oportuno que el Estado aporte información de aquellos casos en los que se contó con la participación de peritos/as independientes</w:t>
      </w:r>
      <w:r w:rsidRPr="00FA506F">
        <w:rPr>
          <w:rStyle w:val="FootnoteReference"/>
          <w:lang w:val="es-ES"/>
        </w:rPr>
        <w:footnoteReference w:id="112"/>
      </w:r>
      <w:r w:rsidRPr="00FA506F">
        <w:rPr>
          <w:lang w:val="es-ES"/>
        </w:rPr>
        <w:t>.</w:t>
      </w:r>
    </w:p>
    <w:p w14:paraId="0626B777" w14:textId="77777777" w:rsidR="00F55FC1" w:rsidRPr="00FA506F" w:rsidRDefault="00F55FC1"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22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Asegurar que las Fuerzas Armadas registren las cifras sobre personas muertas y heridas en sus operaciones y que se abran las investigaciones correspondientes cuando corresponda. </w:t>
      </w:r>
    </w:p>
    <w:p w14:paraId="48FFD12C" w14:textId="77777777" w:rsidR="00F55FC1" w:rsidRPr="00FA506F" w:rsidRDefault="00F55FC1" w:rsidP="00B80A67">
      <w:pPr>
        <w:jc w:val="both"/>
        <w:rPr>
          <w:rFonts w:ascii="Cambria" w:eastAsia="Cambria" w:hAnsi="Cambria" w:cs="Cambria"/>
          <w:i/>
          <w:iCs/>
          <w:color w:val="000000" w:themeColor="text1"/>
          <w:sz w:val="20"/>
          <w:szCs w:val="20"/>
          <w:lang w:val="es-ES"/>
        </w:rPr>
      </w:pPr>
    </w:p>
    <w:p w14:paraId="782DB888" w14:textId="66FA2F52" w:rsidR="00780614" w:rsidRPr="00FA506F" w:rsidRDefault="00B92A3E" w:rsidP="00B80A67">
      <w:pPr>
        <w:pStyle w:val="IAPrrafo"/>
        <w:numPr>
          <w:ilvl w:val="0"/>
          <w:numId w:val="4"/>
        </w:numPr>
        <w:tabs>
          <w:tab w:val="num" w:pos="720"/>
        </w:tabs>
        <w:ind w:firstLine="720"/>
        <w:rPr>
          <w:lang w:val="es-ES"/>
        </w:rPr>
      </w:pPr>
      <w:r w:rsidRPr="00FA506F">
        <w:rPr>
          <w:lang w:val="es-ES"/>
        </w:rPr>
        <w:t xml:space="preserve">Para </w:t>
      </w:r>
      <w:r w:rsidR="00F55FC1" w:rsidRPr="00FA506F">
        <w:rPr>
          <w:lang w:val="es-ES"/>
        </w:rPr>
        <w:t>el Capítulo V del Informe Anual de 202</w:t>
      </w:r>
      <w:r w:rsidR="0ED8E9C3" w:rsidRPr="00FA506F">
        <w:rPr>
          <w:lang w:val="es-ES"/>
        </w:rPr>
        <w:t>3</w:t>
      </w:r>
      <w:r w:rsidR="00F55FC1" w:rsidRPr="00FA506F">
        <w:rPr>
          <w:lang w:val="es-ES"/>
        </w:rPr>
        <w:t xml:space="preserve"> el Estado </w:t>
      </w:r>
      <w:r w:rsidRPr="00FA506F">
        <w:rPr>
          <w:lang w:val="es-ES"/>
        </w:rPr>
        <w:t>informó que</w:t>
      </w:r>
      <w:r w:rsidR="005776CA" w:rsidRPr="00FA506F">
        <w:rPr>
          <w:lang w:val="es-ES"/>
        </w:rPr>
        <w:t>,</w:t>
      </w:r>
      <w:r w:rsidR="7AB975C7" w:rsidRPr="00FA506F">
        <w:rPr>
          <w:lang w:val="es-ES"/>
        </w:rPr>
        <w:t xml:space="preserve"> a través del Censo Nacional de Derechos Humanos Federal (CNDHF) del INEGI, se </w:t>
      </w:r>
      <w:r w:rsidR="006D6718" w:rsidRPr="00FA506F">
        <w:rPr>
          <w:lang w:val="es-ES"/>
        </w:rPr>
        <w:t>recopilaría</w:t>
      </w:r>
      <w:r w:rsidR="7AB975C7" w:rsidRPr="00FA506F">
        <w:rPr>
          <w:lang w:val="es-ES"/>
        </w:rPr>
        <w:t xml:space="preserve"> información sobre hechos violatorios de derechos humanos en los que la SEDENA y SEMAR </w:t>
      </w:r>
      <w:r w:rsidR="006D6718" w:rsidRPr="00FA506F">
        <w:rPr>
          <w:lang w:val="es-ES"/>
        </w:rPr>
        <w:t>se presuman como responsables</w:t>
      </w:r>
      <w:r w:rsidR="7AB975C7" w:rsidRPr="00FA506F">
        <w:rPr>
          <w:lang w:val="es-ES"/>
        </w:rPr>
        <w:t xml:space="preserve">. </w:t>
      </w:r>
      <w:r w:rsidR="00446F81" w:rsidRPr="00FA506F">
        <w:rPr>
          <w:lang w:val="es-ES"/>
        </w:rPr>
        <w:t xml:space="preserve">El Estado </w:t>
      </w:r>
      <w:r w:rsidR="00454AE0" w:rsidRPr="00FA506F">
        <w:rPr>
          <w:lang w:val="es-ES"/>
        </w:rPr>
        <w:t>reportó</w:t>
      </w:r>
      <w:r w:rsidR="7AB975C7" w:rsidRPr="00FA506F">
        <w:rPr>
          <w:lang w:val="es-ES"/>
        </w:rPr>
        <w:t xml:space="preserve"> que el INEGI recolecta datos sobre personas fallecidas, lesionadas y detenidas durante enfrentamientos con elementos de seguridad pública mediante varios censos nacionales. Sin embargo, las organizaciones de la sociedad civil </w:t>
      </w:r>
      <w:r w:rsidR="00C100BD" w:rsidRPr="00FA506F">
        <w:rPr>
          <w:lang w:val="es-ES"/>
        </w:rPr>
        <w:t xml:space="preserve">destacaron </w:t>
      </w:r>
      <w:r w:rsidR="7AB975C7" w:rsidRPr="00FA506F">
        <w:rPr>
          <w:lang w:val="es-ES"/>
        </w:rPr>
        <w:t>que, a pesar de los avances en el registro de cifras sobre personas afectadas por las FFAA, la calidad de la información reportada seguía siendo deficiente, con inconsistencias y estigmatización. La Comisión valoró positivamente el esfuerzo del Estado en la recopilación de datos, pero determinó que la información proporcionada no fue suficiente para demostrar mejoras en las políticas públicas relacionadas con la atención e investigación de estos casos. En consecuencia, la recomendación se consideró en cumplimiento parcial sustancial. Se instó al Estado a proporcionar detalles específicos sobre el funcionamiento y metodología del Censo, así como sobre las medidas para mejorar el registro y la investigación de casos relacionados con el uso de la fuerza</w:t>
      </w:r>
      <w:r w:rsidR="00F55FC1" w:rsidRPr="00FA506F">
        <w:rPr>
          <w:rStyle w:val="FootnoteReference"/>
          <w:lang w:val="es-ES"/>
        </w:rPr>
        <w:footnoteReference w:id="113"/>
      </w:r>
      <w:r w:rsidR="00F55FC1" w:rsidRPr="00FA506F">
        <w:rPr>
          <w:lang w:val="es-ES"/>
        </w:rPr>
        <w:t>.</w:t>
      </w:r>
    </w:p>
    <w:p w14:paraId="4FA164D5" w14:textId="006B3810" w:rsidR="00780614" w:rsidRPr="00FA506F" w:rsidRDefault="00780614" w:rsidP="006D507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741B5B2C" w14:textId="77777777" w:rsidR="00780614" w:rsidRPr="00FA506F" w:rsidRDefault="00780614" w:rsidP="00B80A67">
      <w:pPr>
        <w:ind w:firstLine="360"/>
        <w:jc w:val="both"/>
        <w:rPr>
          <w:rFonts w:ascii="Cambria" w:eastAsia="Cambria" w:hAnsi="Cambria" w:cs="Cambria"/>
          <w:i/>
          <w:iCs/>
          <w:color w:val="000000" w:themeColor="text1"/>
          <w:sz w:val="20"/>
          <w:szCs w:val="20"/>
          <w:lang w:val="es-ES"/>
        </w:rPr>
      </w:pPr>
    </w:p>
    <w:p w14:paraId="4D7316D3" w14:textId="02AAF989" w:rsidR="00391C23" w:rsidRPr="00FA506F" w:rsidRDefault="00FA1693" w:rsidP="00B80A67">
      <w:pPr>
        <w:pStyle w:val="IAPrrafo"/>
        <w:numPr>
          <w:ilvl w:val="0"/>
          <w:numId w:val="4"/>
        </w:numPr>
        <w:tabs>
          <w:tab w:val="num" w:pos="720"/>
        </w:tabs>
        <w:ind w:firstLine="720"/>
        <w:rPr>
          <w:lang w:val="es-ES"/>
        </w:rPr>
      </w:pPr>
      <w:r w:rsidRPr="00FA506F">
        <w:rPr>
          <w:lang w:val="es-ES"/>
        </w:rPr>
        <w:t xml:space="preserve">En 2024, el Estado </w:t>
      </w:r>
      <w:r w:rsidR="00D303A7" w:rsidRPr="00FA506F">
        <w:rPr>
          <w:lang w:val="es-ES"/>
        </w:rPr>
        <w:t xml:space="preserve">transmitió </w:t>
      </w:r>
      <w:r w:rsidRPr="00FA506F">
        <w:rPr>
          <w:lang w:val="es-ES"/>
        </w:rPr>
        <w:t>que</w:t>
      </w:r>
      <w:r w:rsidR="00D303A7" w:rsidRPr="00FA506F">
        <w:rPr>
          <w:lang w:val="es-ES"/>
        </w:rPr>
        <w:t>,</w:t>
      </w:r>
      <w:r w:rsidRPr="00FA506F">
        <w:rPr>
          <w:lang w:val="es-ES"/>
        </w:rPr>
        <w:t xml:space="preserve"> e</w:t>
      </w:r>
      <w:r w:rsidR="00391C23" w:rsidRPr="00FA506F">
        <w:rPr>
          <w:lang w:val="es-ES"/>
        </w:rPr>
        <w:t>n el marco del Sistema Nacional de Información sobre Derechos Humanos (SNIGSPIJ), el INEGI comenzó en 2014 el programa de Recopilación de Información de los Organismos Públicos de Protección y Defensa de los Derechos Humanos en México</w:t>
      </w:r>
      <w:r w:rsidRPr="00FA506F">
        <w:rPr>
          <w:lang w:val="es-ES"/>
        </w:rPr>
        <w:t xml:space="preserve">, con la finalidad de </w:t>
      </w:r>
      <w:r w:rsidR="00391C23" w:rsidRPr="00FA506F">
        <w:rPr>
          <w:lang w:val="es-ES"/>
        </w:rPr>
        <w:t>sistematizar y homologar los datos de la CNDH y los 32 organismos públicos estatales</w:t>
      </w:r>
      <w:r w:rsidRPr="00FA506F">
        <w:rPr>
          <w:lang w:val="es-ES"/>
        </w:rPr>
        <w:t xml:space="preserve">. </w:t>
      </w:r>
      <w:r w:rsidR="00391C23" w:rsidRPr="00FA506F">
        <w:rPr>
          <w:lang w:val="es-ES"/>
        </w:rPr>
        <w:t>El programa se desarrolló hasta 2016, cuando se inició la revisión para crear un instrumento que captara información sobre hechos violatorios y procedimientos de queja. En 2017 se implementó el Censo Nacional de Derechos Humanos Federal (CNDHF), como parte del Comité Técnico Especializado en Derechos Humanos. Desde entonces, el censo se realiza anualmente</w:t>
      </w:r>
      <w:r w:rsidR="00244B57" w:rsidRPr="00FA506F">
        <w:rPr>
          <w:lang w:val="es-ES"/>
        </w:rPr>
        <w:t xml:space="preserve">. </w:t>
      </w:r>
      <w:r w:rsidR="00391C23" w:rsidRPr="00FA506F">
        <w:rPr>
          <w:lang w:val="es-ES"/>
        </w:rPr>
        <w:t>El CNDHF utiliza clasificaciones y catálogos existentes y desarrolla propios para estandarizar conceptos y apoyar el análisis comparativo. Los datos se recopila</w:t>
      </w:r>
      <w:r w:rsidR="00244B57" w:rsidRPr="00FA506F">
        <w:rPr>
          <w:lang w:val="es-ES"/>
        </w:rPr>
        <w:t>n</w:t>
      </w:r>
      <w:r w:rsidR="00391C23" w:rsidRPr="00FA506F">
        <w:rPr>
          <w:lang w:val="es-ES"/>
        </w:rPr>
        <w:t xml:space="preserve"> a través de informantes públicos en la CNDH, incluyendo roles específicos para asegurar la validez y oficialización de la información. En ese sentido, en el Censo Nacional de Derechos Humanos Estatal y Federal 2023 del INEGI se </w:t>
      </w:r>
      <w:r w:rsidR="006D6718" w:rsidRPr="00FA506F">
        <w:rPr>
          <w:lang w:val="es-ES"/>
        </w:rPr>
        <w:t>identifican</w:t>
      </w:r>
      <w:r w:rsidR="00391C23" w:rsidRPr="00FA506F">
        <w:rPr>
          <w:lang w:val="es-ES"/>
        </w:rPr>
        <w:t xml:space="preserve"> presuntas violaciones a los derechos humanos por parte de las instancias de seguridad y justicia</w:t>
      </w:r>
      <w:r w:rsidR="00377605" w:rsidRPr="00FA506F">
        <w:rPr>
          <w:rStyle w:val="FootnoteReference"/>
          <w:lang w:val="es-ES"/>
        </w:rPr>
        <w:footnoteReference w:id="114"/>
      </w:r>
      <w:r w:rsidR="00391C23" w:rsidRPr="00FA506F">
        <w:rPr>
          <w:lang w:val="es-ES"/>
        </w:rPr>
        <w:t>.</w:t>
      </w:r>
    </w:p>
    <w:p w14:paraId="7F53FC75" w14:textId="3F861196" w:rsidR="00244B57" w:rsidRPr="00FA506F" w:rsidRDefault="00A16695" w:rsidP="00B80A67">
      <w:pPr>
        <w:pStyle w:val="IAPrrafo"/>
        <w:numPr>
          <w:ilvl w:val="0"/>
          <w:numId w:val="4"/>
        </w:numPr>
        <w:tabs>
          <w:tab w:val="num" w:pos="720"/>
        </w:tabs>
        <w:ind w:firstLine="720"/>
        <w:rPr>
          <w:lang w:val="es-ES"/>
        </w:rPr>
      </w:pPr>
      <w:r w:rsidRPr="00FA506F">
        <w:rPr>
          <w:lang w:val="es-ES"/>
        </w:rPr>
        <w:t>Sin embargo</w:t>
      </w:r>
      <w:r w:rsidR="009434B8" w:rsidRPr="00FA506F">
        <w:rPr>
          <w:lang w:val="es-ES"/>
        </w:rPr>
        <w:t>,</w:t>
      </w:r>
      <w:r w:rsidRPr="00FA506F">
        <w:rPr>
          <w:lang w:val="es-ES"/>
        </w:rPr>
        <w:t xml:space="preserve"> o</w:t>
      </w:r>
      <w:r w:rsidR="008C2DA5" w:rsidRPr="00FA506F">
        <w:rPr>
          <w:lang w:val="es-ES"/>
        </w:rPr>
        <w:t xml:space="preserve">rganizaciones </w:t>
      </w:r>
      <w:r w:rsidR="00244B57" w:rsidRPr="00FA506F">
        <w:rPr>
          <w:lang w:val="es-ES"/>
        </w:rPr>
        <w:t>de la sociedad civil indicaron que no exist</w:t>
      </w:r>
      <w:r w:rsidR="00DD5808" w:rsidRPr="00FA506F">
        <w:rPr>
          <w:lang w:val="es-ES"/>
        </w:rPr>
        <w:t>e</w:t>
      </w:r>
      <w:r w:rsidR="00244B57" w:rsidRPr="00FA506F">
        <w:rPr>
          <w:lang w:val="es-ES"/>
        </w:rPr>
        <w:t xml:space="preserve"> un registro adecuado de personas privadas de la vida o heridas derivado de las actuaciones de las Fuerzas Armadas y que las Fuerzas Armadas no cumpl</w:t>
      </w:r>
      <w:r w:rsidR="00DD5808" w:rsidRPr="00FA506F">
        <w:rPr>
          <w:lang w:val="es-ES"/>
        </w:rPr>
        <w:t>en</w:t>
      </w:r>
      <w:r w:rsidR="00244B57" w:rsidRPr="00FA506F">
        <w:rPr>
          <w:lang w:val="es-ES"/>
        </w:rPr>
        <w:t xml:space="preserve"> con los informes pormenorizados de uso de la fuerza como lo ordena la Ley Nacional de Uso de la Fuerza</w:t>
      </w:r>
      <w:r w:rsidR="00244B57" w:rsidRPr="00FA506F">
        <w:rPr>
          <w:rStyle w:val="FootnoteReference"/>
          <w:lang w:val="es-ES"/>
        </w:rPr>
        <w:footnoteReference w:id="115"/>
      </w:r>
      <w:r w:rsidR="00244B57" w:rsidRPr="00FA506F">
        <w:rPr>
          <w:lang w:val="es-ES"/>
        </w:rPr>
        <w:t>.</w:t>
      </w:r>
    </w:p>
    <w:p w14:paraId="3C3DC21C" w14:textId="77777777" w:rsidR="00F55FC1" w:rsidRPr="00FA506F" w:rsidRDefault="00F55FC1" w:rsidP="005B2614">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284C8B08"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5112331B" w14:textId="76A8BC1B" w:rsidR="00244B57" w:rsidRPr="00FA506F" w:rsidRDefault="006F7A01" w:rsidP="00B80A67">
      <w:pPr>
        <w:pStyle w:val="IAPrrafo"/>
        <w:numPr>
          <w:ilvl w:val="0"/>
          <w:numId w:val="4"/>
        </w:numPr>
        <w:tabs>
          <w:tab w:val="num" w:pos="720"/>
        </w:tabs>
        <w:ind w:firstLine="720"/>
        <w:rPr>
          <w:lang w:val="es-ES"/>
        </w:rPr>
      </w:pPr>
      <w:r w:rsidRPr="00FA506F">
        <w:rPr>
          <w:lang w:val="es-ES"/>
        </w:rPr>
        <w:t>E</w:t>
      </w:r>
      <w:r w:rsidR="00244B57" w:rsidRPr="00FA506F">
        <w:rPr>
          <w:lang w:val="es-ES"/>
        </w:rPr>
        <w:t xml:space="preserve">l Estado reiteró la información </w:t>
      </w:r>
      <w:r w:rsidR="006D6718" w:rsidRPr="00FA506F">
        <w:rPr>
          <w:lang w:val="es-ES"/>
        </w:rPr>
        <w:t>relacionada</w:t>
      </w:r>
      <w:r w:rsidR="00244B57" w:rsidRPr="00FA506F">
        <w:rPr>
          <w:lang w:val="es-ES"/>
        </w:rPr>
        <w:t xml:space="preserve"> con la recopilación de información estadística en materia de violaciones a derechos humanos, que</w:t>
      </w:r>
      <w:r w:rsidR="006F7701" w:rsidRPr="00FA506F">
        <w:rPr>
          <w:lang w:val="es-ES"/>
        </w:rPr>
        <w:t xml:space="preserve"> ya había sido</w:t>
      </w:r>
      <w:r w:rsidR="00244B57" w:rsidRPr="00FA506F">
        <w:rPr>
          <w:lang w:val="es-ES"/>
        </w:rPr>
        <w:t xml:space="preserve"> valorada de manera positiva en años anteriores</w:t>
      </w:r>
      <w:r w:rsidR="00244B57" w:rsidRPr="00FA506F">
        <w:rPr>
          <w:rStyle w:val="FootnoteReference"/>
          <w:lang w:val="es-ES"/>
        </w:rPr>
        <w:footnoteReference w:id="116"/>
      </w:r>
      <w:r w:rsidR="00D56906" w:rsidRPr="00FA506F">
        <w:rPr>
          <w:lang w:val="es-ES"/>
        </w:rPr>
        <w:t xml:space="preserve"> —y que incluso es valorada respecto de otras recomendaciones de este mismo informe—</w:t>
      </w:r>
      <w:r w:rsidR="00244B57" w:rsidRPr="00FA506F">
        <w:rPr>
          <w:lang w:val="es-ES"/>
        </w:rPr>
        <w:t>. No obstante, el Estado no aportó información relacionada específicamente con lo establecido en esta recomendación, en cuanto a la necesidad</w:t>
      </w:r>
      <w:r w:rsidR="00005C8F" w:rsidRPr="00FA506F">
        <w:rPr>
          <w:lang w:val="es-ES"/>
        </w:rPr>
        <w:t xml:space="preserve"> de</w:t>
      </w:r>
      <w:r w:rsidR="00244B57" w:rsidRPr="00FA506F">
        <w:rPr>
          <w:lang w:val="es-ES"/>
        </w:rPr>
        <w:t xml:space="preserve"> que las FFAA registren cifras sobre personas muertas y heridas en sus operaciones</w:t>
      </w:r>
      <w:r w:rsidR="0008677F" w:rsidRPr="00FA506F">
        <w:rPr>
          <w:lang w:val="es-ES"/>
        </w:rPr>
        <w:t>.</w:t>
      </w:r>
      <w:r w:rsidR="00244B57" w:rsidRPr="00FA506F">
        <w:rPr>
          <w:lang w:val="es-ES"/>
        </w:rPr>
        <w:t xml:space="preserve"> </w:t>
      </w:r>
      <w:r w:rsidR="0008677F" w:rsidRPr="00FA506F">
        <w:rPr>
          <w:lang w:val="es-ES"/>
        </w:rPr>
        <w:t>E</w:t>
      </w:r>
      <w:r w:rsidR="00244B57" w:rsidRPr="00FA506F">
        <w:rPr>
          <w:lang w:val="es-ES"/>
        </w:rPr>
        <w:t xml:space="preserve">l Estado tampoco </w:t>
      </w:r>
      <w:r w:rsidR="000122FE" w:rsidRPr="00FA506F">
        <w:rPr>
          <w:lang w:val="es-ES"/>
        </w:rPr>
        <w:t xml:space="preserve">transmitió </w:t>
      </w:r>
      <w:r w:rsidR="00244B57" w:rsidRPr="00FA506F">
        <w:rPr>
          <w:lang w:val="es-ES"/>
        </w:rPr>
        <w:t xml:space="preserve">información sobre la apertura de investigaciones correspondientes a estos hechos. En ese sentido, se identifica que no se cuenta con información suficiente para actualizar el nivel de implementación de la recomendación. En consecuencia, la Comisión determina que la recomendación permanece en </w:t>
      </w:r>
      <w:r w:rsidR="00244B57" w:rsidRPr="00FA506F">
        <w:rPr>
          <w:b/>
          <w:bCs/>
          <w:lang w:val="es-ES"/>
        </w:rPr>
        <w:t>cumplimiento parcial sustancial.</w:t>
      </w:r>
    </w:p>
    <w:p w14:paraId="6084B2E7" w14:textId="77777777" w:rsidR="00F55FC1" w:rsidRPr="00FA506F" w:rsidRDefault="00F55FC1" w:rsidP="005B2614">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5DD02F3E"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379D94E6" w14:textId="6F11EC9B" w:rsidR="00244B57" w:rsidRPr="00FA506F" w:rsidRDefault="00244B57" w:rsidP="00B80A67">
      <w:pPr>
        <w:pStyle w:val="IAPrrafo"/>
        <w:numPr>
          <w:ilvl w:val="0"/>
          <w:numId w:val="4"/>
        </w:numPr>
        <w:tabs>
          <w:tab w:val="num" w:pos="720"/>
        </w:tabs>
        <w:ind w:firstLine="720"/>
        <w:rPr>
          <w:lang w:val="es-ES"/>
        </w:rPr>
      </w:pPr>
      <w:r w:rsidRPr="00FA506F">
        <w:rPr>
          <w:lang w:val="es-ES"/>
        </w:rPr>
        <w:t xml:space="preserve">Para el cumplimiento de esta recomendación, la CIDH reitera </w:t>
      </w:r>
      <w:r w:rsidR="006D6718" w:rsidRPr="00FA506F">
        <w:rPr>
          <w:lang w:val="es-ES"/>
        </w:rPr>
        <w:t xml:space="preserve">la </w:t>
      </w:r>
      <w:r w:rsidR="00005C8F" w:rsidRPr="00FA506F">
        <w:rPr>
          <w:lang w:val="es-ES"/>
        </w:rPr>
        <w:t xml:space="preserve">relevancia </w:t>
      </w:r>
      <w:r w:rsidR="006D6718" w:rsidRPr="00FA506F">
        <w:rPr>
          <w:lang w:val="es-ES"/>
        </w:rPr>
        <w:t>de</w:t>
      </w:r>
      <w:r w:rsidRPr="00FA506F">
        <w:rPr>
          <w:lang w:val="es-ES"/>
        </w:rPr>
        <w:t xml:space="preserve"> contar con información específica </w:t>
      </w:r>
      <w:r w:rsidR="003926B2" w:rsidRPr="00FA506F">
        <w:rPr>
          <w:lang w:val="es-ES"/>
        </w:rPr>
        <w:t xml:space="preserve">sobre </w:t>
      </w:r>
      <w:r w:rsidRPr="00FA506F">
        <w:rPr>
          <w:lang w:val="es-ES"/>
        </w:rPr>
        <w:t>la existencia de un registro de personas muertas y heridas derivado de las actuaciones de las FFAA</w:t>
      </w:r>
      <w:r w:rsidR="00EA616C" w:rsidRPr="00FA506F">
        <w:rPr>
          <w:lang w:val="es-ES"/>
        </w:rPr>
        <w:t xml:space="preserve">, y </w:t>
      </w:r>
      <w:r w:rsidRPr="00FA506F">
        <w:rPr>
          <w:lang w:val="es-ES"/>
        </w:rPr>
        <w:t>sobre cómo sus hallazgos impactan</w:t>
      </w:r>
      <w:r w:rsidR="00844E28" w:rsidRPr="00FA506F">
        <w:rPr>
          <w:lang w:val="es-ES"/>
        </w:rPr>
        <w:t xml:space="preserve"> en</w:t>
      </w:r>
      <w:r w:rsidRPr="00FA506F">
        <w:rPr>
          <w:lang w:val="es-ES"/>
        </w:rPr>
        <w:t xml:space="preserve"> la apertura de investigaciones</w:t>
      </w:r>
      <w:r w:rsidR="001F6C28" w:rsidRPr="00FA506F">
        <w:rPr>
          <w:lang w:val="es-ES"/>
        </w:rPr>
        <w:t xml:space="preserve"> que correspondan</w:t>
      </w:r>
      <w:r w:rsidRPr="00FA506F">
        <w:rPr>
          <w:rStyle w:val="FootnoteReference"/>
          <w:lang w:val="es-ES"/>
        </w:rPr>
        <w:footnoteReference w:id="117"/>
      </w:r>
      <w:r w:rsidRPr="00FA506F">
        <w:rPr>
          <w:lang w:val="es-ES"/>
        </w:rPr>
        <w:t>.</w:t>
      </w:r>
    </w:p>
    <w:p w14:paraId="2A6BBC84" w14:textId="050D45E1" w:rsidR="00F55FC1" w:rsidRPr="00FA506F" w:rsidRDefault="00F55FC1"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23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Establecer un registro nacional sobre la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localización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de restos no identificados inhumados en panteones de todo el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país</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con causa de muerte violenta. Asimismo, se recomienda la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búsqueda</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de fosas clandestinas en estados que han registrado altos niveles de violencia. </w:t>
      </w:r>
    </w:p>
    <w:p w14:paraId="2B98B8C5" w14:textId="77777777" w:rsidR="00F55FC1" w:rsidRPr="00FA506F" w:rsidRDefault="00F55FC1" w:rsidP="00B80A67">
      <w:pPr>
        <w:jc w:val="both"/>
        <w:rPr>
          <w:rFonts w:ascii="Cambria" w:eastAsia="Cambria" w:hAnsi="Cambria" w:cs="Cambria"/>
          <w:i/>
          <w:iCs/>
          <w:color w:val="000000" w:themeColor="text1"/>
          <w:sz w:val="20"/>
          <w:szCs w:val="20"/>
          <w:lang w:val="es-ES"/>
        </w:rPr>
      </w:pPr>
    </w:p>
    <w:p w14:paraId="16D26786" w14:textId="0188E8C4" w:rsidR="00780614" w:rsidRPr="00FA506F" w:rsidRDefault="00F55FC1" w:rsidP="00B80A67">
      <w:pPr>
        <w:pStyle w:val="IAPrrafo"/>
        <w:numPr>
          <w:ilvl w:val="0"/>
          <w:numId w:val="4"/>
        </w:numPr>
        <w:tabs>
          <w:tab w:val="num" w:pos="720"/>
        </w:tabs>
        <w:ind w:firstLine="720"/>
        <w:rPr>
          <w:lang w:val="es-ES"/>
        </w:rPr>
      </w:pPr>
      <w:r w:rsidRPr="00FA506F">
        <w:rPr>
          <w:lang w:val="es-ES"/>
        </w:rPr>
        <w:t>En el</w:t>
      </w:r>
      <w:r w:rsidR="00C7782E" w:rsidRPr="00FA506F">
        <w:rPr>
          <w:lang w:val="es-ES"/>
        </w:rPr>
        <w:t xml:space="preserve"> marco del</w:t>
      </w:r>
      <w:r w:rsidRPr="00FA506F">
        <w:rPr>
          <w:lang w:val="es-ES"/>
        </w:rPr>
        <w:t xml:space="preserve"> Capítulo V del Informe Anual de 202</w:t>
      </w:r>
      <w:r w:rsidR="34FC2589" w:rsidRPr="00FA506F">
        <w:rPr>
          <w:lang w:val="es-ES"/>
        </w:rPr>
        <w:t>3</w:t>
      </w:r>
      <w:r w:rsidRPr="00FA506F">
        <w:rPr>
          <w:lang w:val="es-ES"/>
        </w:rPr>
        <w:t xml:space="preserve">, el Estado </w:t>
      </w:r>
      <w:r w:rsidR="00C7782E" w:rsidRPr="00FA506F">
        <w:rPr>
          <w:lang w:val="es-ES"/>
        </w:rPr>
        <w:t>informó</w:t>
      </w:r>
      <w:r w:rsidR="00A3A110" w:rsidRPr="00FA506F">
        <w:rPr>
          <w:lang w:val="es-ES"/>
        </w:rPr>
        <w:t xml:space="preserve"> a la Comisión sobre el inicio de</w:t>
      </w:r>
      <w:r w:rsidR="00E65301" w:rsidRPr="00FA506F">
        <w:rPr>
          <w:lang w:val="es-ES"/>
        </w:rPr>
        <w:t>l</w:t>
      </w:r>
      <w:r w:rsidR="00A3A110" w:rsidRPr="00FA506F">
        <w:rPr>
          <w:lang w:val="es-ES"/>
        </w:rPr>
        <w:t xml:space="preserve"> funcionamiento del Banco Nacional de Datos Forenses (BNDF) y el Registro Nacional de Personas Fallecidas no Identificadas y no Localizadas (RENAPEFA) desde el 29 de mayo de 2023, con una implementación gradual del Registro Nacional de Fosas Clandestinas (RENAFO). El Estado mencionó que la principal dificultad radica en la calidad de la información y la falta de estandarización entre entidades federativas y el gobierno central. Las organizaciones de la sociedad civil </w:t>
      </w:r>
      <w:r w:rsidR="006D6718" w:rsidRPr="00FA506F">
        <w:rPr>
          <w:lang w:val="es-ES"/>
        </w:rPr>
        <w:t>destacaron</w:t>
      </w:r>
      <w:r w:rsidR="00A3A110" w:rsidRPr="00FA506F">
        <w:rPr>
          <w:lang w:val="es-ES"/>
        </w:rPr>
        <w:t xml:space="preserve"> la falta de un registro nacional eficaz</w:t>
      </w:r>
      <w:r w:rsidR="002C2079" w:rsidRPr="00FA506F">
        <w:rPr>
          <w:lang w:val="es-ES"/>
        </w:rPr>
        <w:t>,</w:t>
      </w:r>
      <w:r w:rsidR="00A3A110" w:rsidRPr="00FA506F">
        <w:rPr>
          <w:lang w:val="es-ES"/>
        </w:rPr>
        <w:t xml:space="preserve"> y retrasos en la implementación de mecanismos de búsqueda e identificación forense, a pesar de la ley vigente desde hace seis años. La CIDH reconoció los esfuerzos del Estado, pero consideró que la recomendación s</w:t>
      </w:r>
      <w:r w:rsidR="00E65301" w:rsidRPr="00FA506F">
        <w:rPr>
          <w:lang w:val="es-ES"/>
        </w:rPr>
        <w:t>eguí</w:t>
      </w:r>
      <w:r w:rsidR="00B815CE" w:rsidRPr="00FA506F">
        <w:rPr>
          <w:lang w:val="es-ES"/>
        </w:rPr>
        <w:t>a</w:t>
      </w:r>
      <w:r w:rsidR="00A3A110" w:rsidRPr="00FA506F">
        <w:rPr>
          <w:lang w:val="es-ES"/>
        </w:rPr>
        <w:t xml:space="preserve"> en cumplimiento parcial, debido a la necesidad de una coordinación efectiva entre autoridades y un progreso significativo en la implementación de los registros y mecanismos de búsqueda. Se instó al Estado a proporcionar información adicional sobre el funcionamiento de estas bases de datos y las actividades de búsqueda de fosas clandestinas</w:t>
      </w:r>
      <w:r w:rsidRPr="00FA506F">
        <w:rPr>
          <w:lang w:val="es-ES"/>
        </w:rPr>
        <w:t>.</w:t>
      </w:r>
    </w:p>
    <w:p w14:paraId="187B28C6" w14:textId="77777777" w:rsidR="005B3C7E" w:rsidRDefault="005B3C7E" w:rsidP="005B2614">
      <w:pPr>
        <w:ind w:firstLine="720"/>
        <w:jc w:val="both"/>
        <w:rPr>
          <w:rFonts w:ascii="Cambria" w:eastAsia="Cambria" w:hAnsi="Cambria" w:cs="Cambria"/>
          <w:i/>
          <w:iCs/>
          <w:color w:val="000000" w:themeColor="text1"/>
          <w:sz w:val="20"/>
          <w:szCs w:val="20"/>
          <w:lang w:val="es-ES"/>
        </w:rPr>
      </w:pPr>
    </w:p>
    <w:p w14:paraId="449B2700" w14:textId="77777777" w:rsidR="005B3C7E" w:rsidRDefault="005B3C7E" w:rsidP="005B2614">
      <w:pPr>
        <w:ind w:firstLine="720"/>
        <w:jc w:val="both"/>
        <w:rPr>
          <w:rFonts w:ascii="Cambria" w:eastAsia="Cambria" w:hAnsi="Cambria" w:cs="Cambria"/>
          <w:i/>
          <w:iCs/>
          <w:color w:val="000000" w:themeColor="text1"/>
          <w:sz w:val="20"/>
          <w:szCs w:val="20"/>
          <w:lang w:val="es-ES"/>
        </w:rPr>
      </w:pPr>
    </w:p>
    <w:p w14:paraId="6FC9619A" w14:textId="47D80095" w:rsidR="00780614" w:rsidRPr="00FA506F" w:rsidRDefault="00780614" w:rsidP="005B2614">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63F77C1D" w14:textId="77777777" w:rsidR="00780614" w:rsidRPr="00FA506F" w:rsidRDefault="00780614" w:rsidP="00B80A67">
      <w:pPr>
        <w:ind w:firstLine="360"/>
        <w:jc w:val="both"/>
        <w:rPr>
          <w:rFonts w:ascii="Cambria" w:eastAsia="Cambria" w:hAnsi="Cambria" w:cs="Cambria"/>
          <w:i/>
          <w:iCs/>
          <w:color w:val="000000" w:themeColor="text1"/>
          <w:sz w:val="20"/>
          <w:szCs w:val="20"/>
          <w:lang w:val="es-ES"/>
        </w:rPr>
      </w:pPr>
    </w:p>
    <w:p w14:paraId="5D7AB5FC" w14:textId="49BD6E96" w:rsidR="0012383C" w:rsidRPr="00616692" w:rsidRDefault="00244B57" w:rsidP="0012383C">
      <w:pPr>
        <w:pStyle w:val="IAPrrafo"/>
        <w:numPr>
          <w:ilvl w:val="0"/>
          <w:numId w:val="4"/>
        </w:numPr>
        <w:tabs>
          <w:tab w:val="num" w:pos="720"/>
        </w:tabs>
        <w:ind w:firstLine="720"/>
        <w:rPr>
          <w:rFonts w:eastAsia="Cambria" w:cs="Cambria"/>
          <w:color w:val="000000" w:themeColor="text1"/>
          <w:lang w:val="es-ES"/>
        </w:rPr>
      </w:pPr>
      <w:r w:rsidRPr="00FA506F">
        <w:rPr>
          <w:lang w:val="es-ES"/>
        </w:rPr>
        <w:t>En 2024, el Estado</w:t>
      </w:r>
      <w:r w:rsidRPr="00FA506F">
        <w:rPr>
          <w:rFonts w:eastAsia="Cambria" w:cs="Cambria"/>
          <w:i/>
          <w:iCs/>
          <w:color w:val="000000" w:themeColor="text1"/>
          <w:lang w:val="es-ES"/>
        </w:rPr>
        <w:t xml:space="preserve"> </w:t>
      </w:r>
      <w:r w:rsidRPr="00FA506F">
        <w:rPr>
          <w:rFonts w:eastAsia="Cambria" w:cs="Cambria"/>
          <w:color w:val="000000" w:themeColor="text1"/>
          <w:lang w:val="es-ES"/>
        </w:rPr>
        <w:t xml:space="preserve">refirió que la CNB </w:t>
      </w:r>
      <w:r w:rsidR="00B815CE" w:rsidRPr="00FA506F">
        <w:rPr>
          <w:rFonts w:eastAsia="Cambria" w:cs="Cambria"/>
          <w:color w:val="000000" w:themeColor="text1"/>
          <w:lang w:val="es-ES"/>
        </w:rPr>
        <w:t xml:space="preserve">creó </w:t>
      </w:r>
      <w:r w:rsidR="00391C23" w:rsidRPr="00FA506F">
        <w:rPr>
          <w:rFonts w:eastAsia="Cambria" w:cs="Cambria"/>
          <w:color w:val="000000" w:themeColor="text1"/>
          <w:lang w:val="es-ES"/>
        </w:rPr>
        <w:t>en 2020 el Módulo de Fosas Comunes (MFC), una base de datos que centraliza y homologa información sobre cuerpos y restos inhumados en fosas comunes en México. E</w:t>
      </w:r>
      <w:r w:rsidR="00391C23" w:rsidRPr="00616692">
        <w:rPr>
          <w:rFonts w:eastAsia="Cambria" w:cs="Cambria"/>
          <w:color w:val="000000" w:themeColor="text1"/>
          <w:lang w:val="es-ES"/>
        </w:rPr>
        <w:t xml:space="preserve">ste sistema confronta periódicamente la información con el </w:t>
      </w:r>
      <w:r w:rsidR="002C2079" w:rsidRPr="00616692">
        <w:rPr>
          <w:rFonts w:eastAsia="Cambria" w:cs="Cambria"/>
          <w:color w:val="000000" w:themeColor="text1"/>
          <w:lang w:val="es-ES"/>
        </w:rPr>
        <w:t>Registro de Personas Desaparecidas (</w:t>
      </w:r>
      <w:r w:rsidR="00AE1E3A" w:rsidRPr="00616692">
        <w:rPr>
          <w:rFonts w:eastAsia="Cambria" w:cs="Cambria"/>
          <w:color w:val="000000" w:themeColor="text1"/>
          <w:lang w:val="es-ES"/>
        </w:rPr>
        <w:t>RNPDNO</w:t>
      </w:r>
      <w:r w:rsidR="002C2079" w:rsidRPr="00616692">
        <w:rPr>
          <w:rFonts w:eastAsia="Cambria" w:cs="Cambria"/>
          <w:color w:val="000000" w:themeColor="text1"/>
          <w:lang w:val="es-ES"/>
        </w:rPr>
        <w:t>)</w:t>
      </w:r>
      <w:r w:rsidR="00391C23" w:rsidRPr="00616692">
        <w:rPr>
          <w:rFonts w:eastAsia="Cambria" w:cs="Cambria"/>
          <w:color w:val="000000" w:themeColor="text1"/>
          <w:lang w:val="es-ES"/>
        </w:rPr>
        <w:t xml:space="preserve"> para </w:t>
      </w:r>
      <w:r w:rsidR="00EA08A4" w:rsidRPr="00616692">
        <w:rPr>
          <w:rFonts w:eastAsia="Cambria" w:cs="Cambria"/>
          <w:color w:val="000000" w:themeColor="text1"/>
          <w:lang w:val="es-ES"/>
        </w:rPr>
        <w:t xml:space="preserve">encontrar </w:t>
      </w:r>
      <w:r w:rsidR="00391C23" w:rsidRPr="00616692">
        <w:rPr>
          <w:rFonts w:eastAsia="Cambria" w:cs="Cambria"/>
          <w:color w:val="000000" w:themeColor="text1"/>
          <w:lang w:val="es-ES"/>
        </w:rPr>
        <w:t>posibles coincidencias. Las coincidencias s</w:t>
      </w:r>
      <w:r w:rsidR="00497EB9" w:rsidRPr="00616692">
        <w:rPr>
          <w:rFonts w:eastAsia="Cambria" w:cs="Cambria"/>
          <w:color w:val="000000" w:themeColor="text1"/>
          <w:lang w:val="es-ES"/>
        </w:rPr>
        <w:t>on</w:t>
      </w:r>
      <w:r w:rsidR="00391C23" w:rsidRPr="00616692">
        <w:rPr>
          <w:rFonts w:eastAsia="Cambria" w:cs="Cambria"/>
          <w:color w:val="000000" w:themeColor="text1"/>
          <w:lang w:val="es-ES"/>
        </w:rPr>
        <w:t xml:space="preserve"> evaluadas para eliminar falsos positivos y, si son viables, se investiga</w:t>
      </w:r>
      <w:r w:rsidRPr="00616692">
        <w:rPr>
          <w:rFonts w:eastAsia="Cambria" w:cs="Cambria"/>
          <w:color w:val="000000" w:themeColor="text1"/>
          <w:lang w:val="es-ES"/>
        </w:rPr>
        <w:t>n</w:t>
      </w:r>
      <w:r w:rsidR="00391C23" w:rsidRPr="00616692">
        <w:rPr>
          <w:rFonts w:eastAsia="Cambria" w:cs="Cambria"/>
          <w:color w:val="000000" w:themeColor="text1"/>
          <w:lang w:val="es-ES"/>
        </w:rPr>
        <w:t xml:space="preserve"> con las autoridades locales. El MFC se actualiza a través de la sistematización de registros de inhumación y exhumación proporcionados por los panteones. </w:t>
      </w:r>
      <w:r w:rsidR="008C2DA5" w:rsidRPr="00616692">
        <w:rPr>
          <w:rFonts w:eastAsia="Cambria" w:cs="Cambria"/>
          <w:color w:val="000000" w:themeColor="text1"/>
          <w:lang w:val="es-ES"/>
        </w:rPr>
        <w:t>El</w:t>
      </w:r>
      <w:r w:rsidRPr="00616692">
        <w:rPr>
          <w:rFonts w:eastAsia="Cambria" w:cs="Cambria"/>
          <w:color w:val="000000" w:themeColor="text1"/>
          <w:lang w:val="es-ES"/>
        </w:rPr>
        <w:t xml:space="preserve"> Estado informó que,</w:t>
      </w:r>
      <w:r w:rsidR="00391C23" w:rsidRPr="00616692">
        <w:rPr>
          <w:rFonts w:eastAsia="Cambria" w:cs="Cambria"/>
          <w:color w:val="000000" w:themeColor="text1"/>
          <w:lang w:val="es-ES"/>
        </w:rPr>
        <w:t xml:space="preserve"> </w:t>
      </w:r>
      <w:r w:rsidRPr="00616692">
        <w:rPr>
          <w:rFonts w:eastAsia="Cambria" w:cs="Cambria"/>
          <w:color w:val="000000" w:themeColor="text1"/>
          <w:lang w:val="es-ES"/>
        </w:rPr>
        <w:t>e</w:t>
      </w:r>
      <w:r w:rsidR="00391C23" w:rsidRPr="00616692">
        <w:rPr>
          <w:rFonts w:eastAsia="Cambria" w:cs="Cambria"/>
          <w:color w:val="000000" w:themeColor="text1"/>
          <w:lang w:val="es-ES"/>
        </w:rPr>
        <w:t>ntre septiembre de 2023 y julio de 2024, se</w:t>
      </w:r>
      <w:r w:rsidRPr="00616692">
        <w:rPr>
          <w:rFonts w:eastAsia="Cambria" w:cs="Cambria"/>
          <w:color w:val="000000" w:themeColor="text1"/>
          <w:lang w:val="es-ES"/>
        </w:rPr>
        <w:t xml:space="preserve"> han</w:t>
      </w:r>
      <w:r w:rsidR="00391C23" w:rsidRPr="00616692">
        <w:rPr>
          <w:rFonts w:eastAsia="Cambria" w:cs="Cambria"/>
          <w:color w:val="000000" w:themeColor="text1"/>
          <w:lang w:val="es-ES"/>
        </w:rPr>
        <w:t xml:space="preserve"> revisa</w:t>
      </w:r>
      <w:r w:rsidRPr="00616692">
        <w:rPr>
          <w:rFonts w:eastAsia="Cambria" w:cs="Cambria"/>
          <w:color w:val="000000" w:themeColor="text1"/>
          <w:lang w:val="es-ES"/>
        </w:rPr>
        <w:t xml:space="preserve">do </w:t>
      </w:r>
      <w:r w:rsidR="00391C23" w:rsidRPr="00616692">
        <w:rPr>
          <w:rFonts w:eastAsia="Cambria" w:cs="Cambria"/>
          <w:color w:val="000000" w:themeColor="text1"/>
          <w:lang w:val="es-ES"/>
        </w:rPr>
        <w:t>las fosas comunes de 41 panteones, sistematizando un total de 42</w:t>
      </w:r>
      <w:r w:rsidR="00CB6EE7" w:rsidRPr="00616692">
        <w:rPr>
          <w:rFonts w:eastAsia="Cambria" w:cs="Cambria"/>
          <w:color w:val="000000" w:themeColor="text1"/>
          <w:lang w:val="es-ES"/>
        </w:rPr>
        <w:t>.</w:t>
      </w:r>
      <w:r w:rsidR="00391C23" w:rsidRPr="00616692">
        <w:rPr>
          <w:rFonts w:eastAsia="Cambria" w:cs="Cambria"/>
          <w:color w:val="000000" w:themeColor="text1"/>
          <w:lang w:val="es-ES"/>
        </w:rPr>
        <w:t xml:space="preserve">445 inhumaciones. </w:t>
      </w:r>
      <w:r w:rsidR="00446F81" w:rsidRPr="00616692">
        <w:rPr>
          <w:rFonts w:eastAsia="Cambria" w:cs="Cambria"/>
          <w:color w:val="000000" w:themeColor="text1"/>
          <w:lang w:val="es-ES"/>
        </w:rPr>
        <w:t>El Estado reportó</w:t>
      </w:r>
      <w:r w:rsidR="00C26987" w:rsidRPr="00616692">
        <w:rPr>
          <w:rFonts w:eastAsia="Cambria" w:cs="Cambria"/>
          <w:color w:val="000000" w:themeColor="text1"/>
          <w:lang w:val="es-ES"/>
        </w:rPr>
        <w:t xml:space="preserve"> </w:t>
      </w:r>
      <w:r w:rsidR="00A85875" w:rsidRPr="00616692">
        <w:rPr>
          <w:rFonts w:eastAsia="Cambria" w:cs="Cambria"/>
          <w:color w:val="000000" w:themeColor="text1"/>
          <w:lang w:val="es-ES"/>
        </w:rPr>
        <w:t>el</w:t>
      </w:r>
      <w:r w:rsidR="00F31C10" w:rsidRPr="00616692">
        <w:rPr>
          <w:rFonts w:eastAsia="Cambria" w:cs="Cambria"/>
          <w:color w:val="000000" w:themeColor="text1"/>
          <w:lang w:val="es-ES"/>
        </w:rPr>
        <w:t xml:space="preserve"> </w:t>
      </w:r>
      <w:r w:rsidR="00391C23" w:rsidRPr="00616692">
        <w:rPr>
          <w:rFonts w:eastAsia="Cambria" w:cs="Cambria"/>
          <w:color w:val="000000" w:themeColor="text1"/>
          <w:lang w:val="es-ES"/>
        </w:rPr>
        <w:t>registr</w:t>
      </w:r>
      <w:r w:rsidRPr="00616692">
        <w:rPr>
          <w:rFonts w:eastAsia="Cambria" w:cs="Cambria"/>
          <w:color w:val="000000" w:themeColor="text1"/>
          <w:lang w:val="es-ES"/>
        </w:rPr>
        <w:t>o</w:t>
      </w:r>
      <w:r w:rsidR="00F31C10" w:rsidRPr="00616692">
        <w:rPr>
          <w:rFonts w:eastAsia="Cambria" w:cs="Cambria"/>
          <w:color w:val="000000" w:themeColor="text1"/>
          <w:lang w:val="es-ES"/>
        </w:rPr>
        <w:t xml:space="preserve"> de</w:t>
      </w:r>
      <w:r w:rsidR="00391C23" w:rsidRPr="00616692">
        <w:rPr>
          <w:rFonts w:eastAsia="Cambria" w:cs="Cambria"/>
          <w:color w:val="000000" w:themeColor="text1"/>
          <w:lang w:val="es-ES"/>
        </w:rPr>
        <w:t xml:space="preserve"> 1</w:t>
      </w:r>
      <w:r w:rsidR="00CB6EE7" w:rsidRPr="00616692">
        <w:rPr>
          <w:rFonts w:eastAsia="Cambria" w:cs="Cambria"/>
          <w:color w:val="000000" w:themeColor="text1"/>
          <w:lang w:val="es-ES"/>
        </w:rPr>
        <w:t>.</w:t>
      </w:r>
      <w:r w:rsidR="00391C23" w:rsidRPr="00616692">
        <w:rPr>
          <w:rFonts w:eastAsia="Cambria" w:cs="Cambria"/>
          <w:color w:val="000000" w:themeColor="text1"/>
          <w:lang w:val="es-ES"/>
        </w:rPr>
        <w:t xml:space="preserve">408 datos alternativos, como variaciones en nombres, fechas y folios. El Banco Nacional de Datos Forenses concentra las bases de datos de las </w:t>
      </w:r>
      <w:r w:rsidR="002C2079" w:rsidRPr="00616692">
        <w:rPr>
          <w:rFonts w:eastAsia="Cambria" w:cs="Cambria"/>
          <w:color w:val="000000" w:themeColor="text1"/>
          <w:lang w:val="es-ES"/>
        </w:rPr>
        <w:t>e</w:t>
      </w:r>
      <w:r w:rsidR="00391C23" w:rsidRPr="00616692">
        <w:rPr>
          <w:rFonts w:eastAsia="Cambria" w:cs="Cambria"/>
          <w:color w:val="000000" w:themeColor="text1"/>
          <w:lang w:val="es-ES"/>
        </w:rPr>
        <w:t xml:space="preserve">ntidades </w:t>
      </w:r>
      <w:r w:rsidR="002C2079" w:rsidRPr="00616692">
        <w:rPr>
          <w:rFonts w:eastAsia="Cambria" w:cs="Cambria"/>
          <w:color w:val="000000" w:themeColor="text1"/>
          <w:lang w:val="es-ES"/>
        </w:rPr>
        <w:t>f</w:t>
      </w:r>
      <w:r w:rsidR="00391C23" w:rsidRPr="00616692">
        <w:rPr>
          <w:rFonts w:eastAsia="Cambria" w:cs="Cambria"/>
          <w:color w:val="000000" w:themeColor="text1"/>
          <w:lang w:val="es-ES"/>
        </w:rPr>
        <w:t>ederativas y de la Federación; así como, otras bases de datos que t</w:t>
      </w:r>
      <w:r w:rsidR="009C75E1" w:rsidRPr="00616692">
        <w:rPr>
          <w:rFonts w:eastAsia="Cambria" w:cs="Cambria"/>
          <w:color w:val="000000" w:themeColor="text1"/>
          <w:lang w:val="es-ES"/>
        </w:rPr>
        <w:t>ienen</w:t>
      </w:r>
      <w:r w:rsidR="00391C23" w:rsidRPr="00616692">
        <w:rPr>
          <w:rFonts w:eastAsia="Cambria" w:cs="Cambria"/>
          <w:color w:val="000000" w:themeColor="text1"/>
          <w:lang w:val="es-ES"/>
        </w:rPr>
        <w:t xml:space="preserve"> información forense relevante para la búsqueda e identificación de personas desaparecidas y no localizadas. Con base en la Ley General, corresponde a la </w:t>
      </w:r>
      <w:r w:rsidR="00CB0E7A" w:rsidRPr="00616692">
        <w:rPr>
          <w:rFonts w:eastAsia="Cambria" w:cs="Cambria"/>
          <w:color w:val="000000" w:themeColor="text1"/>
          <w:lang w:val="es-ES"/>
        </w:rPr>
        <w:t>FGR</w:t>
      </w:r>
      <w:r w:rsidR="00391C23" w:rsidRPr="00616692">
        <w:rPr>
          <w:rFonts w:eastAsia="Cambria" w:cs="Cambria"/>
          <w:color w:val="000000" w:themeColor="text1"/>
          <w:lang w:val="es-ES"/>
        </w:rPr>
        <w:t xml:space="preserve"> coordinar la operación y centralizar la información del Banco Nacional de Datos Forenses, así como administrar el Registro Forense Federal</w:t>
      </w:r>
      <w:r w:rsidR="00377605" w:rsidRPr="00616692">
        <w:rPr>
          <w:rStyle w:val="FootnoteReference"/>
          <w:rFonts w:eastAsia="Cambria" w:cs="Cambria"/>
          <w:color w:val="000000" w:themeColor="text1"/>
          <w:lang w:val="es-ES"/>
        </w:rPr>
        <w:footnoteReference w:id="118"/>
      </w:r>
      <w:r w:rsidR="00391C23" w:rsidRPr="00616692">
        <w:rPr>
          <w:rFonts w:eastAsia="Cambria" w:cs="Cambria"/>
          <w:color w:val="000000" w:themeColor="text1"/>
          <w:lang w:val="es-ES"/>
        </w:rPr>
        <w:t xml:space="preserve">. </w:t>
      </w:r>
      <w:r w:rsidR="0012383C" w:rsidRPr="00616692">
        <w:rPr>
          <w:rFonts w:eastAsia="Cambria" w:cs="Cambria"/>
          <w:color w:val="000000" w:themeColor="text1"/>
          <w:lang w:val="es-ES"/>
        </w:rPr>
        <w:t xml:space="preserve">En sus observaciones al presente Informe, el Estado agregó que </w:t>
      </w:r>
      <w:r w:rsidR="0012383C" w:rsidRPr="00616692">
        <w:rPr>
          <w:lang w:val="es-ES"/>
        </w:rPr>
        <w:t xml:space="preserve">la Agencia de Investigación Criminal (AIC) de la FGR forma parte del Plan Nacional de Exhumaciones, avanzando en la creación de protocolos para exhumaciones controladas, con el objetivo de mejorar la identificación de </w:t>
      </w:r>
      <w:r w:rsidR="0012383C" w:rsidRPr="00616692">
        <w:rPr>
          <w:rFonts w:eastAsia="Cambria" w:cs="Cambria"/>
          <w:color w:val="000000" w:themeColor="text1"/>
          <w:lang w:val="es-ES"/>
        </w:rPr>
        <w:t>personas fallecidas en fosas comunes y clandestinas.</w:t>
      </w:r>
      <w:r w:rsidR="0012383C" w:rsidRPr="00616692">
        <w:rPr>
          <w:lang w:val="es-ES"/>
        </w:rPr>
        <w:t xml:space="preserve"> </w:t>
      </w:r>
      <w:r w:rsidR="0012383C" w:rsidRPr="00616692">
        <w:rPr>
          <w:rFonts w:eastAsia="Cambria" w:cs="Cambria"/>
          <w:color w:val="000000" w:themeColor="text1"/>
          <w:lang w:val="es-ES"/>
        </w:rPr>
        <w:t>La AIC ha trabajado en la consolidación del Registro Nacional de Fosas Comunes y Clandestinas (RENAFO), el cual recopila información de cementerios municipales y hallazgos de fosas clandestinas identificadas por instituciones de procuración de justicia</w:t>
      </w:r>
      <w:r w:rsidR="0012383C" w:rsidRPr="00616692">
        <w:rPr>
          <w:rStyle w:val="FootnoteReference"/>
          <w:rFonts w:eastAsia="Cambria" w:cs="Cambria"/>
          <w:color w:val="000000" w:themeColor="text1"/>
          <w:lang w:val="es-ES"/>
        </w:rPr>
        <w:footnoteReference w:id="119"/>
      </w:r>
      <w:r w:rsidR="0012383C" w:rsidRPr="00616692">
        <w:rPr>
          <w:rFonts w:eastAsia="Cambria" w:cs="Cambria"/>
          <w:color w:val="000000" w:themeColor="text1"/>
          <w:lang w:val="es-ES"/>
        </w:rPr>
        <w:t>.</w:t>
      </w:r>
    </w:p>
    <w:p w14:paraId="4B7CE728" w14:textId="0168EBF7" w:rsidR="00244B57" w:rsidRPr="00FA506F" w:rsidRDefault="00454AE0" w:rsidP="00B80A67">
      <w:pPr>
        <w:pStyle w:val="IAPrrafo"/>
        <w:numPr>
          <w:ilvl w:val="0"/>
          <w:numId w:val="4"/>
        </w:numPr>
        <w:tabs>
          <w:tab w:val="num" w:pos="720"/>
        </w:tabs>
        <w:ind w:firstLine="720"/>
        <w:rPr>
          <w:rFonts w:eastAsia="Cambria" w:cs="Cambria"/>
          <w:color w:val="000000" w:themeColor="text1"/>
          <w:lang w:val="es-ES"/>
        </w:rPr>
      </w:pPr>
      <w:r w:rsidRPr="00616692">
        <w:rPr>
          <w:rFonts w:eastAsia="Cambria" w:cs="Cambria"/>
          <w:color w:val="000000" w:themeColor="text1"/>
          <w:lang w:val="es-ES"/>
        </w:rPr>
        <w:t>Las</w:t>
      </w:r>
      <w:r w:rsidR="00377605" w:rsidRPr="00616692">
        <w:rPr>
          <w:rFonts w:eastAsia="Cambria" w:cs="Cambria"/>
          <w:color w:val="000000" w:themeColor="text1"/>
          <w:lang w:val="es-ES"/>
        </w:rPr>
        <w:t xml:space="preserve"> organizaciones de la sociedad civil </w:t>
      </w:r>
      <w:r w:rsidR="002C2079" w:rsidRPr="00616692">
        <w:rPr>
          <w:rFonts w:eastAsia="Cambria" w:cs="Cambria"/>
          <w:color w:val="000000" w:themeColor="text1"/>
          <w:lang w:val="es-ES"/>
        </w:rPr>
        <w:t xml:space="preserve">a su turno reportaron </w:t>
      </w:r>
      <w:r w:rsidR="00377605" w:rsidRPr="00616692">
        <w:rPr>
          <w:rFonts w:eastAsia="Cambria" w:cs="Cambria"/>
          <w:color w:val="000000" w:themeColor="text1"/>
          <w:lang w:val="es-ES"/>
        </w:rPr>
        <w:t>que</w:t>
      </w:r>
      <w:r w:rsidR="00516972" w:rsidRPr="00616692">
        <w:rPr>
          <w:rFonts w:eastAsia="Cambria" w:cs="Cambria"/>
          <w:color w:val="000000" w:themeColor="text1"/>
          <w:lang w:val="es-ES"/>
        </w:rPr>
        <w:t>,</w:t>
      </w:r>
      <w:r w:rsidR="00377605" w:rsidRPr="00616692">
        <w:rPr>
          <w:rFonts w:eastAsia="Cambria" w:cs="Cambria"/>
          <w:color w:val="000000" w:themeColor="text1"/>
          <w:lang w:val="es-ES"/>
        </w:rPr>
        <w:t xml:space="preserve"> a la fecha</w:t>
      </w:r>
      <w:r w:rsidR="00516972" w:rsidRPr="00616692">
        <w:rPr>
          <w:rFonts w:eastAsia="Cambria" w:cs="Cambria"/>
          <w:color w:val="000000" w:themeColor="text1"/>
          <w:lang w:val="es-ES"/>
        </w:rPr>
        <w:t>,</w:t>
      </w:r>
      <w:r w:rsidR="00377605" w:rsidRPr="00616692">
        <w:rPr>
          <w:rFonts w:eastAsia="Cambria" w:cs="Cambria"/>
          <w:color w:val="000000" w:themeColor="text1"/>
          <w:lang w:val="es-ES"/>
        </w:rPr>
        <w:t xml:space="preserve"> no se habría </w:t>
      </w:r>
      <w:r w:rsidR="00244B57" w:rsidRPr="00616692">
        <w:rPr>
          <w:rFonts w:eastAsia="Cambria" w:cs="Cambria"/>
          <w:color w:val="000000" w:themeColor="text1"/>
          <w:lang w:val="es-ES"/>
        </w:rPr>
        <w:t xml:space="preserve">consolidado el Registro </w:t>
      </w:r>
      <w:r w:rsidR="00522951" w:rsidRPr="00616692">
        <w:rPr>
          <w:rFonts w:eastAsia="Cambria" w:cs="Cambria"/>
          <w:color w:val="000000" w:themeColor="text1"/>
          <w:lang w:val="es-ES"/>
        </w:rPr>
        <w:t xml:space="preserve">Nacional de Fosas Comunes y de Fosas Clandestinas, </w:t>
      </w:r>
      <w:r w:rsidR="00244B57" w:rsidRPr="00616692">
        <w:rPr>
          <w:rFonts w:eastAsia="Cambria" w:cs="Cambria"/>
          <w:color w:val="000000" w:themeColor="text1"/>
          <w:lang w:val="es-ES"/>
        </w:rPr>
        <w:t xml:space="preserve">estipulado en </w:t>
      </w:r>
      <w:r w:rsidR="00522951" w:rsidRPr="00616692">
        <w:rPr>
          <w:rFonts w:eastAsia="Cambria" w:cs="Cambria"/>
          <w:color w:val="000000" w:themeColor="text1"/>
          <w:lang w:val="es-ES"/>
        </w:rPr>
        <w:t xml:space="preserve">el art. 4, párrafo XXII de </w:t>
      </w:r>
      <w:r w:rsidR="00244B57" w:rsidRPr="00616692">
        <w:rPr>
          <w:rFonts w:eastAsia="Cambria" w:cs="Cambria"/>
          <w:color w:val="000000" w:themeColor="text1"/>
          <w:lang w:val="es-ES"/>
        </w:rPr>
        <w:t xml:space="preserve">la </w:t>
      </w:r>
      <w:r w:rsidR="00290A05" w:rsidRPr="00616692">
        <w:rPr>
          <w:rFonts w:eastAsia="Cambria" w:cs="Cambria"/>
          <w:color w:val="000000" w:themeColor="text1"/>
          <w:lang w:val="es-ES"/>
        </w:rPr>
        <w:t>Ley General de Desaparición</w:t>
      </w:r>
      <w:r w:rsidR="00244B57" w:rsidRPr="00616692">
        <w:rPr>
          <w:rFonts w:eastAsia="Cambria" w:cs="Cambria"/>
          <w:color w:val="000000" w:themeColor="text1"/>
          <w:lang w:val="es-ES"/>
        </w:rPr>
        <w:t>,</w:t>
      </w:r>
      <w:r w:rsidR="00E966B1" w:rsidRPr="00616692">
        <w:rPr>
          <w:rFonts w:eastAsia="Cambria" w:cs="Cambria"/>
          <w:color w:val="000000" w:themeColor="text1"/>
          <w:lang w:val="es-ES"/>
        </w:rPr>
        <w:t xml:space="preserve"> </w:t>
      </w:r>
      <w:r w:rsidR="00244B57" w:rsidRPr="00616692">
        <w:rPr>
          <w:rFonts w:eastAsia="Cambria" w:cs="Cambria"/>
          <w:color w:val="000000" w:themeColor="text1"/>
          <w:lang w:val="es-ES"/>
        </w:rPr>
        <w:t xml:space="preserve">que debe concentrar la información </w:t>
      </w:r>
      <w:r w:rsidRPr="00616692">
        <w:rPr>
          <w:rFonts w:eastAsia="Cambria" w:cs="Cambria"/>
          <w:color w:val="000000" w:themeColor="text1"/>
          <w:lang w:val="es-ES"/>
        </w:rPr>
        <w:t>en relación con</w:t>
      </w:r>
      <w:r w:rsidR="00244B57" w:rsidRPr="00616692">
        <w:rPr>
          <w:rFonts w:eastAsia="Cambria" w:cs="Cambria"/>
          <w:color w:val="000000" w:themeColor="text1"/>
          <w:lang w:val="es-ES"/>
        </w:rPr>
        <w:t xml:space="preserve"> las fosas comunes que</w:t>
      </w:r>
      <w:r w:rsidR="00377605" w:rsidRPr="00616692">
        <w:rPr>
          <w:rFonts w:eastAsia="Cambria" w:cs="Cambria"/>
          <w:color w:val="000000" w:themeColor="text1"/>
          <w:lang w:val="es-ES"/>
        </w:rPr>
        <w:t xml:space="preserve"> </w:t>
      </w:r>
      <w:r w:rsidR="00244B57" w:rsidRPr="00616692">
        <w:rPr>
          <w:rFonts w:eastAsia="Cambria" w:cs="Cambria"/>
          <w:color w:val="000000" w:themeColor="text1"/>
          <w:lang w:val="es-ES"/>
        </w:rPr>
        <w:t>existen en los cementerios y panteones de todos los municipios del país, así como de las fosas clandestinas que</w:t>
      </w:r>
      <w:r w:rsidR="00377605" w:rsidRPr="00616692">
        <w:rPr>
          <w:rFonts w:eastAsia="Cambria" w:cs="Cambria"/>
          <w:color w:val="000000" w:themeColor="text1"/>
          <w:lang w:val="es-ES"/>
        </w:rPr>
        <w:t xml:space="preserve"> </w:t>
      </w:r>
      <w:r w:rsidR="00244B57" w:rsidRPr="00616692">
        <w:rPr>
          <w:rFonts w:eastAsia="Cambria" w:cs="Cambria"/>
          <w:color w:val="000000" w:themeColor="text1"/>
          <w:lang w:val="es-ES"/>
        </w:rPr>
        <w:t xml:space="preserve">la Fiscalía y las </w:t>
      </w:r>
      <w:r w:rsidR="002C2079" w:rsidRPr="00616692">
        <w:rPr>
          <w:rFonts w:eastAsia="Cambria" w:cs="Cambria"/>
          <w:color w:val="000000" w:themeColor="text1"/>
          <w:lang w:val="es-ES"/>
        </w:rPr>
        <w:t>f</w:t>
      </w:r>
      <w:r w:rsidR="00244B57" w:rsidRPr="00616692">
        <w:rPr>
          <w:rFonts w:eastAsia="Cambria" w:cs="Cambria"/>
          <w:color w:val="000000" w:themeColor="text1"/>
          <w:lang w:val="es-ES"/>
        </w:rPr>
        <w:t xml:space="preserve">iscalías y </w:t>
      </w:r>
      <w:r w:rsidR="002C2079" w:rsidRPr="00616692">
        <w:rPr>
          <w:rFonts w:eastAsia="Cambria" w:cs="Cambria"/>
          <w:color w:val="000000" w:themeColor="text1"/>
          <w:lang w:val="es-ES"/>
        </w:rPr>
        <w:t>p</w:t>
      </w:r>
      <w:r w:rsidR="00244B57" w:rsidRPr="00616692">
        <w:rPr>
          <w:rFonts w:eastAsia="Cambria" w:cs="Cambria"/>
          <w:color w:val="000000" w:themeColor="text1"/>
          <w:lang w:val="es-ES"/>
        </w:rPr>
        <w:t>rocuradurías Locales localicen</w:t>
      </w:r>
      <w:r w:rsidR="001E0D4C" w:rsidRPr="00616692">
        <w:rPr>
          <w:rFonts w:eastAsia="Cambria" w:cs="Cambria"/>
          <w:color w:val="000000" w:themeColor="text1"/>
          <w:lang w:val="es-ES"/>
        </w:rPr>
        <w:t xml:space="preserve">. La ley prevé </w:t>
      </w:r>
      <w:r w:rsidR="00244B57" w:rsidRPr="00616692">
        <w:rPr>
          <w:rFonts w:eastAsia="Cambria" w:cs="Cambria"/>
          <w:color w:val="000000" w:themeColor="text1"/>
          <w:lang w:val="es-ES"/>
        </w:rPr>
        <w:t>en su artículo 135 que se debe de crear</w:t>
      </w:r>
      <w:r w:rsidR="00377605" w:rsidRPr="00616692">
        <w:rPr>
          <w:rFonts w:eastAsia="Cambria" w:cs="Cambria"/>
          <w:color w:val="000000" w:themeColor="text1"/>
          <w:lang w:val="es-ES"/>
        </w:rPr>
        <w:t xml:space="preserve"> </w:t>
      </w:r>
      <w:r w:rsidR="00244B57" w:rsidRPr="00616692">
        <w:rPr>
          <w:rFonts w:eastAsia="Cambria" w:cs="Cambria"/>
          <w:color w:val="000000" w:themeColor="text1"/>
          <w:lang w:val="es-ES"/>
        </w:rPr>
        <w:t>un Programa Nacional de</w:t>
      </w:r>
      <w:r w:rsidR="00244B57" w:rsidRPr="00FA506F">
        <w:rPr>
          <w:rFonts w:eastAsia="Cambria" w:cs="Cambria"/>
          <w:color w:val="000000" w:themeColor="text1"/>
          <w:lang w:val="es-ES"/>
        </w:rPr>
        <w:t xml:space="preserve"> Exhumaciones e Identificación Forense, a cargo de la Fiscalía</w:t>
      </w:r>
      <w:r w:rsidR="002C2079" w:rsidRPr="00FA506F">
        <w:rPr>
          <w:rFonts w:eastAsia="Cambria" w:cs="Cambria"/>
          <w:color w:val="000000" w:themeColor="text1"/>
          <w:lang w:val="es-ES"/>
        </w:rPr>
        <w:t xml:space="preserve"> General</w:t>
      </w:r>
      <w:r w:rsidR="00244B57" w:rsidRPr="00FA506F">
        <w:rPr>
          <w:rFonts w:eastAsia="Cambria" w:cs="Cambria"/>
          <w:color w:val="000000" w:themeColor="text1"/>
          <w:lang w:val="es-ES"/>
        </w:rPr>
        <w:t>, que deberá contener,</w:t>
      </w:r>
      <w:r w:rsidR="00377605" w:rsidRPr="00FA506F">
        <w:rPr>
          <w:rFonts w:eastAsia="Cambria" w:cs="Cambria"/>
          <w:color w:val="000000" w:themeColor="text1"/>
          <w:lang w:val="es-ES"/>
        </w:rPr>
        <w:t xml:space="preserve"> </w:t>
      </w:r>
      <w:r w:rsidR="00244B57" w:rsidRPr="00FA506F">
        <w:rPr>
          <w:rFonts w:eastAsia="Cambria" w:cs="Cambria"/>
          <w:color w:val="000000" w:themeColor="text1"/>
          <w:lang w:val="es-ES"/>
        </w:rPr>
        <w:t>como mínimo, el listado de todos los panteones y cementerios del país, así como información sobre el número de</w:t>
      </w:r>
      <w:r w:rsidR="00377605" w:rsidRPr="00FA506F">
        <w:rPr>
          <w:rFonts w:eastAsia="Cambria" w:cs="Cambria"/>
          <w:color w:val="000000" w:themeColor="text1"/>
          <w:lang w:val="es-ES"/>
        </w:rPr>
        <w:t xml:space="preserve"> </w:t>
      </w:r>
      <w:r w:rsidR="00244B57" w:rsidRPr="00FA506F">
        <w:rPr>
          <w:rFonts w:eastAsia="Cambria" w:cs="Cambria"/>
          <w:color w:val="000000" w:themeColor="text1"/>
          <w:lang w:val="es-ES"/>
        </w:rPr>
        <w:t>cuerpos sin identificar inhumados en cada uno y las circunstancias y contextos correspondientes. Sin embargo,</w:t>
      </w:r>
      <w:r w:rsidR="00377605" w:rsidRPr="00FA506F">
        <w:rPr>
          <w:rFonts w:eastAsia="Cambria" w:cs="Cambria"/>
          <w:color w:val="000000" w:themeColor="text1"/>
          <w:lang w:val="es-ES"/>
        </w:rPr>
        <w:t xml:space="preserve"> </w:t>
      </w:r>
      <w:r w:rsidR="00244B57" w:rsidRPr="00FA506F">
        <w:rPr>
          <w:rFonts w:eastAsia="Cambria" w:cs="Cambria"/>
          <w:color w:val="000000" w:themeColor="text1"/>
          <w:lang w:val="es-ES"/>
        </w:rPr>
        <w:t xml:space="preserve">de acuerdo </w:t>
      </w:r>
      <w:r w:rsidR="001E0D4C" w:rsidRPr="00FA506F">
        <w:rPr>
          <w:rFonts w:eastAsia="Cambria" w:cs="Cambria"/>
          <w:color w:val="000000" w:themeColor="text1"/>
          <w:lang w:val="es-ES"/>
        </w:rPr>
        <w:t>con</w:t>
      </w:r>
      <w:r w:rsidR="00244B57" w:rsidRPr="00FA506F">
        <w:rPr>
          <w:rFonts w:eastAsia="Cambria" w:cs="Cambria"/>
          <w:color w:val="000000" w:themeColor="text1"/>
          <w:lang w:val="es-ES"/>
        </w:rPr>
        <w:t xml:space="preserve"> la información remitida por la FGR, el Registro de Fosas Comunes,</w:t>
      </w:r>
      <w:r w:rsidR="00377605" w:rsidRPr="00FA506F">
        <w:rPr>
          <w:rFonts w:eastAsia="Cambria" w:cs="Cambria"/>
          <w:color w:val="000000" w:themeColor="text1"/>
          <w:lang w:val="es-ES"/>
        </w:rPr>
        <w:t xml:space="preserve"> </w:t>
      </w:r>
      <w:r w:rsidR="00244B57" w:rsidRPr="00FA506F">
        <w:rPr>
          <w:rFonts w:eastAsia="Cambria" w:cs="Cambria"/>
          <w:color w:val="000000" w:themeColor="text1"/>
          <w:lang w:val="es-ES"/>
        </w:rPr>
        <w:t xml:space="preserve">como está </w:t>
      </w:r>
      <w:r w:rsidR="00E96A3B" w:rsidRPr="00FA506F">
        <w:rPr>
          <w:rFonts w:eastAsia="Cambria" w:cs="Cambria"/>
          <w:color w:val="000000" w:themeColor="text1"/>
          <w:lang w:val="es-ES"/>
        </w:rPr>
        <w:t>regulado</w:t>
      </w:r>
      <w:r w:rsidR="00244B57" w:rsidRPr="00FA506F">
        <w:rPr>
          <w:rFonts w:eastAsia="Cambria" w:cs="Cambria"/>
          <w:color w:val="000000" w:themeColor="text1"/>
          <w:lang w:val="es-ES"/>
        </w:rPr>
        <w:t xml:space="preserve"> en la </w:t>
      </w:r>
      <w:r w:rsidR="00E96A3B" w:rsidRPr="00FA506F">
        <w:rPr>
          <w:rFonts w:eastAsia="Cambria" w:cs="Cambria"/>
          <w:color w:val="000000" w:themeColor="text1"/>
          <w:lang w:val="es-ES"/>
        </w:rPr>
        <w:t>l</w:t>
      </w:r>
      <w:r w:rsidR="00244B57" w:rsidRPr="00FA506F">
        <w:rPr>
          <w:rFonts w:eastAsia="Cambria" w:cs="Cambria"/>
          <w:color w:val="000000" w:themeColor="text1"/>
          <w:lang w:val="es-ES"/>
        </w:rPr>
        <w:t>ey, contin</w:t>
      </w:r>
      <w:r w:rsidR="00377605" w:rsidRPr="00FA506F">
        <w:rPr>
          <w:rFonts w:eastAsia="Cambria" w:cs="Cambria"/>
          <w:color w:val="000000" w:themeColor="text1"/>
          <w:lang w:val="es-ES"/>
        </w:rPr>
        <w:t>uaría</w:t>
      </w:r>
      <w:r w:rsidR="00244B57" w:rsidRPr="00FA506F">
        <w:rPr>
          <w:rFonts w:eastAsia="Cambria" w:cs="Cambria"/>
          <w:color w:val="000000" w:themeColor="text1"/>
          <w:lang w:val="es-ES"/>
        </w:rPr>
        <w:t xml:space="preserve"> sin existir</w:t>
      </w:r>
      <w:r w:rsidR="00377605" w:rsidRPr="00FA506F">
        <w:rPr>
          <w:rStyle w:val="FootnoteReference"/>
          <w:rFonts w:eastAsia="Cambria" w:cs="Cambria"/>
          <w:color w:val="000000" w:themeColor="text1"/>
          <w:lang w:val="es-ES"/>
        </w:rPr>
        <w:footnoteReference w:id="120"/>
      </w:r>
      <w:r w:rsidR="00244B57" w:rsidRPr="00FA506F">
        <w:rPr>
          <w:rFonts w:eastAsia="Cambria" w:cs="Cambria"/>
          <w:color w:val="000000" w:themeColor="text1"/>
          <w:lang w:val="es-ES"/>
        </w:rPr>
        <w:t>.</w:t>
      </w:r>
    </w:p>
    <w:p w14:paraId="32AFF43A" w14:textId="77777777" w:rsidR="00F55FC1" w:rsidRPr="00FA506F" w:rsidRDefault="00F55FC1" w:rsidP="005B2614">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233924CC"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5CDC9CB0" w14:textId="440633C8" w:rsidR="00377605" w:rsidRPr="00FA506F" w:rsidRDefault="00377605" w:rsidP="005B2614">
      <w:pPr>
        <w:pStyle w:val="IAPrrafo"/>
        <w:numPr>
          <w:ilvl w:val="0"/>
          <w:numId w:val="4"/>
        </w:numPr>
        <w:tabs>
          <w:tab w:val="num" w:pos="720"/>
        </w:tabs>
        <w:ind w:firstLine="720"/>
        <w:rPr>
          <w:rFonts w:eastAsia="Cambria" w:cs="Cambria"/>
          <w:color w:val="000000" w:themeColor="text1"/>
          <w:lang w:val="es-ES"/>
        </w:rPr>
      </w:pPr>
      <w:r w:rsidRPr="00FA506F">
        <w:rPr>
          <w:lang w:val="es-ES"/>
        </w:rPr>
        <w:t xml:space="preserve">La CIDH reitera lo expresado en 2023, en cuanto a que se </w:t>
      </w:r>
      <w:r w:rsidR="001C5FA7" w:rsidRPr="00FA506F">
        <w:rPr>
          <w:rFonts w:eastAsia="Cambria" w:cs="Cambria"/>
          <w:color w:val="000000" w:themeColor="text1"/>
          <w:lang w:val="es-ES"/>
        </w:rPr>
        <w:t xml:space="preserve">reconoce </w:t>
      </w:r>
      <w:r w:rsidRPr="00FA506F">
        <w:rPr>
          <w:rFonts w:eastAsia="Cambria" w:cs="Cambria"/>
          <w:color w:val="000000" w:themeColor="text1"/>
          <w:lang w:val="es-ES"/>
        </w:rPr>
        <w:t>que se han hecho esfuerzos institucionales por parte del Estado mexicano para atender la crisis de desaparición de personas e identificación humana</w:t>
      </w:r>
      <w:r w:rsidR="00E278A8" w:rsidRPr="00FA506F">
        <w:rPr>
          <w:rFonts w:eastAsia="Cambria" w:cs="Cambria"/>
          <w:color w:val="000000" w:themeColor="text1"/>
          <w:lang w:val="es-ES"/>
        </w:rPr>
        <w:t>,</w:t>
      </w:r>
      <w:r w:rsidRPr="00FA506F">
        <w:rPr>
          <w:rFonts w:eastAsia="Cambria" w:cs="Cambria"/>
          <w:color w:val="000000" w:themeColor="text1"/>
          <w:lang w:val="es-ES"/>
        </w:rPr>
        <w:t xml:space="preserve"> que ha</w:t>
      </w:r>
      <w:r w:rsidR="00E278A8" w:rsidRPr="00FA506F">
        <w:rPr>
          <w:rFonts w:eastAsia="Cambria" w:cs="Cambria"/>
          <w:color w:val="000000" w:themeColor="text1"/>
          <w:lang w:val="es-ES"/>
        </w:rPr>
        <w:t>n</w:t>
      </w:r>
      <w:r w:rsidRPr="00FA506F">
        <w:rPr>
          <w:rFonts w:eastAsia="Cambria" w:cs="Cambria"/>
          <w:color w:val="000000" w:themeColor="text1"/>
          <w:lang w:val="es-ES"/>
        </w:rPr>
        <w:t xml:space="preserve"> incluido la puesta en marcha del BNDF y el RENAPEFA</w:t>
      </w:r>
      <w:r w:rsidR="00E278A8" w:rsidRPr="00FA506F">
        <w:rPr>
          <w:rFonts w:eastAsia="Cambria" w:cs="Cambria"/>
          <w:color w:val="000000" w:themeColor="text1"/>
          <w:lang w:val="es-ES"/>
        </w:rPr>
        <w:t xml:space="preserve">. </w:t>
      </w:r>
      <w:r w:rsidR="006B4F48" w:rsidRPr="00FA506F">
        <w:rPr>
          <w:rFonts w:eastAsia="Cambria" w:cs="Cambria"/>
          <w:color w:val="000000" w:themeColor="text1"/>
          <w:lang w:val="es-ES"/>
        </w:rPr>
        <w:t>La Comisión</w:t>
      </w:r>
      <w:r w:rsidR="00E278A8" w:rsidRPr="00FA506F">
        <w:rPr>
          <w:rFonts w:eastAsia="Cambria" w:cs="Cambria"/>
          <w:color w:val="000000" w:themeColor="text1"/>
          <w:lang w:val="es-ES"/>
        </w:rPr>
        <w:t xml:space="preserve"> destaca positivamente </w:t>
      </w:r>
      <w:r w:rsidRPr="00FA506F">
        <w:rPr>
          <w:rFonts w:eastAsia="Cambria" w:cs="Cambria"/>
          <w:color w:val="000000" w:themeColor="text1"/>
          <w:lang w:val="es-ES"/>
        </w:rPr>
        <w:t xml:space="preserve">que </w:t>
      </w:r>
      <w:r w:rsidR="00E278A8" w:rsidRPr="00FA506F">
        <w:rPr>
          <w:rFonts w:eastAsia="Cambria" w:cs="Cambria"/>
          <w:color w:val="000000" w:themeColor="text1"/>
          <w:lang w:val="es-ES"/>
        </w:rPr>
        <w:t xml:space="preserve">se </w:t>
      </w:r>
      <w:r w:rsidRPr="00FA506F">
        <w:rPr>
          <w:rFonts w:eastAsia="Cambria" w:cs="Cambria"/>
          <w:color w:val="000000" w:themeColor="text1"/>
          <w:lang w:val="es-ES"/>
        </w:rPr>
        <w:t xml:space="preserve">habría iniciado la implementación gradual del RENAFO. Sin embargo, la CIDH </w:t>
      </w:r>
      <w:r w:rsidR="00E278A8" w:rsidRPr="00FA506F">
        <w:rPr>
          <w:rFonts w:eastAsia="Cambria" w:cs="Cambria"/>
          <w:color w:val="000000" w:themeColor="text1"/>
          <w:lang w:val="es-ES"/>
        </w:rPr>
        <w:t xml:space="preserve">vuelve a observar </w:t>
      </w:r>
      <w:r w:rsidRPr="00FA506F">
        <w:rPr>
          <w:rFonts w:eastAsia="Cambria" w:cs="Cambria"/>
          <w:color w:val="000000" w:themeColor="text1"/>
          <w:lang w:val="es-ES"/>
        </w:rPr>
        <w:t xml:space="preserve">una falta de coordinación entre autoridades. </w:t>
      </w:r>
      <w:r w:rsidR="008C2DA5" w:rsidRPr="00FA506F">
        <w:rPr>
          <w:rFonts w:eastAsia="Cambria" w:cs="Cambria"/>
          <w:color w:val="000000" w:themeColor="text1"/>
          <w:lang w:val="es-ES"/>
        </w:rPr>
        <w:t>L</w:t>
      </w:r>
      <w:r w:rsidRPr="00FA506F">
        <w:rPr>
          <w:rFonts w:eastAsia="Cambria" w:cs="Cambria"/>
          <w:color w:val="000000" w:themeColor="text1"/>
          <w:lang w:val="es-ES"/>
        </w:rPr>
        <w:t>lama la atención a la Comisión que</w:t>
      </w:r>
      <w:r w:rsidR="00E278A8" w:rsidRPr="00FA506F">
        <w:rPr>
          <w:rFonts w:eastAsia="Cambria" w:cs="Cambria"/>
          <w:color w:val="000000" w:themeColor="text1"/>
          <w:lang w:val="es-ES"/>
        </w:rPr>
        <w:t>,</w:t>
      </w:r>
      <w:r w:rsidRPr="00FA506F">
        <w:rPr>
          <w:rFonts w:eastAsia="Cambria" w:cs="Cambria"/>
          <w:color w:val="000000" w:themeColor="text1"/>
          <w:lang w:val="es-ES"/>
        </w:rPr>
        <w:t xml:space="preserve"> al igual que en la recomendación 14, </w:t>
      </w:r>
      <w:r w:rsidR="002109D3" w:rsidRPr="00FA506F">
        <w:rPr>
          <w:rFonts w:eastAsia="Cambria" w:cs="Cambria"/>
          <w:color w:val="000000" w:themeColor="text1"/>
          <w:lang w:val="es-ES"/>
        </w:rPr>
        <w:t>aunque la ley establece como autoridad competente a la FGR</w:t>
      </w:r>
      <w:r w:rsidR="00E4482C" w:rsidRPr="00FA506F">
        <w:rPr>
          <w:rFonts w:eastAsia="Cambria" w:cs="Cambria"/>
          <w:color w:val="000000" w:themeColor="text1"/>
          <w:lang w:val="es-ES"/>
        </w:rPr>
        <w:t xml:space="preserve"> —por las características de sus competencias y facultades de investigación—</w:t>
      </w:r>
      <w:r w:rsidR="002109D3" w:rsidRPr="00FA506F">
        <w:rPr>
          <w:rFonts w:eastAsia="Cambria" w:cs="Cambria"/>
          <w:color w:val="000000" w:themeColor="text1"/>
          <w:lang w:val="es-ES"/>
        </w:rPr>
        <w:t>, esta</w:t>
      </w:r>
      <w:r w:rsidR="00125EAF" w:rsidRPr="00FA506F">
        <w:rPr>
          <w:rFonts w:eastAsia="Cambria" w:cs="Cambria"/>
          <w:color w:val="000000" w:themeColor="text1"/>
          <w:lang w:val="es-ES"/>
        </w:rPr>
        <w:t xml:space="preserve">s iniciativas </w:t>
      </w:r>
      <w:r w:rsidRPr="00FA506F">
        <w:rPr>
          <w:rFonts w:eastAsia="Cambria" w:cs="Cambria"/>
          <w:color w:val="000000" w:themeColor="text1"/>
          <w:lang w:val="es-ES"/>
        </w:rPr>
        <w:t>estarían siendo atendidas por otro</w:t>
      </w:r>
      <w:r w:rsidR="00A35551" w:rsidRPr="00FA506F">
        <w:rPr>
          <w:rFonts w:eastAsia="Cambria" w:cs="Cambria"/>
          <w:color w:val="000000" w:themeColor="text1"/>
          <w:lang w:val="es-ES"/>
        </w:rPr>
        <w:t>s</w:t>
      </w:r>
      <w:r w:rsidRPr="00FA506F">
        <w:rPr>
          <w:rFonts w:eastAsia="Cambria" w:cs="Cambria"/>
          <w:color w:val="000000" w:themeColor="text1"/>
          <w:lang w:val="es-ES"/>
        </w:rPr>
        <w:t xml:space="preserve"> ente</w:t>
      </w:r>
      <w:r w:rsidR="00A35551" w:rsidRPr="00FA506F">
        <w:rPr>
          <w:rFonts w:eastAsia="Cambria" w:cs="Cambria"/>
          <w:color w:val="000000" w:themeColor="text1"/>
          <w:lang w:val="es-ES"/>
        </w:rPr>
        <w:t>s</w:t>
      </w:r>
      <w:r w:rsidRPr="00FA506F">
        <w:rPr>
          <w:rFonts w:eastAsia="Cambria" w:cs="Cambria"/>
          <w:color w:val="000000" w:themeColor="text1"/>
          <w:lang w:val="es-ES"/>
        </w:rPr>
        <w:t xml:space="preserve"> estatal</w:t>
      </w:r>
      <w:r w:rsidR="00A35551" w:rsidRPr="00FA506F">
        <w:rPr>
          <w:rFonts w:eastAsia="Cambria" w:cs="Cambria"/>
          <w:color w:val="000000" w:themeColor="text1"/>
          <w:lang w:val="es-ES"/>
        </w:rPr>
        <w:t xml:space="preserve">es que </w:t>
      </w:r>
      <w:r w:rsidR="002A11F1" w:rsidRPr="00FA506F">
        <w:rPr>
          <w:rFonts w:eastAsia="Cambria" w:cs="Cambria"/>
          <w:color w:val="000000" w:themeColor="text1"/>
          <w:lang w:val="es-ES"/>
        </w:rPr>
        <w:t>carecen de las mismas atribuciones</w:t>
      </w:r>
      <w:r w:rsidRPr="00FA506F">
        <w:rPr>
          <w:rFonts w:eastAsia="Cambria" w:cs="Cambria"/>
          <w:color w:val="000000" w:themeColor="text1"/>
          <w:lang w:val="es-ES"/>
        </w:rPr>
        <w:t>. En ese sentido, si bien, se valora</w:t>
      </w:r>
      <w:r w:rsidR="002C2079" w:rsidRPr="00FA506F">
        <w:rPr>
          <w:rFonts w:eastAsia="Cambria" w:cs="Cambria"/>
          <w:color w:val="000000" w:themeColor="text1"/>
          <w:lang w:val="es-ES"/>
        </w:rPr>
        <w:t>n</w:t>
      </w:r>
      <w:r w:rsidRPr="00FA506F">
        <w:rPr>
          <w:rFonts w:eastAsia="Cambria" w:cs="Cambria"/>
          <w:color w:val="000000" w:themeColor="text1"/>
          <w:lang w:val="es-ES"/>
        </w:rPr>
        <w:t xml:space="preserve"> de forma positiva las acciones implementadas, </w:t>
      </w:r>
      <w:r w:rsidR="00CF5B98" w:rsidRPr="00FA506F">
        <w:rPr>
          <w:rFonts w:eastAsia="Cambria" w:cs="Cambria"/>
          <w:color w:val="000000" w:themeColor="text1"/>
          <w:lang w:val="es-ES"/>
        </w:rPr>
        <w:t xml:space="preserve">la CIDH mantiene esta recomendación en </w:t>
      </w:r>
      <w:r w:rsidR="00CF5B98" w:rsidRPr="00FA506F">
        <w:rPr>
          <w:rFonts w:eastAsia="Cambria" w:cs="Cambria"/>
          <w:b/>
          <w:bCs/>
          <w:color w:val="000000" w:themeColor="text1"/>
          <w:lang w:val="es-ES"/>
        </w:rPr>
        <w:t>cumplimiento parcial.</w:t>
      </w:r>
    </w:p>
    <w:p w14:paraId="0BBDE2C8" w14:textId="77777777" w:rsidR="00F55FC1" w:rsidRPr="00FA506F" w:rsidRDefault="00F55FC1" w:rsidP="005B2614">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0EB1C71C"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5B7ECF91" w14:textId="31F7C55E" w:rsidR="00CF5B98" w:rsidRPr="00FA506F" w:rsidRDefault="00DA4A33" w:rsidP="00B80A67">
      <w:pPr>
        <w:pStyle w:val="IAPrrafo"/>
        <w:numPr>
          <w:ilvl w:val="0"/>
          <w:numId w:val="4"/>
        </w:numPr>
        <w:tabs>
          <w:tab w:val="num" w:pos="720"/>
        </w:tabs>
        <w:ind w:firstLine="720"/>
        <w:rPr>
          <w:lang w:val="es-ES"/>
        </w:rPr>
      </w:pPr>
      <w:r w:rsidRPr="00FA506F">
        <w:rPr>
          <w:lang w:val="es-ES"/>
        </w:rPr>
        <w:t xml:space="preserve">Recordando </w:t>
      </w:r>
      <w:r w:rsidR="00CF5B98" w:rsidRPr="00FA506F">
        <w:rPr>
          <w:lang w:val="es-ES"/>
        </w:rPr>
        <w:t xml:space="preserve">la orientación de cumplimiento proporcionada en el último informe anual, la CIDH considera que, aunque se cuentan con diversas bases de datos reportadas por el Estado de restos no identificados, es necesario </w:t>
      </w:r>
      <w:r w:rsidR="00AB1D39" w:rsidRPr="00FA506F">
        <w:rPr>
          <w:lang w:val="es-ES"/>
        </w:rPr>
        <w:t xml:space="preserve">disponer de </w:t>
      </w:r>
      <w:r w:rsidR="00CF5B98" w:rsidRPr="00FA506F">
        <w:rPr>
          <w:lang w:val="es-ES"/>
        </w:rPr>
        <w:t>registros en los cuales la información dialogue de manera coordinada para impulsar el cruce de información</w:t>
      </w:r>
      <w:r w:rsidR="00AB1D39" w:rsidRPr="00FA506F">
        <w:rPr>
          <w:lang w:val="es-ES"/>
        </w:rPr>
        <w:t>;</w:t>
      </w:r>
      <w:r w:rsidR="00CF5B98" w:rsidRPr="00FA506F">
        <w:rPr>
          <w:lang w:val="es-ES"/>
        </w:rPr>
        <w:t xml:space="preserve"> </w:t>
      </w:r>
      <w:r w:rsidR="00AB1D39" w:rsidRPr="00FA506F">
        <w:rPr>
          <w:lang w:val="es-ES"/>
        </w:rPr>
        <w:t xml:space="preserve">y </w:t>
      </w:r>
      <w:r w:rsidR="00CF5B98" w:rsidRPr="00FA506F">
        <w:rPr>
          <w:lang w:val="es-ES"/>
        </w:rPr>
        <w:t>con una metodología objetiva y transparente que facilite el</w:t>
      </w:r>
      <w:r w:rsidR="0076529D" w:rsidRPr="00FA506F">
        <w:rPr>
          <w:lang w:val="es-ES"/>
        </w:rPr>
        <w:t xml:space="preserve"> </w:t>
      </w:r>
      <w:r w:rsidR="00CF5B98" w:rsidRPr="00FA506F">
        <w:rPr>
          <w:lang w:val="es-ES"/>
        </w:rPr>
        <w:t xml:space="preserve">acceso a la información de personas que buscan a sus familiares desaparecidos. </w:t>
      </w:r>
      <w:r w:rsidR="008C2DA5" w:rsidRPr="00FA506F">
        <w:rPr>
          <w:lang w:val="es-ES"/>
        </w:rPr>
        <w:t>La</w:t>
      </w:r>
      <w:r w:rsidR="00CF5B98" w:rsidRPr="00FA506F">
        <w:rPr>
          <w:lang w:val="es-ES"/>
        </w:rPr>
        <w:t xml:space="preserve"> Comisión invita al Estado a proporcionar información adicional sobre cómo las bases de datos que se han diseñado </w:t>
      </w:r>
      <w:r w:rsidR="008C2DA5" w:rsidRPr="00FA506F">
        <w:rPr>
          <w:lang w:val="es-ES"/>
        </w:rPr>
        <w:t>en relación con</w:t>
      </w:r>
      <w:r w:rsidR="00CF5B98" w:rsidRPr="00FA506F">
        <w:rPr>
          <w:lang w:val="es-ES"/>
        </w:rPr>
        <w:t xml:space="preserve"> la ubicación de restos de personas fallecidas en muertes violentas y de fosas clandestinas funcionan de manera efectiva</w:t>
      </w:r>
      <w:r w:rsidR="00B732CE" w:rsidRPr="00FA506F">
        <w:rPr>
          <w:rStyle w:val="FootnoteReference"/>
          <w:lang w:val="es-ES"/>
        </w:rPr>
        <w:footnoteReference w:id="121"/>
      </w:r>
      <w:r w:rsidR="00CF5B98" w:rsidRPr="00FA506F">
        <w:rPr>
          <w:lang w:val="es-ES"/>
        </w:rPr>
        <w:t xml:space="preserve">. </w:t>
      </w:r>
    </w:p>
    <w:p w14:paraId="35A19826" w14:textId="304094E0" w:rsidR="00F55FC1" w:rsidRPr="00FA506F" w:rsidRDefault="00F55FC1"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24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Crear una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institución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nacional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autónoma</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de servicios forenses que cuente con infraestructura adecuada, suficientes recursos humanos y financieros, y protocolos estandarizados aplicables a nivel nacional. </w:t>
      </w:r>
    </w:p>
    <w:p w14:paraId="7FBEC043" w14:textId="77777777" w:rsidR="00F55FC1" w:rsidRPr="00FA506F" w:rsidRDefault="00F55FC1" w:rsidP="00B80A67">
      <w:pPr>
        <w:jc w:val="both"/>
        <w:rPr>
          <w:rFonts w:ascii="Cambria" w:eastAsia="Cambria" w:hAnsi="Cambria" w:cs="Cambria"/>
          <w:i/>
          <w:iCs/>
          <w:color w:val="000000" w:themeColor="text1"/>
          <w:sz w:val="20"/>
          <w:szCs w:val="20"/>
          <w:lang w:val="es-ES"/>
        </w:rPr>
      </w:pPr>
    </w:p>
    <w:p w14:paraId="394610A5" w14:textId="6688058E" w:rsidR="00780614" w:rsidRPr="00FA506F" w:rsidRDefault="003D0EDD" w:rsidP="00B80A67">
      <w:pPr>
        <w:pStyle w:val="IAPrrafo"/>
        <w:numPr>
          <w:ilvl w:val="0"/>
          <w:numId w:val="4"/>
        </w:numPr>
        <w:tabs>
          <w:tab w:val="num" w:pos="720"/>
        </w:tabs>
        <w:ind w:firstLine="720"/>
        <w:rPr>
          <w:lang w:val="es-ES"/>
        </w:rPr>
      </w:pPr>
      <w:r w:rsidRPr="00FA506F">
        <w:rPr>
          <w:lang w:val="es-ES"/>
        </w:rPr>
        <w:t xml:space="preserve">Para </w:t>
      </w:r>
      <w:r w:rsidR="00F55FC1" w:rsidRPr="00FA506F">
        <w:rPr>
          <w:lang w:val="es-ES"/>
        </w:rPr>
        <w:t>el Capítulo V del Informe Anual de 202</w:t>
      </w:r>
      <w:r w:rsidR="78718D1D" w:rsidRPr="00FA506F">
        <w:rPr>
          <w:lang w:val="es-ES"/>
        </w:rPr>
        <w:t>3</w:t>
      </w:r>
      <w:r w:rsidR="00F55FC1" w:rsidRPr="00FA506F">
        <w:rPr>
          <w:lang w:val="es-ES"/>
        </w:rPr>
        <w:t xml:space="preserve">, </w:t>
      </w:r>
      <w:r w:rsidR="68354830" w:rsidRPr="00FA506F">
        <w:rPr>
          <w:lang w:val="es-ES"/>
        </w:rPr>
        <w:t>el Estado informó a la Comisión que el procedimiento pericial establecido debe seguir una metodología científica o técnica según la legislación vigente, y que se ha</w:t>
      </w:r>
      <w:r w:rsidR="002C2079" w:rsidRPr="00FA506F">
        <w:rPr>
          <w:lang w:val="es-ES"/>
        </w:rPr>
        <w:t>bía</w:t>
      </w:r>
      <w:r w:rsidR="68354830" w:rsidRPr="00FA506F">
        <w:rPr>
          <w:lang w:val="es-ES"/>
        </w:rPr>
        <w:t xml:space="preserve"> avanzado en la implementación del Centro </w:t>
      </w:r>
      <w:r w:rsidR="00A047A9" w:rsidRPr="00FA506F">
        <w:rPr>
          <w:lang w:val="es-ES"/>
        </w:rPr>
        <w:t xml:space="preserve">Nacional </w:t>
      </w:r>
      <w:r w:rsidR="68354830" w:rsidRPr="00FA506F">
        <w:rPr>
          <w:lang w:val="es-ES"/>
        </w:rPr>
        <w:t>de Identificación Humana (</w:t>
      </w:r>
      <w:r w:rsidR="002C2079" w:rsidRPr="00FA506F">
        <w:rPr>
          <w:lang w:val="es-ES"/>
        </w:rPr>
        <w:t>en adelante, “</w:t>
      </w:r>
      <w:r w:rsidR="68354830" w:rsidRPr="00FA506F">
        <w:rPr>
          <w:lang w:val="es-ES"/>
        </w:rPr>
        <w:t>C</w:t>
      </w:r>
      <w:r w:rsidR="00A047A9" w:rsidRPr="00FA506F">
        <w:rPr>
          <w:lang w:val="es-ES"/>
        </w:rPr>
        <w:t>N</w:t>
      </w:r>
      <w:r w:rsidR="68354830" w:rsidRPr="00FA506F">
        <w:rPr>
          <w:lang w:val="es-ES"/>
        </w:rPr>
        <w:t>IH</w:t>
      </w:r>
      <w:r w:rsidR="002C2079" w:rsidRPr="00FA506F">
        <w:rPr>
          <w:lang w:val="es-ES"/>
        </w:rPr>
        <w:t>”</w:t>
      </w:r>
      <w:r w:rsidR="00290A05" w:rsidRPr="00FA506F">
        <w:rPr>
          <w:lang w:val="es-ES"/>
        </w:rPr>
        <w:t xml:space="preserve"> o </w:t>
      </w:r>
      <w:r w:rsidR="002C2079" w:rsidRPr="00FA506F">
        <w:rPr>
          <w:lang w:val="es-ES"/>
        </w:rPr>
        <w:t>“</w:t>
      </w:r>
      <w:r w:rsidR="00290A05" w:rsidRPr="00FA506F">
        <w:rPr>
          <w:lang w:val="es-ES"/>
        </w:rPr>
        <w:t xml:space="preserve">Centro </w:t>
      </w:r>
      <w:r w:rsidR="00A047A9" w:rsidRPr="00FA506F">
        <w:rPr>
          <w:lang w:val="es-ES"/>
        </w:rPr>
        <w:t xml:space="preserve">Nacional </w:t>
      </w:r>
      <w:r w:rsidR="00290A05" w:rsidRPr="00FA506F">
        <w:rPr>
          <w:lang w:val="es-ES"/>
        </w:rPr>
        <w:t>de Identificación</w:t>
      </w:r>
      <w:r w:rsidR="002C2079" w:rsidRPr="00FA506F">
        <w:rPr>
          <w:lang w:val="es-ES"/>
        </w:rPr>
        <w:t>”</w:t>
      </w:r>
      <w:r w:rsidR="68354830" w:rsidRPr="00FA506F">
        <w:rPr>
          <w:lang w:val="es-ES"/>
        </w:rPr>
        <w:t xml:space="preserve">) y del Protocolo de Identificación de Restos Humanos (PHB). Sin embargo, el Mecanismo Extraordinario de Identificación Forense (MEIF) tuvo una operación limitada y no logró suscribir convenios de coordinación con las fiscalías ni definir claramente su destino operativo. Las organizaciones de la sociedad civil reportaron la falta de una institución nacional de servicios forenses independiente y la ineficaz operación del </w:t>
      </w:r>
      <w:r w:rsidR="00290A05" w:rsidRPr="00FA506F">
        <w:rPr>
          <w:rFonts w:eastAsia="Cambria" w:cs="Cambria"/>
          <w:color w:val="000000" w:themeColor="text1"/>
          <w:szCs w:val="20"/>
          <w:lang w:val="es-ES"/>
        </w:rPr>
        <w:t xml:space="preserve">Centro </w:t>
      </w:r>
      <w:r w:rsidR="00A047A9" w:rsidRPr="00FA506F">
        <w:rPr>
          <w:rFonts w:eastAsia="Cambria" w:cs="Cambria"/>
          <w:color w:val="000000" w:themeColor="text1"/>
          <w:szCs w:val="20"/>
          <w:lang w:val="es-ES"/>
        </w:rPr>
        <w:t>Nacional</w:t>
      </w:r>
      <w:r w:rsidR="002C2079" w:rsidRPr="00FA506F">
        <w:rPr>
          <w:rFonts w:eastAsia="Cambria" w:cs="Cambria"/>
          <w:color w:val="000000" w:themeColor="text1"/>
          <w:szCs w:val="20"/>
          <w:lang w:val="es-ES"/>
        </w:rPr>
        <w:t xml:space="preserve"> </w:t>
      </w:r>
      <w:r w:rsidR="00290A05" w:rsidRPr="00FA506F">
        <w:rPr>
          <w:rFonts w:eastAsia="Cambria" w:cs="Cambria"/>
          <w:color w:val="000000" w:themeColor="text1"/>
          <w:szCs w:val="20"/>
          <w:lang w:val="es-ES"/>
        </w:rPr>
        <w:t>de Identificación</w:t>
      </w:r>
      <w:r w:rsidR="00290A05" w:rsidRPr="00FA506F">
        <w:rPr>
          <w:lang w:val="es-ES"/>
        </w:rPr>
        <w:t xml:space="preserve"> </w:t>
      </w:r>
      <w:r w:rsidR="68354830" w:rsidRPr="00FA506F">
        <w:rPr>
          <w:lang w:val="es-ES"/>
        </w:rPr>
        <w:t xml:space="preserve">debido a problemas de coordinación y recursos. La CIDH valoró los avances en el </w:t>
      </w:r>
      <w:r w:rsidR="00290A05" w:rsidRPr="00FA506F">
        <w:rPr>
          <w:rFonts w:eastAsia="Cambria" w:cs="Cambria"/>
          <w:color w:val="000000" w:themeColor="text1"/>
          <w:szCs w:val="20"/>
          <w:lang w:val="es-ES"/>
        </w:rPr>
        <w:t xml:space="preserve">Centro </w:t>
      </w:r>
      <w:r w:rsidR="00A047A9" w:rsidRPr="00FA506F">
        <w:rPr>
          <w:rFonts w:eastAsia="Cambria" w:cs="Cambria"/>
          <w:color w:val="000000" w:themeColor="text1"/>
          <w:szCs w:val="20"/>
          <w:lang w:val="es-ES"/>
        </w:rPr>
        <w:t>Nacional</w:t>
      </w:r>
      <w:r w:rsidR="002C2079" w:rsidRPr="00FA506F">
        <w:rPr>
          <w:rFonts w:eastAsia="Cambria" w:cs="Cambria"/>
          <w:color w:val="000000" w:themeColor="text1"/>
          <w:szCs w:val="20"/>
          <w:lang w:val="es-ES"/>
        </w:rPr>
        <w:t xml:space="preserve"> </w:t>
      </w:r>
      <w:r w:rsidR="00290A05" w:rsidRPr="00FA506F">
        <w:rPr>
          <w:rFonts w:eastAsia="Cambria" w:cs="Cambria"/>
          <w:color w:val="000000" w:themeColor="text1"/>
          <w:szCs w:val="20"/>
          <w:lang w:val="es-ES"/>
        </w:rPr>
        <w:t>de Identificación</w:t>
      </w:r>
      <w:r w:rsidR="00290A05" w:rsidRPr="00FA506F">
        <w:rPr>
          <w:lang w:val="es-ES"/>
        </w:rPr>
        <w:t xml:space="preserve"> </w:t>
      </w:r>
      <w:r w:rsidR="68354830" w:rsidRPr="00FA506F">
        <w:rPr>
          <w:lang w:val="es-ES"/>
        </w:rPr>
        <w:t>y el PHB, pero consideró que la política de identificación forense aún no est</w:t>
      </w:r>
      <w:r w:rsidR="008240EE" w:rsidRPr="00FA506F">
        <w:rPr>
          <w:lang w:val="es-ES"/>
        </w:rPr>
        <w:t>aba</w:t>
      </w:r>
      <w:r w:rsidR="68354830" w:rsidRPr="00FA506F">
        <w:rPr>
          <w:lang w:val="es-ES"/>
        </w:rPr>
        <w:t xml:space="preserve"> clara y que el MEIF no ha</w:t>
      </w:r>
      <w:r w:rsidR="008240EE" w:rsidRPr="00FA506F">
        <w:rPr>
          <w:lang w:val="es-ES"/>
        </w:rPr>
        <w:t>bía</w:t>
      </w:r>
      <w:r w:rsidR="68354830" w:rsidRPr="00FA506F">
        <w:rPr>
          <w:lang w:val="es-ES"/>
        </w:rPr>
        <w:t xml:space="preserve"> mostrado resultados significativos. Por lo tanto, la recomendación se actualizó a cumplimiento parcial sustancial. La Comisión reiteró la necesidad de una institución nacional de servicios forenses independiente y solicitó información sobre la autonomía y eficacia de los centros de identificación humana</w:t>
      </w:r>
      <w:r w:rsidR="00AE1E3A" w:rsidRPr="00FA506F">
        <w:rPr>
          <w:rStyle w:val="FootnoteReference"/>
          <w:lang w:val="es-ES"/>
        </w:rPr>
        <w:footnoteReference w:id="122"/>
      </w:r>
      <w:r w:rsidR="00F55FC1" w:rsidRPr="00FA506F">
        <w:rPr>
          <w:lang w:val="es-ES"/>
        </w:rPr>
        <w:t>.</w:t>
      </w:r>
    </w:p>
    <w:p w14:paraId="2E83F52C" w14:textId="206FE206" w:rsidR="00780614" w:rsidRPr="00FA506F" w:rsidRDefault="00780614" w:rsidP="005B2614">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251CFE95" w14:textId="77777777" w:rsidR="00780614" w:rsidRPr="00FA506F" w:rsidRDefault="00780614" w:rsidP="00B80A67">
      <w:pPr>
        <w:ind w:firstLine="360"/>
        <w:jc w:val="both"/>
        <w:rPr>
          <w:rFonts w:ascii="Cambria" w:eastAsia="Cambria" w:hAnsi="Cambria" w:cs="Cambria"/>
          <w:i/>
          <w:iCs/>
          <w:color w:val="000000" w:themeColor="text1"/>
          <w:sz w:val="20"/>
          <w:szCs w:val="20"/>
          <w:lang w:val="es-ES"/>
        </w:rPr>
      </w:pPr>
    </w:p>
    <w:p w14:paraId="5E9B8DBE" w14:textId="0B4A163F" w:rsidR="00B732CE" w:rsidRPr="00FA506F" w:rsidRDefault="00B732CE" w:rsidP="00B80A67">
      <w:pPr>
        <w:pStyle w:val="IAPrrafo"/>
        <w:numPr>
          <w:ilvl w:val="0"/>
          <w:numId w:val="4"/>
        </w:numPr>
        <w:tabs>
          <w:tab w:val="num" w:pos="720"/>
        </w:tabs>
        <w:ind w:firstLine="720"/>
        <w:rPr>
          <w:lang w:val="es-ES"/>
        </w:rPr>
      </w:pPr>
      <w:r w:rsidRPr="00FA506F">
        <w:rPr>
          <w:lang w:val="es-ES"/>
        </w:rPr>
        <w:t>En 2024, el Estado informó que e</w:t>
      </w:r>
      <w:r w:rsidR="00391C23" w:rsidRPr="00FA506F">
        <w:rPr>
          <w:lang w:val="es-ES"/>
        </w:rPr>
        <w:t xml:space="preserve">l </w:t>
      </w:r>
      <w:r w:rsidR="00290A05" w:rsidRPr="00FA506F">
        <w:rPr>
          <w:rFonts w:eastAsia="Cambria" w:cs="Cambria"/>
          <w:color w:val="000000" w:themeColor="text1"/>
          <w:szCs w:val="20"/>
          <w:lang w:val="es-ES"/>
        </w:rPr>
        <w:t xml:space="preserve">Centro </w:t>
      </w:r>
      <w:r w:rsidR="00A047A9" w:rsidRPr="00FA506F">
        <w:rPr>
          <w:rFonts w:eastAsia="Cambria" w:cs="Cambria"/>
          <w:color w:val="000000" w:themeColor="text1"/>
          <w:szCs w:val="20"/>
          <w:lang w:val="es-ES"/>
        </w:rPr>
        <w:t>Nacional</w:t>
      </w:r>
      <w:r w:rsidR="002C2079" w:rsidRPr="00FA506F">
        <w:rPr>
          <w:rFonts w:eastAsia="Cambria" w:cs="Cambria"/>
          <w:color w:val="000000" w:themeColor="text1"/>
          <w:szCs w:val="20"/>
          <w:lang w:val="es-ES"/>
        </w:rPr>
        <w:t xml:space="preserve"> </w:t>
      </w:r>
      <w:r w:rsidR="00290A05" w:rsidRPr="00FA506F">
        <w:rPr>
          <w:rFonts w:eastAsia="Cambria" w:cs="Cambria"/>
          <w:color w:val="000000" w:themeColor="text1"/>
          <w:szCs w:val="20"/>
          <w:lang w:val="es-ES"/>
        </w:rPr>
        <w:t>de Identificación</w:t>
      </w:r>
      <w:r w:rsidR="00391C23" w:rsidRPr="00FA506F">
        <w:rPr>
          <w:lang w:val="es-ES"/>
        </w:rPr>
        <w:t xml:space="preserve">, en coordinación con la </w:t>
      </w:r>
      <w:r w:rsidRPr="00FA506F">
        <w:rPr>
          <w:lang w:val="es-ES"/>
        </w:rPr>
        <w:t>CNB,</w:t>
      </w:r>
      <w:r w:rsidR="00391C23" w:rsidRPr="00FA506F">
        <w:rPr>
          <w:lang w:val="es-ES"/>
        </w:rPr>
        <w:t xml:space="preserve"> lleva a cabo la búsqueda forense para la identificación de cuerpos y restos humanos, aplicando un enfoque masivo</w:t>
      </w:r>
      <w:r w:rsidR="00DC5755" w:rsidRPr="00FA506F">
        <w:rPr>
          <w:lang w:val="es-ES"/>
        </w:rPr>
        <w:t xml:space="preserve"> y </w:t>
      </w:r>
      <w:r w:rsidR="00391C23" w:rsidRPr="00FA506F">
        <w:rPr>
          <w:lang w:val="es-ES"/>
        </w:rPr>
        <w:t>por la vía genética forense, se ha</w:t>
      </w:r>
      <w:r w:rsidRPr="00FA506F">
        <w:rPr>
          <w:lang w:val="es-ES"/>
        </w:rPr>
        <w:t>brían</w:t>
      </w:r>
      <w:r w:rsidR="00391C23" w:rsidRPr="00FA506F">
        <w:rPr>
          <w:lang w:val="es-ES"/>
        </w:rPr>
        <w:t xml:space="preserve"> realizado 15 brigadas de toma de muestras genéticas en ocho estados a 3</w:t>
      </w:r>
      <w:r w:rsidR="00CB6EE7" w:rsidRPr="00FA506F">
        <w:rPr>
          <w:lang w:val="es-ES"/>
        </w:rPr>
        <w:t>.</w:t>
      </w:r>
      <w:r w:rsidR="00391C23" w:rsidRPr="00FA506F">
        <w:rPr>
          <w:lang w:val="es-ES"/>
        </w:rPr>
        <w:t>749 familias de 1</w:t>
      </w:r>
      <w:r w:rsidR="00CB6EE7" w:rsidRPr="00FA506F">
        <w:rPr>
          <w:lang w:val="es-ES"/>
        </w:rPr>
        <w:t>.</w:t>
      </w:r>
      <w:r w:rsidR="00391C23" w:rsidRPr="00FA506F">
        <w:rPr>
          <w:lang w:val="es-ES"/>
        </w:rPr>
        <w:t>466 víctimas</w:t>
      </w:r>
      <w:r w:rsidR="0087620E" w:rsidRPr="00FA506F">
        <w:rPr>
          <w:lang w:val="es-ES"/>
        </w:rPr>
        <w:t>;</w:t>
      </w:r>
      <w:r w:rsidRPr="00FA506F">
        <w:rPr>
          <w:lang w:val="es-ES"/>
        </w:rPr>
        <w:t xml:space="preserve"> y</w:t>
      </w:r>
      <w:r w:rsidR="0087620E" w:rsidRPr="00FA506F">
        <w:rPr>
          <w:lang w:val="es-ES"/>
        </w:rPr>
        <w:t>,</w:t>
      </w:r>
      <w:r w:rsidRPr="00FA506F">
        <w:rPr>
          <w:lang w:val="es-ES"/>
        </w:rPr>
        <w:t xml:space="preserve"> h</w:t>
      </w:r>
      <w:r w:rsidR="00391C23" w:rsidRPr="00FA506F">
        <w:rPr>
          <w:lang w:val="es-ES"/>
        </w:rPr>
        <w:t xml:space="preserve">asta el momento </w:t>
      </w:r>
      <w:r w:rsidRPr="00FA506F">
        <w:rPr>
          <w:lang w:val="es-ES"/>
        </w:rPr>
        <w:t xml:space="preserve">de la presentación del Informe, </w:t>
      </w:r>
      <w:r w:rsidR="00391C23" w:rsidRPr="00FA506F">
        <w:rPr>
          <w:lang w:val="es-ES"/>
        </w:rPr>
        <w:t>se ha</w:t>
      </w:r>
      <w:r w:rsidRPr="00FA506F">
        <w:rPr>
          <w:lang w:val="es-ES"/>
        </w:rPr>
        <w:t>bría</w:t>
      </w:r>
      <w:r w:rsidR="00391C23" w:rsidRPr="00FA506F">
        <w:rPr>
          <w:lang w:val="es-ES"/>
        </w:rPr>
        <w:t>n procesado 3</w:t>
      </w:r>
      <w:r w:rsidR="00CB6EE7" w:rsidRPr="00FA506F">
        <w:rPr>
          <w:lang w:val="es-ES"/>
        </w:rPr>
        <w:t>.</w:t>
      </w:r>
      <w:r w:rsidR="00391C23" w:rsidRPr="00FA506F">
        <w:rPr>
          <w:lang w:val="es-ES"/>
        </w:rPr>
        <w:t>518 perfiles genéticos referenciales, de los cuales 1</w:t>
      </w:r>
      <w:r w:rsidR="00CB6EE7" w:rsidRPr="00FA506F">
        <w:rPr>
          <w:lang w:val="es-ES"/>
        </w:rPr>
        <w:t>.</w:t>
      </w:r>
      <w:r w:rsidR="00391C23" w:rsidRPr="00FA506F">
        <w:rPr>
          <w:lang w:val="es-ES"/>
        </w:rPr>
        <w:t>102 ha</w:t>
      </w:r>
      <w:r w:rsidRPr="00FA506F">
        <w:rPr>
          <w:lang w:val="es-ES"/>
        </w:rPr>
        <w:t>bría</w:t>
      </w:r>
      <w:r w:rsidR="00391C23" w:rsidRPr="00FA506F">
        <w:rPr>
          <w:lang w:val="es-ES"/>
        </w:rPr>
        <w:t>n sido entregados a familiares y 2</w:t>
      </w:r>
      <w:r w:rsidR="0087620E" w:rsidRPr="00FA506F">
        <w:rPr>
          <w:lang w:val="es-ES"/>
        </w:rPr>
        <w:t>.</w:t>
      </w:r>
      <w:r w:rsidR="00391C23" w:rsidRPr="00FA506F">
        <w:rPr>
          <w:lang w:val="es-ES"/>
        </w:rPr>
        <w:t>416 e</w:t>
      </w:r>
      <w:r w:rsidRPr="00FA506F">
        <w:rPr>
          <w:lang w:val="es-ES"/>
        </w:rPr>
        <w:t>starían e</w:t>
      </w:r>
      <w:r w:rsidR="00391C23" w:rsidRPr="00FA506F">
        <w:rPr>
          <w:lang w:val="es-ES"/>
        </w:rPr>
        <w:t>n proceso de entrega.</w:t>
      </w:r>
      <w:r w:rsidRPr="00FA506F">
        <w:rPr>
          <w:lang w:val="es-ES"/>
        </w:rPr>
        <w:t xml:space="preserve"> El Estado reportó que,</w:t>
      </w:r>
      <w:r w:rsidR="00391C23" w:rsidRPr="00FA506F">
        <w:rPr>
          <w:lang w:val="es-ES"/>
        </w:rPr>
        <w:t xml:space="preserve"> </w:t>
      </w:r>
      <w:r w:rsidRPr="00FA506F">
        <w:rPr>
          <w:lang w:val="es-ES"/>
        </w:rPr>
        <w:t>e</w:t>
      </w:r>
      <w:r w:rsidR="00391C23" w:rsidRPr="00FA506F">
        <w:rPr>
          <w:lang w:val="es-ES"/>
        </w:rPr>
        <w:t xml:space="preserve">n colaboración con el Fondo de Población de las Naciones Unidas (UNFPA), se digitalizaron 290 fichas necrodactilares en tres estados. </w:t>
      </w:r>
      <w:r w:rsidR="008C2DA5" w:rsidRPr="00FA506F">
        <w:rPr>
          <w:lang w:val="es-ES"/>
        </w:rPr>
        <w:t>El</w:t>
      </w:r>
      <w:r w:rsidR="00290A05" w:rsidRPr="00FA506F">
        <w:rPr>
          <w:lang w:val="es-ES"/>
        </w:rPr>
        <w:t xml:space="preserve"> </w:t>
      </w:r>
      <w:r w:rsidR="00290A05" w:rsidRPr="00FA506F">
        <w:rPr>
          <w:rFonts w:eastAsia="Cambria" w:cs="Cambria"/>
          <w:color w:val="000000" w:themeColor="text1"/>
          <w:szCs w:val="20"/>
          <w:lang w:val="es-ES"/>
        </w:rPr>
        <w:t>C</w:t>
      </w:r>
      <w:r w:rsidR="00A047A9" w:rsidRPr="00FA506F">
        <w:rPr>
          <w:rFonts w:eastAsia="Cambria" w:cs="Cambria"/>
          <w:color w:val="000000" w:themeColor="text1"/>
          <w:szCs w:val="20"/>
          <w:lang w:val="es-ES"/>
        </w:rPr>
        <w:t>N</w:t>
      </w:r>
      <w:r w:rsidR="002C2079" w:rsidRPr="00FA506F">
        <w:rPr>
          <w:rFonts w:eastAsia="Cambria" w:cs="Cambria"/>
          <w:color w:val="000000" w:themeColor="text1"/>
          <w:szCs w:val="20"/>
          <w:lang w:val="es-ES"/>
        </w:rPr>
        <w:t>IH</w:t>
      </w:r>
      <w:r w:rsidR="00391C23" w:rsidRPr="00FA506F">
        <w:rPr>
          <w:lang w:val="es-ES"/>
        </w:rPr>
        <w:t xml:space="preserve"> reportó 299 hits lofoscópicos, lo que permitió la restitución de 12 individuos a sus familias en diferentes estados. En el área de genética, se registraron 22 coincidencias, de las cuales se restituyeron tres</w:t>
      </w:r>
      <w:r w:rsidR="005860F5" w:rsidRPr="00FA506F">
        <w:rPr>
          <w:lang w:val="es-ES"/>
        </w:rPr>
        <w:t xml:space="preserve"> restos de</w:t>
      </w:r>
      <w:r w:rsidR="00391C23" w:rsidRPr="00FA506F">
        <w:rPr>
          <w:lang w:val="es-ES"/>
        </w:rPr>
        <w:t xml:space="preserve"> personas fallecidas a sus familias</w:t>
      </w:r>
      <w:r w:rsidR="00AE1E3A" w:rsidRPr="00FA506F">
        <w:rPr>
          <w:rStyle w:val="FootnoteReference"/>
          <w:lang w:val="es-ES"/>
        </w:rPr>
        <w:footnoteReference w:id="123"/>
      </w:r>
      <w:r w:rsidR="00391C23" w:rsidRPr="00FA506F">
        <w:rPr>
          <w:lang w:val="es-ES"/>
        </w:rPr>
        <w:t xml:space="preserve">. </w:t>
      </w:r>
    </w:p>
    <w:p w14:paraId="3B49C518" w14:textId="27385CE5" w:rsidR="00B732CE" w:rsidRPr="00FA506F" w:rsidRDefault="00B732CE" w:rsidP="00B80A67">
      <w:pPr>
        <w:pStyle w:val="IAPrrafo"/>
        <w:numPr>
          <w:ilvl w:val="0"/>
          <w:numId w:val="4"/>
        </w:numPr>
        <w:tabs>
          <w:tab w:val="num" w:pos="720"/>
        </w:tabs>
        <w:ind w:firstLine="720"/>
        <w:rPr>
          <w:lang w:val="es-ES"/>
        </w:rPr>
      </w:pPr>
      <w:r w:rsidRPr="00FA506F">
        <w:rPr>
          <w:lang w:val="es-ES"/>
        </w:rPr>
        <w:t xml:space="preserve">Por su parte, organizaciones de la sociedad civil </w:t>
      </w:r>
      <w:r w:rsidR="00A047A9" w:rsidRPr="00FA506F">
        <w:rPr>
          <w:lang w:val="es-ES"/>
        </w:rPr>
        <w:t xml:space="preserve">recordaron </w:t>
      </w:r>
      <w:r w:rsidRPr="00FA506F">
        <w:rPr>
          <w:lang w:val="es-ES"/>
        </w:rPr>
        <w:t xml:space="preserve">que en mayo de 2022 se </w:t>
      </w:r>
      <w:r w:rsidR="00A047A9" w:rsidRPr="00FA506F">
        <w:rPr>
          <w:lang w:val="es-ES"/>
        </w:rPr>
        <w:t xml:space="preserve">había modificado </w:t>
      </w:r>
      <w:r w:rsidRPr="00FA506F">
        <w:rPr>
          <w:lang w:val="es-ES"/>
        </w:rPr>
        <w:t xml:space="preserve">la </w:t>
      </w:r>
      <w:r w:rsidR="00290A05" w:rsidRPr="00FA506F">
        <w:rPr>
          <w:lang w:val="es-ES"/>
        </w:rPr>
        <w:t xml:space="preserve">Ley General de Desaparición </w:t>
      </w:r>
      <w:r w:rsidRPr="00FA506F">
        <w:rPr>
          <w:lang w:val="es-ES"/>
        </w:rPr>
        <w:t xml:space="preserve">para crear el </w:t>
      </w:r>
      <w:r w:rsidR="00290A05" w:rsidRPr="00FA506F">
        <w:rPr>
          <w:rFonts w:eastAsia="Cambria" w:cs="Cambria"/>
          <w:color w:val="000000" w:themeColor="text1"/>
          <w:szCs w:val="20"/>
          <w:lang w:val="es-ES"/>
        </w:rPr>
        <w:t xml:space="preserve">Centro </w:t>
      </w:r>
      <w:r w:rsidR="00A047A9" w:rsidRPr="00FA506F">
        <w:rPr>
          <w:rFonts w:eastAsia="Cambria" w:cs="Cambria"/>
          <w:color w:val="000000" w:themeColor="text1"/>
          <w:szCs w:val="20"/>
          <w:lang w:val="es-ES"/>
        </w:rPr>
        <w:t>Nacional</w:t>
      </w:r>
      <w:r w:rsidR="002C2079" w:rsidRPr="00FA506F">
        <w:rPr>
          <w:rFonts w:eastAsia="Cambria" w:cs="Cambria"/>
          <w:color w:val="000000" w:themeColor="text1"/>
          <w:szCs w:val="20"/>
          <w:lang w:val="es-ES"/>
        </w:rPr>
        <w:t xml:space="preserve"> </w:t>
      </w:r>
      <w:r w:rsidR="00290A05" w:rsidRPr="00FA506F">
        <w:rPr>
          <w:rFonts w:eastAsia="Cambria" w:cs="Cambria"/>
          <w:color w:val="000000" w:themeColor="text1"/>
          <w:szCs w:val="20"/>
          <w:lang w:val="es-ES"/>
        </w:rPr>
        <w:t>de Identificación</w:t>
      </w:r>
      <w:r w:rsidR="002C2079" w:rsidRPr="00FA506F">
        <w:rPr>
          <w:rFonts w:eastAsia="Cambria" w:cs="Cambria"/>
          <w:color w:val="000000" w:themeColor="text1"/>
          <w:szCs w:val="20"/>
          <w:lang w:val="es-ES"/>
        </w:rPr>
        <w:t xml:space="preserve"> Humana</w:t>
      </w:r>
      <w:r w:rsidRPr="00FA506F">
        <w:rPr>
          <w:lang w:val="es-ES"/>
        </w:rPr>
        <w:t>, como una unidad administrativa, con independencia técnico-científica, adscrita a la Comisión Nacional de Búsqueda, el cual debía resguardar la información tendiente a la identificación humana</w:t>
      </w:r>
      <w:r w:rsidR="002C2079" w:rsidRPr="00FA506F">
        <w:rPr>
          <w:lang w:val="es-ES"/>
        </w:rPr>
        <w:t>. Y que esa información</w:t>
      </w:r>
      <w:r w:rsidRPr="00FA506F">
        <w:rPr>
          <w:lang w:val="es-ES"/>
        </w:rPr>
        <w:t>, una vez procesada, debería ser remitida a la autoridad competente y dada a conocer a las familias interesadas</w:t>
      </w:r>
      <w:r w:rsidRPr="00FA506F">
        <w:rPr>
          <w:rStyle w:val="FootnoteReference"/>
          <w:lang w:val="es-ES"/>
        </w:rPr>
        <w:footnoteReference w:id="124"/>
      </w:r>
      <w:r w:rsidRPr="00FA506F">
        <w:rPr>
          <w:lang w:val="es-ES"/>
        </w:rPr>
        <w:t xml:space="preserve">. No </w:t>
      </w:r>
      <w:r w:rsidR="008C2DA5" w:rsidRPr="00FA506F">
        <w:rPr>
          <w:lang w:val="es-ES"/>
        </w:rPr>
        <w:t>obstante,</w:t>
      </w:r>
      <w:r w:rsidRPr="00FA506F">
        <w:rPr>
          <w:lang w:val="es-ES"/>
        </w:rPr>
        <w:t xml:space="preserve"> </w:t>
      </w:r>
      <w:r w:rsidR="002C2079" w:rsidRPr="00FA506F">
        <w:rPr>
          <w:lang w:val="es-ES"/>
        </w:rPr>
        <w:t xml:space="preserve">destacaron </w:t>
      </w:r>
      <w:r w:rsidRPr="00FA506F">
        <w:rPr>
          <w:lang w:val="es-ES"/>
        </w:rPr>
        <w:t>que</w:t>
      </w:r>
      <w:r w:rsidR="00EB75EF" w:rsidRPr="00FA506F">
        <w:rPr>
          <w:lang w:val="es-ES"/>
        </w:rPr>
        <w:t>,</w:t>
      </w:r>
      <w:r w:rsidRPr="00FA506F">
        <w:rPr>
          <w:lang w:val="es-ES"/>
        </w:rPr>
        <w:t xml:space="preserve"> luego de los cambios en la titularidad de la CNB, se habría comenzado </w:t>
      </w:r>
      <w:r w:rsidR="00EB75EF" w:rsidRPr="00FA506F">
        <w:rPr>
          <w:lang w:val="es-ES"/>
        </w:rPr>
        <w:t xml:space="preserve">a desmantelar </w:t>
      </w:r>
      <w:r w:rsidRPr="00FA506F">
        <w:rPr>
          <w:lang w:val="es-ES"/>
        </w:rPr>
        <w:t xml:space="preserve">el </w:t>
      </w:r>
      <w:r w:rsidR="00290A05" w:rsidRPr="00FA506F">
        <w:rPr>
          <w:rFonts w:eastAsia="Cambria" w:cs="Cambria"/>
          <w:color w:val="000000" w:themeColor="text1"/>
          <w:szCs w:val="20"/>
          <w:lang w:val="es-ES"/>
        </w:rPr>
        <w:t xml:space="preserve">Centro </w:t>
      </w:r>
      <w:r w:rsidR="00A047A9" w:rsidRPr="00FA506F">
        <w:rPr>
          <w:rFonts w:eastAsia="Cambria" w:cs="Cambria"/>
          <w:color w:val="000000" w:themeColor="text1"/>
          <w:szCs w:val="20"/>
          <w:lang w:val="es-ES"/>
        </w:rPr>
        <w:t>Nacional</w:t>
      </w:r>
      <w:r w:rsidR="002C2079" w:rsidRPr="00FA506F">
        <w:rPr>
          <w:rFonts w:eastAsia="Cambria" w:cs="Cambria"/>
          <w:color w:val="000000" w:themeColor="text1"/>
          <w:szCs w:val="20"/>
          <w:lang w:val="es-ES"/>
        </w:rPr>
        <w:t xml:space="preserve"> </w:t>
      </w:r>
      <w:r w:rsidR="00290A05" w:rsidRPr="00FA506F">
        <w:rPr>
          <w:rFonts w:eastAsia="Cambria" w:cs="Cambria"/>
          <w:color w:val="000000" w:themeColor="text1"/>
          <w:szCs w:val="20"/>
          <w:lang w:val="es-ES"/>
        </w:rPr>
        <w:t>de Identificación</w:t>
      </w:r>
      <w:r w:rsidRPr="00FA506F">
        <w:rPr>
          <w:lang w:val="es-ES"/>
        </w:rPr>
        <w:t xml:space="preserve"> y</w:t>
      </w:r>
      <w:r w:rsidR="002C2079" w:rsidRPr="00FA506F">
        <w:rPr>
          <w:lang w:val="es-ES"/>
        </w:rPr>
        <w:t>,</w:t>
      </w:r>
      <w:r w:rsidRPr="00FA506F">
        <w:rPr>
          <w:lang w:val="es-ES"/>
        </w:rPr>
        <w:t xml:space="preserve"> con ello</w:t>
      </w:r>
      <w:r w:rsidR="002C2079" w:rsidRPr="00FA506F">
        <w:rPr>
          <w:lang w:val="es-ES"/>
        </w:rPr>
        <w:t>,</w:t>
      </w:r>
      <w:r w:rsidRPr="00FA506F">
        <w:rPr>
          <w:lang w:val="es-ES"/>
        </w:rPr>
        <w:t xml:space="preserve"> la propuesta de generar esquemas masiv</w:t>
      </w:r>
      <w:r w:rsidR="00DC5755" w:rsidRPr="00FA506F">
        <w:rPr>
          <w:lang w:val="es-ES"/>
        </w:rPr>
        <w:t>os</w:t>
      </w:r>
      <w:r w:rsidRPr="00FA506F">
        <w:rPr>
          <w:rStyle w:val="FootnoteReference"/>
          <w:lang w:val="es-ES"/>
        </w:rPr>
        <w:footnoteReference w:id="125"/>
      </w:r>
      <w:r w:rsidRPr="00FA506F">
        <w:rPr>
          <w:lang w:val="es-ES"/>
        </w:rPr>
        <w:t xml:space="preserve">. </w:t>
      </w:r>
      <w:r w:rsidR="008C2DA5" w:rsidRPr="00FA506F">
        <w:rPr>
          <w:lang w:val="es-ES"/>
        </w:rPr>
        <w:t>Las</w:t>
      </w:r>
      <w:r w:rsidRPr="00FA506F">
        <w:rPr>
          <w:lang w:val="es-ES"/>
        </w:rPr>
        <w:t xml:space="preserve"> organizaciones reportaron que la representante de la FGR durante una sesión del S</w:t>
      </w:r>
      <w:r w:rsidR="00290A05" w:rsidRPr="00FA506F">
        <w:rPr>
          <w:lang w:val="es-ES"/>
        </w:rPr>
        <w:t xml:space="preserve">istema </w:t>
      </w:r>
      <w:r w:rsidRPr="00FA506F">
        <w:rPr>
          <w:lang w:val="es-ES"/>
        </w:rPr>
        <w:t>N</w:t>
      </w:r>
      <w:r w:rsidR="00290A05" w:rsidRPr="00FA506F">
        <w:rPr>
          <w:lang w:val="es-ES"/>
        </w:rPr>
        <w:t xml:space="preserve">acional de </w:t>
      </w:r>
      <w:r w:rsidRPr="00FA506F">
        <w:rPr>
          <w:lang w:val="es-ES"/>
        </w:rPr>
        <w:t>B</w:t>
      </w:r>
      <w:r w:rsidR="00290A05" w:rsidRPr="00FA506F">
        <w:rPr>
          <w:lang w:val="es-ES"/>
        </w:rPr>
        <w:t>úsqueda</w:t>
      </w:r>
      <w:r w:rsidRPr="00FA506F">
        <w:rPr>
          <w:lang w:val="es-ES"/>
        </w:rPr>
        <w:t xml:space="preserve"> reconoció que, en 2023, los servicios periciales de la institución identificaron por vía genética </w:t>
      </w:r>
      <w:r w:rsidR="00A047A9" w:rsidRPr="00FA506F">
        <w:rPr>
          <w:lang w:val="es-ES"/>
        </w:rPr>
        <w:t xml:space="preserve">apenas </w:t>
      </w:r>
      <w:r w:rsidRPr="00FA506F">
        <w:rPr>
          <w:lang w:val="es-ES"/>
        </w:rPr>
        <w:t>a 35 personas y 4 con cruces dactilares</w:t>
      </w:r>
      <w:r w:rsidRPr="00FA506F">
        <w:rPr>
          <w:rStyle w:val="FootnoteReference"/>
          <w:lang w:val="es-ES"/>
        </w:rPr>
        <w:footnoteReference w:id="126"/>
      </w:r>
      <w:r w:rsidRPr="00FA506F">
        <w:rPr>
          <w:lang w:val="es-ES"/>
        </w:rPr>
        <w:t>, frente a la crisis de decenas de miles de personas desaparecidas en el país.</w:t>
      </w:r>
      <w:r w:rsidR="004D62C8" w:rsidRPr="00FA506F">
        <w:rPr>
          <w:lang w:val="es-ES"/>
        </w:rPr>
        <w:t xml:space="preserve"> </w:t>
      </w:r>
      <w:r w:rsidR="00A72268" w:rsidRPr="00FA506F">
        <w:rPr>
          <w:lang w:val="es-ES"/>
        </w:rPr>
        <w:t>A</w:t>
      </w:r>
      <w:r w:rsidRPr="00FA506F">
        <w:rPr>
          <w:lang w:val="es-ES"/>
        </w:rPr>
        <w:t xml:space="preserve">dicionalmente, de acuerdo </w:t>
      </w:r>
      <w:r w:rsidR="009F0767" w:rsidRPr="00FA506F">
        <w:rPr>
          <w:lang w:val="es-ES"/>
        </w:rPr>
        <w:t>con</w:t>
      </w:r>
      <w:r w:rsidRPr="00FA506F">
        <w:rPr>
          <w:lang w:val="es-ES"/>
        </w:rPr>
        <w:t xml:space="preserve"> información pública</w:t>
      </w:r>
      <w:r w:rsidR="00281634" w:rsidRPr="00FA506F">
        <w:rPr>
          <w:lang w:val="es-ES"/>
        </w:rPr>
        <w:t>,</w:t>
      </w:r>
      <w:r w:rsidRPr="00FA506F">
        <w:rPr>
          <w:lang w:val="es-ES"/>
        </w:rPr>
        <w:t xml:space="preserve"> se</w:t>
      </w:r>
      <w:r w:rsidR="004D62C8" w:rsidRPr="00FA506F">
        <w:rPr>
          <w:lang w:val="es-ES"/>
        </w:rPr>
        <w:t xml:space="preserve"> habría</w:t>
      </w:r>
      <w:r w:rsidRPr="00FA506F">
        <w:rPr>
          <w:lang w:val="es-ES"/>
        </w:rPr>
        <w:t xml:space="preserve"> prescindi</w:t>
      </w:r>
      <w:r w:rsidR="008F79AC" w:rsidRPr="00FA506F">
        <w:rPr>
          <w:lang w:val="es-ES"/>
        </w:rPr>
        <w:t>do</w:t>
      </w:r>
      <w:r w:rsidRPr="00FA506F">
        <w:rPr>
          <w:lang w:val="es-ES"/>
        </w:rPr>
        <w:t xml:space="preserve"> de 40 de los 59 especialistas</w:t>
      </w:r>
      <w:r w:rsidR="004D62C8" w:rsidRPr="00FA506F">
        <w:rPr>
          <w:lang w:val="es-ES"/>
        </w:rPr>
        <w:t xml:space="preserve"> </w:t>
      </w:r>
      <w:r w:rsidRPr="00FA506F">
        <w:rPr>
          <w:lang w:val="es-ES"/>
        </w:rPr>
        <w:t xml:space="preserve">contratados para el </w:t>
      </w:r>
      <w:r w:rsidR="00290A05" w:rsidRPr="00FA506F">
        <w:rPr>
          <w:rFonts w:eastAsia="Cambria" w:cs="Cambria"/>
          <w:color w:val="000000" w:themeColor="text1"/>
          <w:szCs w:val="20"/>
          <w:lang w:val="es-ES"/>
        </w:rPr>
        <w:t xml:space="preserve">Centro </w:t>
      </w:r>
      <w:r w:rsidR="00A047A9" w:rsidRPr="00FA506F">
        <w:rPr>
          <w:rFonts w:eastAsia="Cambria" w:cs="Cambria"/>
          <w:color w:val="000000" w:themeColor="text1"/>
          <w:szCs w:val="20"/>
          <w:lang w:val="es-ES"/>
        </w:rPr>
        <w:t>Nacional</w:t>
      </w:r>
      <w:r w:rsidR="002C2079" w:rsidRPr="00FA506F">
        <w:rPr>
          <w:rFonts w:eastAsia="Cambria" w:cs="Cambria"/>
          <w:color w:val="000000" w:themeColor="text1"/>
          <w:szCs w:val="20"/>
          <w:lang w:val="es-ES"/>
        </w:rPr>
        <w:t xml:space="preserve"> </w:t>
      </w:r>
      <w:r w:rsidR="00290A05" w:rsidRPr="00FA506F">
        <w:rPr>
          <w:rFonts w:eastAsia="Cambria" w:cs="Cambria"/>
          <w:color w:val="000000" w:themeColor="text1"/>
          <w:szCs w:val="20"/>
          <w:lang w:val="es-ES"/>
        </w:rPr>
        <w:t>de Identificación</w:t>
      </w:r>
      <w:r w:rsidR="004D62C8" w:rsidRPr="00FA506F">
        <w:rPr>
          <w:rStyle w:val="FootnoteReference"/>
          <w:lang w:val="es-ES"/>
        </w:rPr>
        <w:footnoteReference w:id="127"/>
      </w:r>
      <w:r w:rsidRPr="00FA506F">
        <w:rPr>
          <w:lang w:val="es-ES"/>
        </w:rPr>
        <w:t xml:space="preserve">. </w:t>
      </w:r>
      <w:r w:rsidR="004D62C8" w:rsidRPr="00FA506F">
        <w:rPr>
          <w:lang w:val="es-ES"/>
        </w:rPr>
        <w:t xml:space="preserve">Finalmente, </w:t>
      </w:r>
      <w:r w:rsidR="00281634" w:rsidRPr="00FA506F">
        <w:rPr>
          <w:lang w:val="es-ES"/>
        </w:rPr>
        <w:t xml:space="preserve">destacaron </w:t>
      </w:r>
      <w:r w:rsidR="004D62C8" w:rsidRPr="00FA506F">
        <w:rPr>
          <w:lang w:val="es-ES"/>
        </w:rPr>
        <w:t xml:space="preserve">que toda vez que el </w:t>
      </w:r>
      <w:r w:rsidRPr="00FA506F">
        <w:rPr>
          <w:lang w:val="es-ES"/>
        </w:rPr>
        <w:t>CNIH fue creado como una unidad administrativa adscrita a la CNB con facultades acotadas a las establecidas en</w:t>
      </w:r>
      <w:r w:rsidR="004D62C8" w:rsidRPr="00FA506F">
        <w:rPr>
          <w:lang w:val="es-ES"/>
        </w:rPr>
        <w:t xml:space="preserve"> </w:t>
      </w:r>
      <w:r w:rsidRPr="00FA506F">
        <w:rPr>
          <w:lang w:val="es-ES"/>
        </w:rPr>
        <w:t xml:space="preserve">la </w:t>
      </w:r>
      <w:r w:rsidR="00290A05" w:rsidRPr="00FA506F">
        <w:rPr>
          <w:lang w:val="es-ES"/>
        </w:rPr>
        <w:t>Ley General de Desaparición</w:t>
      </w:r>
      <w:r w:rsidRPr="00FA506F">
        <w:rPr>
          <w:lang w:val="es-ES"/>
        </w:rPr>
        <w:t xml:space="preserve">, los sistemas de servicios periciales y forenses en el país no fueron reformados </w:t>
      </w:r>
      <w:r w:rsidR="004D62C8" w:rsidRPr="00FA506F">
        <w:rPr>
          <w:lang w:val="es-ES"/>
        </w:rPr>
        <w:t>con la creación</w:t>
      </w:r>
      <w:r w:rsidRPr="00FA506F">
        <w:rPr>
          <w:lang w:val="es-ES"/>
        </w:rPr>
        <w:t xml:space="preserve"> </w:t>
      </w:r>
      <w:r w:rsidR="004D62C8" w:rsidRPr="00FA506F">
        <w:rPr>
          <w:lang w:val="es-ES"/>
        </w:rPr>
        <w:t>d</w:t>
      </w:r>
      <w:r w:rsidRPr="00FA506F">
        <w:rPr>
          <w:lang w:val="es-ES"/>
        </w:rPr>
        <w:t xml:space="preserve">el </w:t>
      </w:r>
      <w:r w:rsidR="00290A05" w:rsidRPr="00FA506F">
        <w:rPr>
          <w:rFonts w:eastAsia="Cambria" w:cs="Cambria"/>
          <w:color w:val="000000" w:themeColor="text1"/>
          <w:szCs w:val="20"/>
          <w:lang w:val="es-ES"/>
        </w:rPr>
        <w:t>Centro</w:t>
      </w:r>
      <w:r w:rsidR="00A047A9" w:rsidRPr="00FA506F">
        <w:rPr>
          <w:rFonts w:eastAsia="Cambria" w:cs="Cambria"/>
          <w:color w:val="000000" w:themeColor="text1"/>
          <w:szCs w:val="20"/>
          <w:lang w:val="es-ES"/>
        </w:rPr>
        <w:t xml:space="preserve"> Nacio</w:t>
      </w:r>
      <w:r w:rsidR="009434B8" w:rsidRPr="00FA506F">
        <w:rPr>
          <w:rFonts w:eastAsia="Cambria" w:cs="Cambria"/>
          <w:color w:val="000000" w:themeColor="text1"/>
          <w:szCs w:val="20"/>
          <w:lang w:val="es-ES"/>
        </w:rPr>
        <w:t>n</w:t>
      </w:r>
      <w:r w:rsidR="00A047A9" w:rsidRPr="00FA506F">
        <w:rPr>
          <w:rFonts w:eastAsia="Cambria" w:cs="Cambria"/>
          <w:color w:val="000000" w:themeColor="text1"/>
          <w:szCs w:val="20"/>
          <w:lang w:val="es-ES"/>
        </w:rPr>
        <w:t>al</w:t>
      </w:r>
      <w:r w:rsidR="00290A05" w:rsidRPr="00FA506F">
        <w:rPr>
          <w:rFonts w:eastAsia="Cambria" w:cs="Cambria"/>
          <w:color w:val="000000" w:themeColor="text1"/>
          <w:szCs w:val="20"/>
          <w:lang w:val="es-ES"/>
        </w:rPr>
        <w:t xml:space="preserve"> de Identificación</w:t>
      </w:r>
      <w:r w:rsidRPr="00FA506F">
        <w:rPr>
          <w:lang w:val="es-ES"/>
        </w:rPr>
        <w:t>, por lo que contin</w:t>
      </w:r>
      <w:r w:rsidR="004D62C8" w:rsidRPr="00FA506F">
        <w:rPr>
          <w:lang w:val="es-ES"/>
        </w:rPr>
        <w:t xml:space="preserve">uarían </w:t>
      </w:r>
      <w:r w:rsidRPr="00FA506F">
        <w:rPr>
          <w:lang w:val="es-ES"/>
        </w:rPr>
        <w:t>dependiendo</w:t>
      </w:r>
      <w:r w:rsidR="004D62C8" w:rsidRPr="00FA506F">
        <w:rPr>
          <w:lang w:val="es-ES"/>
        </w:rPr>
        <w:t xml:space="preserve">, en su mayoría </w:t>
      </w:r>
      <w:r w:rsidRPr="00FA506F">
        <w:rPr>
          <w:lang w:val="es-ES"/>
        </w:rPr>
        <w:t>de la F</w:t>
      </w:r>
      <w:r w:rsidR="00290A05" w:rsidRPr="00FA506F">
        <w:rPr>
          <w:lang w:val="es-ES"/>
        </w:rPr>
        <w:t xml:space="preserve">iscalía </w:t>
      </w:r>
      <w:r w:rsidRPr="00FA506F">
        <w:rPr>
          <w:lang w:val="es-ES"/>
        </w:rPr>
        <w:t>G</w:t>
      </w:r>
      <w:r w:rsidR="00290A05" w:rsidRPr="00FA506F">
        <w:rPr>
          <w:lang w:val="es-ES"/>
        </w:rPr>
        <w:t xml:space="preserve">eneral de la </w:t>
      </w:r>
      <w:r w:rsidRPr="00FA506F">
        <w:rPr>
          <w:lang w:val="es-ES"/>
        </w:rPr>
        <w:t>R</w:t>
      </w:r>
      <w:r w:rsidR="00290A05" w:rsidRPr="00FA506F">
        <w:rPr>
          <w:lang w:val="es-ES"/>
        </w:rPr>
        <w:t>epública</w:t>
      </w:r>
      <w:r w:rsidRPr="00FA506F">
        <w:rPr>
          <w:lang w:val="es-ES"/>
        </w:rPr>
        <w:t xml:space="preserve"> y de las fiscalías</w:t>
      </w:r>
      <w:r w:rsidR="004D62C8" w:rsidRPr="00FA506F">
        <w:rPr>
          <w:lang w:val="es-ES"/>
        </w:rPr>
        <w:t xml:space="preserve"> </w:t>
      </w:r>
      <w:r w:rsidRPr="00FA506F">
        <w:rPr>
          <w:lang w:val="es-ES"/>
        </w:rPr>
        <w:t>estatale</w:t>
      </w:r>
      <w:r w:rsidR="004D62C8" w:rsidRPr="00FA506F">
        <w:rPr>
          <w:lang w:val="es-ES"/>
        </w:rPr>
        <w:t>s</w:t>
      </w:r>
      <w:r w:rsidR="004D62C8" w:rsidRPr="00FA506F">
        <w:rPr>
          <w:rStyle w:val="FootnoteReference"/>
          <w:lang w:val="es-ES"/>
        </w:rPr>
        <w:footnoteReference w:id="128"/>
      </w:r>
      <w:r w:rsidR="004D62C8" w:rsidRPr="00FA506F">
        <w:rPr>
          <w:lang w:val="es-ES"/>
        </w:rPr>
        <w:t>.</w:t>
      </w:r>
    </w:p>
    <w:p w14:paraId="400B589F" w14:textId="77777777" w:rsidR="00F55FC1" w:rsidRPr="00FA506F" w:rsidRDefault="00F55FC1" w:rsidP="005B2614">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0E539917"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75A63D3B" w14:textId="05716E95" w:rsidR="004D62C8" w:rsidRPr="00FA506F" w:rsidRDefault="004D62C8" w:rsidP="00B80A67">
      <w:pPr>
        <w:pStyle w:val="IAPrrafo"/>
        <w:numPr>
          <w:ilvl w:val="0"/>
          <w:numId w:val="4"/>
        </w:numPr>
        <w:tabs>
          <w:tab w:val="num" w:pos="720"/>
        </w:tabs>
        <w:ind w:firstLine="720"/>
        <w:rPr>
          <w:lang w:val="es-ES"/>
        </w:rPr>
      </w:pPr>
      <w:r w:rsidRPr="00FA506F">
        <w:rPr>
          <w:lang w:val="es-ES"/>
        </w:rPr>
        <w:t xml:space="preserve">La CIDH </w:t>
      </w:r>
      <w:r w:rsidR="000D45E2" w:rsidRPr="00FA506F">
        <w:rPr>
          <w:lang w:val="es-ES"/>
        </w:rPr>
        <w:t xml:space="preserve">advierte </w:t>
      </w:r>
      <w:r w:rsidRPr="00FA506F">
        <w:rPr>
          <w:lang w:val="es-ES"/>
        </w:rPr>
        <w:t xml:space="preserve">con preocupación la información </w:t>
      </w:r>
      <w:r w:rsidR="000D45E2" w:rsidRPr="00FA506F">
        <w:rPr>
          <w:lang w:val="es-ES"/>
        </w:rPr>
        <w:t xml:space="preserve">resaltada </w:t>
      </w:r>
      <w:r w:rsidRPr="00FA506F">
        <w:rPr>
          <w:lang w:val="es-ES"/>
        </w:rPr>
        <w:t>por sociedad civil en cuanto a que el recién creado C</w:t>
      </w:r>
      <w:r w:rsidR="00A047A9" w:rsidRPr="00FA506F">
        <w:rPr>
          <w:lang w:val="es-ES"/>
        </w:rPr>
        <w:t>entro Nacional de Identificación</w:t>
      </w:r>
      <w:r w:rsidRPr="00FA506F">
        <w:rPr>
          <w:lang w:val="es-ES"/>
        </w:rPr>
        <w:t xml:space="preserve"> estaría siendo desmantelado</w:t>
      </w:r>
      <w:r w:rsidR="00BE60B4" w:rsidRPr="00FA506F">
        <w:rPr>
          <w:lang w:val="es-ES"/>
        </w:rPr>
        <w:t xml:space="preserve">, que ha </w:t>
      </w:r>
      <w:r w:rsidR="00403AFE" w:rsidRPr="00FA506F">
        <w:rPr>
          <w:lang w:val="es-ES"/>
        </w:rPr>
        <w:t>habido</w:t>
      </w:r>
      <w:r w:rsidR="00BE60B4" w:rsidRPr="00FA506F">
        <w:rPr>
          <w:lang w:val="es-ES"/>
        </w:rPr>
        <w:t xml:space="preserve"> </w:t>
      </w:r>
      <w:r w:rsidRPr="00FA506F">
        <w:rPr>
          <w:lang w:val="es-ES"/>
        </w:rPr>
        <w:t xml:space="preserve">despidos de personal y </w:t>
      </w:r>
      <w:r w:rsidR="00C63932" w:rsidRPr="00FA506F">
        <w:rPr>
          <w:lang w:val="es-ES"/>
        </w:rPr>
        <w:t xml:space="preserve">que el </w:t>
      </w:r>
      <w:r w:rsidRPr="00FA506F">
        <w:rPr>
          <w:lang w:val="es-ES"/>
        </w:rPr>
        <w:t xml:space="preserve">personal que permanece adscrito </w:t>
      </w:r>
      <w:r w:rsidR="00C63932" w:rsidRPr="00FA506F">
        <w:rPr>
          <w:lang w:val="es-ES"/>
        </w:rPr>
        <w:t>carecería de profesionalización</w:t>
      </w:r>
      <w:r w:rsidRPr="00FA506F">
        <w:rPr>
          <w:lang w:val="es-ES"/>
        </w:rPr>
        <w:t xml:space="preserve">. En 2023, la CIDH </w:t>
      </w:r>
      <w:r w:rsidR="00C63932" w:rsidRPr="00FA506F">
        <w:rPr>
          <w:lang w:val="es-ES"/>
        </w:rPr>
        <w:t xml:space="preserve">ya había </w:t>
      </w:r>
      <w:r w:rsidR="00403AFE" w:rsidRPr="00FA506F">
        <w:rPr>
          <w:lang w:val="es-ES"/>
        </w:rPr>
        <w:t>adelantado que</w:t>
      </w:r>
      <w:r w:rsidR="00A047A9" w:rsidRPr="00FA506F">
        <w:rPr>
          <w:lang w:val="es-ES"/>
        </w:rPr>
        <w:t>,</w:t>
      </w:r>
      <w:r w:rsidR="00403AFE" w:rsidRPr="00FA506F">
        <w:rPr>
          <w:lang w:val="es-ES"/>
        </w:rPr>
        <w:t xml:space="preserve"> para </w:t>
      </w:r>
      <w:r w:rsidRPr="00FA506F">
        <w:rPr>
          <w:lang w:val="es-ES"/>
        </w:rPr>
        <w:t>avanzar en el nivel de cumplimiento de esta recomendación</w:t>
      </w:r>
      <w:r w:rsidR="00A047A9" w:rsidRPr="00FA506F">
        <w:rPr>
          <w:lang w:val="es-ES"/>
        </w:rPr>
        <w:t>,</w:t>
      </w:r>
      <w:r w:rsidR="00403AFE" w:rsidRPr="00FA506F">
        <w:rPr>
          <w:lang w:val="es-ES"/>
        </w:rPr>
        <w:t xml:space="preserve"> era imprescindible fortalecer </w:t>
      </w:r>
      <w:r w:rsidRPr="00FA506F">
        <w:rPr>
          <w:lang w:val="es-ES"/>
        </w:rPr>
        <w:t xml:space="preserve">el </w:t>
      </w:r>
      <w:r w:rsidR="00290A05" w:rsidRPr="00FA506F">
        <w:rPr>
          <w:rFonts w:eastAsia="Cambria" w:cs="Cambria"/>
          <w:color w:val="000000" w:themeColor="text1"/>
          <w:szCs w:val="20"/>
          <w:lang w:val="es-ES"/>
        </w:rPr>
        <w:t xml:space="preserve">Centro </w:t>
      </w:r>
      <w:r w:rsidR="00A047A9" w:rsidRPr="00FA506F">
        <w:rPr>
          <w:rFonts w:eastAsia="Cambria" w:cs="Cambria"/>
          <w:color w:val="000000" w:themeColor="text1"/>
          <w:szCs w:val="20"/>
          <w:lang w:val="es-ES"/>
        </w:rPr>
        <w:t xml:space="preserve">Nacional </w:t>
      </w:r>
      <w:r w:rsidR="00290A05" w:rsidRPr="00FA506F">
        <w:rPr>
          <w:rFonts w:eastAsia="Cambria" w:cs="Cambria"/>
          <w:color w:val="000000" w:themeColor="text1"/>
          <w:szCs w:val="20"/>
          <w:lang w:val="es-ES"/>
        </w:rPr>
        <w:t>de Identificación</w:t>
      </w:r>
      <w:r w:rsidR="009434B8" w:rsidRPr="00FA506F">
        <w:rPr>
          <w:rFonts w:eastAsia="Cambria" w:cs="Cambria"/>
          <w:color w:val="000000" w:themeColor="text1"/>
          <w:szCs w:val="20"/>
          <w:lang w:val="es-ES"/>
        </w:rPr>
        <w:t xml:space="preserve">. </w:t>
      </w:r>
      <w:r w:rsidR="00A11F54" w:rsidRPr="00FA506F">
        <w:rPr>
          <w:lang w:val="es-ES"/>
        </w:rPr>
        <w:t>N</w:t>
      </w:r>
      <w:r w:rsidRPr="00FA506F">
        <w:rPr>
          <w:lang w:val="es-ES"/>
        </w:rPr>
        <w:t xml:space="preserve">o obstante, </w:t>
      </w:r>
      <w:r w:rsidR="000061F4" w:rsidRPr="00FA506F">
        <w:rPr>
          <w:lang w:val="es-ES"/>
        </w:rPr>
        <w:t>de la información disponible no se distinguen nuevas acciones d</w:t>
      </w:r>
      <w:r w:rsidR="00290A05" w:rsidRPr="00FA506F">
        <w:rPr>
          <w:lang w:val="es-ES"/>
        </w:rPr>
        <w:t>e dicho</w:t>
      </w:r>
      <w:r w:rsidR="000061F4" w:rsidRPr="00FA506F">
        <w:rPr>
          <w:lang w:val="es-ES"/>
        </w:rPr>
        <w:t xml:space="preserve"> fortalecimiento</w:t>
      </w:r>
      <w:r w:rsidR="00290A05" w:rsidRPr="00FA506F">
        <w:rPr>
          <w:lang w:val="es-ES"/>
        </w:rPr>
        <w:t xml:space="preserve">, </w:t>
      </w:r>
      <w:r w:rsidR="000061F4" w:rsidRPr="00FA506F">
        <w:rPr>
          <w:lang w:val="es-ES"/>
        </w:rPr>
        <w:t xml:space="preserve">sino solo decisiones que </w:t>
      </w:r>
      <w:r w:rsidR="00C26987" w:rsidRPr="00FA506F">
        <w:rPr>
          <w:lang w:val="es-ES"/>
        </w:rPr>
        <w:t>afectarían</w:t>
      </w:r>
      <w:r w:rsidR="000061F4" w:rsidRPr="00FA506F">
        <w:rPr>
          <w:lang w:val="es-ES"/>
        </w:rPr>
        <w:t xml:space="preserve"> su operación y viabilidad. </w:t>
      </w:r>
      <w:r w:rsidR="00F0078B" w:rsidRPr="00FA506F">
        <w:rPr>
          <w:lang w:val="es-ES"/>
        </w:rPr>
        <w:t xml:space="preserve">Por tanto, la CIDH considera necesario retroceder en el nivel de cumplimiento de esta recomendación a </w:t>
      </w:r>
      <w:r w:rsidR="00F0078B" w:rsidRPr="00FA506F">
        <w:rPr>
          <w:b/>
          <w:bCs/>
          <w:lang w:val="es-ES"/>
        </w:rPr>
        <w:t>cumplimiento parcial.</w:t>
      </w:r>
    </w:p>
    <w:p w14:paraId="76BB310B" w14:textId="77777777" w:rsidR="00F55FC1" w:rsidRPr="00FA506F" w:rsidRDefault="00F55FC1" w:rsidP="005B2614">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065575C0"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12B6A524" w14:textId="2B576E39" w:rsidR="00F0078B" w:rsidRPr="00FA506F" w:rsidRDefault="006F7A01" w:rsidP="00B80A67">
      <w:pPr>
        <w:pStyle w:val="IAPrrafo"/>
        <w:numPr>
          <w:ilvl w:val="0"/>
          <w:numId w:val="4"/>
        </w:numPr>
        <w:tabs>
          <w:tab w:val="num" w:pos="720"/>
        </w:tabs>
        <w:ind w:firstLine="720"/>
        <w:rPr>
          <w:lang w:val="es-ES"/>
        </w:rPr>
      </w:pPr>
      <w:r w:rsidRPr="00FA506F">
        <w:rPr>
          <w:lang w:val="es-ES"/>
        </w:rPr>
        <w:t>El</w:t>
      </w:r>
      <w:r w:rsidR="00F0078B" w:rsidRPr="00FA506F">
        <w:rPr>
          <w:lang w:val="es-ES"/>
        </w:rPr>
        <w:t xml:space="preserve"> cumplimiento de la recomendación en cuestión implica la creación de una institución nacional de servicios forenses independiente de los órganos de procuración de justicia y de administración de justicia y, en su caso, la creación de las instituciones homólogas en el ámbito estatal</w:t>
      </w:r>
      <w:r w:rsidR="00F0078B" w:rsidRPr="00FA506F">
        <w:rPr>
          <w:rStyle w:val="FootnoteReference"/>
          <w:lang w:val="es-ES"/>
        </w:rPr>
        <w:footnoteReference w:id="129"/>
      </w:r>
      <w:r w:rsidR="00F0078B" w:rsidRPr="00FA506F">
        <w:rPr>
          <w:lang w:val="es-ES"/>
        </w:rPr>
        <w:t xml:space="preserve">. </w:t>
      </w:r>
      <w:r w:rsidR="0025113A" w:rsidRPr="00FA506F">
        <w:rPr>
          <w:lang w:val="es-ES"/>
        </w:rPr>
        <w:t xml:space="preserve">En tanto </w:t>
      </w:r>
      <w:r w:rsidR="00F0078B" w:rsidRPr="00FA506F">
        <w:rPr>
          <w:lang w:val="es-ES"/>
        </w:rPr>
        <w:t>los centros de identificación humana apuntaban en esta dirección, la CIDH invita a que el Estado informe sobre su actual operación, funcionamiento y capacidades, aunado al nivel de autonomía que estas instituciones gozan para cumplir el estándar requerido por la recomendación.</w:t>
      </w:r>
    </w:p>
    <w:p w14:paraId="7C629711" w14:textId="577948EF" w:rsidR="00F55FC1" w:rsidRPr="00FA506F" w:rsidRDefault="00F55FC1"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25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Realizar todos los procesos de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exhumación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e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identificación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de restos con apego estricto al trato digno de los familiares de las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víctimas</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por parte de las autoridades de todos los niveles de gobierno involucradas en el proceso. </w:t>
      </w:r>
    </w:p>
    <w:p w14:paraId="5EF3A95A" w14:textId="77777777" w:rsidR="00F55FC1" w:rsidRPr="00FA506F" w:rsidRDefault="00F55FC1" w:rsidP="00B80A67">
      <w:pPr>
        <w:jc w:val="both"/>
        <w:rPr>
          <w:rFonts w:ascii="Cambria" w:eastAsia="Cambria" w:hAnsi="Cambria" w:cs="Cambria"/>
          <w:i/>
          <w:iCs/>
          <w:color w:val="000000" w:themeColor="text1"/>
          <w:sz w:val="20"/>
          <w:szCs w:val="20"/>
          <w:lang w:val="es-ES"/>
        </w:rPr>
      </w:pPr>
    </w:p>
    <w:p w14:paraId="03C4DC7D" w14:textId="57585D6D" w:rsidR="00780614" w:rsidRPr="00616692" w:rsidRDefault="009A6CE3" w:rsidP="00B80A67">
      <w:pPr>
        <w:pStyle w:val="IAPrrafo"/>
        <w:numPr>
          <w:ilvl w:val="0"/>
          <w:numId w:val="4"/>
        </w:numPr>
        <w:tabs>
          <w:tab w:val="num" w:pos="720"/>
        </w:tabs>
        <w:ind w:firstLine="720"/>
        <w:rPr>
          <w:lang w:val="es-ES"/>
        </w:rPr>
      </w:pPr>
      <w:r w:rsidRPr="00FA506F">
        <w:rPr>
          <w:lang w:val="es-ES"/>
        </w:rPr>
        <w:t xml:space="preserve">Para </w:t>
      </w:r>
      <w:r w:rsidR="00F55FC1" w:rsidRPr="00FA506F">
        <w:rPr>
          <w:lang w:val="es-ES"/>
        </w:rPr>
        <w:t>el Capítulo V del Informe Anual de 202</w:t>
      </w:r>
      <w:r w:rsidR="7FEAFA38" w:rsidRPr="00FA506F">
        <w:rPr>
          <w:lang w:val="es-ES"/>
        </w:rPr>
        <w:t>3</w:t>
      </w:r>
      <w:r w:rsidR="00F55FC1" w:rsidRPr="00FA506F">
        <w:rPr>
          <w:lang w:val="es-ES"/>
        </w:rPr>
        <w:t xml:space="preserve">, </w:t>
      </w:r>
      <w:r w:rsidR="3F9BFA03" w:rsidRPr="00FA506F">
        <w:rPr>
          <w:lang w:val="es-ES"/>
        </w:rPr>
        <w:t>la Comisión conoció sobre la aplicación del Protocolo de Identificación de Restos Humanos (PHB) y la Guía Interna de Atención Integral a Víctimas</w:t>
      </w:r>
      <w:r w:rsidR="002A41BA" w:rsidRPr="00FA506F">
        <w:rPr>
          <w:lang w:val="es-ES"/>
        </w:rPr>
        <w:t xml:space="preserve">. </w:t>
      </w:r>
      <w:r w:rsidR="3F9BFA03" w:rsidRPr="00FA506F">
        <w:rPr>
          <w:lang w:val="es-ES"/>
        </w:rPr>
        <w:t xml:space="preserve">La Comisión Forense identificó 72 </w:t>
      </w:r>
      <w:r w:rsidR="00C12852" w:rsidRPr="00FA506F">
        <w:rPr>
          <w:lang w:val="es-ES"/>
        </w:rPr>
        <w:t xml:space="preserve">restos de </w:t>
      </w:r>
      <w:r w:rsidR="3F9BFA03" w:rsidRPr="00FA506F">
        <w:rPr>
          <w:lang w:val="es-ES"/>
        </w:rPr>
        <w:t>migrantes en San Fernando y 96 restos en Cadereyta</w:t>
      </w:r>
      <w:r w:rsidR="00446F81" w:rsidRPr="00FA506F">
        <w:rPr>
          <w:lang w:val="es-ES"/>
        </w:rPr>
        <w:t xml:space="preserve"> y </w:t>
      </w:r>
      <w:r w:rsidR="3F9BFA03" w:rsidRPr="00FA506F">
        <w:rPr>
          <w:lang w:val="es-ES"/>
        </w:rPr>
        <w:t xml:space="preserve">se publicó el Estatuto Orgánico de la FGR, creando la Fiscalía Especial de Investigación de Delitos relacionados con Personas Migrantes y Refugiadas. Las organizaciones de la sociedad civil destacaron la publicación de los nuevos Lineamientos para el Mecanismo de Apoyo Exterior de Búsqueda e Investigación (MAEBI), pero expresaron preocupación por la falta </w:t>
      </w:r>
      <w:r w:rsidR="3F9BFA03" w:rsidRPr="00616692">
        <w:rPr>
          <w:lang w:val="es-ES"/>
        </w:rPr>
        <w:t>de claridad en la coordinación</w:t>
      </w:r>
      <w:r w:rsidR="006B459A" w:rsidRPr="00616692">
        <w:rPr>
          <w:lang w:val="es-ES"/>
        </w:rPr>
        <w:t>;</w:t>
      </w:r>
      <w:r w:rsidR="3F9BFA03" w:rsidRPr="00616692">
        <w:rPr>
          <w:lang w:val="es-ES"/>
        </w:rPr>
        <w:t xml:space="preserve"> y obstáculos enfrentados por la Comisión Forense debido a la falta de apoyo y colaboración. La CIDH saludó los esfuerzos del Estado para el trato digno de las víctimas y consideró que la recomendación avanzaba a cumplimiento parcial, pidiendo al Estado que informe sobre los resultados de la implementación de los protocolos</w:t>
      </w:r>
      <w:r w:rsidR="00F55FC1" w:rsidRPr="00616692">
        <w:rPr>
          <w:rStyle w:val="FootnoteReference"/>
          <w:lang w:val="es-ES"/>
        </w:rPr>
        <w:footnoteReference w:id="130"/>
      </w:r>
      <w:r w:rsidR="00F55FC1" w:rsidRPr="00616692">
        <w:rPr>
          <w:lang w:val="es-ES"/>
        </w:rPr>
        <w:t>.</w:t>
      </w:r>
    </w:p>
    <w:p w14:paraId="10F01C5F" w14:textId="69E0DC7C" w:rsidR="00780614" w:rsidRPr="00616692" w:rsidRDefault="00780614" w:rsidP="005B2614">
      <w:pPr>
        <w:ind w:firstLine="720"/>
        <w:jc w:val="both"/>
        <w:rPr>
          <w:rFonts w:ascii="Cambria" w:eastAsia="Cambria" w:hAnsi="Cambria" w:cs="Cambria"/>
          <w:i/>
          <w:iCs/>
          <w:color w:val="000000" w:themeColor="text1"/>
          <w:sz w:val="20"/>
          <w:szCs w:val="20"/>
          <w:lang w:val="es-ES"/>
        </w:rPr>
      </w:pPr>
      <w:r w:rsidRPr="00616692">
        <w:rPr>
          <w:rFonts w:ascii="Cambria" w:eastAsia="Cambria" w:hAnsi="Cambria" w:cs="Cambria"/>
          <w:i/>
          <w:iCs/>
          <w:color w:val="000000" w:themeColor="text1"/>
          <w:sz w:val="20"/>
          <w:szCs w:val="20"/>
          <w:lang w:val="es-ES"/>
        </w:rPr>
        <w:t>Información sobre el cumplimiento</w:t>
      </w:r>
    </w:p>
    <w:p w14:paraId="698195A4" w14:textId="77777777" w:rsidR="00780614" w:rsidRPr="00616692" w:rsidRDefault="00780614" w:rsidP="00B80A67">
      <w:pPr>
        <w:ind w:firstLine="360"/>
        <w:jc w:val="both"/>
        <w:rPr>
          <w:rFonts w:ascii="Cambria" w:eastAsia="Cambria" w:hAnsi="Cambria" w:cs="Cambria"/>
          <w:i/>
          <w:iCs/>
          <w:color w:val="000000" w:themeColor="text1"/>
          <w:sz w:val="20"/>
          <w:szCs w:val="20"/>
          <w:lang w:val="es-ES"/>
        </w:rPr>
      </w:pPr>
    </w:p>
    <w:p w14:paraId="5C0C6335" w14:textId="74F761F8" w:rsidR="00AB6367" w:rsidRPr="00616692" w:rsidRDefault="00F0078B" w:rsidP="00AB6367">
      <w:pPr>
        <w:pStyle w:val="IAPrrafo"/>
        <w:numPr>
          <w:ilvl w:val="0"/>
          <w:numId w:val="4"/>
        </w:numPr>
        <w:tabs>
          <w:tab w:val="num" w:pos="720"/>
        </w:tabs>
        <w:ind w:firstLine="720"/>
        <w:rPr>
          <w:lang w:val="es-ES"/>
        </w:rPr>
      </w:pPr>
      <w:r w:rsidRPr="00616692">
        <w:rPr>
          <w:lang w:val="es-ES"/>
        </w:rPr>
        <w:t xml:space="preserve">En 2024, el Estado </w:t>
      </w:r>
      <w:r w:rsidR="00BE6519" w:rsidRPr="00616692">
        <w:rPr>
          <w:lang w:val="es-ES"/>
        </w:rPr>
        <w:t>refirió</w:t>
      </w:r>
      <w:r w:rsidRPr="00616692">
        <w:rPr>
          <w:lang w:val="es-ES"/>
        </w:rPr>
        <w:t xml:space="preserve"> que el </w:t>
      </w:r>
      <w:r w:rsidR="004C46C8" w:rsidRPr="00616692">
        <w:rPr>
          <w:lang w:val="es-ES"/>
        </w:rPr>
        <w:t xml:space="preserve">trato digno de los familiares en los procesos de exhumación e identificación es una prioridad para la </w:t>
      </w:r>
      <w:r w:rsidRPr="00616692">
        <w:rPr>
          <w:lang w:val="es-ES"/>
        </w:rPr>
        <w:t xml:space="preserve">CNB. </w:t>
      </w:r>
      <w:r w:rsidR="008C2DA5" w:rsidRPr="00616692">
        <w:rPr>
          <w:lang w:val="es-ES"/>
        </w:rPr>
        <w:t>El Estado</w:t>
      </w:r>
      <w:r w:rsidRPr="00616692">
        <w:rPr>
          <w:lang w:val="es-ES"/>
        </w:rPr>
        <w:t xml:space="preserve"> informó que, en la </w:t>
      </w:r>
      <w:r w:rsidR="004C46C8" w:rsidRPr="00616692">
        <w:rPr>
          <w:lang w:val="es-ES"/>
        </w:rPr>
        <w:t xml:space="preserve">Tercera Sesión Ordinaria 2024 del </w:t>
      </w:r>
      <w:r w:rsidR="00AE1E3A" w:rsidRPr="00616692">
        <w:rPr>
          <w:lang w:val="es-ES"/>
        </w:rPr>
        <w:t>SNB</w:t>
      </w:r>
      <w:r w:rsidR="004C46C8" w:rsidRPr="00616692">
        <w:rPr>
          <w:lang w:val="es-ES"/>
        </w:rPr>
        <w:t>, se subrayó que en esta administración se ha</w:t>
      </w:r>
      <w:r w:rsidRPr="00616692">
        <w:rPr>
          <w:lang w:val="es-ES"/>
        </w:rPr>
        <w:t>bría</w:t>
      </w:r>
      <w:r w:rsidR="004C46C8" w:rsidRPr="00616692">
        <w:rPr>
          <w:lang w:val="es-ES"/>
        </w:rPr>
        <w:t xml:space="preserve"> dejado de ver a las víctimas de desaparición como simples estadísticas, reconociendo sus historias y familias</w:t>
      </w:r>
      <w:r w:rsidRPr="00616692">
        <w:rPr>
          <w:lang w:val="es-ES"/>
        </w:rPr>
        <w:t>. Finalmente, el Estado reportó datos relacionados con el número de búsquedas y reuniones con colectivos y familiares</w:t>
      </w:r>
      <w:r w:rsidR="00BB4DC8" w:rsidRPr="00616692">
        <w:rPr>
          <w:rStyle w:val="FootnoteReference"/>
          <w:lang w:val="es-ES"/>
        </w:rPr>
        <w:footnoteReference w:id="131"/>
      </w:r>
      <w:r w:rsidRPr="00616692">
        <w:rPr>
          <w:lang w:val="es-ES"/>
        </w:rPr>
        <w:t>.</w:t>
      </w:r>
      <w:r w:rsidR="00AB6367" w:rsidRPr="00616692">
        <w:rPr>
          <w:lang w:val="es-ES"/>
        </w:rPr>
        <w:t xml:space="preserve"> El Estado agregó en sus observaciones al presente Informe que, de un total de 72 restos de personas migrantes localizados en San Fernando, la Comisión Forense ha logrado identificar tres. Asimismo, respecto a los restos identificados en Cadereyta, dicha Comisión ha confirmado la identidad de 17</w:t>
      </w:r>
      <w:r w:rsidR="00AB6367" w:rsidRPr="00616692">
        <w:rPr>
          <w:rStyle w:val="FootnoteReference"/>
          <w:lang w:val="es-ES"/>
        </w:rPr>
        <w:footnoteReference w:id="132"/>
      </w:r>
      <w:r w:rsidR="00AB6367" w:rsidRPr="00616692">
        <w:rPr>
          <w:lang w:val="es-ES"/>
        </w:rPr>
        <w:t>.</w:t>
      </w:r>
    </w:p>
    <w:p w14:paraId="614404D0" w14:textId="77777777" w:rsidR="00F55FC1" w:rsidRPr="00FA506F" w:rsidRDefault="00F55FC1" w:rsidP="001E133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09799581"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3E1E179C" w14:textId="542C4ABC" w:rsidR="4A43AF5E" w:rsidRPr="00FA506F" w:rsidRDefault="00F0078B" w:rsidP="00B80A67">
      <w:pPr>
        <w:pStyle w:val="IAPrrafo"/>
        <w:numPr>
          <w:ilvl w:val="0"/>
          <w:numId w:val="4"/>
        </w:numPr>
        <w:tabs>
          <w:tab w:val="num" w:pos="720"/>
        </w:tabs>
        <w:ind w:firstLine="720"/>
        <w:rPr>
          <w:b/>
          <w:bCs/>
          <w:lang w:val="es-ES"/>
        </w:rPr>
      </w:pPr>
      <w:r w:rsidRPr="00FA506F">
        <w:rPr>
          <w:lang w:val="es-ES"/>
        </w:rPr>
        <w:t xml:space="preserve">La Comisión considera necesario insistir en que la información </w:t>
      </w:r>
      <w:r w:rsidR="00511C61" w:rsidRPr="00FA506F">
        <w:rPr>
          <w:lang w:val="es-ES"/>
        </w:rPr>
        <w:t xml:space="preserve">aportada </w:t>
      </w:r>
      <w:r w:rsidRPr="00FA506F">
        <w:rPr>
          <w:lang w:val="es-ES"/>
        </w:rPr>
        <w:t xml:space="preserve">se relacione con medidas y/o acciones específicas para el cumplimiento de la recomendación. En ese sentido, si bien </w:t>
      </w:r>
      <w:r w:rsidR="00511C61" w:rsidRPr="00FA506F">
        <w:rPr>
          <w:lang w:val="es-ES"/>
        </w:rPr>
        <w:t xml:space="preserve">priorizar </w:t>
      </w:r>
      <w:r w:rsidRPr="00FA506F">
        <w:rPr>
          <w:lang w:val="es-ES"/>
        </w:rPr>
        <w:t xml:space="preserve">el trato digno </w:t>
      </w:r>
      <w:r w:rsidR="00F5088E" w:rsidRPr="00FA506F">
        <w:rPr>
          <w:lang w:val="es-ES"/>
        </w:rPr>
        <w:t xml:space="preserve">con las familias y las víctimas y </w:t>
      </w:r>
      <w:r w:rsidRPr="00FA506F">
        <w:rPr>
          <w:lang w:val="es-ES"/>
        </w:rPr>
        <w:t>expresar que las víctimas no son una estadística se valora</w:t>
      </w:r>
      <w:r w:rsidR="00F278E6" w:rsidRPr="00FA506F">
        <w:rPr>
          <w:lang w:val="es-ES"/>
        </w:rPr>
        <w:t>n</w:t>
      </w:r>
      <w:r w:rsidRPr="00FA506F">
        <w:rPr>
          <w:lang w:val="es-ES"/>
        </w:rPr>
        <w:t xml:space="preserve"> como declaraciones positivas, el Estado no reporta acciones concretas a partir de las cuales se podría verificar que en procesos de exhumación e identificación se garantice un trato digno. Por tanto, en ausencia de información tangible, la recomendación se mantiene en </w:t>
      </w:r>
      <w:r w:rsidRPr="00FA506F">
        <w:rPr>
          <w:b/>
          <w:bCs/>
          <w:lang w:val="es-ES"/>
        </w:rPr>
        <w:t>cumplimiento parcial.</w:t>
      </w:r>
    </w:p>
    <w:p w14:paraId="14D406BF" w14:textId="77777777" w:rsidR="00F55FC1" w:rsidRPr="00FA506F" w:rsidRDefault="00F55FC1" w:rsidP="00CF12A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25138EA7" w14:textId="77777777" w:rsidR="00F55FC1" w:rsidRPr="00FA506F" w:rsidRDefault="00F55FC1" w:rsidP="00B80A67">
      <w:pPr>
        <w:ind w:firstLine="360"/>
        <w:jc w:val="both"/>
        <w:rPr>
          <w:rFonts w:ascii="Cambria" w:eastAsia="Cambria" w:hAnsi="Cambria" w:cs="Cambria"/>
          <w:i/>
          <w:iCs/>
          <w:color w:val="000000" w:themeColor="text1"/>
          <w:sz w:val="20"/>
          <w:szCs w:val="20"/>
          <w:lang w:val="es-ES"/>
        </w:rPr>
      </w:pPr>
    </w:p>
    <w:p w14:paraId="69466CE0" w14:textId="5E9BC8A1" w:rsidR="00F0078B" w:rsidRPr="00FA506F" w:rsidRDefault="00F0078B" w:rsidP="00B80A67">
      <w:pPr>
        <w:pStyle w:val="IAPrrafo"/>
        <w:numPr>
          <w:ilvl w:val="0"/>
          <w:numId w:val="4"/>
        </w:numPr>
        <w:tabs>
          <w:tab w:val="num" w:pos="720"/>
        </w:tabs>
        <w:ind w:firstLine="720"/>
        <w:rPr>
          <w:lang w:val="es-ES"/>
        </w:rPr>
      </w:pPr>
      <w:r w:rsidRPr="00FA506F">
        <w:rPr>
          <w:lang w:val="es-ES"/>
        </w:rPr>
        <w:t>Para guiar la implementación de esta recomendación, la CIDH invita al Estado a adoptar y reportar medidas y/o acciones concretas que garanticen resultados de la implementación de sus protocolos en materia de restitución digna de restos humanos a las familias y a informar a la Comisión sobre estos avances.</w:t>
      </w:r>
    </w:p>
    <w:p w14:paraId="10C6FF47" w14:textId="5262FAB2" w:rsidR="00F55FC1" w:rsidRPr="00FA506F" w:rsidRDefault="00F55FC1"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26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Continuar y profundizar el trabajo de la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Comisión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Forense para la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Identificación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de Restos en los casos que se encuentren en las rutas de migrantes. Adoptar las medidas que sean necesarias para la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creación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del Mecanismo Transnacional de Acceso a la Justicia para Migrantes y sus Familias,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as</w:t>
      </w:r>
      <w:r w:rsidR="004D7F70"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í</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como la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creación</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de una </w:t>
      </w:r>
      <w:r w:rsidR="002C6673"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Fiscalía</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Especial para los Delitos de Violencia contra Personas Migrantes a nivel federal. </w:t>
      </w:r>
    </w:p>
    <w:p w14:paraId="2E090E48" w14:textId="77777777" w:rsidR="00F55FC1" w:rsidRPr="00FA506F" w:rsidRDefault="00F55FC1" w:rsidP="00B80A67">
      <w:pPr>
        <w:jc w:val="both"/>
        <w:rPr>
          <w:rFonts w:ascii="Cambria" w:eastAsia="Cambria" w:hAnsi="Cambria" w:cs="Cambria"/>
          <w:i/>
          <w:iCs/>
          <w:color w:val="000000" w:themeColor="text1"/>
          <w:sz w:val="20"/>
          <w:szCs w:val="20"/>
          <w:lang w:val="es-ES"/>
        </w:rPr>
      </w:pPr>
    </w:p>
    <w:p w14:paraId="58AA5149" w14:textId="3013A26F" w:rsidR="00C15897" w:rsidRPr="00FA506F" w:rsidRDefault="006D60C0" w:rsidP="00B80A67">
      <w:pPr>
        <w:pStyle w:val="IAPrrafo"/>
        <w:numPr>
          <w:ilvl w:val="0"/>
          <w:numId w:val="4"/>
        </w:numPr>
        <w:tabs>
          <w:tab w:val="num" w:pos="720"/>
        </w:tabs>
        <w:ind w:firstLine="720"/>
        <w:rPr>
          <w:lang w:val="es-ES"/>
        </w:rPr>
      </w:pPr>
      <w:r w:rsidRPr="00FA506F">
        <w:rPr>
          <w:lang w:val="es-ES"/>
        </w:rPr>
        <w:t xml:space="preserve">Para </w:t>
      </w:r>
      <w:r w:rsidR="00F55FC1" w:rsidRPr="00FA506F">
        <w:rPr>
          <w:lang w:val="es-ES"/>
        </w:rPr>
        <w:t>el Capítulo V del Informe Anual de 202</w:t>
      </w:r>
      <w:r w:rsidR="2CCA00A7" w:rsidRPr="00FA506F">
        <w:rPr>
          <w:lang w:val="es-ES"/>
        </w:rPr>
        <w:t>3</w:t>
      </w:r>
      <w:r w:rsidR="00F55FC1" w:rsidRPr="00FA506F">
        <w:rPr>
          <w:lang w:val="es-ES"/>
        </w:rPr>
        <w:t>, el Estado</w:t>
      </w:r>
      <w:r w:rsidR="15BEF737" w:rsidRPr="00FA506F">
        <w:rPr>
          <w:lang w:val="es-ES"/>
        </w:rPr>
        <w:t xml:space="preserve"> reiteró la aprobación en 2022 de los Lineamientos del </w:t>
      </w:r>
      <w:r w:rsidR="002A41BA" w:rsidRPr="00FA506F">
        <w:rPr>
          <w:lang w:val="es-ES"/>
        </w:rPr>
        <w:t>Mecanismo de Apoyo Exterior de Búsqueda e Investigación</w:t>
      </w:r>
      <w:r w:rsidR="15BEF737" w:rsidRPr="00FA506F">
        <w:rPr>
          <w:lang w:val="es-ES"/>
        </w:rPr>
        <w:t xml:space="preserve"> </w:t>
      </w:r>
      <w:r w:rsidR="00A047A9" w:rsidRPr="00FA506F">
        <w:rPr>
          <w:lang w:val="es-ES"/>
        </w:rPr>
        <w:t xml:space="preserve">(MAEBI) </w:t>
      </w:r>
      <w:r w:rsidR="15BEF737" w:rsidRPr="00FA506F">
        <w:rPr>
          <w:lang w:val="es-ES"/>
        </w:rPr>
        <w:t xml:space="preserve">por el </w:t>
      </w:r>
      <w:r w:rsidR="00AE1E3A" w:rsidRPr="00FA506F">
        <w:rPr>
          <w:lang w:val="es-ES"/>
        </w:rPr>
        <w:t>S</w:t>
      </w:r>
      <w:r w:rsidR="002A41BA" w:rsidRPr="00FA506F">
        <w:rPr>
          <w:lang w:val="es-ES"/>
        </w:rPr>
        <w:t xml:space="preserve">istema </w:t>
      </w:r>
      <w:r w:rsidR="00AE1E3A" w:rsidRPr="00FA506F">
        <w:rPr>
          <w:lang w:val="es-ES"/>
        </w:rPr>
        <w:t>N</w:t>
      </w:r>
      <w:r w:rsidR="002A41BA" w:rsidRPr="00FA506F">
        <w:rPr>
          <w:lang w:val="es-ES"/>
        </w:rPr>
        <w:t>acional de Búsqueda</w:t>
      </w:r>
      <w:r w:rsidR="00AE1E3A" w:rsidRPr="00FA506F">
        <w:rPr>
          <w:lang w:val="es-ES"/>
        </w:rPr>
        <w:t>.</w:t>
      </w:r>
      <w:r w:rsidR="15BEF737" w:rsidRPr="00FA506F">
        <w:rPr>
          <w:lang w:val="es-ES"/>
        </w:rPr>
        <w:t xml:space="preserve"> Estos lineamientos permiten que embajadas, consulados y agregadurías de México actúen como puntos de contacto para las familias de personas desaparecidas en el extranjero, facilitando la denuncia de desapariciones y la obtención de información desde sus países de residencia. La CIDH valoró positivamente estos lineamientos para mejorar la coordinación y cooperación en la búsqueda de personas migrantes desaparecidas, pero consideró que la recomendación contin</w:t>
      </w:r>
      <w:r w:rsidR="003C7DC3" w:rsidRPr="00FA506F">
        <w:rPr>
          <w:lang w:val="es-ES"/>
        </w:rPr>
        <w:t>uab</w:t>
      </w:r>
      <w:r w:rsidR="15BEF737" w:rsidRPr="00FA506F">
        <w:rPr>
          <w:lang w:val="es-ES"/>
        </w:rPr>
        <w:t>a parcialmente cumplida debido a la falta de información adicional sobre la efectividad del MAEBI, la Comisión Forense y la Fiscalía Especial. La CIDH pidió información actualizada sobre la implementación y el funcionamiento de estas entidades para evaluar el cumplimiento de la recomendación</w:t>
      </w:r>
      <w:r w:rsidR="00F55FC1" w:rsidRPr="00FA506F">
        <w:rPr>
          <w:rStyle w:val="FootnoteReference"/>
          <w:lang w:val="es-ES"/>
        </w:rPr>
        <w:footnoteReference w:id="133"/>
      </w:r>
      <w:r w:rsidR="00780614" w:rsidRPr="00FA506F">
        <w:rPr>
          <w:lang w:val="es-ES"/>
        </w:rPr>
        <w:t>.</w:t>
      </w:r>
    </w:p>
    <w:p w14:paraId="18419802" w14:textId="1C2D9F94" w:rsidR="00780614" w:rsidRPr="00FA506F" w:rsidRDefault="00780614" w:rsidP="001E133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13F7F4B7" w14:textId="77777777" w:rsidR="00780614" w:rsidRPr="00FA506F" w:rsidRDefault="00780614" w:rsidP="00B80A67">
      <w:pPr>
        <w:ind w:firstLine="360"/>
        <w:jc w:val="both"/>
        <w:rPr>
          <w:rFonts w:ascii="Cambria" w:eastAsia="Cambria" w:hAnsi="Cambria" w:cs="Cambria"/>
          <w:i/>
          <w:iCs/>
          <w:color w:val="000000" w:themeColor="text1"/>
          <w:sz w:val="20"/>
          <w:szCs w:val="20"/>
          <w:lang w:val="es-ES"/>
        </w:rPr>
      </w:pPr>
    </w:p>
    <w:p w14:paraId="7F53CBD8" w14:textId="1F753BDC" w:rsidR="00BC6EEA" w:rsidRPr="00FA506F" w:rsidRDefault="00F0078B" w:rsidP="001E133B">
      <w:pPr>
        <w:pStyle w:val="IAPrrafo"/>
        <w:numPr>
          <w:ilvl w:val="0"/>
          <w:numId w:val="4"/>
        </w:numPr>
        <w:tabs>
          <w:tab w:val="num" w:pos="720"/>
        </w:tabs>
        <w:ind w:firstLine="720"/>
        <w:rPr>
          <w:rFonts w:eastAsia="Cambria" w:cs="Cambria"/>
          <w:i/>
          <w:iCs/>
          <w:color w:val="000000" w:themeColor="text1"/>
          <w:szCs w:val="20"/>
          <w:lang w:val="es-ES"/>
        </w:rPr>
      </w:pPr>
      <w:r w:rsidRPr="00FA506F">
        <w:rPr>
          <w:lang w:val="es-ES"/>
        </w:rPr>
        <w:t>En 2024, el Estado expresó que l</w:t>
      </w:r>
      <w:r w:rsidR="004C46C8" w:rsidRPr="00FA506F">
        <w:rPr>
          <w:lang w:val="es-ES"/>
        </w:rPr>
        <w:t xml:space="preserve">as personas migrantes tienen derecho al acceso a la justicia, independientemente de su nacionalidad o condición migratoria. </w:t>
      </w:r>
      <w:r w:rsidRPr="00FA506F">
        <w:rPr>
          <w:lang w:val="es-ES"/>
        </w:rPr>
        <w:t>Así, l</w:t>
      </w:r>
      <w:r w:rsidR="004C46C8" w:rsidRPr="00FA506F">
        <w:rPr>
          <w:lang w:val="es-ES"/>
        </w:rPr>
        <w:t>a Fiscalía Especializada en Delitos en Materia de Migración (FEDPMR) de la F</w:t>
      </w:r>
      <w:r w:rsidR="002A41BA" w:rsidRPr="00FA506F">
        <w:rPr>
          <w:lang w:val="es-ES"/>
        </w:rPr>
        <w:t xml:space="preserve">iscalía </w:t>
      </w:r>
      <w:r w:rsidR="004C46C8" w:rsidRPr="00FA506F">
        <w:rPr>
          <w:lang w:val="es-ES"/>
        </w:rPr>
        <w:t>G</w:t>
      </w:r>
      <w:r w:rsidR="002A41BA" w:rsidRPr="00FA506F">
        <w:rPr>
          <w:lang w:val="es-ES"/>
        </w:rPr>
        <w:t xml:space="preserve">eneral de la </w:t>
      </w:r>
      <w:r w:rsidR="004C46C8" w:rsidRPr="00FA506F">
        <w:rPr>
          <w:lang w:val="es-ES"/>
        </w:rPr>
        <w:t>R</w:t>
      </w:r>
      <w:r w:rsidR="002A41BA" w:rsidRPr="00FA506F">
        <w:rPr>
          <w:lang w:val="es-ES"/>
        </w:rPr>
        <w:t>epública</w:t>
      </w:r>
      <w:r w:rsidR="004C46C8" w:rsidRPr="00FA506F">
        <w:rPr>
          <w:lang w:val="es-ES"/>
        </w:rPr>
        <w:t xml:space="preserve"> se encarga de investigar y perseguir delitos federales cometidos en contra de migrantes, </w:t>
      </w:r>
      <w:r w:rsidR="00A047A9" w:rsidRPr="00FA506F">
        <w:rPr>
          <w:lang w:val="es-ES"/>
        </w:rPr>
        <w:t xml:space="preserve">y </w:t>
      </w:r>
      <w:r w:rsidR="004C46C8" w:rsidRPr="00FA506F">
        <w:rPr>
          <w:lang w:val="es-ES"/>
        </w:rPr>
        <w:t xml:space="preserve">de coordinar acciones para la reparación del daño a las víctimas. </w:t>
      </w:r>
      <w:r w:rsidR="003C7DC3" w:rsidRPr="00FA506F">
        <w:rPr>
          <w:lang w:val="es-ES"/>
        </w:rPr>
        <w:t>México resaltó</w:t>
      </w:r>
      <w:r w:rsidR="009463D2" w:rsidRPr="00FA506F">
        <w:rPr>
          <w:lang w:val="es-ES"/>
        </w:rPr>
        <w:t xml:space="preserve"> que a</w:t>
      </w:r>
      <w:r w:rsidR="004C46C8" w:rsidRPr="00FA506F">
        <w:rPr>
          <w:lang w:val="es-ES"/>
        </w:rPr>
        <w:t>ctualmente hay ocho estados con Fiscalías Especializadas en Atención a Personas Migrantes</w:t>
      </w:r>
      <w:r w:rsidR="00446F81" w:rsidRPr="00FA506F">
        <w:rPr>
          <w:lang w:val="es-ES"/>
        </w:rPr>
        <w:t>. El Estado</w:t>
      </w:r>
      <w:r w:rsidR="00BC6EEA" w:rsidRPr="00FA506F">
        <w:rPr>
          <w:lang w:val="es-ES"/>
        </w:rPr>
        <w:t xml:space="preserve"> informó que l</w:t>
      </w:r>
      <w:r w:rsidR="004C46C8" w:rsidRPr="00FA506F">
        <w:rPr>
          <w:lang w:val="es-ES"/>
        </w:rPr>
        <w:t xml:space="preserve">a Unidad de Asesoría Jurídica del </w:t>
      </w:r>
      <w:r w:rsidR="00BC6EEA" w:rsidRPr="00FA506F">
        <w:rPr>
          <w:lang w:val="es-ES"/>
        </w:rPr>
        <w:t>I</w:t>
      </w:r>
      <w:r w:rsidR="002A41BA" w:rsidRPr="00FA506F">
        <w:rPr>
          <w:lang w:val="es-ES"/>
        </w:rPr>
        <w:t xml:space="preserve">nstituto </w:t>
      </w:r>
      <w:r w:rsidR="00BC6EEA" w:rsidRPr="00FA506F">
        <w:rPr>
          <w:lang w:val="es-ES"/>
        </w:rPr>
        <w:t>F</w:t>
      </w:r>
      <w:r w:rsidR="002A41BA" w:rsidRPr="00FA506F">
        <w:rPr>
          <w:lang w:val="es-ES"/>
        </w:rPr>
        <w:t xml:space="preserve">ederal de la </w:t>
      </w:r>
      <w:r w:rsidR="00BC6EEA" w:rsidRPr="00FA506F">
        <w:rPr>
          <w:lang w:val="es-ES"/>
        </w:rPr>
        <w:t>D</w:t>
      </w:r>
      <w:r w:rsidR="002A41BA" w:rsidRPr="00FA506F">
        <w:rPr>
          <w:lang w:val="es-ES"/>
        </w:rPr>
        <w:t xml:space="preserve">efensoría </w:t>
      </w:r>
      <w:r w:rsidR="00BC6EEA" w:rsidRPr="00FA506F">
        <w:rPr>
          <w:lang w:val="es-ES"/>
        </w:rPr>
        <w:t>P</w:t>
      </w:r>
      <w:r w:rsidR="002A41BA" w:rsidRPr="00FA506F">
        <w:rPr>
          <w:lang w:val="es-ES"/>
        </w:rPr>
        <w:t>ública</w:t>
      </w:r>
      <w:r w:rsidR="00A047A9" w:rsidRPr="00FA506F">
        <w:rPr>
          <w:lang w:val="es-ES"/>
        </w:rPr>
        <w:t>, además,</w:t>
      </w:r>
      <w:r w:rsidR="00BC6EEA" w:rsidRPr="00FA506F">
        <w:rPr>
          <w:lang w:val="es-ES"/>
        </w:rPr>
        <w:t xml:space="preserve"> </w:t>
      </w:r>
      <w:r w:rsidR="004C46C8" w:rsidRPr="00FA506F">
        <w:rPr>
          <w:lang w:val="es-ES"/>
        </w:rPr>
        <w:t xml:space="preserve">ofrece servicios especializados para migrantes y asuntos laborales. </w:t>
      </w:r>
      <w:r w:rsidR="00BC6EEA" w:rsidRPr="00FA506F">
        <w:rPr>
          <w:lang w:val="es-ES"/>
        </w:rPr>
        <w:t xml:space="preserve">El Estado </w:t>
      </w:r>
      <w:r w:rsidR="00C90098" w:rsidRPr="00FA506F">
        <w:rPr>
          <w:lang w:val="es-ES"/>
        </w:rPr>
        <w:t>recordó</w:t>
      </w:r>
      <w:r w:rsidR="00BC6EEA" w:rsidRPr="00FA506F">
        <w:rPr>
          <w:lang w:val="es-ES"/>
        </w:rPr>
        <w:t xml:space="preserve"> que, e</w:t>
      </w:r>
      <w:r w:rsidR="004C46C8" w:rsidRPr="00FA506F">
        <w:rPr>
          <w:lang w:val="es-ES"/>
        </w:rPr>
        <w:t xml:space="preserve">n mayo de 2022, se </w:t>
      </w:r>
      <w:r w:rsidR="00C90098" w:rsidRPr="00FA506F">
        <w:rPr>
          <w:lang w:val="es-ES"/>
        </w:rPr>
        <w:t xml:space="preserve">había establecido </w:t>
      </w:r>
      <w:r w:rsidR="004C46C8" w:rsidRPr="00FA506F">
        <w:rPr>
          <w:lang w:val="es-ES"/>
        </w:rPr>
        <w:t xml:space="preserve">la Mesa de Búsqueda de Personas Migrantes Desaparecidas, la cual ha coordinado esfuerzos con autoridades de Honduras y varios países de América Latina para la búsqueda de personas desaparecidas en tránsito por México. </w:t>
      </w:r>
      <w:r w:rsidR="006B4F48" w:rsidRPr="00FA506F">
        <w:rPr>
          <w:lang w:val="es-ES"/>
        </w:rPr>
        <w:t>El Estado</w:t>
      </w:r>
      <w:r w:rsidR="00C90098" w:rsidRPr="00FA506F">
        <w:rPr>
          <w:lang w:val="es-ES"/>
        </w:rPr>
        <w:t xml:space="preserve"> aclaró que e</w:t>
      </w:r>
      <w:r w:rsidR="004C46C8" w:rsidRPr="00FA506F">
        <w:rPr>
          <w:lang w:val="es-ES"/>
        </w:rPr>
        <w:t>l MAEB</w:t>
      </w:r>
      <w:r w:rsidR="00AE1E3A" w:rsidRPr="00FA506F">
        <w:rPr>
          <w:lang w:val="es-ES"/>
        </w:rPr>
        <w:t>I</w:t>
      </w:r>
      <w:r w:rsidR="004C46C8" w:rsidRPr="00FA506F">
        <w:rPr>
          <w:lang w:val="es-ES"/>
        </w:rPr>
        <w:t xml:space="preserve"> fue </w:t>
      </w:r>
      <w:r w:rsidR="00DC5755" w:rsidRPr="00FA506F">
        <w:rPr>
          <w:lang w:val="es-ES"/>
        </w:rPr>
        <w:t>creado</w:t>
      </w:r>
      <w:r w:rsidR="004C46C8" w:rsidRPr="00FA506F">
        <w:rPr>
          <w:lang w:val="es-ES"/>
        </w:rPr>
        <w:t xml:space="preserve"> para fortalecer la colaboración entre diversas autoridades mexicanas y sus contrapartes en el extranjero</w:t>
      </w:r>
      <w:r w:rsidR="00BB4DC8" w:rsidRPr="00FA506F">
        <w:rPr>
          <w:rStyle w:val="FootnoteReference"/>
          <w:lang w:val="es-ES"/>
        </w:rPr>
        <w:footnoteReference w:id="134"/>
      </w:r>
      <w:r w:rsidR="004C46C8" w:rsidRPr="00FA506F">
        <w:rPr>
          <w:lang w:val="es-ES"/>
        </w:rPr>
        <w:t xml:space="preserve">. </w:t>
      </w:r>
    </w:p>
    <w:p w14:paraId="3D410E85" w14:textId="6F86379E" w:rsidR="00BC6EEA" w:rsidRPr="00FA506F" w:rsidRDefault="00BC6EEA" w:rsidP="001E133B">
      <w:pPr>
        <w:pStyle w:val="IAPrrafo"/>
        <w:numPr>
          <w:ilvl w:val="0"/>
          <w:numId w:val="4"/>
        </w:numPr>
        <w:tabs>
          <w:tab w:val="num" w:pos="720"/>
        </w:tabs>
        <w:ind w:firstLine="720"/>
        <w:rPr>
          <w:rFonts w:eastAsia="Cambria" w:cs="Cambria"/>
          <w:color w:val="000000" w:themeColor="text1"/>
          <w:szCs w:val="20"/>
          <w:lang w:val="es-ES"/>
        </w:rPr>
      </w:pPr>
      <w:r w:rsidRPr="00FA506F">
        <w:rPr>
          <w:lang w:val="es-ES"/>
        </w:rPr>
        <w:t xml:space="preserve">Por su parte, organizaciones de la sociedad civil refirieron que los Lineamientos del </w:t>
      </w:r>
      <w:r w:rsidR="00AE1E3A" w:rsidRPr="00FA506F">
        <w:rPr>
          <w:lang w:val="es-ES"/>
        </w:rPr>
        <w:t>MAEBI</w:t>
      </w:r>
      <w:r w:rsidRPr="00FA506F">
        <w:rPr>
          <w:lang w:val="es-ES"/>
        </w:rPr>
        <w:t>, publicados en</w:t>
      </w:r>
      <w:r w:rsidRPr="00FA506F">
        <w:rPr>
          <w:rFonts w:eastAsia="Cambria" w:cs="Cambria"/>
          <w:color w:val="000000" w:themeColor="text1"/>
          <w:szCs w:val="20"/>
          <w:lang w:val="es-ES"/>
        </w:rPr>
        <w:t xml:space="preserve"> </w:t>
      </w:r>
      <w:r w:rsidRPr="00FA506F">
        <w:rPr>
          <w:lang w:val="es-ES"/>
        </w:rPr>
        <w:t>el Diario Oficial de la Federación el 14 de diciembre de 2022, constituirían una medida adecuada</w:t>
      </w:r>
      <w:r w:rsidRPr="00FA506F">
        <w:rPr>
          <w:rFonts w:eastAsia="Cambria" w:cs="Cambria"/>
          <w:color w:val="000000" w:themeColor="text1"/>
          <w:szCs w:val="20"/>
          <w:lang w:val="es-ES"/>
        </w:rPr>
        <w:t xml:space="preserve"> para garantizar la implementación y efectividad del MAEBI. Lo anterior, dado que </w:t>
      </w:r>
      <w:r w:rsidR="00BC090D" w:rsidRPr="00FA506F">
        <w:rPr>
          <w:rFonts w:eastAsia="Cambria" w:cs="Cambria"/>
          <w:color w:val="000000" w:themeColor="text1"/>
          <w:szCs w:val="20"/>
          <w:lang w:val="es-ES"/>
        </w:rPr>
        <w:t xml:space="preserve">explicitan </w:t>
      </w:r>
      <w:r w:rsidRPr="00FA506F">
        <w:rPr>
          <w:rFonts w:eastAsia="Cambria" w:cs="Cambria"/>
          <w:color w:val="000000" w:themeColor="text1"/>
          <w:szCs w:val="20"/>
          <w:lang w:val="es-ES"/>
        </w:rPr>
        <w:t>obligaciones legales de las dependencias encargadas de recibir y atender las denuncias y reportes de desaparición</w:t>
      </w:r>
      <w:r w:rsidR="005076DB" w:rsidRPr="00FA506F">
        <w:rPr>
          <w:rFonts w:eastAsia="Cambria" w:cs="Cambria"/>
          <w:color w:val="000000" w:themeColor="text1"/>
          <w:szCs w:val="20"/>
          <w:lang w:val="es-ES"/>
        </w:rPr>
        <w:t xml:space="preserve"> y</w:t>
      </w:r>
      <w:r w:rsidRPr="00FA506F">
        <w:rPr>
          <w:rFonts w:eastAsia="Cambria" w:cs="Cambria"/>
          <w:color w:val="000000" w:themeColor="text1"/>
          <w:szCs w:val="20"/>
          <w:lang w:val="es-ES"/>
        </w:rPr>
        <w:t xml:space="preserve"> </w:t>
      </w:r>
      <w:r w:rsidR="00BC090D" w:rsidRPr="00FA506F">
        <w:rPr>
          <w:rFonts w:eastAsia="Cambria" w:cs="Cambria"/>
          <w:color w:val="000000" w:themeColor="text1"/>
          <w:szCs w:val="20"/>
          <w:lang w:val="es-ES"/>
        </w:rPr>
        <w:t xml:space="preserve">definen </w:t>
      </w:r>
      <w:r w:rsidRPr="00FA506F">
        <w:rPr>
          <w:rFonts w:eastAsia="Cambria" w:cs="Cambria"/>
          <w:color w:val="000000" w:themeColor="text1"/>
          <w:szCs w:val="20"/>
          <w:lang w:val="es-ES"/>
        </w:rPr>
        <w:t>líneas para la atención a las víctimas y seguimiento de los casos, así como para la articulación entre países. Por otro lado,</w:t>
      </w:r>
      <w:r w:rsidR="00BC090D" w:rsidRPr="00FA506F">
        <w:rPr>
          <w:rFonts w:eastAsia="Cambria" w:cs="Cambria"/>
          <w:color w:val="000000" w:themeColor="text1"/>
          <w:szCs w:val="20"/>
          <w:lang w:val="es-ES"/>
        </w:rPr>
        <w:t xml:space="preserve"> según las organizaciones,</w:t>
      </w:r>
      <w:r w:rsidRPr="00FA506F">
        <w:rPr>
          <w:rFonts w:eastAsia="Cambria" w:cs="Cambria"/>
          <w:color w:val="000000" w:themeColor="text1"/>
          <w:szCs w:val="20"/>
          <w:lang w:val="es-ES"/>
        </w:rPr>
        <w:t xml:space="preserve"> los Lineamientos permitirían garantizar la aplicación del MAEBI a todos los países de la región</w:t>
      </w:r>
      <w:r w:rsidR="00446F81" w:rsidRPr="00FA506F">
        <w:rPr>
          <w:rFonts w:eastAsia="Cambria" w:cs="Cambria"/>
          <w:color w:val="000000" w:themeColor="text1"/>
          <w:szCs w:val="20"/>
          <w:lang w:val="es-ES"/>
        </w:rPr>
        <w:t xml:space="preserve"> y</w:t>
      </w:r>
      <w:r w:rsidRPr="00FA506F">
        <w:rPr>
          <w:rFonts w:eastAsia="Cambria" w:cs="Cambria"/>
          <w:color w:val="000000" w:themeColor="text1"/>
          <w:szCs w:val="20"/>
          <w:lang w:val="es-ES"/>
        </w:rPr>
        <w:t xml:space="preserve"> reportaron que l</w:t>
      </w:r>
      <w:r w:rsidRPr="00FA506F">
        <w:rPr>
          <w:lang w:val="es-ES"/>
        </w:rPr>
        <w:t xml:space="preserve">a Comisión Forense seguiría </w:t>
      </w:r>
      <w:r w:rsidR="00DB4A17" w:rsidRPr="00FA506F">
        <w:rPr>
          <w:lang w:val="es-ES"/>
        </w:rPr>
        <w:t>mapeando</w:t>
      </w:r>
      <w:r w:rsidRPr="00FA506F">
        <w:rPr>
          <w:lang w:val="es-ES"/>
        </w:rPr>
        <w:t xml:space="preserve"> a víctimas de las </w:t>
      </w:r>
      <w:r w:rsidR="00BC090D" w:rsidRPr="00FA506F">
        <w:rPr>
          <w:lang w:val="es-ES"/>
        </w:rPr>
        <w:t>tres</w:t>
      </w:r>
      <w:r w:rsidRPr="00FA506F">
        <w:rPr>
          <w:lang w:val="es-ES"/>
        </w:rPr>
        <w:t xml:space="preserve"> masacres objeto de su mandato (la masacre de 72 migrantes, las fosas clandestinas de San Fernando, la masacre de Cadereyta) y que</w:t>
      </w:r>
      <w:r w:rsidR="002C2A16" w:rsidRPr="00FA506F">
        <w:rPr>
          <w:lang w:val="es-ES"/>
        </w:rPr>
        <w:t>,</w:t>
      </w:r>
      <w:r w:rsidRPr="00FA506F">
        <w:rPr>
          <w:lang w:val="es-ES"/>
        </w:rPr>
        <w:t xml:space="preserve"> </w:t>
      </w:r>
      <w:r w:rsidR="002C2A16" w:rsidRPr="00FA506F">
        <w:rPr>
          <w:lang w:val="es-ES"/>
        </w:rPr>
        <w:t>a</w:t>
      </w:r>
      <w:r w:rsidRPr="00FA506F">
        <w:rPr>
          <w:lang w:val="es-ES"/>
        </w:rPr>
        <w:t>l momento del envío de este informe, habría podido identificar, notificar y repatriar/entregar los cuerpos de 97 víctimas</w:t>
      </w:r>
      <w:r w:rsidRPr="00FA506F">
        <w:rPr>
          <w:rStyle w:val="FootnoteReference"/>
          <w:rFonts w:eastAsia="Cambria" w:cs="Cambria"/>
          <w:color w:val="000000" w:themeColor="text1"/>
          <w:szCs w:val="20"/>
          <w:lang w:val="es-ES"/>
        </w:rPr>
        <w:footnoteReference w:id="135"/>
      </w:r>
      <w:r w:rsidRPr="00FA506F">
        <w:rPr>
          <w:lang w:val="es-ES"/>
        </w:rPr>
        <w:t>.</w:t>
      </w:r>
    </w:p>
    <w:p w14:paraId="02763038" w14:textId="38BDA5EC" w:rsidR="00F55FC1" w:rsidRPr="00FA506F" w:rsidRDefault="00F55FC1" w:rsidP="001E133B">
      <w:pPr>
        <w:pStyle w:val="IAPrrafo"/>
        <w:ind w:left="360" w:firstLine="360"/>
        <w:rPr>
          <w:rFonts w:eastAsia="Cambria" w:cs="Cambria"/>
          <w:i/>
          <w:iCs/>
          <w:color w:val="000000" w:themeColor="text1"/>
          <w:szCs w:val="20"/>
          <w:lang w:val="es-ES"/>
        </w:rPr>
      </w:pPr>
      <w:r w:rsidRPr="00FA506F">
        <w:rPr>
          <w:rFonts w:eastAsia="Cambria" w:cs="Cambria"/>
          <w:i/>
          <w:iCs/>
          <w:color w:val="000000" w:themeColor="text1"/>
          <w:szCs w:val="20"/>
          <w:lang w:val="es-ES"/>
        </w:rPr>
        <w:t>Análisis y nivel de cumplimiento de la recomendación</w:t>
      </w:r>
    </w:p>
    <w:p w14:paraId="30E48C2D" w14:textId="0B109A4B" w:rsidR="00BB4DC8" w:rsidRPr="00FA506F" w:rsidRDefault="00BC6EEA" w:rsidP="00B80A67">
      <w:pPr>
        <w:pStyle w:val="IAPrrafo"/>
        <w:numPr>
          <w:ilvl w:val="0"/>
          <w:numId w:val="4"/>
        </w:numPr>
        <w:tabs>
          <w:tab w:val="num" w:pos="720"/>
        </w:tabs>
        <w:ind w:firstLine="720"/>
        <w:rPr>
          <w:rFonts w:eastAsia="Cambria" w:cs="Cambria"/>
          <w:i/>
          <w:iCs/>
          <w:color w:val="000000" w:themeColor="text1"/>
          <w:szCs w:val="20"/>
          <w:lang w:val="es-ES"/>
        </w:rPr>
      </w:pPr>
      <w:r w:rsidRPr="00FA506F">
        <w:rPr>
          <w:lang w:val="es-ES"/>
        </w:rPr>
        <w:t xml:space="preserve">La CIDH agradece la información proporcionada que da cuenta de la creación de una Fiscalía Especializada en Delitos en Materia de Migración a nivel nacional. </w:t>
      </w:r>
      <w:r w:rsidR="00A047A9" w:rsidRPr="00FA506F">
        <w:rPr>
          <w:lang w:val="es-ES"/>
        </w:rPr>
        <w:t xml:space="preserve">Asimismo, la CIDH reconoce que </w:t>
      </w:r>
      <w:r w:rsidR="006F7A01" w:rsidRPr="00FA506F">
        <w:rPr>
          <w:lang w:val="es-ES"/>
        </w:rPr>
        <w:t>l</w:t>
      </w:r>
      <w:r w:rsidRPr="00FA506F">
        <w:rPr>
          <w:lang w:val="es-ES"/>
        </w:rPr>
        <w:t xml:space="preserve"> MAEBI contaría con lineamientos que permitirían garantizar su funcionamiento y el trabajo de la Comisión Forense continuaría ejecutándose de manera adecuada. Por tanto, la Comisión concluye que esta recomendación </w:t>
      </w:r>
      <w:r w:rsidR="008D5639" w:rsidRPr="00FA506F">
        <w:rPr>
          <w:lang w:val="es-ES"/>
        </w:rPr>
        <w:t>avanza a</w:t>
      </w:r>
      <w:r w:rsidRPr="00FA506F">
        <w:rPr>
          <w:lang w:val="es-ES"/>
        </w:rPr>
        <w:t xml:space="preserve"> </w:t>
      </w:r>
      <w:r w:rsidRPr="00FA506F">
        <w:rPr>
          <w:b/>
          <w:bCs/>
          <w:lang w:val="es-ES"/>
        </w:rPr>
        <w:t>cumplimiento total.</w:t>
      </w:r>
    </w:p>
    <w:p w14:paraId="3F334025" w14:textId="2C309985" w:rsidR="005008FA" w:rsidRPr="00FA506F" w:rsidRDefault="00BB4DC8"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27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Implementar un mecanismo nacional que facilite el intercambio de información forense sobre restos no identificados de personas mexicanas y centroamericanas desaparecidas en México con los bancos forenses de migrantes desaparecidos que se han desarrollado en la región. </w:t>
      </w:r>
    </w:p>
    <w:p w14:paraId="6FE81E69" w14:textId="77777777" w:rsidR="005008FA" w:rsidRPr="00FA506F" w:rsidRDefault="005008FA" w:rsidP="005727DA">
      <w:pPr>
        <w:pStyle w:val="IAPrrafo"/>
        <w:spacing w:after="0"/>
        <w:ind w:left="720"/>
        <w:rPr>
          <w:rFonts w:eastAsia="Cambria" w:cs="Cambria"/>
          <w:i/>
          <w:iCs/>
          <w:color w:val="000000" w:themeColor="text1"/>
          <w:szCs w:val="20"/>
          <w:lang w:val="es-ES"/>
        </w:rPr>
      </w:pPr>
    </w:p>
    <w:p w14:paraId="1CF428B4" w14:textId="58BF9EAC" w:rsidR="007C3822" w:rsidRPr="00FA506F" w:rsidRDefault="007C3822" w:rsidP="005727DA">
      <w:pPr>
        <w:pStyle w:val="IAPrrafo"/>
        <w:numPr>
          <w:ilvl w:val="0"/>
          <w:numId w:val="4"/>
        </w:numPr>
        <w:tabs>
          <w:tab w:val="num" w:pos="720"/>
        </w:tabs>
        <w:spacing w:after="0"/>
        <w:ind w:firstLine="720"/>
        <w:rPr>
          <w:rFonts w:eastAsia="Cambria" w:cs="Cambria"/>
          <w:i/>
          <w:iCs/>
          <w:color w:val="000000" w:themeColor="text1"/>
          <w:szCs w:val="20"/>
          <w:lang w:val="es-ES"/>
        </w:rPr>
      </w:pPr>
      <w:r w:rsidRPr="00FA506F">
        <w:rPr>
          <w:lang w:val="es-ES"/>
        </w:rPr>
        <w:t xml:space="preserve">Para el Capítulo V del Informe Anual de 2023, el Estado reiteró la implementación del </w:t>
      </w:r>
      <w:r w:rsidR="00E10D22" w:rsidRPr="00FA506F">
        <w:rPr>
          <w:lang w:val="es-ES"/>
        </w:rPr>
        <w:t>Registro de Personas Desaparecidas (</w:t>
      </w:r>
      <w:r w:rsidRPr="00FA506F">
        <w:rPr>
          <w:lang w:val="es-ES"/>
        </w:rPr>
        <w:t>RNPDNO</w:t>
      </w:r>
      <w:r w:rsidR="00E10D22" w:rsidRPr="00FA506F">
        <w:rPr>
          <w:lang w:val="es-ES"/>
        </w:rPr>
        <w:t>)</w:t>
      </w:r>
      <w:r w:rsidRPr="00FA506F">
        <w:rPr>
          <w:lang w:val="es-ES"/>
        </w:rPr>
        <w:t xml:space="preserve"> dentro del Sistema Nacional de Seguridad Pública, la aprobación de las Bases de Colaboración para varios registros, incluidos el Banco Nacional de Datos Forenses (BNDF), el Registro Nacional de Personas Fallecidas No Identificadas y No Reclamadas, el Registro Nacional de Fosas Comunes y Fosas Clandestinas, y la Base Nacional de Información Genética</w:t>
      </w:r>
      <w:r w:rsidR="00E10D22" w:rsidRPr="00FA506F">
        <w:rPr>
          <w:lang w:val="es-ES"/>
        </w:rPr>
        <w:t>;</w:t>
      </w:r>
      <w:r w:rsidR="008C2DA5" w:rsidRPr="00FA506F">
        <w:rPr>
          <w:lang w:val="es-ES"/>
        </w:rPr>
        <w:t xml:space="preserve"> y</w:t>
      </w:r>
      <w:r w:rsidRPr="00FA506F">
        <w:rPr>
          <w:lang w:val="es-ES"/>
        </w:rPr>
        <w:t xml:space="preserve"> destacó la participación de la Unidad de Investigación y Litigación de Delitos de Desaparición Forzada (UIDPM) en la búsqueda de personas migrantes desaparecidas convocada por la </w:t>
      </w:r>
      <w:r w:rsidR="002A41BA" w:rsidRPr="00FA506F">
        <w:rPr>
          <w:lang w:val="es-ES"/>
        </w:rPr>
        <w:t>CNB</w:t>
      </w:r>
      <w:r w:rsidRPr="00FA506F">
        <w:rPr>
          <w:lang w:val="es-ES"/>
        </w:rPr>
        <w:t xml:space="preserve">. Sin embargo, organizaciones de la sociedad civil reportaron que la Mesa de Búsqueda de Personas Migrantes Desaparecidas no ha sido instalada ni convocada públicamente, y que </w:t>
      </w:r>
      <w:r w:rsidR="00E10D22" w:rsidRPr="00FA506F">
        <w:rPr>
          <w:lang w:val="es-ES"/>
        </w:rPr>
        <w:t>no se conocen los avances d</w:t>
      </w:r>
      <w:r w:rsidRPr="00FA506F">
        <w:rPr>
          <w:lang w:val="es-ES"/>
        </w:rPr>
        <w:t>el Grupo de Trabajo Interinstitucional Especializado en la Búsqueda de Personas Migrantes Extranjeras. La CIDH valoró la implementación de la Mesa, pero subrayó la necesidad de que las acciones incluyan la participación de las familias de las personas desaparecidas. La recomendación se consideró parcialmente cumplida debido a la falta de información sobre cómo los registros facilitar</w:t>
      </w:r>
      <w:r w:rsidR="00E10D22" w:rsidRPr="00FA506F">
        <w:rPr>
          <w:lang w:val="es-ES"/>
        </w:rPr>
        <w:t>ía</w:t>
      </w:r>
      <w:r w:rsidRPr="00FA506F">
        <w:rPr>
          <w:lang w:val="es-ES"/>
        </w:rPr>
        <w:t xml:space="preserve">n el intercambio de datos con bancos forenses en la región. La CIDH solicitó información adicional sobre la efectividad de la Mesa y las medidas específicas para el intercambio de datos forenses con otros países. </w:t>
      </w:r>
    </w:p>
    <w:p w14:paraId="79169AC5" w14:textId="77777777" w:rsidR="00320A8F" w:rsidRPr="00FA506F" w:rsidRDefault="00320A8F" w:rsidP="00B80A67">
      <w:pPr>
        <w:pStyle w:val="parrafos"/>
        <w:numPr>
          <w:ilvl w:val="0"/>
          <w:numId w:val="0"/>
        </w:numPr>
        <w:rPr>
          <w:lang w:val="es-ES"/>
        </w:rPr>
      </w:pPr>
    </w:p>
    <w:p w14:paraId="5DCA3EFB" w14:textId="77777777" w:rsidR="007C3822" w:rsidRPr="00FA506F" w:rsidRDefault="007C3822" w:rsidP="001E133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32DF08DD" w14:textId="77777777" w:rsidR="007C3822" w:rsidRPr="00FA506F" w:rsidRDefault="007C3822" w:rsidP="00B80A67">
      <w:pPr>
        <w:ind w:firstLine="360"/>
        <w:jc w:val="both"/>
        <w:rPr>
          <w:rFonts w:ascii="Cambria" w:eastAsia="Cambria" w:hAnsi="Cambria" w:cs="Cambria"/>
          <w:i/>
          <w:iCs/>
          <w:color w:val="000000" w:themeColor="text1"/>
          <w:sz w:val="20"/>
          <w:szCs w:val="20"/>
          <w:lang w:val="es-ES"/>
        </w:rPr>
      </w:pPr>
    </w:p>
    <w:p w14:paraId="3163CC6B" w14:textId="478C0055" w:rsidR="007C3822" w:rsidRPr="00FA506F" w:rsidRDefault="007C3822" w:rsidP="001E133B">
      <w:pPr>
        <w:pStyle w:val="IAPrrafo"/>
        <w:numPr>
          <w:ilvl w:val="0"/>
          <w:numId w:val="4"/>
        </w:numPr>
        <w:tabs>
          <w:tab w:val="num" w:pos="720"/>
        </w:tabs>
        <w:ind w:firstLine="720"/>
        <w:rPr>
          <w:rFonts w:eastAsia="Cambria" w:cs="Cambria"/>
          <w:color w:val="000000" w:themeColor="text1"/>
          <w:szCs w:val="20"/>
          <w:lang w:val="es-ES"/>
        </w:rPr>
      </w:pPr>
      <w:r w:rsidRPr="00FA506F">
        <w:rPr>
          <w:lang w:val="es-ES"/>
        </w:rPr>
        <w:t xml:space="preserve">En 2024, el Estado </w:t>
      </w:r>
      <w:r w:rsidR="00CC72A9" w:rsidRPr="00FA506F">
        <w:rPr>
          <w:lang w:val="es-ES"/>
        </w:rPr>
        <w:t xml:space="preserve">informó </w:t>
      </w:r>
      <w:r w:rsidRPr="00FA506F">
        <w:rPr>
          <w:lang w:val="es-ES"/>
        </w:rPr>
        <w:t xml:space="preserve">que la </w:t>
      </w:r>
      <w:r w:rsidR="00290A05" w:rsidRPr="00FA506F">
        <w:rPr>
          <w:lang w:val="es-ES"/>
        </w:rPr>
        <w:t xml:space="preserve">Ley General de Desaparición </w:t>
      </w:r>
      <w:r w:rsidR="00D62C35" w:rsidRPr="00FA506F">
        <w:rPr>
          <w:lang w:val="es-ES"/>
        </w:rPr>
        <w:t xml:space="preserve">contempla </w:t>
      </w:r>
      <w:r w:rsidRPr="00FA506F">
        <w:rPr>
          <w:lang w:val="es-ES"/>
        </w:rPr>
        <w:t>la coordinación entre distintos órdenes de gobierno para buscar a las personas desaparecidas y no localizadas, e incorpora un enfoque diferenciado y medidas especiales para la búsqueda de personas migrantes</w:t>
      </w:r>
      <w:r w:rsidR="00C8525F" w:rsidRPr="00FA506F">
        <w:rPr>
          <w:lang w:val="es-ES"/>
        </w:rPr>
        <w:t xml:space="preserve">. </w:t>
      </w:r>
      <w:r w:rsidR="00446F81" w:rsidRPr="00FA506F">
        <w:rPr>
          <w:lang w:val="es-ES"/>
        </w:rPr>
        <w:t>La</w:t>
      </w:r>
      <w:r w:rsidR="00C8525F" w:rsidRPr="00FA506F">
        <w:rPr>
          <w:lang w:val="es-ES"/>
        </w:rPr>
        <w:t xml:space="preserve"> ley </w:t>
      </w:r>
      <w:r w:rsidRPr="00FA506F">
        <w:rPr>
          <w:lang w:val="es-ES"/>
        </w:rPr>
        <w:t>ordena la creación de diversas instituciones, incluyendo el S</w:t>
      </w:r>
      <w:r w:rsidR="002A41BA" w:rsidRPr="00FA506F">
        <w:rPr>
          <w:lang w:val="es-ES"/>
        </w:rPr>
        <w:t>istema Nacional de Búsqueda</w:t>
      </w:r>
      <w:r w:rsidRPr="00FA506F">
        <w:rPr>
          <w:lang w:val="es-ES"/>
        </w:rPr>
        <w:t xml:space="preserve"> y </w:t>
      </w:r>
      <w:r w:rsidR="00E10D22" w:rsidRPr="00FA506F">
        <w:rPr>
          <w:lang w:val="es-ES"/>
        </w:rPr>
        <w:t xml:space="preserve">el </w:t>
      </w:r>
      <w:r w:rsidRPr="00FA506F">
        <w:rPr>
          <w:lang w:val="es-ES"/>
        </w:rPr>
        <w:t xml:space="preserve">RNPDNO. El Estado </w:t>
      </w:r>
      <w:r w:rsidR="00D62C35" w:rsidRPr="00FA506F">
        <w:rPr>
          <w:lang w:val="es-ES"/>
        </w:rPr>
        <w:t xml:space="preserve">resaltó </w:t>
      </w:r>
      <w:r w:rsidRPr="00FA506F">
        <w:rPr>
          <w:lang w:val="es-ES"/>
        </w:rPr>
        <w:t xml:space="preserve">que, en noviembre de 2021, se aprobó una hoja de ruta para elaborar el Reglamento de la </w:t>
      </w:r>
      <w:r w:rsidR="00290A05" w:rsidRPr="00FA506F">
        <w:rPr>
          <w:lang w:val="es-ES"/>
        </w:rPr>
        <w:t xml:space="preserve">Ley General de Desaparición </w:t>
      </w:r>
      <w:r w:rsidRPr="00FA506F">
        <w:rPr>
          <w:lang w:val="es-ES"/>
        </w:rPr>
        <w:t xml:space="preserve">en colaboración con las familias de las víctimas, organizaciones de la sociedad civil y autoridades. Posteriormente, en diciembre de 2022, se aprobaron los Lineamientos del </w:t>
      </w:r>
      <w:r w:rsidR="002A41BA" w:rsidRPr="00FA506F">
        <w:rPr>
          <w:lang w:val="es-ES"/>
        </w:rPr>
        <w:t xml:space="preserve">Mecanismo de Apoyo Exterior de Búsqueda e Investigación </w:t>
      </w:r>
      <w:r w:rsidR="00E10D22" w:rsidRPr="00FA506F">
        <w:rPr>
          <w:lang w:val="es-ES"/>
        </w:rPr>
        <w:t xml:space="preserve">(MAEBI) </w:t>
      </w:r>
      <w:r w:rsidRPr="00FA506F">
        <w:rPr>
          <w:lang w:val="es-ES"/>
        </w:rPr>
        <w:t xml:space="preserve">que permitirán a embajadas y consulados de México operar como ventanillas para que los familiares de personas extranjeras desaparecidas en México puedan reportar y denunciar casos desde su país, así como solicitar información e iniciar trámites relacionados con sus derechos. En mayo de 2022, se estableció la Mesa de Búsqueda de Personas Migrantes Desaparecidas, que incluye el Grupo de Trabajo Interinstitucional y el MAEBI. Entre septiembre de 2022 y junio de 2023, se llevaron a cabo reuniones con autoridades de Honduras para coordinar esfuerzos en la búsqueda de personas desaparecidas en su tránsito por México. </w:t>
      </w:r>
      <w:r w:rsidR="005076DB" w:rsidRPr="00FA506F">
        <w:rPr>
          <w:lang w:val="es-ES"/>
        </w:rPr>
        <w:t>El Estado informó la realización de</w:t>
      </w:r>
      <w:r w:rsidRPr="00FA506F">
        <w:rPr>
          <w:lang w:val="es-ES"/>
        </w:rPr>
        <w:t xml:space="preserve"> tres mesas regionales con consulados y embajadas de varios países de América Latina, </w:t>
      </w:r>
      <w:r w:rsidR="00E81223" w:rsidRPr="00FA506F">
        <w:rPr>
          <w:lang w:val="es-ES"/>
        </w:rPr>
        <w:t xml:space="preserve">y </w:t>
      </w:r>
      <w:r w:rsidRPr="00FA506F">
        <w:rPr>
          <w:lang w:val="es-ES"/>
        </w:rPr>
        <w:t xml:space="preserve">un Encuentro Nacional de Comisiones Locales de Búsqueda para intercambiar buenas prácticas y diseñar estrategias para la búsqueda de migrantes. </w:t>
      </w:r>
      <w:r w:rsidR="00E81223" w:rsidRPr="00FA506F">
        <w:rPr>
          <w:lang w:val="es-ES"/>
        </w:rPr>
        <w:t xml:space="preserve">Finalmente, el Estado </w:t>
      </w:r>
      <w:r w:rsidR="00183C9A" w:rsidRPr="00FA506F">
        <w:rPr>
          <w:lang w:val="es-ES"/>
        </w:rPr>
        <w:t>precisó que</w:t>
      </w:r>
      <w:r w:rsidR="005076DB" w:rsidRPr="00FA506F">
        <w:rPr>
          <w:lang w:val="es-ES"/>
        </w:rPr>
        <w:t>,</w:t>
      </w:r>
      <w:r w:rsidR="00183C9A" w:rsidRPr="00FA506F">
        <w:rPr>
          <w:lang w:val="es-ES"/>
        </w:rPr>
        <w:t xml:space="preserve"> e</w:t>
      </w:r>
      <w:r w:rsidRPr="00FA506F">
        <w:rPr>
          <w:lang w:val="es-ES"/>
        </w:rPr>
        <w:t>n 2023, la CEAV se coordinó con la S</w:t>
      </w:r>
      <w:r w:rsidR="002A41BA" w:rsidRPr="00FA506F">
        <w:rPr>
          <w:lang w:val="es-ES"/>
        </w:rPr>
        <w:t>ecretaría de Relaciones Exteriores</w:t>
      </w:r>
      <w:r w:rsidRPr="00FA506F">
        <w:rPr>
          <w:lang w:val="es-ES"/>
        </w:rPr>
        <w:t xml:space="preserve"> para dar seguimiento a casos de personas hondureñas reconocidas como víctimas de delitos en México</w:t>
      </w:r>
      <w:r w:rsidR="00BB4DC8" w:rsidRPr="00FA506F">
        <w:rPr>
          <w:rStyle w:val="FootnoteReference"/>
          <w:lang w:val="es-ES"/>
        </w:rPr>
        <w:footnoteReference w:id="136"/>
      </w:r>
      <w:r w:rsidRPr="00FA506F">
        <w:rPr>
          <w:lang w:val="es-ES"/>
        </w:rPr>
        <w:t xml:space="preserve">. </w:t>
      </w:r>
    </w:p>
    <w:p w14:paraId="5CA5FF4F" w14:textId="08C64635" w:rsidR="007C3822" w:rsidRPr="00FA506F" w:rsidRDefault="007C3822" w:rsidP="001E133B">
      <w:pPr>
        <w:pStyle w:val="IAPrrafo"/>
        <w:numPr>
          <w:ilvl w:val="0"/>
          <w:numId w:val="4"/>
        </w:numPr>
        <w:tabs>
          <w:tab w:val="num" w:pos="720"/>
        </w:tabs>
        <w:ind w:firstLine="720"/>
        <w:rPr>
          <w:rFonts w:eastAsia="Cambria" w:cs="Cambria"/>
          <w:color w:val="000000" w:themeColor="text1"/>
          <w:szCs w:val="20"/>
          <w:lang w:val="es-ES"/>
        </w:rPr>
      </w:pPr>
      <w:r w:rsidRPr="00FA506F">
        <w:rPr>
          <w:lang w:val="es-ES"/>
        </w:rPr>
        <w:t>Por su parte, organizaciones de la sociedad civil refirieron qu</w:t>
      </w:r>
      <w:r w:rsidR="008C2DA5" w:rsidRPr="00FA506F">
        <w:rPr>
          <w:lang w:val="es-ES"/>
        </w:rPr>
        <w:t xml:space="preserve">e </w:t>
      </w:r>
      <w:r w:rsidR="008C2DA5" w:rsidRPr="00FA506F">
        <w:rPr>
          <w:rFonts w:eastAsia="Cambria" w:cs="Cambria"/>
          <w:color w:val="000000" w:themeColor="text1"/>
          <w:szCs w:val="20"/>
          <w:lang w:val="es-ES"/>
        </w:rPr>
        <w:t>los lineamientos de</w:t>
      </w:r>
      <w:r w:rsidR="008C2DA5" w:rsidRPr="00FA506F">
        <w:rPr>
          <w:lang w:val="es-ES"/>
        </w:rPr>
        <w:t xml:space="preserve"> </w:t>
      </w:r>
      <w:r w:rsidR="008C2DA5" w:rsidRPr="00FA506F">
        <w:rPr>
          <w:rFonts w:eastAsia="Cambria" w:cs="Cambria"/>
          <w:color w:val="000000" w:themeColor="text1"/>
          <w:szCs w:val="20"/>
          <w:lang w:val="es-ES"/>
        </w:rPr>
        <w:t xml:space="preserve">operación de la Mesa de Búsqueda de Personas Migrantes Desaparecidas se encontrarían pendientes de publicación, lo que </w:t>
      </w:r>
      <w:r w:rsidR="00446046" w:rsidRPr="00FA506F">
        <w:rPr>
          <w:rFonts w:eastAsia="Cambria" w:cs="Cambria"/>
          <w:color w:val="000000" w:themeColor="text1"/>
          <w:szCs w:val="20"/>
          <w:lang w:val="es-ES"/>
        </w:rPr>
        <w:t>obstaculiza su funcionamiento</w:t>
      </w:r>
      <w:r w:rsidRPr="00FA506F">
        <w:rPr>
          <w:rFonts w:eastAsia="Cambria" w:cs="Cambria"/>
          <w:color w:val="000000" w:themeColor="text1"/>
          <w:szCs w:val="20"/>
          <w:lang w:val="es-ES"/>
        </w:rPr>
        <w:t>. El proceso de aprobación del</w:t>
      </w:r>
      <w:r w:rsidRPr="00FA506F">
        <w:rPr>
          <w:lang w:val="es-ES"/>
        </w:rPr>
        <w:t xml:space="preserve"> </w:t>
      </w:r>
      <w:r w:rsidRPr="00FA506F">
        <w:rPr>
          <w:rFonts w:eastAsia="Cambria" w:cs="Cambria"/>
          <w:color w:val="000000" w:themeColor="text1"/>
          <w:szCs w:val="20"/>
          <w:lang w:val="es-ES"/>
        </w:rPr>
        <w:t>proyecto de lineamientos, trabajado conjuntamente entre las organizaciones y la Comisión</w:t>
      </w:r>
      <w:r w:rsidRPr="00FA506F">
        <w:rPr>
          <w:lang w:val="es-ES"/>
        </w:rPr>
        <w:t xml:space="preserve"> </w:t>
      </w:r>
      <w:r w:rsidRPr="00FA506F">
        <w:rPr>
          <w:rFonts w:eastAsia="Cambria" w:cs="Cambria"/>
          <w:color w:val="000000" w:themeColor="text1"/>
          <w:szCs w:val="20"/>
          <w:lang w:val="es-ES"/>
        </w:rPr>
        <w:t>Nacional de Búsqueda, se habría obstaculizado a partir del cambio de</w:t>
      </w:r>
      <w:r w:rsidR="002A41BA" w:rsidRPr="00FA506F">
        <w:rPr>
          <w:rFonts w:eastAsia="Cambria" w:cs="Cambria"/>
          <w:color w:val="000000" w:themeColor="text1"/>
          <w:szCs w:val="20"/>
          <w:lang w:val="es-ES"/>
        </w:rPr>
        <w:t xml:space="preserve"> su</w:t>
      </w:r>
      <w:r w:rsidRPr="00FA506F">
        <w:rPr>
          <w:rFonts w:eastAsia="Cambria" w:cs="Cambria"/>
          <w:color w:val="000000" w:themeColor="text1"/>
          <w:szCs w:val="20"/>
          <w:lang w:val="es-ES"/>
        </w:rPr>
        <w:t xml:space="preserve"> </w:t>
      </w:r>
      <w:r w:rsidR="002A41BA" w:rsidRPr="00FA506F">
        <w:rPr>
          <w:rFonts w:eastAsia="Cambria" w:cs="Cambria"/>
          <w:color w:val="000000" w:themeColor="text1"/>
          <w:szCs w:val="20"/>
          <w:lang w:val="es-ES"/>
        </w:rPr>
        <w:t>titular</w:t>
      </w:r>
      <w:r w:rsidRPr="00FA506F">
        <w:rPr>
          <w:rFonts w:eastAsia="Cambria" w:cs="Cambria"/>
          <w:color w:val="000000" w:themeColor="text1"/>
          <w:szCs w:val="20"/>
          <w:lang w:val="es-ES"/>
        </w:rPr>
        <w:t>. No</w:t>
      </w:r>
      <w:r w:rsidRPr="00FA506F">
        <w:rPr>
          <w:lang w:val="es-ES"/>
        </w:rPr>
        <w:t xml:space="preserve"> </w:t>
      </w:r>
      <w:r w:rsidRPr="00FA506F">
        <w:rPr>
          <w:rFonts w:eastAsia="Cambria" w:cs="Cambria"/>
          <w:color w:val="000000" w:themeColor="text1"/>
          <w:szCs w:val="20"/>
          <w:lang w:val="es-ES"/>
        </w:rPr>
        <w:t>obstante, organizaciones, junto con comités de familiares de Centroamérica, habrían sostenido diversas</w:t>
      </w:r>
      <w:r w:rsidRPr="00FA506F">
        <w:rPr>
          <w:lang w:val="es-ES"/>
        </w:rPr>
        <w:t xml:space="preserve"> </w:t>
      </w:r>
      <w:r w:rsidRPr="00FA506F">
        <w:rPr>
          <w:rFonts w:eastAsia="Cambria" w:cs="Cambria"/>
          <w:color w:val="000000" w:themeColor="text1"/>
          <w:szCs w:val="20"/>
          <w:lang w:val="es-ES"/>
        </w:rPr>
        <w:t>reuniones con la nueva administración de la CNB para impulsar los lineamientos, lo cual habría sido</w:t>
      </w:r>
      <w:r w:rsidRPr="00FA506F">
        <w:rPr>
          <w:lang w:val="es-ES"/>
        </w:rPr>
        <w:t xml:space="preserve"> </w:t>
      </w:r>
      <w:r w:rsidRPr="00FA506F">
        <w:rPr>
          <w:rFonts w:eastAsia="Cambria" w:cs="Cambria"/>
          <w:color w:val="000000" w:themeColor="text1"/>
          <w:szCs w:val="20"/>
          <w:lang w:val="es-ES"/>
        </w:rPr>
        <w:t>complejo en el año 2024 debido a la parálisis institucional generada por el proceso electoral</w:t>
      </w:r>
      <w:r w:rsidRPr="00FA506F">
        <w:rPr>
          <w:lang w:val="es-ES"/>
        </w:rPr>
        <w:t xml:space="preserve"> </w:t>
      </w:r>
      <w:r w:rsidRPr="00FA506F">
        <w:rPr>
          <w:rFonts w:eastAsia="Cambria" w:cs="Cambria"/>
          <w:color w:val="000000" w:themeColor="text1"/>
          <w:szCs w:val="20"/>
          <w:lang w:val="es-ES"/>
        </w:rPr>
        <w:t>presidencial</w:t>
      </w:r>
      <w:r w:rsidR="00BB4DC8" w:rsidRPr="00FA506F">
        <w:rPr>
          <w:rStyle w:val="FootnoteReference"/>
          <w:rFonts w:eastAsia="Cambria" w:cs="Cambria"/>
          <w:color w:val="000000" w:themeColor="text1"/>
          <w:szCs w:val="20"/>
          <w:lang w:val="es-ES"/>
        </w:rPr>
        <w:footnoteReference w:id="137"/>
      </w:r>
      <w:r w:rsidRPr="00FA506F">
        <w:rPr>
          <w:rFonts w:eastAsia="Cambria" w:cs="Cambria"/>
          <w:color w:val="000000" w:themeColor="text1"/>
          <w:szCs w:val="20"/>
          <w:lang w:val="es-ES"/>
        </w:rPr>
        <w:t xml:space="preserve">. </w:t>
      </w:r>
    </w:p>
    <w:p w14:paraId="67405CC1" w14:textId="77777777" w:rsidR="007C3822" w:rsidRPr="00FA506F" w:rsidRDefault="007C3822" w:rsidP="001E133B">
      <w:pPr>
        <w:pStyle w:val="IAPrrafo"/>
        <w:ind w:left="360" w:firstLine="360"/>
        <w:rPr>
          <w:rFonts w:eastAsia="Cambria" w:cs="Cambria"/>
          <w:i/>
          <w:iCs/>
          <w:color w:val="000000" w:themeColor="text1"/>
          <w:szCs w:val="20"/>
          <w:lang w:val="es-ES"/>
        </w:rPr>
      </w:pPr>
      <w:r w:rsidRPr="00FA506F">
        <w:rPr>
          <w:rFonts w:eastAsia="Cambria" w:cs="Cambria"/>
          <w:i/>
          <w:iCs/>
          <w:color w:val="000000" w:themeColor="text1"/>
          <w:szCs w:val="20"/>
          <w:lang w:val="es-ES"/>
        </w:rPr>
        <w:t>Análisis y nivel de cumplimiento de la recomendación</w:t>
      </w:r>
    </w:p>
    <w:p w14:paraId="55E06B29" w14:textId="31F53424" w:rsidR="00BB4DC8" w:rsidRPr="00FA506F" w:rsidRDefault="007C3822" w:rsidP="00B80A67">
      <w:pPr>
        <w:pStyle w:val="IAPrrafo"/>
        <w:numPr>
          <w:ilvl w:val="0"/>
          <w:numId w:val="4"/>
        </w:numPr>
        <w:tabs>
          <w:tab w:val="num" w:pos="720"/>
        </w:tabs>
        <w:ind w:firstLine="720"/>
        <w:rPr>
          <w:lang w:val="es-ES"/>
        </w:rPr>
      </w:pPr>
      <w:r w:rsidRPr="00FA506F">
        <w:rPr>
          <w:lang w:val="es-ES"/>
        </w:rPr>
        <w:t>La CIDH valora de manera positiva los esfuerzos del Estado para establecer mecanismos de intercambio de información forense y la creación de plataformas para coordinar la búsqueda de personas desaparecidas. No obstante, persiste la necesidad de asegurar una implementación efectiva que integre la participación de las familias de las víctimas y garantice el intercambio adecuado de datos con bancos forenses de la región. Por ello, la CIDH concluye que esta recomendación continúa en</w:t>
      </w:r>
      <w:r w:rsidRPr="00FA506F">
        <w:rPr>
          <w:b/>
          <w:bCs/>
          <w:lang w:val="es-ES"/>
        </w:rPr>
        <w:t xml:space="preserve"> cumplimiento parcial sustancial.</w:t>
      </w:r>
    </w:p>
    <w:p w14:paraId="6C0E8099" w14:textId="79E865B7" w:rsidR="00BB4DC8" w:rsidRPr="00FA506F" w:rsidRDefault="00BB4DC8" w:rsidP="001E133B">
      <w:pPr>
        <w:pStyle w:val="IAPrrafo"/>
        <w:ind w:firstLine="720"/>
        <w:rPr>
          <w:lang w:val="es-ES"/>
        </w:rPr>
      </w:pPr>
      <w:r w:rsidRPr="00FA506F">
        <w:rPr>
          <w:rFonts w:eastAsia="Cambria" w:cs="Cambria"/>
          <w:i/>
          <w:iCs/>
          <w:color w:val="000000" w:themeColor="text1"/>
          <w:szCs w:val="20"/>
          <w:lang w:val="es-ES"/>
        </w:rPr>
        <w:t>Medidas e información para avanzar en el cumplimiento de la recomendación</w:t>
      </w:r>
    </w:p>
    <w:p w14:paraId="5A878989" w14:textId="54A21418" w:rsidR="0087569A" w:rsidRPr="00FA506F" w:rsidRDefault="007C3822" w:rsidP="00B80A67">
      <w:pPr>
        <w:pStyle w:val="IAPrrafo"/>
        <w:numPr>
          <w:ilvl w:val="0"/>
          <w:numId w:val="4"/>
        </w:numPr>
        <w:tabs>
          <w:tab w:val="num" w:pos="720"/>
        </w:tabs>
        <w:ind w:firstLine="720"/>
        <w:rPr>
          <w:lang w:val="es-ES"/>
        </w:rPr>
      </w:pPr>
      <w:r w:rsidRPr="00FA506F">
        <w:rPr>
          <w:lang w:val="es-ES"/>
        </w:rPr>
        <w:t xml:space="preserve">La CIDH invita al Estado a </w:t>
      </w:r>
      <w:r w:rsidR="00BB4DC8" w:rsidRPr="00FA506F">
        <w:rPr>
          <w:lang w:val="es-ES"/>
        </w:rPr>
        <w:t>incrementar</w:t>
      </w:r>
      <w:r w:rsidRPr="00FA506F">
        <w:rPr>
          <w:lang w:val="es-ES"/>
        </w:rPr>
        <w:t xml:space="preserve"> la transparencia sobre los resultados alcanzados por el Grupo de Trabajo Interinstitucional. </w:t>
      </w:r>
      <w:r w:rsidR="00446F81" w:rsidRPr="00FA506F">
        <w:rPr>
          <w:lang w:val="es-ES"/>
        </w:rPr>
        <w:t>La Comisión</w:t>
      </w:r>
      <w:r w:rsidRPr="00FA506F">
        <w:rPr>
          <w:lang w:val="es-ES"/>
        </w:rPr>
        <w:t xml:space="preserve"> recomienda fortalecer el intercambio de información forense con los bancos regionales de datos para garantizar una mejor coordinación y resultados más efectivos en la identificación de restos humanos.</w:t>
      </w:r>
    </w:p>
    <w:p w14:paraId="01835A47" w14:textId="512AAAA9" w:rsidR="005727DA" w:rsidRPr="00FA506F" w:rsidRDefault="007B7AAF" w:rsidP="005727DA">
      <w:pPr>
        <w:pStyle w:val="IASubttulo2"/>
        <w:numPr>
          <w:ilvl w:val="0"/>
          <w:numId w:val="3"/>
        </w:numPr>
        <w:tabs>
          <w:tab w:val="num" w:pos="720"/>
        </w:tabs>
        <w:ind w:left="1440" w:hanging="720"/>
        <w:rPr>
          <w:sz w:val="22"/>
          <w:szCs w:val="22"/>
          <w:lang w:val="es-ES"/>
        </w:rPr>
      </w:pPr>
      <w:bookmarkStart w:id="16" w:name="_Toc195618110"/>
      <w:r w:rsidRPr="00FA506F">
        <w:rPr>
          <w:sz w:val="22"/>
          <w:szCs w:val="22"/>
          <w:lang w:val="es-ES"/>
        </w:rPr>
        <w:t>Acceso a la justicia</w:t>
      </w:r>
      <w:bookmarkEnd w:id="16"/>
    </w:p>
    <w:p w14:paraId="6062502F" w14:textId="4A36FFE1" w:rsidR="005727DA" w:rsidRPr="00FA506F" w:rsidRDefault="005727DA" w:rsidP="00B64E93">
      <w:pPr>
        <w:pStyle w:val="IAPrrafo"/>
        <w:numPr>
          <w:ilvl w:val="0"/>
          <w:numId w:val="4"/>
        </w:numPr>
        <w:tabs>
          <w:tab w:val="num" w:pos="720"/>
        </w:tabs>
        <w:ind w:firstLine="720"/>
        <w:rPr>
          <w:lang w:val="es-ES"/>
        </w:rPr>
      </w:pPr>
      <w:r w:rsidRPr="00FA506F">
        <w:rPr>
          <w:lang w:val="es-ES"/>
        </w:rPr>
        <w:t xml:space="preserve">La Comisión </w:t>
      </w:r>
      <w:r w:rsidR="00B64E93" w:rsidRPr="00FA506F">
        <w:rPr>
          <w:lang w:val="es-ES"/>
        </w:rPr>
        <w:t>tomó conocimiento y realizó un seguimiento cercano de la reforma constitucional al poder judicial, publicada el 15 de septiembre de 2024, la cual impacta de manera directa en el derecho de acceso a la justicia. Si bien, las recomendaciones 29, 30, 31, 32, 33, 34 y 35</w:t>
      </w:r>
      <w:r w:rsidR="00395A21" w:rsidRPr="00FA506F">
        <w:rPr>
          <w:lang w:val="es-ES"/>
        </w:rPr>
        <w:t xml:space="preserve"> del presente Informe</w:t>
      </w:r>
      <w:r w:rsidR="00B64E93" w:rsidRPr="00FA506F">
        <w:rPr>
          <w:lang w:val="es-ES"/>
        </w:rPr>
        <w:t xml:space="preserve"> se enmarcan en la temática de acceso a la justicia, </w:t>
      </w:r>
      <w:r w:rsidR="00395A21" w:rsidRPr="00FA506F">
        <w:rPr>
          <w:lang w:val="es-ES"/>
        </w:rPr>
        <w:t>el análisis pormenorizado de</w:t>
      </w:r>
      <w:r w:rsidR="00B64E93" w:rsidRPr="00FA506F">
        <w:rPr>
          <w:lang w:val="es-ES"/>
        </w:rPr>
        <w:t xml:space="preserve"> la reforma judicial</w:t>
      </w:r>
      <w:r w:rsidR="00395A21" w:rsidRPr="00FA506F">
        <w:rPr>
          <w:lang w:val="es-ES"/>
        </w:rPr>
        <w:t xml:space="preserve"> se realiz</w:t>
      </w:r>
      <w:r w:rsidR="00E10D22" w:rsidRPr="00FA506F">
        <w:rPr>
          <w:lang w:val="es-ES"/>
        </w:rPr>
        <w:t>a</w:t>
      </w:r>
      <w:r w:rsidR="00395A21" w:rsidRPr="00FA506F">
        <w:rPr>
          <w:lang w:val="es-ES"/>
        </w:rPr>
        <w:t xml:space="preserve"> en e</w:t>
      </w:r>
      <w:r w:rsidR="00B64E93" w:rsidRPr="00FA506F">
        <w:rPr>
          <w:lang w:val="es-ES"/>
        </w:rPr>
        <w:t xml:space="preserve">l Capítulo IV A del Informe Anual de 2024 de la CIDH. </w:t>
      </w:r>
    </w:p>
    <w:p w14:paraId="509B7C04" w14:textId="77777777" w:rsidR="005727DA" w:rsidRPr="00FA506F" w:rsidRDefault="005727DA" w:rsidP="00B64E93">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29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Establecer un plan coherente sobre la cooperación entre las autoridades de procuración de justicia a nivel federal y estatal en la investigación de graves violaciones de derechos humanos, con una visión integral, protocolos específicos y la adopción de criterios técnico-profesionales, y no políticos, en la atracción de investigaciones por la federación. </w:t>
      </w:r>
    </w:p>
    <w:p w14:paraId="646AC33A" w14:textId="77777777" w:rsidR="005727DA" w:rsidRPr="00FA506F" w:rsidRDefault="005727DA" w:rsidP="00B64E93">
      <w:pPr>
        <w:pStyle w:val="IAPrrafo"/>
        <w:spacing w:after="0"/>
        <w:rPr>
          <w:lang w:val="es-ES"/>
        </w:rPr>
      </w:pPr>
    </w:p>
    <w:p w14:paraId="0DA3B615" w14:textId="05F93873" w:rsidR="007B7AAF" w:rsidRPr="00FA506F" w:rsidRDefault="007B7AAF" w:rsidP="00E44B33">
      <w:pPr>
        <w:pStyle w:val="IAPrrafo"/>
        <w:numPr>
          <w:ilvl w:val="0"/>
          <w:numId w:val="4"/>
        </w:numPr>
        <w:tabs>
          <w:tab w:val="num" w:pos="720"/>
        </w:tabs>
        <w:ind w:firstLine="720"/>
        <w:rPr>
          <w:lang w:val="es-ES"/>
        </w:rPr>
      </w:pPr>
      <w:r w:rsidRPr="00FA506F">
        <w:rPr>
          <w:lang w:val="es-ES"/>
        </w:rPr>
        <w:t xml:space="preserve">En el Capítulo V del Informe Anual de 2023, la CIDH conoció sobre la implementación de la Ley General </w:t>
      </w:r>
      <w:r w:rsidR="00994240" w:rsidRPr="00FA506F">
        <w:rPr>
          <w:lang w:val="es-ES"/>
        </w:rPr>
        <w:t xml:space="preserve">contra </w:t>
      </w:r>
      <w:r w:rsidRPr="00FA506F">
        <w:rPr>
          <w:lang w:val="es-ES"/>
        </w:rPr>
        <w:t>la Tortura mediante la colaboración interinstitucional, la elaboración del Plan Estratégico de Procuración de Justicia, y la coordinación con F</w:t>
      </w:r>
      <w:r w:rsidR="002A41BA" w:rsidRPr="00FA506F">
        <w:rPr>
          <w:lang w:val="es-ES"/>
        </w:rPr>
        <w:t>uerzas Armadas</w:t>
      </w:r>
      <w:r w:rsidRPr="00FA506F">
        <w:rPr>
          <w:lang w:val="es-ES"/>
        </w:rPr>
        <w:t xml:space="preserve"> y corporaciones policiacas</w:t>
      </w:r>
      <w:r w:rsidR="00446F81" w:rsidRPr="00FA506F">
        <w:rPr>
          <w:lang w:val="es-ES"/>
        </w:rPr>
        <w:t xml:space="preserve"> y</w:t>
      </w:r>
      <w:r w:rsidRPr="00FA506F">
        <w:rPr>
          <w:lang w:val="es-ES"/>
        </w:rPr>
        <w:t xml:space="preserve"> de talleres impartidos por la Fiscalía Especializada en Derechos Humanos. Sin embargo, organizaciones de la sociedad civil </w:t>
      </w:r>
      <w:r w:rsidR="00BE6519" w:rsidRPr="00FA506F">
        <w:rPr>
          <w:lang w:val="es-ES"/>
        </w:rPr>
        <w:t>destacaron</w:t>
      </w:r>
      <w:r w:rsidRPr="00FA506F">
        <w:rPr>
          <w:lang w:val="es-ES"/>
        </w:rPr>
        <w:t xml:space="preserve"> la falta de políticas adecuadas para abordar graves violaciones a los derechos humanos, deficiencias en la coordinación entre la FGR y las entidades federativas en casos de migrantes, y la prevalencia de impunidad en masacres de migrantes. La CIDH valoró los esfuerzos estatales, pero concluyó que se </w:t>
      </w:r>
      <w:r w:rsidR="00994240" w:rsidRPr="00FA506F">
        <w:rPr>
          <w:lang w:val="es-ES"/>
        </w:rPr>
        <w:t xml:space="preserve">requería </w:t>
      </w:r>
      <w:r w:rsidRPr="00FA506F">
        <w:rPr>
          <w:lang w:val="es-ES"/>
        </w:rPr>
        <w:t>información adicional sobre la cooperación interinstitucional y los resultados de las investigaciones, manteniendo la recomendación en cumplimiento parcial</w:t>
      </w:r>
      <w:r w:rsidR="000A7348" w:rsidRPr="00FA506F">
        <w:rPr>
          <w:rStyle w:val="FootnoteReference"/>
          <w:lang w:val="es-ES"/>
        </w:rPr>
        <w:footnoteReference w:id="138"/>
      </w:r>
      <w:r w:rsidRPr="00FA506F">
        <w:rPr>
          <w:lang w:val="es-ES"/>
        </w:rPr>
        <w:t>.</w:t>
      </w:r>
    </w:p>
    <w:p w14:paraId="5C8D051D" w14:textId="77777777" w:rsidR="007B7AAF" w:rsidRPr="00FA506F" w:rsidRDefault="007B7AAF" w:rsidP="001E133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290A204C"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28B5C344" w14:textId="347C8912" w:rsidR="000A7348" w:rsidRPr="00FA506F" w:rsidRDefault="00994240" w:rsidP="00B80A67">
      <w:pPr>
        <w:pStyle w:val="IAPrrafo"/>
        <w:numPr>
          <w:ilvl w:val="0"/>
          <w:numId w:val="4"/>
        </w:numPr>
        <w:tabs>
          <w:tab w:val="num" w:pos="720"/>
        </w:tabs>
        <w:ind w:firstLine="720"/>
        <w:rPr>
          <w:lang w:val="es-ES"/>
        </w:rPr>
      </w:pPr>
      <w:r w:rsidRPr="00FA506F">
        <w:rPr>
          <w:lang w:val="es-ES"/>
        </w:rPr>
        <w:t>En 2024 e</w:t>
      </w:r>
      <w:r w:rsidR="007B7AAF" w:rsidRPr="00FA506F">
        <w:rPr>
          <w:lang w:val="es-ES"/>
        </w:rPr>
        <w:t xml:space="preserve">l Estado reportó que la Conferencia Nacional de Procuración de Justicia (CNPJ) se habría consolidado como un foro </w:t>
      </w:r>
      <w:r w:rsidRPr="00FA506F">
        <w:rPr>
          <w:lang w:val="es-ES"/>
        </w:rPr>
        <w:t xml:space="preserve">en el </w:t>
      </w:r>
      <w:r w:rsidR="007B7AAF" w:rsidRPr="00FA506F">
        <w:rPr>
          <w:lang w:val="es-ES"/>
        </w:rPr>
        <w:t>que procuradores y fiscales compart</w:t>
      </w:r>
      <w:r w:rsidRPr="00FA506F">
        <w:rPr>
          <w:lang w:val="es-ES"/>
        </w:rPr>
        <w:t>e</w:t>
      </w:r>
      <w:r w:rsidR="007B7AAF" w:rsidRPr="00FA506F">
        <w:rPr>
          <w:lang w:val="es-ES"/>
        </w:rPr>
        <w:t>n información, buenas prácticas y experiencias orientadas a mejorar la investigación de delitos. Entre el 1 de abril de 2023 y el 31 de marzo de 2024, la CNPJ</w:t>
      </w:r>
      <w:r w:rsidR="00A25DCA" w:rsidRPr="00FA506F">
        <w:rPr>
          <w:lang w:val="es-ES"/>
        </w:rPr>
        <w:t xml:space="preserve"> </w:t>
      </w:r>
      <w:r w:rsidR="007B7AAF" w:rsidRPr="00FA506F">
        <w:rPr>
          <w:lang w:val="es-ES"/>
        </w:rPr>
        <w:t>celebr</w:t>
      </w:r>
      <w:r w:rsidR="00F46ED0" w:rsidRPr="00FA506F">
        <w:rPr>
          <w:lang w:val="es-ES"/>
        </w:rPr>
        <w:t>ó</w:t>
      </w:r>
      <w:r w:rsidR="007B7AAF" w:rsidRPr="00FA506F">
        <w:rPr>
          <w:lang w:val="es-ES"/>
        </w:rPr>
        <w:t xml:space="preserve"> las XLVIII y XLIX asambleas plenarias y llev</w:t>
      </w:r>
      <w:r w:rsidR="00D35EE8" w:rsidRPr="00FA506F">
        <w:rPr>
          <w:lang w:val="es-ES"/>
        </w:rPr>
        <w:t>ó</w:t>
      </w:r>
      <w:r w:rsidR="007B7AAF" w:rsidRPr="00FA506F">
        <w:rPr>
          <w:lang w:val="es-ES"/>
        </w:rPr>
        <w:t xml:space="preserve"> a cabo ocho sesiones regionales, en las que se adopta</w:t>
      </w:r>
      <w:r w:rsidR="00D35EE8" w:rsidRPr="00FA506F">
        <w:rPr>
          <w:lang w:val="es-ES"/>
        </w:rPr>
        <w:t>ron</w:t>
      </w:r>
      <w:r w:rsidR="007B7AAF" w:rsidRPr="00FA506F">
        <w:rPr>
          <w:lang w:val="es-ES"/>
        </w:rPr>
        <w:t xml:space="preserve"> 90 acuerdos</w:t>
      </w:r>
      <w:r w:rsidRPr="00FA506F">
        <w:rPr>
          <w:lang w:val="es-ES"/>
        </w:rPr>
        <w:t>;</w:t>
      </w:r>
      <w:r w:rsidR="007B7AAF" w:rsidRPr="00FA506F">
        <w:rPr>
          <w:lang w:val="es-ES"/>
        </w:rPr>
        <w:t xml:space="preserve"> como la homologación del tipo penal de feminicidio, la creación de bases de colaboración para registros forenses, y el desarrollo de un protocolo de investigación bajo el Modelo Nacional de Policía y Justicia Cívica. En el marco de la estrategia </w:t>
      </w:r>
      <w:r w:rsidRPr="00FA506F">
        <w:rPr>
          <w:lang w:val="es-ES"/>
        </w:rPr>
        <w:t>“</w:t>
      </w:r>
      <w:r w:rsidR="007B7AAF" w:rsidRPr="00FA506F">
        <w:rPr>
          <w:lang w:val="es-ES"/>
        </w:rPr>
        <w:t>Cero Impunidad</w:t>
      </w:r>
      <w:r w:rsidRPr="00FA506F">
        <w:rPr>
          <w:lang w:val="es-ES"/>
        </w:rPr>
        <w:t>”</w:t>
      </w:r>
      <w:r w:rsidR="007B7AAF" w:rsidRPr="00FA506F">
        <w:rPr>
          <w:lang w:val="es-ES"/>
        </w:rPr>
        <w:t>, se habría promovido la colaboración entre autoridades de seguridad y procuración de justicia, permitiendo la detención de más de 84</w:t>
      </w:r>
      <w:r w:rsidR="00A25602" w:rsidRPr="00FA506F">
        <w:rPr>
          <w:lang w:val="es-ES"/>
        </w:rPr>
        <w:t>.</w:t>
      </w:r>
      <w:r w:rsidR="007B7AAF" w:rsidRPr="00FA506F">
        <w:rPr>
          <w:lang w:val="es-ES"/>
        </w:rPr>
        <w:t>000 miembros de bandas delictivas, de los cuales aproximadamente 10</w:t>
      </w:r>
      <w:r w:rsidR="003E6809" w:rsidRPr="00FA506F">
        <w:rPr>
          <w:lang w:val="es-ES"/>
        </w:rPr>
        <w:t>.</w:t>
      </w:r>
      <w:r w:rsidR="007B7AAF" w:rsidRPr="00FA506F">
        <w:rPr>
          <w:lang w:val="es-ES"/>
        </w:rPr>
        <w:t>000 pertenecen a organizaciones criminales. En el ámbito de los feminicidios, entre julio de 2022 y marzo de 2024, se</w:t>
      </w:r>
      <w:r w:rsidR="00A25DCA" w:rsidRPr="00FA506F">
        <w:rPr>
          <w:lang w:val="es-ES"/>
        </w:rPr>
        <w:t xml:space="preserve"> </w:t>
      </w:r>
      <w:r w:rsidR="007B7AAF" w:rsidRPr="00FA506F">
        <w:rPr>
          <w:lang w:val="es-ES"/>
        </w:rPr>
        <w:t>det</w:t>
      </w:r>
      <w:r w:rsidR="008C0BE6" w:rsidRPr="00FA506F">
        <w:rPr>
          <w:lang w:val="es-ES"/>
        </w:rPr>
        <w:t>uvieron</w:t>
      </w:r>
      <w:r w:rsidR="007B7AAF" w:rsidRPr="00FA506F">
        <w:rPr>
          <w:lang w:val="es-ES"/>
        </w:rPr>
        <w:t xml:space="preserve"> 1</w:t>
      </w:r>
      <w:r w:rsidR="003E6809" w:rsidRPr="00FA506F">
        <w:rPr>
          <w:lang w:val="es-ES"/>
        </w:rPr>
        <w:t>.</w:t>
      </w:r>
      <w:r w:rsidR="007B7AAF" w:rsidRPr="00FA506F">
        <w:rPr>
          <w:lang w:val="es-ES"/>
        </w:rPr>
        <w:t xml:space="preserve">149 feminicidas y </w:t>
      </w:r>
      <w:r w:rsidRPr="00FA506F">
        <w:rPr>
          <w:lang w:val="es-ES"/>
        </w:rPr>
        <w:t xml:space="preserve">se </w:t>
      </w:r>
      <w:r w:rsidR="007B7AAF" w:rsidRPr="00FA506F">
        <w:rPr>
          <w:lang w:val="es-ES"/>
        </w:rPr>
        <w:t>emiti</w:t>
      </w:r>
      <w:r w:rsidR="008C0BE6" w:rsidRPr="00FA506F">
        <w:rPr>
          <w:lang w:val="es-ES"/>
        </w:rPr>
        <w:t>eron</w:t>
      </w:r>
      <w:r w:rsidR="007B7AAF" w:rsidRPr="00FA506F">
        <w:rPr>
          <w:lang w:val="es-ES"/>
        </w:rPr>
        <w:t xml:space="preserve"> 401 sentencias condenatorias, logrando una reducción del 41</w:t>
      </w:r>
      <w:r w:rsidR="003E6809" w:rsidRPr="00FA506F">
        <w:rPr>
          <w:lang w:val="es-ES"/>
        </w:rPr>
        <w:t>,</w:t>
      </w:r>
      <w:r w:rsidR="007B7AAF" w:rsidRPr="00FA506F">
        <w:rPr>
          <w:lang w:val="es-ES"/>
        </w:rPr>
        <w:t>5% en el delito de feminicidio en comparación con diciembre de 2018</w:t>
      </w:r>
      <w:r w:rsidR="000A7348" w:rsidRPr="00FA506F">
        <w:rPr>
          <w:rStyle w:val="FootnoteReference"/>
          <w:lang w:val="es-ES"/>
        </w:rPr>
        <w:footnoteReference w:id="139"/>
      </w:r>
      <w:r w:rsidR="007B7AAF" w:rsidRPr="00FA506F">
        <w:rPr>
          <w:lang w:val="es-ES"/>
        </w:rPr>
        <w:t>.</w:t>
      </w:r>
    </w:p>
    <w:p w14:paraId="37333ABE" w14:textId="77777777" w:rsidR="007B7AAF" w:rsidRPr="00FA506F" w:rsidRDefault="007B7AAF" w:rsidP="001E133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43616C81"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2B3D3822" w14:textId="28A337D4" w:rsidR="00C15897" w:rsidRPr="00FA506F" w:rsidRDefault="007B7AAF" w:rsidP="00B80A67">
      <w:pPr>
        <w:pStyle w:val="IAPrrafo"/>
        <w:numPr>
          <w:ilvl w:val="0"/>
          <w:numId w:val="4"/>
        </w:numPr>
        <w:tabs>
          <w:tab w:val="num" w:pos="720"/>
        </w:tabs>
        <w:ind w:firstLine="720"/>
        <w:rPr>
          <w:lang w:val="es-ES"/>
        </w:rPr>
      </w:pPr>
      <w:r w:rsidRPr="00FA506F">
        <w:rPr>
          <w:lang w:val="es-ES"/>
        </w:rPr>
        <w:t xml:space="preserve">La CIDH reconoce los avances del Estado en la creación de espacios de cooperación y coordinación entre diferentes niveles de gobierno y en la implementación de estrategias orientadas a combatir graves violaciones a los derechos humanos. No obstante, sigue siendo necesario evaluar la efectividad de la colaboración interinstitucional para garantizar la investigación y sanción de </w:t>
      </w:r>
      <w:r w:rsidR="00994240" w:rsidRPr="00FA506F">
        <w:rPr>
          <w:lang w:val="es-ES"/>
        </w:rPr>
        <w:t xml:space="preserve">todos los </w:t>
      </w:r>
      <w:r w:rsidRPr="00FA506F">
        <w:rPr>
          <w:lang w:val="es-ES"/>
        </w:rPr>
        <w:t>delitos</w:t>
      </w:r>
      <w:r w:rsidR="00994240" w:rsidRPr="00FA506F">
        <w:rPr>
          <w:lang w:val="es-ES"/>
        </w:rPr>
        <w:t xml:space="preserve"> que implican graves violaciones de derechos humanos</w:t>
      </w:r>
      <w:r w:rsidRPr="00FA506F">
        <w:rPr>
          <w:lang w:val="es-ES"/>
        </w:rPr>
        <w:t xml:space="preserve"> de manera integral. Por ello, la CIDH concluye que la recomendación permanece en</w:t>
      </w:r>
      <w:r w:rsidRPr="00FA506F">
        <w:rPr>
          <w:b/>
          <w:bCs/>
          <w:lang w:val="es-ES"/>
        </w:rPr>
        <w:t xml:space="preserve"> cumplimiento parcial</w:t>
      </w:r>
      <w:r w:rsidRPr="00FA506F">
        <w:rPr>
          <w:lang w:val="es-ES"/>
        </w:rPr>
        <w:t>.</w:t>
      </w:r>
    </w:p>
    <w:p w14:paraId="26B5183E" w14:textId="77777777" w:rsidR="007B7AAF" w:rsidRPr="00FA506F" w:rsidRDefault="007B7AAF" w:rsidP="006678C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0C6FD09A" w14:textId="77777777" w:rsidR="007B7AAF" w:rsidRPr="00FA506F" w:rsidRDefault="007B7AAF" w:rsidP="00B80A67">
      <w:pPr>
        <w:jc w:val="both"/>
        <w:rPr>
          <w:rFonts w:ascii="Cambria" w:eastAsia="Cambria" w:hAnsi="Cambria" w:cs="Cambria"/>
          <w:i/>
          <w:iCs/>
          <w:color w:val="000000" w:themeColor="text1"/>
          <w:sz w:val="20"/>
          <w:szCs w:val="20"/>
          <w:lang w:val="es-ES"/>
        </w:rPr>
      </w:pPr>
    </w:p>
    <w:p w14:paraId="38A261C3" w14:textId="31744A0A"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La CIDH recomienda que el Estado incremente la transparencia sobre los resultados concretos de la Conferencia Nacional de Procuración de Justicia y fortalezca la rendición de cuentas en la implementación de acuerdos y protocolos. </w:t>
      </w:r>
      <w:r w:rsidR="008C2DA5" w:rsidRPr="00FA506F">
        <w:rPr>
          <w:lang w:val="es-ES"/>
        </w:rPr>
        <w:t xml:space="preserve">La Comisión </w:t>
      </w:r>
      <w:r w:rsidRPr="00FA506F">
        <w:rPr>
          <w:lang w:val="es-ES"/>
        </w:rPr>
        <w:t>sugiere que se intensifiquen los esfuerzos para abordar casos de</w:t>
      </w:r>
      <w:r w:rsidR="00994240" w:rsidRPr="00FA506F">
        <w:rPr>
          <w:lang w:val="es-ES"/>
        </w:rPr>
        <w:t xml:space="preserve"> desaparición forzada, en particular contra personas</w:t>
      </w:r>
      <w:r w:rsidRPr="00FA506F">
        <w:rPr>
          <w:lang w:val="es-ES"/>
        </w:rPr>
        <w:t xml:space="preserve"> migrantes y otros crímenes de alto impacto en los que persista la impunidad.</w:t>
      </w:r>
    </w:p>
    <w:p w14:paraId="488D4A0F" w14:textId="77777777" w:rsidR="007B7AAF" w:rsidRPr="00FA506F" w:rsidRDefault="007B7AAF" w:rsidP="00B80A67">
      <w:pPr>
        <w:pBdr>
          <w:top w:val="single" w:sz="4" w:space="1" w:color="000000"/>
          <w:left w:val="single" w:sz="4" w:space="4" w:color="000000"/>
          <w:bottom w:val="single" w:sz="4" w:space="1" w:color="000000"/>
          <w:right w:val="single" w:sz="4" w:space="4" w:color="000000"/>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30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Adoptar medidas de protección específicas para las víctimas, sus familiares, representantes, testigos, peritos y defensores y defensoras que participen en la investigación o búsqueda de justicia cuando estén en riesgo. Garantizar el acceso a los expedientes a las y los familiares y representantes legales. Imponer sanciones adecuadas en casos de represalias en contra de cualquiera de estas personas. </w:t>
      </w:r>
    </w:p>
    <w:p w14:paraId="6F5F0194" w14:textId="77777777" w:rsidR="007B7AAF" w:rsidRPr="00FA506F" w:rsidRDefault="007B7AAF" w:rsidP="00B80A67">
      <w:pPr>
        <w:jc w:val="both"/>
        <w:rPr>
          <w:rFonts w:ascii="Cambria" w:eastAsia="Cambria" w:hAnsi="Cambria" w:cs="Cambria"/>
          <w:i/>
          <w:iCs/>
          <w:color w:val="000000" w:themeColor="text1"/>
          <w:sz w:val="20"/>
          <w:szCs w:val="20"/>
          <w:lang w:val="es-ES"/>
        </w:rPr>
      </w:pPr>
    </w:p>
    <w:p w14:paraId="2ACC8CB1" w14:textId="3D2C419C" w:rsidR="007B7AAF" w:rsidRPr="00FA506F" w:rsidRDefault="007B7AAF" w:rsidP="006678CB">
      <w:pPr>
        <w:pStyle w:val="parrafos"/>
        <w:ind w:firstLine="720"/>
        <w:rPr>
          <w:lang w:val="es-ES"/>
        </w:rPr>
      </w:pPr>
      <w:r w:rsidRPr="00FA506F">
        <w:rPr>
          <w:lang w:val="es-ES"/>
        </w:rPr>
        <w:t xml:space="preserve">En el Capítulo V del Informe Anual de 2023, la CIDH conoció sobre la aplicación del Mecanismo de Protección y la recopilación de datos por parte del INEGI sobre quejas de violaciones de derechos humanos y medidas de protección a víctimas. Sin embargo, organizaciones de la sociedad civil denunciaron una presunta política interna en el Mecanismo para reducir gastos, lo que habría llevado al retiro de medidas de protección para personas en riesgo. La CIDH valoró el marco normativo existente, pero destacó la necesidad de fortalecer las medidas de protección y de recibir información adicional sobre el acceso a expedientes y sanciones por represalias, concluyendo que la recomendación </w:t>
      </w:r>
      <w:r w:rsidR="004218EA" w:rsidRPr="00FA506F">
        <w:rPr>
          <w:lang w:val="es-ES"/>
        </w:rPr>
        <w:t xml:space="preserve">seguía </w:t>
      </w:r>
      <w:r w:rsidRPr="00FA506F">
        <w:rPr>
          <w:lang w:val="es-ES"/>
        </w:rPr>
        <w:t>cumplida parcialmente</w:t>
      </w:r>
      <w:r w:rsidR="00BB4DC8" w:rsidRPr="00FA506F">
        <w:rPr>
          <w:rStyle w:val="FootnoteReference"/>
          <w:lang w:val="es-ES"/>
        </w:rPr>
        <w:footnoteReference w:id="140"/>
      </w:r>
      <w:r w:rsidRPr="00FA506F">
        <w:rPr>
          <w:lang w:val="es-ES"/>
        </w:rPr>
        <w:t>.</w:t>
      </w:r>
    </w:p>
    <w:p w14:paraId="043E3AF2" w14:textId="77777777" w:rsidR="007B7AAF" w:rsidRPr="00FA506F" w:rsidRDefault="007B7AAF" w:rsidP="00B80A67">
      <w:pPr>
        <w:pStyle w:val="parrafos"/>
        <w:numPr>
          <w:ilvl w:val="0"/>
          <w:numId w:val="0"/>
        </w:numPr>
        <w:tabs>
          <w:tab w:val="clear" w:pos="0"/>
          <w:tab w:val="left" w:pos="142"/>
        </w:tabs>
        <w:rPr>
          <w:lang w:val="es-ES"/>
        </w:rPr>
      </w:pPr>
    </w:p>
    <w:p w14:paraId="626804D1" w14:textId="77777777" w:rsidR="007B7AAF" w:rsidRPr="00FA506F" w:rsidRDefault="007B7AAF" w:rsidP="006678C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4B8DBAE3" w14:textId="77777777" w:rsidR="007B7AAF" w:rsidRPr="00FA506F" w:rsidRDefault="007B7AAF" w:rsidP="00B80A67">
      <w:pPr>
        <w:pStyle w:val="parrafos"/>
        <w:numPr>
          <w:ilvl w:val="0"/>
          <w:numId w:val="0"/>
        </w:numPr>
        <w:tabs>
          <w:tab w:val="clear" w:pos="0"/>
          <w:tab w:val="left" w:pos="142"/>
        </w:tabs>
        <w:ind w:left="709"/>
        <w:rPr>
          <w:lang w:val="es-ES"/>
        </w:rPr>
      </w:pPr>
    </w:p>
    <w:p w14:paraId="2DC86E30" w14:textId="3829361C" w:rsidR="007B7AAF" w:rsidRPr="00616692" w:rsidRDefault="004218EA" w:rsidP="002A41BA">
      <w:pPr>
        <w:pStyle w:val="IAPrrafo"/>
        <w:numPr>
          <w:ilvl w:val="0"/>
          <w:numId w:val="4"/>
        </w:numPr>
        <w:tabs>
          <w:tab w:val="num" w:pos="720"/>
        </w:tabs>
        <w:ind w:firstLine="720"/>
        <w:rPr>
          <w:lang w:val="es-ES"/>
        </w:rPr>
      </w:pPr>
      <w:r w:rsidRPr="00FA506F">
        <w:rPr>
          <w:lang w:val="es-ES"/>
        </w:rPr>
        <w:t>Para el 2024 e</w:t>
      </w:r>
      <w:r w:rsidR="007B7AAF" w:rsidRPr="00FA506F">
        <w:rPr>
          <w:lang w:val="es-ES"/>
        </w:rPr>
        <w:t xml:space="preserve">l Estado reportó que </w:t>
      </w:r>
      <w:r w:rsidR="007B7AAF" w:rsidRPr="00FA506F">
        <w:rPr>
          <w:rFonts w:eastAsia="Cambria" w:cs="Cambria"/>
          <w:color w:val="000000" w:themeColor="text1"/>
          <w:szCs w:val="20"/>
          <w:lang w:val="es-ES"/>
        </w:rPr>
        <w:t xml:space="preserve">habría incluido una nueva estrategia que </w:t>
      </w:r>
      <w:r w:rsidR="00CC72A9" w:rsidRPr="00FA506F">
        <w:rPr>
          <w:rFonts w:eastAsia="Cambria" w:cs="Cambria"/>
          <w:color w:val="000000" w:themeColor="text1"/>
          <w:szCs w:val="20"/>
          <w:lang w:val="es-ES"/>
        </w:rPr>
        <w:t>prevé</w:t>
      </w:r>
      <w:r w:rsidR="007B7AAF" w:rsidRPr="00FA506F">
        <w:rPr>
          <w:rFonts w:eastAsia="Cambria" w:cs="Cambria"/>
          <w:color w:val="000000" w:themeColor="text1"/>
          <w:szCs w:val="20"/>
          <w:lang w:val="es-ES"/>
        </w:rPr>
        <w:t xml:space="preserve"> la responsabilidad del victimario en la reparación integral del daño y garantiza la no repetición de los hechos. En caso</w:t>
      </w:r>
      <w:r w:rsidR="00A25DCA" w:rsidRPr="00FA506F">
        <w:rPr>
          <w:rFonts w:eastAsia="Cambria" w:cs="Cambria"/>
          <w:color w:val="000000" w:themeColor="text1"/>
          <w:szCs w:val="20"/>
          <w:lang w:val="es-ES"/>
        </w:rPr>
        <w:t xml:space="preserve"> </w:t>
      </w:r>
      <w:r w:rsidRPr="00FA506F">
        <w:rPr>
          <w:rFonts w:eastAsia="Cambria" w:cs="Cambria"/>
          <w:color w:val="000000" w:themeColor="text1"/>
          <w:szCs w:val="20"/>
          <w:lang w:val="es-ES"/>
        </w:rPr>
        <w:t xml:space="preserve">de </w:t>
      </w:r>
      <w:r w:rsidR="007B7AAF" w:rsidRPr="00FA506F">
        <w:rPr>
          <w:rFonts w:eastAsia="Cambria" w:cs="Cambria"/>
          <w:color w:val="000000" w:themeColor="text1"/>
          <w:szCs w:val="20"/>
          <w:lang w:val="es-ES"/>
        </w:rPr>
        <w:t>que el victimario carezca de recursos para reparar el daño, el Estado habría asumido la responsabilidad de proporcionar una compensación subsidiaria. Entre 2021 y 2023, la CEAV habría gestionado 21</w:t>
      </w:r>
      <w:r w:rsidR="003E6809" w:rsidRPr="00FA506F">
        <w:rPr>
          <w:rFonts w:eastAsia="Cambria" w:cs="Cambria"/>
          <w:color w:val="000000" w:themeColor="text1"/>
          <w:szCs w:val="20"/>
          <w:lang w:val="es-ES"/>
        </w:rPr>
        <w:t>.</w:t>
      </w:r>
      <w:r w:rsidR="007B7AAF" w:rsidRPr="00FA506F">
        <w:rPr>
          <w:rFonts w:eastAsia="Cambria" w:cs="Cambria"/>
          <w:color w:val="000000" w:themeColor="text1"/>
          <w:szCs w:val="20"/>
          <w:lang w:val="es-ES"/>
        </w:rPr>
        <w:t>069 expedientes y ofrecido 280</w:t>
      </w:r>
      <w:r w:rsidR="003E6809" w:rsidRPr="00FA506F">
        <w:rPr>
          <w:rFonts w:eastAsia="Cambria" w:cs="Cambria"/>
          <w:color w:val="000000" w:themeColor="text1"/>
          <w:szCs w:val="20"/>
          <w:lang w:val="es-ES"/>
        </w:rPr>
        <w:t>.</w:t>
      </w:r>
      <w:r w:rsidR="007B7AAF" w:rsidRPr="00FA506F">
        <w:rPr>
          <w:rFonts w:eastAsia="Cambria" w:cs="Cambria"/>
          <w:color w:val="000000" w:themeColor="text1"/>
          <w:szCs w:val="20"/>
          <w:lang w:val="es-ES"/>
        </w:rPr>
        <w:t>309 servicios a 32</w:t>
      </w:r>
      <w:r w:rsidR="003E6809" w:rsidRPr="00FA506F">
        <w:rPr>
          <w:rFonts w:eastAsia="Cambria" w:cs="Cambria"/>
          <w:color w:val="000000" w:themeColor="text1"/>
          <w:szCs w:val="20"/>
          <w:lang w:val="es-ES"/>
        </w:rPr>
        <w:t>.</w:t>
      </w:r>
      <w:r w:rsidR="007B7AAF" w:rsidRPr="00FA506F">
        <w:rPr>
          <w:rFonts w:eastAsia="Cambria" w:cs="Cambria"/>
          <w:color w:val="000000" w:themeColor="text1"/>
          <w:szCs w:val="20"/>
          <w:lang w:val="es-ES"/>
        </w:rPr>
        <w:t>783 víctimas. Desde mayo de 2019 hasta marzo de 2024, la CEAV habría emitido 1</w:t>
      </w:r>
      <w:r w:rsidR="003E6809" w:rsidRPr="00FA506F">
        <w:rPr>
          <w:rFonts w:eastAsia="Cambria" w:cs="Cambria"/>
          <w:color w:val="000000" w:themeColor="text1"/>
          <w:szCs w:val="20"/>
          <w:lang w:val="es-ES"/>
        </w:rPr>
        <w:t>.</w:t>
      </w:r>
      <w:r w:rsidR="007B7AAF" w:rsidRPr="00FA506F">
        <w:rPr>
          <w:rFonts w:eastAsia="Cambria" w:cs="Cambria"/>
          <w:color w:val="000000" w:themeColor="text1"/>
          <w:szCs w:val="20"/>
          <w:lang w:val="es-ES"/>
        </w:rPr>
        <w:t>255 resoluciones de reparación por violaciones a derechos humanos, beneficiando a 5</w:t>
      </w:r>
      <w:r w:rsidR="003E6809" w:rsidRPr="00FA506F">
        <w:rPr>
          <w:rFonts w:eastAsia="Cambria" w:cs="Cambria"/>
          <w:color w:val="000000" w:themeColor="text1"/>
          <w:szCs w:val="20"/>
          <w:lang w:val="es-ES"/>
        </w:rPr>
        <w:t>.</w:t>
      </w:r>
      <w:r w:rsidR="007B7AAF" w:rsidRPr="00FA506F">
        <w:rPr>
          <w:rFonts w:eastAsia="Cambria" w:cs="Cambria"/>
          <w:color w:val="000000" w:themeColor="text1"/>
          <w:szCs w:val="20"/>
          <w:lang w:val="es-ES"/>
        </w:rPr>
        <w:t>308 víctimas. A junio de 2024, el Registro Nacional de Víctimas (RENAVI) registraría 75</w:t>
      </w:r>
      <w:r w:rsidR="003E6809" w:rsidRPr="00FA506F">
        <w:rPr>
          <w:rFonts w:eastAsia="Cambria" w:cs="Cambria"/>
          <w:color w:val="000000" w:themeColor="text1"/>
          <w:szCs w:val="20"/>
          <w:lang w:val="es-ES"/>
        </w:rPr>
        <w:t>.</w:t>
      </w:r>
      <w:r w:rsidR="007B7AAF" w:rsidRPr="00FA506F">
        <w:rPr>
          <w:rFonts w:eastAsia="Cambria" w:cs="Cambria"/>
          <w:color w:val="000000" w:themeColor="text1"/>
          <w:szCs w:val="20"/>
          <w:lang w:val="es-ES"/>
        </w:rPr>
        <w:t>863 personas, y entre enero de 2023 y junio de 2024, 19</w:t>
      </w:r>
      <w:r w:rsidR="003E6809" w:rsidRPr="00FA506F">
        <w:rPr>
          <w:rFonts w:eastAsia="Cambria" w:cs="Cambria"/>
          <w:color w:val="000000" w:themeColor="text1"/>
          <w:szCs w:val="20"/>
          <w:lang w:val="es-ES"/>
        </w:rPr>
        <w:t>.</w:t>
      </w:r>
      <w:r w:rsidR="007B7AAF" w:rsidRPr="00FA506F">
        <w:rPr>
          <w:rFonts w:eastAsia="Cambria" w:cs="Cambria"/>
          <w:color w:val="000000" w:themeColor="text1"/>
          <w:szCs w:val="20"/>
          <w:lang w:val="es-ES"/>
        </w:rPr>
        <w:t>246 nuevas personas habrían sido inscritas como víctimas</w:t>
      </w:r>
      <w:r w:rsidR="000A7348" w:rsidRPr="00FA506F">
        <w:rPr>
          <w:rStyle w:val="FootnoteReference"/>
          <w:rFonts w:eastAsia="Cambria" w:cs="Cambria"/>
          <w:color w:val="000000" w:themeColor="text1"/>
          <w:szCs w:val="20"/>
          <w:lang w:val="es-ES"/>
        </w:rPr>
        <w:footnoteReference w:id="141"/>
      </w:r>
      <w:r w:rsidR="007B7AAF" w:rsidRPr="00FA506F">
        <w:rPr>
          <w:rFonts w:eastAsia="Cambria" w:cs="Cambria"/>
          <w:color w:val="000000" w:themeColor="text1"/>
          <w:szCs w:val="20"/>
          <w:lang w:val="es-ES"/>
        </w:rPr>
        <w:t>.</w:t>
      </w:r>
      <w:r w:rsidR="002A41BA" w:rsidRPr="00FA506F">
        <w:rPr>
          <w:lang w:val="es-ES"/>
        </w:rPr>
        <w:t xml:space="preserve"> </w:t>
      </w:r>
      <w:r w:rsidRPr="00FA506F">
        <w:rPr>
          <w:lang w:val="es-ES"/>
        </w:rPr>
        <w:t>Asimismo</w:t>
      </w:r>
      <w:r w:rsidR="009434B8" w:rsidRPr="00FA506F">
        <w:rPr>
          <w:lang w:val="es-ES"/>
        </w:rPr>
        <w:t>,</w:t>
      </w:r>
      <w:r w:rsidRPr="00FA506F">
        <w:rPr>
          <w:lang w:val="es-ES"/>
        </w:rPr>
        <w:t xml:space="preserve"> resaltó que </w:t>
      </w:r>
      <w:r w:rsidRPr="00FA506F">
        <w:rPr>
          <w:rFonts w:eastAsia="Cambria" w:cs="Cambria"/>
          <w:color w:val="000000" w:themeColor="text1"/>
          <w:szCs w:val="20"/>
          <w:lang w:val="es-ES"/>
        </w:rPr>
        <w:t>l</w:t>
      </w:r>
      <w:r w:rsidR="007B7AAF" w:rsidRPr="00FA506F">
        <w:rPr>
          <w:rFonts w:eastAsia="Cambria" w:cs="Cambria"/>
          <w:color w:val="000000" w:themeColor="text1"/>
          <w:szCs w:val="20"/>
          <w:lang w:val="es-ES"/>
        </w:rPr>
        <w:t xml:space="preserve">a Comisión Intersecretarial contra la Trata de Personas, coordinada por la Secretaría de Gobernación, habría trabajado para prevenir y erradicar este delito y sus violaciones conexas a derechos humanos, con una perspectiva de género. En 2023, se habrían capacitado </w:t>
      </w:r>
      <w:r w:rsidRPr="00FA506F">
        <w:rPr>
          <w:rFonts w:eastAsia="Cambria" w:cs="Cambria"/>
          <w:color w:val="000000" w:themeColor="text1"/>
          <w:szCs w:val="20"/>
          <w:lang w:val="es-ES"/>
        </w:rPr>
        <w:t xml:space="preserve">a </w:t>
      </w:r>
      <w:r w:rsidR="007B7AAF" w:rsidRPr="00FA506F">
        <w:rPr>
          <w:rFonts w:eastAsia="Cambria" w:cs="Cambria"/>
          <w:color w:val="000000" w:themeColor="text1"/>
          <w:szCs w:val="20"/>
          <w:lang w:val="es-ES"/>
        </w:rPr>
        <w:t>1</w:t>
      </w:r>
      <w:r w:rsidR="003E6809" w:rsidRPr="00FA506F">
        <w:rPr>
          <w:rFonts w:eastAsia="Cambria" w:cs="Cambria"/>
          <w:color w:val="000000" w:themeColor="text1"/>
          <w:szCs w:val="20"/>
          <w:lang w:val="es-ES"/>
        </w:rPr>
        <w:t>.</w:t>
      </w:r>
      <w:r w:rsidR="007B7AAF" w:rsidRPr="00FA506F">
        <w:rPr>
          <w:rFonts w:eastAsia="Cambria" w:cs="Cambria"/>
          <w:color w:val="000000" w:themeColor="text1"/>
          <w:szCs w:val="20"/>
          <w:lang w:val="es-ES"/>
        </w:rPr>
        <w:t xml:space="preserve">967 servidores públicos en esta materia. </w:t>
      </w:r>
      <w:r w:rsidR="00446F81" w:rsidRPr="00FA506F">
        <w:rPr>
          <w:rFonts w:eastAsia="Cambria" w:cs="Cambria"/>
          <w:color w:val="000000" w:themeColor="text1"/>
          <w:szCs w:val="20"/>
          <w:lang w:val="es-ES"/>
        </w:rPr>
        <w:t xml:space="preserve">El Estado reportó </w:t>
      </w:r>
      <w:r w:rsidR="00446F81" w:rsidRPr="00616692">
        <w:rPr>
          <w:rFonts w:eastAsia="Cambria" w:cs="Cambria"/>
          <w:color w:val="000000" w:themeColor="text1"/>
          <w:szCs w:val="20"/>
          <w:lang w:val="es-ES"/>
        </w:rPr>
        <w:t>el establecimiento</w:t>
      </w:r>
      <w:r w:rsidR="007B7AAF" w:rsidRPr="00616692">
        <w:rPr>
          <w:rFonts w:eastAsia="Cambria" w:cs="Cambria"/>
          <w:color w:val="000000" w:themeColor="text1"/>
          <w:szCs w:val="20"/>
          <w:lang w:val="es-ES"/>
        </w:rPr>
        <w:t xml:space="preserve"> </w:t>
      </w:r>
      <w:r w:rsidR="00446F81" w:rsidRPr="00616692">
        <w:rPr>
          <w:rFonts w:eastAsia="Cambria" w:cs="Cambria"/>
          <w:color w:val="000000" w:themeColor="text1"/>
          <w:szCs w:val="20"/>
          <w:lang w:val="es-ES"/>
        </w:rPr>
        <w:t>de</w:t>
      </w:r>
      <w:r w:rsidR="007B7AAF" w:rsidRPr="00616692">
        <w:rPr>
          <w:rFonts w:eastAsia="Cambria" w:cs="Cambria"/>
          <w:color w:val="000000" w:themeColor="text1"/>
          <w:szCs w:val="20"/>
          <w:lang w:val="es-ES"/>
        </w:rPr>
        <w:t xml:space="preserve"> una mesa dedicada a la trata de personas, alcanzando hasta marzo de 2024 un total de 22 reuniones, que habrían dado lugar a 99 acuerdos y permitido identificar 60 objetivos relacionados con grupos criminales de trata</w:t>
      </w:r>
      <w:r w:rsidR="000A7348" w:rsidRPr="00616692">
        <w:rPr>
          <w:rStyle w:val="FootnoteReference"/>
          <w:rFonts w:eastAsia="Cambria" w:cs="Cambria"/>
          <w:color w:val="000000" w:themeColor="text1"/>
          <w:szCs w:val="20"/>
          <w:lang w:val="es-ES"/>
        </w:rPr>
        <w:footnoteReference w:id="142"/>
      </w:r>
      <w:r w:rsidR="007B7AAF" w:rsidRPr="00616692">
        <w:rPr>
          <w:rFonts w:eastAsia="Cambria" w:cs="Cambria"/>
          <w:color w:val="000000" w:themeColor="text1"/>
          <w:szCs w:val="20"/>
          <w:lang w:val="es-ES"/>
        </w:rPr>
        <w:t>.</w:t>
      </w:r>
    </w:p>
    <w:p w14:paraId="04C6075F" w14:textId="2A005CE6" w:rsidR="00AB6367" w:rsidRPr="00616692" w:rsidRDefault="00AB6367" w:rsidP="00AB6367">
      <w:pPr>
        <w:pStyle w:val="IAPrrafo"/>
        <w:numPr>
          <w:ilvl w:val="0"/>
          <w:numId w:val="4"/>
        </w:numPr>
        <w:tabs>
          <w:tab w:val="num" w:pos="720"/>
        </w:tabs>
        <w:ind w:firstLine="720"/>
        <w:rPr>
          <w:lang w:val="es-ES"/>
        </w:rPr>
      </w:pPr>
      <w:r w:rsidRPr="00616692">
        <w:rPr>
          <w:lang w:val="es-ES"/>
        </w:rPr>
        <w:t>El Estado agregó en sus observaciones al presente Informe que, la CEAV mantiene activos 35</w:t>
      </w:r>
      <w:r w:rsidR="00750DA3" w:rsidRPr="00616692">
        <w:rPr>
          <w:lang w:val="es-ES"/>
        </w:rPr>
        <w:t>.</w:t>
      </w:r>
      <w:r w:rsidRPr="00616692">
        <w:rPr>
          <w:lang w:val="es-ES"/>
        </w:rPr>
        <w:t>832 expedientes de asesoría y representación jurídica. Durante 2024, se concluyeron 1</w:t>
      </w:r>
      <w:r w:rsidR="00045711" w:rsidRPr="00616692">
        <w:rPr>
          <w:lang w:val="es-ES"/>
        </w:rPr>
        <w:t>.</w:t>
      </w:r>
      <w:r w:rsidRPr="00616692">
        <w:rPr>
          <w:lang w:val="es-ES"/>
        </w:rPr>
        <w:t>019 expedientes y se otorgaron 155</w:t>
      </w:r>
      <w:r w:rsidR="00045711" w:rsidRPr="00616692">
        <w:rPr>
          <w:lang w:val="es-ES"/>
        </w:rPr>
        <w:t>.</w:t>
      </w:r>
      <w:r w:rsidRPr="00616692">
        <w:rPr>
          <w:lang w:val="es-ES"/>
        </w:rPr>
        <w:t>631 servicios jurídicos, beneficiando a 7</w:t>
      </w:r>
      <w:r w:rsidR="00045711" w:rsidRPr="00616692">
        <w:rPr>
          <w:lang w:val="es-ES"/>
        </w:rPr>
        <w:t>.</w:t>
      </w:r>
      <w:r w:rsidRPr="00616692">
        <w:rPr>
          <w:lang w:val="es-ES"/>
        </w:rPr>
        <w:t>483 mujeres y 14</w:t>
      </w:r>
      <w:r w:rsidR="00045711" w:rsidRPr="00616692">
        <w:rPr>
          <w:lang w:val="es-ES"/>
        </w:rPr>
        <w:t>.</w:t>
      </w:r>
      <w:r w:rsidRPr="00616692">
        <w:rPr>
          <w:lang w:val="es-ES"/>
        </w:rPr>
        <w:t>017 hombres en situación de víctima</w:t>
      </w:r>
      <w:r w:rsidRPr="00616692">
        <w:rPr>
          <w:rStyle w:val="FootnoteReference"/>
          <w:lang w:val="es-ES"/>
        </w:rPr>
        <w:footnoteReference w:id="143"/>
      </w:r>
      <w:r w:rsidRPr="00616692">
        <w:rPr>
          <w:lang w:val="es-ES"/>
        </w:rPr>
        <w:t>.</w:t>
      </w:r>
    </w:p>
    <w:p w14:paraId="7D37E3D4" w14:textId="77777777" w:rsidR="007B7AAF" w:rsidRPr="00616692" w:rsidRDefault="007B7AAF" w:rsidP="006678CB">
      <w:pPr>
        <w:ind w:firstLine="720"/>
        <w:jc w:val="both"/>
        <w:rPr>
          <w:rFonts w:ascii="Cambria" w:eastAsia="Cambria" w:hAnsi="Cambria" w:cs="Cambria"/>
          <w:i/>
          <w:iCs/>
          <w:color w:val="000000" w:themeColor="text1"/>
          <w:sz w:val="20"/>
          <w:szCs w:val="20"/>
          <w:lang w:val="es-ES"/>
        </w:rPr>
      </w:pPr>
      <w:r w:rsidRPr="00616692">
        <w:rPr>
          <w:rFonts w:ascii="Cambria" w:eastAsia="Cambria" w:hAnsi="Cambria" w:cs="Cambria"/>
          <w:i/>
          <w:iCs/>
          <w:color w:val="000000" w:themeColor="text1"/>
          <w:sz w:val="20"/>
          <w:szCs w:val="20"/>
          <w:lang w:val="es-ES"/>
        </w:rPr>
        <w:t>Análisis y nivel de cumplimiento de la recomendación</w:t>
      </w:r>
    </w:p>
    <w:p w14:paraId="642C254A" w14:textId="77777777" w:rsidR="007B7AAF" w:rsidRPr="00616692" w:rsidRDefault="007B7AAF" w:rsidP="00B80A67">
      <w:pPr>
        <w:ind w:firstLine="360"/>
        <w:jc w:val="both"/>
        <w:rPr>
          <w:rFonts w:ascii="Cambria" w:eastAsia="Cambria" w:hAnsi="Cambria" w:cs="Cambria"/>
          <w:i/>
          <w:iCs/>
          <w:color w:val="000000" w:themeColor="text1"/>
          <w:sz w:val="20"/>
          <w:szCs w:val="20"/>
          <w:lang w:val="es-ES"/>
        </w:rPr>
      </w:pPr>
    </w:p>
    <w:p w14:paraId="5867C9E5" w14:textId="5EE686B8" w:rsidR="00C15897" w:rsidRPr="00FA506F" w:rsidRDefault="007B7AAF" w:rsidP="00B80A67">
      <w:pPr>
        <w:pStyle w:val="IAPrrafo"/>
        <w:numPr>
          <w:ilvl w:val="0"/>
          <w:numId w:val="4"/>
        </w:numPr>
        <w:tabs>
          <w:tab w:val="num" w:pos="720"/>
        </w:tabs>
        <w:ind w:firstLine="720"/>
        <w:rPr>
          <w:lang w:val="es-ES"/>
        </w:rPr>
      </w:pPr>
      <w:r w:rsidRPr="00616692">
        <w:rPr>
          <w:lang w:val="es-ES"/>
        </w:rPr>
        <w:t>La CIDH reconoce los avances significativos del Estado en la creación y fortalecimiento de mecanismos de protección y atención integral</w:t>
      </w:r>
      <w:r w:rsidRPr="00FA506F">
        <w:rPr>
          <w:lang w:val="es-ES"/>
        </w:rPr>
        <w:t xml:space="preserve"> a víctimas, así como el apoyo financiero incrementado al Mecanismo de Protección. Sin embargo, sigue siendo necesario un mayor fortalecimiento de las medidas de protección y la transparencia en la ejecución de los recursos, especialmente para garantizar la continuidad de medidas de protección efectivas para personas en riesgo. La CIDH concluye que esta recomendación continúa </w:t>
      </w:r>
      <w:r w:rsidRPr="00FA506F">
        <w:rPr>
          <w:b/>
          <w:bCs/>
          <w:lang w:val="es-ES"/>
        </w:rPr>
        <w:t>en cumplimiento parcial</w:t>
      </w:r>
      <w:r w:rsidRPr="00FA506F">
        <w:rPr>
          <w:lang w:val="es-ES"/>
        </w:rPr>
        <w:t>.</w:t>
      </w:r>
    </w:p>
    <w:p w14:paraId="5AA57A2B" w14:textId="77777777" w:rsidR="007B7AAF" w:rsidRPr="00FA506F" w:rsidRDefault="007B7AAF" w:rsidP="006678C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194CB48A"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2EB6E1B5" w14:textId="10C3915B" w:rsidR="007B7AAF" w:rsidRPr="00FA506F" w:rsidRDefault="007B7AAF" w:rsidP="00B80A67">
      <w:pPr>
        <w:pStyle w:val="IAPrrafo"/>
        <w:numPr>
          <w:ilvl w:val="0"/>
          <w:numId w:val="4"/>
        </w:numPr>
        <w:tabs>
          <w:tab w:val="num" w:pos="720"/>
        </w:tabs>
        <w:ind w:firstLine="720"/>
        <w:rPr>
          <w:lang w:val="es-ES"/>
        </w:rPr>
      </w:pPr>
      <w:r w:rsidRPr="00FA506F">
        <w:rPr>
          <w:lang w:val="es-ES"/>
        </w:rPr>
        <w:t>La CIDH sugiere que el Estado incremente la efectividad de las medidas de protección y fortalezca los mecanismos de transparencia sobre la ejecución presupuestal del Mecanismo de Protección</w:t>
      </w:r>
      <w:r w:rsidR="00446F81" w:rsidRPr="00FA506F">
        <w:rPr>
          <w:lang w:val="es-ES"/>
        </w:rPr>
        <w:t>. La</w:t>
      </w:r>
      <w:r w:rsidR="00CC72A9" w:rsidRPr="00FA506F">
        <w:rPr>
          <w:lang w:val="es-ES"/>
        </w:rPr>
        <w:t xml:space="preserve"> </w:t>
      </w:r>
      <w:r w:rsidR="00446F81" w:rsidRPr="00FA506F">
        <w:rPr>
          <w:lang w:val="es-ES"/>
        </w:rPr>
        <w:t xml:space="preserve">Comisión </w:t>
      </w:r>
      <w:r w:rsidRPr="00FA506F">
        <w:rPr>
          <w:lang w:val="es-ES"/>
        </w:rPr>
        <w:t>recomienda asegurar el acceso de las víctimas y sus representantes a los expedientes, así como sanciones adecuadas en casos de represalias.</w:t>
      </w:r>
    </w:p>
    <w:p w14:paraId="38FDB2D9" w14:textId="6D0868B5" w:rsidR="007B7AAF" w:rsidRPr="00FA506F" w:rsidRDefault="007B7AAF"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31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Adoptar medidas de protección específicas para</w:t>
      </w:r>
      <w:r w:rsidR="004218EA"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personas</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operador</w:t>
      </w:r>
      <w:r w:rsidR="004218EA"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a</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s de justicia de acuerdo con sus necesidades particulares y en consulta con ell</w:t>
      </w:r>
      <w:r w:rsidR="004218EA"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a</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s. </w:t>
      </w:r>
    </w:p>
    <w:p w14:paraId="77C2FD5B" w14:textId="77777777" w:rsidR="007B7AAF" w:rsidRPr="00FA506F" w:rsidRDefault="007B7AAF" w:rsidP="00B80A67">
      <w:pPr>
        <w:jc w:val="both"/>
        <w:rPr>
          <w:rFonts w:ascii="Cambria" w:eastAsia="Cambria" w:hAnsi="Cambria" w:cs="Cambria"/>
          <w:i/>
          <w:iCs/>
          <w:color w:val="000000" w:themeColor="text1"/>
          <w:sz w:val="20"/>
          <w:szCs w:val="20"/>
          <w:lang w:val="es-ES"/>
        </w:rPr>
      </w:pPr>
    </w:p>
    <w:p w14:paraId="0E7E73B0" w14:textId="6D57996A"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De acuerdo con la información reportada por el Estado para el Informe de Seguimiento de 2023, se </w:t>
      </w:r>
      <w:r w:rsidR="004218EA" w:rsidRPr="00FA506F">
        <w:rPr>
          <w:lang w:val="es-ES"/>
        </w:rPr>
        <w:t xml:space="preserve">conoció </w:t>
      </w:r>
      <w:r w:rsidRPr="00FA506F">
        <w:rPr>
          <w:lang w:val="es-ES"/>
        </w:rPr>
        <w:t>del Acuerdo General que regula las medidas de seguridad para servidores públicos del Poder Judicial de la Federación, excluyendo a la SCJN y el Tribunal Electoral</w:t>
      </w:r>
      <w:r w:rsidR="004218EA" w:rsidRPr="00FA506F">
        <w:rPr>
          <w:lang w:val="es-ES"/>
        </w:rPr>
        <w:t>; y que contempla</w:t>
      </w:r>
      <w:r w:rsidRPr="00FA506F">
        <w:rPr>
          <w:lang w:val="es-ES"/>
        </w:rPr>
        <w:t xml:space="preserve"> p</w:t>
      </w:r>
      <w:r w:rsidR="00E0619E" w:rsidRPr="00FA506F">
        <w:rPr>
          <w:lang w:val="es-ES"/>
        </w:rPr>
        <w:t>r</w:t>
      </w:r>
      <w:r w:rsidRPr="00FA506F">
        <w:rPr>
          <w:lang w:val="es-ES"/>
        </w:rPr>
        <w:t>á</w:t>
      </w:r>
      <w:r w:rsidR="00E0619E" w:rsidRPr="00FA506F">
        <w:rPr>
          <w:lang w:val="es-ES"/>
        </w:rPr>
        <w:t>c</w:t>
      </w:r>
      <w:r w:rsidRPr="00FA506F">
        <w:rPr>
          <w:lang w:val="es-ES"/>
        </w:rPr>
        <w:t>ticas de autoprotección y medidas como vehículos blindados y escoltas. Sin embargo, el Instituto Federal de la Defensoría Pública reportó el caso de la Jueza Angélica Sánchez, quien habría enfrentado represalias y detenciones arbitrarias tras una resolución judicial, lo que generó preocupación internacional sobre la independencia judicial. La CIDH valoró las medidas informadas, pero subrayó que persist</w:t>
      </w:r>
      <w:r w:rsidR="004218EA" w:rsidRPr="00FA506F">
        <w:rPr>
          <w:lang w:val="es-ES"/>
        </w:rPr>
        <w:t>ía</w:t>
      </w:r>
      <w:r w:rsidRPr="00FA506F">
        <w:rPr>
          <w:lang w:val="es-ES"/>
        </w:rPr>
        <w:t xml:space="preserve">n desafíos en la protección de </w:t>
      </w:r>
      <w:r w:rsidR="004218EA" w:rsidRPr="00FA506F">
        <w:rPr>
          <w:lang w:val="es-ES"/>
        </w:rPr>
        <w:t xml:space="preserve">personas </w:t>
      </w:r>
      <w:r w:rsidRPr="00FA506F">
        <w:rPr>
          <w:lang w:val="es-ES"/>
        </w:rPr>
        <w:t>operador</w:t>
      </w:r>
      <w:r w:rsidR="004218EA" w:rsidRPr="00FA506F">
        <w:rPr>
          <w:lang w:val="es-ES"/>
        </w:rPr>
        <w:t>a</w:t>
      </w:r>
      <w:r w:rsidRPr="00FA506F">
        <w:rPr>
          <w:lang w:val="es-ES"/>
        </w:rPr>
        <w:t>s de justicia, concluyendo que la recomendación contin</w:t>
      </w:r>
      <w:r w:rsidR="004218EA" w:rsidRPr="00FA506F">
        <w:rPr>
          <w:lang w:val="es-ES"/>
        </w:rPr>
        <w:t>uaba</w:t>
      </w:r>
      <w:r w:rsidRPr="00FA506F">
        <w:rPr>
          <w:lang w:val="es-ES"/>
        </w:rPr>
        <w:t xml:space="preserve"> parcialmente cumplida</w:t>
      </w:r>
      <w:r w:rsidRPr="00FA506F">
        <w:rPr>
          <w:rStyle w:val="FootnoteReference"/>
          <w:lang w:val="es-ES"/>
        </w:rPr>
        <w:footnoteReference w:id="144"/>
      </w:r>
      <w:r w:rsidRPr="00FA506F">
        <w:rPr>
          <w:lang w:val="es-ES"/>
        </w:rPr>
        <w:t xml:space="preserve">. </w:t>
      </w:r>
    </w:p>
    <w:p w14:paraId="2428E282" w14:textId="77777777" w:rsidR="007B7AAF" w:rsidRPr="00FA506F" w:rsidRDefault="007B7AAF" w:rsidP="006678C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4F865836"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6FF2F84A" w14:textId="47C16C86" w:rsidR="007B7AAF" w:rsidRPr="00616692" w:rsidRDefault="007B7AAF" w:rsidP="0012383C">
      <w:pPr>
        <w:pStyle w:val="IAPrrafo"/>
        <w:numPr>
          <w:ilvl w:val="0"/>
          <w:numId w:val="4"/>
        </w:numPr>
        <w:tabs>
          <w:tab w:val="num" w:pos="720"/>
        </w:tabs>
        <w:ind w:firstLine="720"/>
        <w:rPr>
          <w:lang w:val="es-ES"/>
        </w:rPr>
      </w:pPr>
      <w:r w:rsidRPr="00FA506F">
        <w:rPr>
          <w:rFonts w:eastAsia="Cambria" w:cs="Cambria"/>
          <w:color w:val="000000" w:themeColor="text1"/>
          <w:szCs w:val="20"/>
          <w:lang w:val="es-ES"/>
        </w:rPr>
        <w:t xml:space="preserve">En 2024, el Estado </w:t>
      </w:r>
      <w:r w:rsidR="004218EA" w:rsidRPr="00FA506F">
        <w:rPr>
          <w:rFonts w:eastAsia="Cambria" w:cs="Cambria"/>
          <w:color w:val="000000" w:themeColor="text1"/>
          <w:szCs w:val="20"/>
          <w:lang w:val="es-ES"/>
        </w:rPr>
        <w:t xml:space="preserve">resaltó </w:t>
      </w:r>
      <w:r w:rsidRPr="00FA506F">
        <w:rPr>
          <w:rFonts w:eastAsia="Cambria" w:cs="Cambria"/>
          <w:color w:val="000000" w:themeColor="text1"/>
          <w:szCs w:val="20"/>
          <w:lang w:val="es-ES"/>
        </w:rPr>
        <w:t xml:space="preserve">que la seguridad de </w:t>
      </w:r>
      <w:r w:rsidR="004218EA" w:rsidRPr="00FA506F">
        <w:rPr>
          <w:rFonts w:eastAsia="Cambria" w:cs="Cambria"/>
          <w:color w:val="000000" w:themeColor="text1"/>
          <w:szCs w:val="20"/>
          <w:lang w:val="es-ES"/>
        </w:rPr>
        <w:t xml:space="preserve">las personas </w:t>
      </w:r>
      <w:r w:rsidRPr="00FA506F">
        <w:rPr>
          <w:rFonts w:eastAsia="Cambria" w:cs="Cambria"/>
          <w:color w:val="000000" w:themeColor="text1"/>
          <w:szCs w:val="20"/>
          <w:lang w:val="es-ES"/>
        </w:rPr>
        <w:t>operador</w:t>
      </w:r>
      <w:r w:rsidR="004218EA" w:rsidRPr="00FA506F">
        <w:rPr>
          <w:rFonts w:eastAsia="Cambria" w:cs="Cambria"/>
          <w:color w:val="000000" w:themeColor="text1"/>
          <w:szCs w:val="20"/>
          <w:lang w:val="es-ES"/>
        </w:rPr>
        <w:t>a</w:t>
      </w:r>
      <w:r w:rsidRPr="00FA506F">
        <w:rPr>
          <w:rFonts w:eastAsia="Cambria" w:cs="Cambria"/>
          <w:color w:val="000000" w:themeColor="text1"/>
          <w:szCs w:val="20"/>
          <w:lang w:val="es-ES"/>
        </w:rPr>
        <w:t>s de justicia sería fundamental para preservar su independencia y el adecuado funcionamiento de juzgados y tribunales.</w:t>
      </w:r>
      <w:r w:rsidR="004218EA" w:rsidRPr="00FA506F">
        <w:rPr>
          <w:rFonts w:eastAsia="Cambria" w:cs="Cambria"/>
          <w:color w:val="000000" w:themeColor="text1"/>
          <w:szCs w:val="20"/>
          <w:lang w:val="es-ES"/>
        </w:rPr>
        <w:t xml:space="preserve"> Refirió que, a</w:t>
      </w:r>
      <w:r w:rsidRPr="00FA506F">
        <w:rPr>
          <w:rFonts w:eastAsia="Cambria" w:cs="Cambria"/>
          <w:color w:val="000000" w:themeColor="text1"/>
          <w:szCs w:val="20"/>
          <w:lang w:val="es-ES"/>
        </w:rPr>
        <w:t>nte situaciones de riesgo o intimidación, el Centro de Atención de Solicitudes en Materia de Seguridad (CASS) habría atendido 105 solicitudes de protección para servidores públicos, principalmente de los Centros de Justicia Penal Federal.</w:t>
      </w:r>
      <w:r w:rsidR="004218EA" w:rsidRPr="00FA506F">
        <w:rPr>
          <w:rFonts w:eastAsia="Cambria" w:cs="Cambria"/>
          <w:color w:val="000000" w:themeColor="text1"/>
          <w:szCs w:val="20"/>
          <w:lang w:val="es-ES"/>
        </w:rPr>
        <w:t xml:space="preserve"> Por su parte, l</w:t>
      </w:r>
      <w:r w:rsidR="00446F81" w:rsidRPr="00FA506F">
        <w:rPr>
          <w:rFonts w:eastAsia="Cambria" w:cs="Cambria"/>
          <w:color w:val="000000" w:themeColor="text1"/>
          <w:szCs w:val="20"/>
          <w:lang w:val="es-ES"/>
        </w:rPr>
        <w:t>a</w:t>
      </w:r>
      <w:r w:rsidRPr="00FA506F">
        <w:rPr>
          <w:rFonts w:eastAsia="Cambria" w:cs="Cambria"/>
          <w:color w:val="000000" w:themeColor="text1"/>
          <w:szCs w:val="20"/>
          <w:lang w:val="es-ES"/>
        </w:rPr>
        <w:t> Secretaría Ejecutiva de Vigilancia habría registrado 242 asuntos relacionados con la seguridad de servidores públicos, de los cuales 147 habrían derivado en medidas de apoyo y protección. En total, 54 magistrados</w:t>
      </w:r>
      <w:r w:rsidR="004218EA" w:rsidRPr="00FA506F">
        <w:rPr>
          <w:rFonts w:eastAsia="Cambria" w:cs="Cambria"/>
          <w:color w:val="000000" w:themeColor="text1"/>
          <w:szCs w:val="20"/>
          <w:lang w:val="es-ES"/>
        </w:rPr>
        <w:t>/as</w:t>
      </w:r>
      <w:r w:rsidRPr="00FA506F">
        <w:rPr>
          <w:rFonts w:eastAsia="Cambria" w:cs="Cambria"/>
          <w:color w:val="000000" w:themeColor="text1"/>
          <w:szCs w:val="20"/>
          <w:lang w:val="es-ES"/>
        </w:rPr>
        <w:t>, jueces</w:t>
      </w:r>
      <w:r w:rsidR="004218EA" w:rsidRPr="00FA506F">
        <w:rPr>
          <w:rFonts w:eastAsia="Cambria" w:cs="Cambria"/>
          <w:color w:val="000000" w:themeColor="text1"/>
          <w:szCs w:val="20"/>
          <w:lang w:val="es-ES"/>
        </w:rPr>
        <w:t>/zas</w:t>
      </w:r>
      <w:r w:rsidRPr="00FA506F">
        <w:rPr>
          <w:rFonts w:eastAsia="Cambria" w:cs="Cambria"/>
          <w:color w:val="000000" w:themeColor="text1"/>
          <w:szCs w:val="20"/>
          <w:lang w:val="es-ES"/>
        </w:rPr>
        <w:t xml:space="preserve"> y otr</w:t>
      </w:r>
      <w:r w:rsidR="004218EA" w:rsidRPr="00FA506F">
        <w:rPr>
          <w:rFonts w:eastAsia="Cambria" w:cs="Cambria"/>
          <w:color w:val="000000" w:themeColor="text1"/>
          <w:szCs w:val="20"/>
          <w:lang w:val="es-ES"/>
        </w:rPr>
        <w:t>as personas operadoras de justicia</w:t>
      </w:r>
      <w:r w:rsidRPr="00FA506F">
        <w:rPr>
          <w:rFonts w:eastAsia="Cambria" w:cs="Cambria"/>
          <w:color w:val="000000" w:themeColor="text1"/>
          <w:szCs w:val="20"/>
          <w:lang w:val="es-ES"/>
        </w:rPr>
        <w:t xml:space="preserve"> </w:t>
      </w:r>
      <w:r w:rsidR="00E0619E" w:rsidRPr="00FA506F">
        <w:rPr>
          <w:rFonts w:eastAsia="Cambria" w:cs="Cambria"/>
          <w:color w:val="000000" w:themeColor="text1"/>
          <w:szCs w:val="20"/>
          <w:lang w:val="es-ES"/>
        </w:rPr>
        <w:t>recibieron</w:t>
      </w:r>
      <w:r w:rsidRPr="00FA506F">
        <w:rPr>
          <w:rFonts w:eastAsia="Cambria" w:cs="Cambria"/>
          <w:color w:val="000000" w:themeColor="text1"/>
          <w:szCs w:val="20"/>
          <w:lang w:val="es-ES"/>
        </w:rPr>
        <w:t xml:space="preserve"> medidas de seguridad. </w:t>
      </w:r>
      <w:r w:rsidR="004218EA" w:rsidRPr="00FA506F">
        <w:rPr>
          <w:rFonts w:eastAsia="Cambria" w:cs="Cambria"/>
          <w:color w:val="000000" w:themeColor="text1"/>
          <w:szCs w:val="20"/>
          <w:lang w:val="es-ES"/>
        </w:rPr>
        <w:t>Asimismo, según el Estado, p</w:t>
      </w:r>
      <w:r w:rsidRPr="00FA506F">
        <w:rPr>
          <w:rFonts w:eastAsia="Cambria" w:cs="Cambria"/>
          <w:color w:val="000000" w:themeColor="text1"/>
          <w:szCs w:val="20"/>
          <w:lang w:val="es-ES"/>
        </w:rPr>
        <w:t xml:space="preserve">ara prevenir riesgos en sedes judiciales, se </w:t>
      </w:r>
      <w:r w:rsidR="00E0619E" w:rsidRPr="00FA506F">
        <w:rPr>
          <w:rFonts w:eastAsia="Cambria" w:cs="Cambria"/>
          <w:color w:val="000000" w:themeColor="text1"/>
          <w:szCs w:val="20"/>
          <w:lang w:val="es-ES"/>
        </w:rPr>
        <w:t>implementaron</w:t>
      </w:r>
      <w:r w:rsidRPr="00FA506F">
        <w:rPr>
          <w:rFonts w:eastAsia="Cambria" w:cs="Cambria"/>
          <w:color w:val="000000" w:themeColor="text1"/>
          <w:szCs w:val="20"/>
          <w:lang w:val="es-ES"/>
        </w:rPr>
        <w:t xml:space="preserve"> procesos operativos como la evaluación del personal de vigilancia,</w:t>
      </w:r>
      <w:r w:rsidR="004218EA" w:rsidRPr="00FA506F">
        <w:rPr>
          <w:rFonts w:eastAsia="Cambria" w:cs="Cambria"/>
          <w:color w:val="000000" w:themeColor="text1"/>
          <w:szCs w:val="20"/>
          <w:lang w:val="es-ES"/>
        </w:rPr>
        <w:t xml:space="preserve"> la</w:t>
      </w:r>
      <w:r w:rsidRPr="00FA506F">
        <w:rPr>
          <w:rFonts w:eastAsia="Cambria" w:cs="Cambria"/>
          <w:color w:val="000000" w:themeColor="text1"/>
          <w:szCs w:val="20"/>
          <w:lang w:val="es-ES"/>
        </w:rPr>
        <w:t xml:space="preserve"> supervisión de sistemas de seguridad y </w:t>
      </w:r>
      <w:r w:rsidR="004218EA" w:rsidRPr="00FA506F">
        <w:rPr>
          <w:rFonts w:eastAsia="Cambria" w:cs="Cambria"/>
          <w:color w:val="000000" w:themeColor="text1"/>
          <w:szCs w:val="20"/>
          <w:lang w:val="es-ES"/>
        </w:rPr>
        <w:t xml:space="preserve">el </w:t>
      </w:r>
      <w:r w:rsidRPr="00FA506F">
        <w:rPr>
          <w:rFonts w:eastAsia="Cambria" w:cs="Cambria"/>
          <w:color w:val="000000" w:themeColor="text1"/>
          <w:szCs w:val="20"/>
          <w:lang w:val="es-ES"/>
        </w:rPr>
        <w:t xml:space="preserve">monitoreo de </w:t>
      </w:r>
      <w:r w:rsidRPr="00616692">
        <w:rPr>
          <w:rFonts w:eastAsia="Cambria" w:cs="Cambria"/>
          <w:color w:val="000000" w:themeColor="text1"/>
          <w:szCs w:val="20"/>
          <w:lang w:val="es-ES"/>
        </w:rPr>
        <w:t xml:space="preserve">instalaciones, incluyendo la instalación de tecnología de seguridad en diversas sedes. Estas medidas </w:t>
      </w:r>
      <w:r w:rsidR="004218EA" w:rsidRPr="00616692">
        <w:rPr>
          <w:rFonts w:eastAsia="Cambria" w:cs="Cambria"/>
          <w:color w:val="000000" w:themeColor="text1"/>
          <w:szCs w:val="20"/>
          <w:lang w:val="es-ES"/>
        </w:rPr>
        <w:t xml:space="preserve">contemplaron </w:t>
      </w:r>
      <w:r w:rsidRPr="00616692">
        <w:rPr>
          <w:rFonts w:eastAsia="Cambria" w:cs="Cambria"/>
          <w:color w:val="000000" w:themeColor="text1"/>
          <w:szCs w:val="20"/>
          <w:lang w:val="es-ES"/>
        </w:rPr>
        <w:t xml:space="preserve">la constante supervisión de equipos de rayos X y detectores de metales, así como campañas informativas orientadas a fomentar una cultura de seguridad personal entre los servidores </w:t>
      </w:r>
      <w:r w:rsidR="004218EA" w:rsidRPr="00616692">
        <w:rPr>
          <w:rFonts w:eastAsia="Cambria" w:cs="Cambria"/>
          <w:color w:val="000000" w:themeColor="text1"/>
          <w:szCs w:val="20"/>
          <w:lang w:val="es-ES"/>
        </w:rPr>
        <w:t xml:space="preserve">y servidoras </w:t>
      </w:r>
      <w:r w:rsidRPr="00616692">
        <w:rPr>
          <w:rFonts w:eastAsia="Cambria" w:cs="Cambria"/>
          <w:color w:val="000000" w:themeColor="text1"/>
          <w:szCs w:val="20"/>
          <w:lang w:val="es-ES"/>
        </w:rPr>
        <w:t>públic</w:t>
      </w:r>
      <w:r w:rsidR="004218EA" w:rsidRPr="00616692">
        <w:rPr>
          <w:rFonts w:eastAsia="Cambria" w:cs="Cambria"/>
          <w:color w:val="000000" w:themeColor="text1"/>
          <w:szCs w:val="20"/>
          <w:lang w:val="es-ES"/>
        </w:rPr>
        <w:t>a</w:t>
      </w:r>
      <w:r w:rsidRPr="00616692">
        <w:rPr>
          <w:rFonts w:eastAsia="Cambria" w:cs="Cambria"/>
          <w:color w:val="000000" w:themeColor="text1"/>
          <w:szCs w:val="20"/>
          <w:lang w:val="es-ES"/>
        </w:rPr>
        <w:t>s</w:t>
      </w:r>
      <w:r w:rsidR="000A7348" w:rsidRPr="00616692">
        <w:rPr>
          <w:rStyle w:val="FootnoteReference"/>
          <w:rFonts w:eastAsia="Cambria" w:cs="Cambria"/>
          <w:color w:val="000000" w:themeColor="text1"/>
          <w:szCs w:val="20"/>
          <w:lang w:val="es-ES"/>
        </w:rPr>
        <w:footnoteReference w:id="145"/>
      </w:r>
      <w:r w:rsidRPr="00616692">
        <w:rPr>
          <w:rFonts w:eastAsia="Cambria" w:cs="Cambria"/>
          <w:color w:val="000000" w:themeColor="text1"/>
          <w:szCs w:val="20"/>
          <w:lang w:val="es-ES"/>
        </w:rPr>
        <w:t>.</w:t>
      </w:r>
      <w:r w:rsidR="0012383C" w:rsidRPr="00616692">
        <w:rPr>
          <w:rFonts w:eastAsia="Cambria" w:cs="Cambria"/>
          <w:color w:val="000000" w:themeColor="text1"/>
          <w:szCs w:val="20"/>
          <w:lang w:val="es-ES"/>
        </w:rPr>
        <w:t xml:space="preserve"> El Estado agregó que desde 2023 la Coordinación de Seguridad del Poder Judicial de la Federación fortaleció la evaluación de riesgos, mediante la optimización en la asignación de medidas de protección a servidores públicos, así como medidas diferenciadas según el nivel de riesgo</w:t>
      </w:r>
      <w:r w:rsidR="0012383C" w:rsidRPr="00616692">
        <w:rPr>
          <w:rStyle w:val="FootnoteReference"/>
          <w:rFonts w:eastAsia="Cambria" w:cs="Cambria"/>
          <w:color w:val="000000" w:themeColor="text1"/>
          <w:szCs w:val="20"/>
          <w:lang w:val="es-ES"/>
        </w:rPr>
        <w:footnoteReference w:id="146"/>
      </w:r>
      <w:r w:rsidR="0012383C" w:rsidRPr="00616692">
        <w:rPr>
          <w:rFonts w:eastAsia="Cambria" w:cs="Cambria"/>
          <w:color w:val="000000" w:themeColor="text1"/>
          <w:szCs w:val="20"/>
          <w:lang w:val="es-ES"/>
        </w:rPr>
        <w:t>.</w:t>
      </w:r>
    </w:p>
    <w:p w14:paraId="1780524F" w14:textId="460D2AB0" w:rsidR="008433AA" w:rsidRPr="00FA506F" w:rsidRDefault="007B7AAF" w:rsidP="006678CB">
      <w:pPr>
        <w:pStyle w:val="IAPrrafo"/>
        <w:numPr>
          <w:ilvl w:val="0"/>
          <w:numId w:val="4"/>
        </w:numPr>
        <w:tabs>
          <w:tab w:val="num" w:pos="720"/>
        </w:tabs>
        <w:ind w:firstLine="720"/>
        <w:rPr>
          <w:rFonts w:eastAsia="Cambria" w:cs="Cambria"/>
          <w:i/>
          <w:iCs/>
          <w:color w:val="000000" w:themeColor="text1"/>
          <w:szCs w:val="20"/>
          <w:lang w:val="es-ES"/>
        </w:rPr>
      </w:pPr>
      <w:r w:rsidRPr="00616692">
        <w:rPr>
          <w:rFonts w:eastAsia="Cambria" w:cs="Cambria"/>
          <w:color w:val="000000" w:themeColor="text1"/>
          <w:lang w:val="es-ES"/>
        </w:rPr>
        <w:t>Por su parte, organizaciones de la sociedad civil</w:t>
      </w:r>
      <w:r w:rsidRPr="00616692">
        <w:rPr>
          <w:lang w:val="es-ES"/>
        </w:rPr>
        <w:t xml:space="preserve"> expresaron preocupación por las</w:t>
      </w:r>
      <w:r w:rsidR="00A25DCA" w:rsidRPr="00616692">
        <w:rPr>
          <w:lang w:val="es-ES"/>
        </w:rPr>
        <w:t xml:space="preserve"> </w:t>
      </w:r>
      <w:r w:rsidRPr="00616692">
        <w:rPr>
          <w:lang w:val="es-ES"/>
        </w:rPr>
        <w:t>reformas al Poder Judicial publicadas en el Diario Oficial de la Federación el 15 de septiembre de 2024, que habrían incluido la figura de "jueces sin rostro" para el juzgamiento de</w:t>
      </w:r>
      <w:r w:rsidRPr="00FA506F">
        <w:rPr>
          <w:lang w:val="es-ES"/>
        </w:rPr>
        <w:t xml:space="preserve"> casos de delincuencia organizada. </w:t>
      </w:r>
      <w:r w:rsidR="00CA3925" w:rsidRPr="00FA506F">
        <w:rPr>
          <w:lang w:val="es-ES"/>
        </w:rPr>
        <w:t>Cabe indicar que, figuras similares</w:t>
      </w:r>
      <w:r w:rsidR="333A17C3" w:rsidRPr="00FA506F">
        <w:rPr>
          <w:lang w:val="es-ES"/>
        </w:rPr>
        <w:t xml:space="preserve"> adoptadas en otros Estados de la región</w:t>
      </w:r>
      <w:r w:rsidRPr="00FA506F">
        <w:rPr>
          <w:lang w:val="es-ES"/>
        </w:rPr>
        <w:t xml:space="preserve">, </w:t>
      </w:r>
      <w:r w:rsidR="00CA3925" w:rsidRPr="00FA506F">
        <w:rPr>
          <w:lang w:val="es-ES"/>
        </w:rPr>
        <w:t xml:space="preserve">han sido declaradas contrarias a la </w:t>
      </w:r>
      <w:r w:rsidR="002A41BA" w:rsidRPr="00FA506F">
        <w:rPr>
          <w:lang w:val="es-ES"/>
        </w:rPr>
        <w:t>Convención Americana sobre Derechos Humanos</w:t>
      </w:r>
      <w:r w:rsidRPr="00FA506F">
        <w:rPr>
          <w:lang w:val="es-ES"/>
        </w:rPr>
        <w:t xml:space="preserve"> por la Corte Interamericana de Derechos Humanos (Corte IDH)</w:t>
      </w:r>
      <w:r w:rsidR="00CA3925" w:rsidRPr="00FA506F">
        <w:rPr>
          <w:lang w:val="es-ES"/>
        </w:rPr>
        <w:t>.</w:t>
      </w:r>
      <w:r w:rsidR="008433AA" w:rsidRPr="00FA506F">
        <w:rPr>
          <w:lang w:val="es-ES"/>
        </w:rPr>
        <w:t xml:space="preserve"> </w:t>
      </w:r>
    </w:p>
    <w:p w14:paraId="40C43B09" w14:textId="07B0A5D1" w:rsidR="007B7AAF" w:rsidRPr="00FA506F" w:rsidRDefault="007B7AAF" w:rsidP="006678CB">
      <w:pPr>
        <w:pStyle w:val="IAPrrafo"/>
        <w:ind w:left="360" w:firstLine="360"/>
        <w:rPr>
          <w:rFonts w:eastAsia="Cambria" w:cs="Cambria"/>
          <w:i/>
          <w:iCs/>
          <w:color w:val="000000" w:themeColor="text1"/>
          <w:szCs w:val="20"/>
          <w:lang w:val="es-ES"/>
        </w:rPr>
      </w:pPr>
      <w:r w:rsidRPr="00FA506F">
        <w:rPr>
          <w:rFonts w:eastAsia="Cambria" w:cs="Cambria"/>
          <w:i/>
          <w:iCs/>
          <w:color w:val="000000" w:themeColor="text1"/>
          <w:szCs w:val="20"/>
          <w:lang w:val="es-ES"/>
        </w:rPr>
        <w:t>Análisis y nivel de cumplimiento de la recomendación</w:t>
      </w:r>
    </w:p>
    <w:p w14:paraId="43198D47" w14:textId="5E5A6592" w:rsidR="007B7AAF" w:rsidRPr="00FA506F" w:rsidRDefault="007B7AAF" w:rsidP="00B80A67">
      <w:pPr>
        <w:pStyle w:val="IAPrrafo"/>
        <w:numPr>
          <w:ilvl w:val="0"/>
          <w:numId w:val="4"/>
        </w:numPr>
        <w:tabs>
          <w:tab w:val="num" w:pos="720"/>
        </w:tabs>
        <w:ind w:firstLine="720"/>
        <w:rPr>
          <w:szCs w:val="20"/>
          <w:lang w:val="es-ES"/>
        </w:rPr>
      </w:pPr>
      <w:r w:rsidRPr="00FA506F">
        <w:rPr>
          <w:szCs w:val="20"/>
          <w:lang w:val="es-ES"/>
        </w:rPr>
        <w:t xml:space="preserve">La CIDH valora los esfuerzos del Estado por mejorar las condiciones de seguridad para operadores de justicia a través de medidas de autoprotección y protección física. No obstante, las reformas recientes al Poder Judicial, </w:t>
      </w:r>
      <w:r w:rsidR="004218EA" w:rsidRPr="00FA506F">
        <w:rPr>
          <w:szCs w:val="20"/>
          <w:lang w:val="es-ES"/>
        </w:rPr>
        <w:t>al contemplar la elección popular y en</w:t>
      </w:r>
      <w:r w:rsidR="008433AA" w:rsidRPr="00FA506F">
        <w:rPr>
          <w:szCs w:val="20"/>
          <w:lang w:val="es-ES"/>
        </w:rPr>
        <w:t xml:space="preserve"> lo que refiere a </w:t>
      </w:r>
      <w:r w:rsidR="009B4615" w:rsidRPr="00FA506F">
        <w:rPr>
          <w:szCs w:val="20"/>
          <w:lang w:val="es-ES"/>
        </w:rPr>
        <w:t>l</w:t>
      </w:r>
      <w:r w:rsidRPr="00FA506F">
        <w:rPr>
          <w:szCs w:val="20"/>
          <w:lang w:val="es-ES"/>
        </w:rPr>
        <w:t>a incorporación de</w:t>
      </w:r>
      <w:r w:rsidR="009B4615" w:rsidRPr="00FA506F">
        <w:rPr>
          <w:szCs w:val="20"/>
          <w:lang w:val="es-ES"/>
        </w:rPr>
        <w:t xml:space="preserve"> medidas de protección de la identidad de personas operadoras de justicia (</w:t>
      </w:r>
      <w:r w:rsidRPr="00FA506F">
        <w:rPr>
          <w:szCs w:val="20"/>
          <w:lang w:val="es-ES"/>
        </w:rPr>
        <w:t>"jueces sin rostro"</w:t>
      </w:r>
      <w:r w:rsidR="009B4615" w:rsidRPr="00FA506F">
        <w:rPr>
          <w:szCs w:val="20"/>
          <w:lang w:val="es-ES"/>
        </w:rPr>
        <w:t>)</w:t>
      </w:r>
      <w:r w:rsidR="008433AA" w:rsidRPr="00FA506F">
        <w:rPr>
          <w:szCs w:val="20"/>
          <w:lang w:val="es-ES"/>
        </w:rPr>
        <w:t xml:space="preserve">, </w:t>
      </w:r>
      <w:r w:rsidR="004218EA" w:rsidRPr="00FA506F">
        <w:rPr>
          <w:szCs w:val="20"/>
          <w:lang w:val="es-ES"/>
        </w:rPr>
        <w:t>podrían representar desafíos a la seguridad y transparencia en los procesos de justicia</w:t>
      </w:r>
      <w:r w:rsidR="008433AA" w:rsidRPr="00FA506F">
        <w:rPr>
          <w:szCs w:val="20"/>
          <w:lang w:val="es-ES"/>
        </w:rPr>
        <w:t>.</w:t>
      </w:r>
      <w:r w:rsidR="005008FA" w:rsidRPr="00FA506F">
        <w:rPr>
          <w:szCs w:val="20"/>
          <w:lang w:val="es-ES"/>
        </w:rPr>
        <w:t xml:space="preserve"> </w:t>
      </w:r>
      <w:r w:rsidRPr="00FA506F">
        <w:rPr>
          <w:szCs w:val="20"/>
          <w:lang w:val="es-ES"/>
        </w:rPr>
        <w:t>La CIDH concluye que esta recomendación se encuentra en</w:t>
      </w:r>
      <w:r w:rsidR="005008FA" w:rsidRPr="00FA506F">
        <w:rPr>
          <w:b/>
          <w:bCs/>
          <w:szCs w:val="20"/>
          <w:lang w:val="es-ES"/>
        </w:rPr>
        <w:t xml:space="preserve"> </w:t>
      </w:r>
      <w:r w:rsidRPr="00FA506F">
        <w:rPr>
          <w:b/>
          <w:bCs/>
          <w:szCs w:val="20"/>
          <w:lang w:val="es-ES"/>
        </w:rPr>
        <w:t>cumplimiento parcial</w:t>
      </w:r>
      <w:r w:rsidRPr="00FA506F">
        <w:rPr>
          <w:szCs w:val="20"/>
          <w:lang w:val="es-ES"/>
        </w:rPr>
        <w:t>, y destaca la importancia de implementar medidas que fortalezcan la seguridad de l</w:t>
      </w:r>
      <w:r w:rsidR="004218EA" w:rsidRPr="00FA506F">
        <w:rPr>
          <w:szCs w:val="20"/>
          <w:lang w:val="es-ES"/>
        </w:rPr>
        <w:t>as personas operadoras de justicia, que sean compatibles con los estándares del sistema interamericano de derechos humanos</w:t>
      </w:r>
      <w:r w:rsidRPr="00FA506F">
        <w:rPr>
          <w:szCs w:val="20"/>
          <w:lang w:val="es-ES"/>
        </w:rPr>
        <w:t>.</w:t>
      </w:r>
    </w:p>
    <w:p w14:paraId="464DC1CC" w14:textId="77777777" w:rsidR="007B7AAF" w:rsidRPr="00FA506F" w:rsidRDefault="007B7AAF" w:rsidP="006678C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30108341"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04882DC8" w14:textId="04ED376B" w:rsidR="007B7AAF" w:rsidRPr="00FA506F" w:rsidRDefault="007B7AAF" w:rsidP="00B80A67">
      <w:pPr>
        <w:pStyle w:val="IAPrrafo"/>
        <w:numPr>
          <w:ilvl w:val="0"/>
          <w:numId w:val="4"/>
        </w:numPr>
        <w:tabs>
          <w:tab w:val="num" w:pos="720"/>
        </w:tabs>
        <w:ind w:firstLine="720"/>
        <w:rPr>
          <w:lang w:val="es-ES"/>
        </w:rPr>
      </w:pPr>
      <w:r w:rsidRPr="00FA506F">
        <w:rPr>
          <w:lang w:val="es-ES"/>
        </w:rPr>
        <w:t>La CIDH recomienda que el Estado revise las implicaciones de las reformas</w:t>
      </w:r>
      <w:r w:rsidR="008433AA" w:rsidRPr="00FA506F">
        <w:rPr>
          <w:lang w:val="es-ES"/>
        </w:rPr>
        <w:t>,</w:t>
      </w:r>
      <w:r w:rsidRPr="00FA506F">
        <w:rPr>
          <w:lang w:val="es-ES"/>
        </w:rPr>
        <w:t xml:space="preserve"> en consulta con expertos y organismos internacionales</w:t>
      </w:r>
      <w:r w:rsidR="008433AA" w:rsidRPr="00FA506F">
        <w:rPr>
          <w:lang w:val="es-ES"/>
        </w:rPr>
        <w:t>,</w:t>
      </w:r>
      <w:r w:rsidRPr="00FA506F">
        <w:rPr>
          <w:lang w:val="es-ES"/>
        </w:rPr>
        <w:t xml:space="preserve"> para asegurar que las medidas de protección y seguridad para operadores de justicia</w:t>
      </w:r>
      <w:r w:rsidR="008433AA" w:rsidRPr="00FA506F">
        <w:rPr>
          <w:lang w:val="es-ES"/>
        </w:rPr>
        <w:t xml:space="preserve"> estén de conformidad con los estándares internacionales sobre la materia</w:t>
      </w:r>
      <w:r w:rsidRPr="00FA506F">
        <w:rPr>
          <w:lang w:val="es-ES"/>
        </w:rPr>
        <w:t xml:space="preserve">. </w:t>
      </w:r>
    </w:p>
    <w:p w14:paraId="77510AF9" w14:textId="77777777" w:rsidR="007B7AAF" w:rsidRPr="00FA506F" w:rsidRDefault="007B7AAF"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32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Asegurar la implementación de la Ley General de Víctimas y el funcionamiento de la Comisión Ejecutiva de Atención a Víctimas a nivel federal y estatal. En consulta con organizaciones de la sociedad civil y con las víctimas, analizar y abordar concretamente las barreras que limiten su efectiva implementación y eliminarlas. </w:t>
      </w:r>
    </w:p>
    <w:p w14:paraId="7B1EF0EF" w14:textId="77777777" w:rsidR="007B7AAF" w:rsidRPr="00FA506F" w:rsidRDefault="007B7AAF" w:rsidP="00B80A67">
      <w:pPr>
        <w:jc w:val="both"/>
        <w:rPr>
          <w:rFonts w:ascii="Cambria" w:eastAsia="Cambria" w:hAnsi="Cambria" w:cs="Cambria"/>
          <w:i/>
          <w:iCs/>
          <w:color w:val="000000" w:themeColor="text1"/>
          <w:sz w:val="20"/>
          <w:szCs w:val="20"/>
          <w:lang w:val="es-ES"/>
        </w:rPr>
      </w:pPr>
    </w:p>
    <w:p w14:paraId="6D0DF20A" w14:textId="4CF77EAF"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En el Capítulo V del Informe Anual de 2023, el Estado reportó la realización de actividades académicas en colaboración con la CEAV sobre derechos de las víctimas y mecanismos para su atención, así como la coordinación en casos de delitos federales mediante un protocolo específico. Sin embargo, las organizaciones de la sociedad civil criticaron la falta de priorización gubernamental en la atención a víctimas, señalando deficiencias en la CEAV, un presupuesto insuficiente, y una falta de coordinación nacional efectiva. La CIDH valoró los esfuerzos de capacitación, pero expresó preocupación por la ausencia de información sobre la participación de la sociedad civil y las víctimas en la resolución de barreras para la implementación de la Ley General de Víctimas, concluyendo que la recomendación </w:t>
      </w:r>
      <w:r w:rsidR="00D8277C" w:rsidRPr="00FA506F">
        <w:rPr>
          <w:lang w:val="es-ES"/>
        </w:rPr>
        <w:t xml:space="preserve">seguía </w:t>
      </w:r>
      <w:r w:rsidRPr="00FA506F">
        <w:rPr>
          <w:lang w:val="es-ES"/>
        </w:rPr>
        <w:t>parcialmente cumplida</w:t>
      </w:r>
      <w:r w:rsidRPr="00FA506F">
        <w:rPr>
          <w:rStyle w:val="FootnoteReference"/>
          <w:lang w:val="es-ES"/>
        </w:rPr>
        <w:footnoteReference w:id="147"/>
      </w:r>
      <w:r w:rsidRPr="00FA506F">
        <w:rPr>
          <w:lang w:val="es-ES"/>
        </w:rPr>
        <w:t>.</w:t>
      </w:r>
    </w:p>
    <w:p w14:paraId="4B0B5528" w14:textId="77777777" w:rsidR="007B7AAF" w:rsidRPr="00FA506F" w:rsidRDefault="007B7AAF" w:rsidP="00834B59">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0CCEAC30"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0E6F9D79" w14:textId="0F5BF295" w:rsidR="000A7348" w:rsidRPr="00FA506F" w:rsidRDefault="00D8277C" w:rsidP="00834B59">
      <w:pPr>
        <w:pStyle w:val="IAPrrafo"/>
        <w:numPr>
          <w:ilvl w:val="0"/>
          <w:numId w:val="4"/>
        </w:numPr>
        <w:tabs>
          <w:tab w:val="num" w:pos="720"/>
        </w:tabs>
        <w:ind w:firstLine="720"/>
        <w:rPr>
          <w:rFonts w:eastAsia="Cambria" w:cs="Cambria"/>
          <w:i/>
          <w:iCs/>
          <w:color w:val="000000" w:themeColor="text1"/>
          <w:szCs w:val="20"/>
          <w:lang w:val="es-ES"/>
        </w:rPr>
      </w:pPr>
      <w:r w:rsidRPr="00FA506F">
        <w:rPr>
          <w:lang w:val="es-ES"/>
        </w:rPr>
        <w:t>Para 2024, México destacó que l</w:t>
      </w:r>
      <w:r w:rsidR="007B7AAF" w:rsidRPr="00FA506F">
        <w:rPr>
          <w:lang w:val="es-ES"/>
        </w:rPr>
        <w:t xml:space="preserve">a </w:t>
      </w:r>
      <w:r w:rsidR="00BB4DC8" w:rsidRPr="00FA506F">
        <w:rPr>
          <w:lang w:val="es-ES"/>
        </w:rPr>
        <w:t>CEAV</w:t>
      </w:r>
      <w:r w:rsidR="007B7AAF" w:rsidRPr="00FA506F">
        <w:rPr>
          <w:lang w:val="es-ES"/>
        </w:rPr>
        <w:t xml:space="preserve"> coordina la implementación del Programa Institucional de la CEAV (PICEAV 2020–2024), alineado con el Plan Nacional de Desarrollo 2019-2024, que asegura los derechos de las víctimas en el marco de la estrategia de seguridad y construcción de paz en México. Este programa da cumplimiento a las obligaciones establecidas en la Ley General de Víctimas y contribuye a los compromisos internacionales en materia de derechos humanos. La CEAV proporciona atención a las víctimas a través de servicios especializados que incluyen acompañamiento jurídico, psicosocial y médico, así como medidas de ayuda y asistencia. En 2023 y 2024, se ha enfocado en integrar los avances del PICEAV, de acuerdo con la Ley de Planeación y los criterios de la Secretaría de Hacienda para el seguimiento de programas. </w:t>
      </w:r>
      <w:r w:rsidRPr="00FA506F">
        <w:rPr>
          <w:lang w:val="es-ES"/>
        </w:rPr>
        <w:t xml:space="preserve">El Estado remarcó </w:t>
      </w:r>
      <w:r w:rsidR="005B28C2" w:rsidRPr="00FA506F">
        <w:rPr>
          <w:lang w:val="es-ES"/>
        </w:rPr>
        <w:t>que,</w:t>
      </w:r>
      <w:r w:rsidRPr="00FA506F">
        <w:rPr>
          <w:lang w:val="es-ES"/>
        </w:rPr>
        <w:t xml:space="preserve"> d</w:t>
      </w:r>
      <w:r w:rsidR="007B7AAF" w:rsidRPr="00FA506F">
        <w:rPr>
          <w:lang w:val="es-ES"/>
        </w:rPr>
        <w:t xml:space="preserve">esde diciembre de 2021, la CEAV ha emprendido un proceso de rediseño institucional para fortalecer los 32 Centros de Atención Integral en el país, asegurando condiciones óptimas para el personal y las instalaciones. </w:t>
      </w:r>
      <w:r w:rsidRPr="00FA506F">
        <w:rPr>
          <w:lang w:val="es-ES"/>
        </w:rPr>
        <w:t>De esta manera, sostuvo, se</w:t>
      </w:r>
      <w:r w:rsidR="00446F81" w:rsidRPr="00FA506F">
        <w:rPr>
          <w:lang w:val="es-ES"/>
        </w:rPr>
        <w:t xml:space="preserve"> </w:t>
      </w:r>
      <w:r w:rsidR="007B7AAF" w:rsidRPr="00FA506F">
        <w:rPr>
          <w:lang w:val="es-ES"/>
        </w:rPr>
        <w:t>busca potenciar las capacidades del personal mediante la homologación de procesos de atención y la formación continua con perspectiva de género, promoviendo un ambiente laboral libre de violencia. A junio de 2024, el Registro Nacional de Víctimas (RENAVI) cuenta con 75</w:t>
      </w:r>
      <w:r w:rsidRPr="00FA506F">
        <w:rPr>
          <w:lang w:val="es-ES"/>
        </w:rPr>
        <w:t>.</w:t>
      </w:r>
      <w:r w:rsidR="007B7AAF" w:rsidRPr="00FA506F">
        <w:rPr>
          <w:lang w:val="es-ES"/>
        </w:rPr>
        <w:t>863 personas registradas.</w:t>
      </w:r>
      <w:r w:rsidRPr="00FA506F">
        <w:rPr>
          <w:lang w:val="es-ES"/>
        </w:rPr>
        <w:t xml:space="preserve"> Aclarando </w:t>
      </w:r>
      <w:r w:rsidR="005B28C2" w:rsidRPr="00FA506F">
        <w:rPr>
          <w:lang w:val="es-ES"/>
        </w:rPr>
        <w:t>que,</w:t>
      </w:r>
      <w:r w:rsidRPr="00FA506F">
        <w:rPr>
          <w:lang w:val="es-ES"/>
        </w:rPr>
        <w:t xml:space="preserve"> e</w:t>
      </w:r>
      <w:r w:rsidR="007B7AAF" w:rsidRPr="00FA506F">
        <w:rPr>
          <w:lang w:val="es-ES"/>
        </w:rPr>
        <w:t xml:space="preserve">ntre enero de 2023 y junio de 2024, se </w:t>
      </w:r>
      <w:r w:rsidRPr="00FA506F">
        <w:rPr>
          <w:lang w:val="es-ES"/>
        </w:rPr>
        <w:t>habían inscripto</w:t>
      </w:r>
      <w:r w:rsidR="007B7AAF" w:rsidRPr="00FA506F">
        <w:rPr>
          <w:lang w:val="es-ES"/>
        </w:rPr>
        <w:t xml:space="preserve"> 19</w:t>
      </w:r>
      <w:r w:rsidR="00D71585" w:rsidRPr="00FA506F">
        <w:rPr>
          <w:lang w:val="es-ES"/>
        </w:rPr>
        <w:t>.</w:t>
      </w:r>
      <w:r w:rsidR="007B7AAF" w:rsidRPr="00FA506F">
        <w:rPr>
          <w:lang w:val="es-ES"/>
        </w:rPr>
        <w:t>246 personas como víctimas</w:t>
      </w:r>
      <w:r w:rsidR="000A7348" w:rsidRPr="00FA506F">
        <w:rPr>
          <w:rStyle w:val="FootnoteReference"/>
          <w:lang w:val="es-ES"/>
        </w:rPr>
        <w:footnoteReference w:id="148"/>
      </w:r>
      <w:r w:rsidR="007B7AAF" w:rsidRPr="00FA506F">
        <w:rPr>
          <w:lang w:val="es-ES"/>
        </w:rPr>
        <w:t xml:space="preserve">. </w:t>
      </w:r>
    </w:p>
    <w:p w14:paraId="4E69C04F" w14:textId="529B7F60" w:rsidR="007B7AAF" w:rsidRPr="00616692" w:rsidRDefault="007B7AAF" w:rsidP="00B80A67">
      <w:pPr>
        <w:pStyle w:val="IAPrrafo"/>
        <w:numPr>
          <w:ilvl w:val="0"/>
          <w:numId w:val="4"/>
        </w:numPr>
        <w:tabs>
          <w:tab w:val="num" w:pos="720"/>
        </w:tabs>
        <w:ind w:firstLine="720"/>
        <w:rPr>
          <w:lang w:val="es-ES"/>
        </w:rPr>
      </w:pPr>
      <w:r w:rsidRPr="00FA506F">
        <w:rPr>
          <w:lang w:val="es-ES"/>
        </w:rPr>
        <w:t>La CEAV</w:t>
      </w:r>
      <w:r w:rsidR="00D8277C" w:rsidRPr="00FA506F">
        <w:rPr>
          <w:lang w:val="es-ES"/>
        </w:rPr>
        <w:t>, además,</w:t>
      </w:r>
      <w:r w:rsidRPr="00FA506F">
        <w:rPr>
          <w:lang w:val="es-ES"/>
        </w:rPr>
        <w:t xml:space="preserve"> habría proporcionado 268</w:t>
      </w:r>
      <w:r w:rsidR="00D71585" w:rsidRPr="00FA506F">
        <w:rPr>
          <w:lang w:val="es-ES"/>
        </w:rPr>
        <w:t>.</w:t>
      </w:r>
      <w:r w:rsidRPr="00FA506F">
        <w:rPr>
          <w:lang w:val="es-ES"/>
        </w:rPr>
        <w:t xml:space="preserve">799 atenciones a través de trabajo social, psicología y servicios médicos, la mayoría de ellas en la Red Nacional de CAIs. </w:t>
      </w:r>
      <w:r w:rsidR="00446F81" w:rsidRPr="00FA506F">
        <w:rPr>
          <w:lang w:val="es-ES"/>
        </w:rPr>
        <w:t>La</w:t>
      </w:r>
      <w:r w:rsidRPr="00FA506F">
        <w:rPr>
          <w:lang w:val="es-ES"/>
        </w:rPr>
        <w:t> Dirección General de Asesoría Jurídica Federal habría otorgado 137</w:t>
      </w:r>
      <w:r w:rsidR="00D71585" w:rsidRPr="00FA506F">
        <w:rPr>
          <w:lang w:val="es-ES"/>
        </w:rPr>
        <w:t>.</w:t>
      </w:r>
      <w:r w:rsidRPr="00FA506F">
        <w:rPr>
          <w:lang w:val="es-ES"/>
        </w:rPr>
        <w:t>610 servicios jurídicos en 2023, resultando en 287 sentencias condenatorias y 3</w:t>
      </w:r>
      <w:r w:rsidR="00D71585" w:rsidRPr="00FA506F">
        <w:rPr>
          <w:lang w:val="es-ES"/>
        </w:rPr>
        <w:t>.</w:t>
      </w:r>
      <w:r w:rsidRPr="00FA506F">
        <w:rPr>
          <w:lang w:val="es-ES"/>
        </w:rPr>
        <w:t>450 nuevos expedientes en 2024, logrando reparaciones para 173 personas. Para asegurar la sustentabilidad de la atención, la CEAV habría gestionado recursos del Fondo de Aportaciones para la Seguridad Pública (FASP) en colaboración con el </w:t>
      </w:r>
      <w:r w:rsidRPr="00616692">
        <w:rPr>
          <w:lang w:val="es-ES"/>
        </w:rPr>
        <w:t xml:space="preserve">Secretariado Ejecutivo del Sistema Nacional de Seguridad Pública, solicitando a los gobernadores incrementar la inversión en las Comisiones Estatales de Atención a Víctimas (CEEV). </w:t>
      </w:r>
      <w:r w:rsidR="008C2DA5" w:rsidRPr="00616692">
        <w:rPr>
          <w:lang w:val="es-ES"/>
        </w:rPr>
        <w:t>En</w:t>
      </w:r>
      <w:r w:rsidRPr="00616692">
        <w:rPr>
          <w:lang w:val="es-ES"/>
        </w:rPr>
        <w:t xml:space="preserve"> 2023 y 2024 se habrían realizado convenios con diversas CEEV para facilitar la integración de datos de víctimas al RENAVI, </w:t>
      </w:r>
      <w:r w:rsidR="00D8277C" w:rsidRPr="00616692">
        <w:rPr>
          <w:lang w:val="es-ES"/>
        </w:rPr>
        <w:t xml:space="preserve">que ya son </w:t>
      </w:r>
      <w:r w:rsidRPr="00616692">
        <w:rPr>
          <w:lang w:val="es-ES"/>
        </w:rPr>
        <w:t xml:space="preserve">20 entidades las que transmiten información actualmente, y </w:t>
      </w:r>
      <w:r w:rsidR="00D8277C" w:rsidRPr="00616692">
        <w:rPr>
          <w:lang w:val="es-ES"/>
        </w:rPr>
        <w:t>que se firmó</w:t>
      </w:r>
      <w:r w:rsidRPr="00616692">
        <w:rPr>
          <w:lang w:val="es-ES"/>
        </w:rPr>
        <w:t xml:space="preserve"> un convenio adicional con Guerrero en 2024.</w:t>
      </w:r>
      <w:r w:rsidR="00D8277C" w:rsidRPr="00616692">
        <w:rPr>
          <w:lang w:val="es-ES"/>
        </w:rPr>
        <w:t xml:space="preserve"> El Estado refirió que el Sistema Nacional de Atención a Víctimas (SNAV) no habría sesionado según lo estipulado en la LGV al final del sexenio.</w:t>
      </w:r>
    </w:p>
    <w:p w14:paraId="76EEA3F7" w14:textId="638836ED" w:rsidR="00AB6367" w:rsidRPr="00616692" w:rsidRDefault="00AB6367" w:rsidP="00AB6367">
      <w:pPr>
        <w:pStyle w:val="IAPrrafo"/>
        <w:numPr>
          <w:ilvl w:val="0"/>
          <w:numId w:val="4"/>
        </w:numPr>
        <w:tabs>
          <w:tab w:val="num" w:pos="720"/>
        </w:tabs>
        <w:ind w:firstLine="720"/>
        <w:rPr>
          <w:b/>
          <w:bCs/>
          <w:lang w:val="es-ES"/>
        </w:rPr>
      </w:pPr>
      <w:r w:rsidRPr="00616692">
        <w:rPr>
          <w:lang w:val="es-ES"/>
        </w:rPr>
        <w:t xml:space="preserve">El Estado agregó en sus observaciones al presente Informe que la CEAV trabaja a partir del Programa Institucional de la Comisión Ejecutiva de Atención a Víctimas (PICEAV 2020–2024) </w:t>
      </w:r>
      <w:r w:rsidR="00C56A0B" w:rsidRPr="00616692">
        <w:rPr>
          <w:lang w:val="es-ES"/>
        </w:rPr>
        <w:t xml:space="preserve">y que </w:t>
      </w:r>
      <w:r w:rsidRPr="00616692">
        <w:rPr>
          <w:lang w:val="es-ES"/>
        </w:rPr>
        <w:t>opera con tres objetivos, 12 estrategias prioritarias y 76 acciones puntuales, garantizando el ejercicio de los derechos de las víctimas en el marco del Plan Nacional de Desarrollo 2019-2024. Asimismo, la CEAV ha brindado 173</w:t>
      </w:r>
      <w:r w:rsidR="00C56A0B" w:rsidRPr="00616692">
        <w:rPr>
          <w:lang w:val="es-ES"/>
        </w:rPr>
        <w:t>.</w:t>
      </w:r>
      <w:r w:rsidRPr="00616692">
        <w:rPr>
          <w:lang w:val="es-ES"/>
        </w:rPr>
        <w:t>006 atenciones, incluyendo 111</w:t>
      </w:r>
      <w:r w:rsidR="00C56A0B" w:rsidRPr="00616692">
        <w:rPr>
          <w:lang w:val="es-ES"/>
        </w:rPr>
        <w:t>.</w:t>
      </w:r>
      <w:r w:rsidRPr="00616692">
        <w:rPr>
          <w:lang w:val="es-ES"/>
        </w:rPr>
        <w:t>819 servicios de trabajo social, 51</w:t>
      </w:r>
      <w:r w:rsidR="00C56A0B" w:rsidRPr="00616692">
        <w:rPr>
          <w:lang w:val="es-ES"/>
        </w:rPr>
        <w:t>.</w:t>
      </w:r>
      <w:r w:rsidRPr="00616692">
        <w:rPr>
          <w:lang w:val="es-ES"/>
        </w:rPr>
        <w:t>082 atenciones psicológicas y 10</w:t>
      </w:r>
      <w:r w:rsidR="00C56A0B" w:rsidRPr="00616692">
        <w:rPr>
          <w:lang w:val="es-ES"/>
        </w:rPr>
        <w:t>.</w:t>
      </w:r>
      <w:r w:rsidRPr="00616692">
        <w:rPr>
          <w:lang w:val="es-ES"/>
        </w:rPr>
        <w:t>105 servicios médicos, principalmente a través de los Centros de Atención Integral en las 32 entidades federativas</w:t>
      </w:r>
      <w:r w:rsidRPr="00616692">
        <w:rPr>
          <w:rStyle w:val="FootnoteReference"/>
          <w:lang w:val="es-ES"/>
        </w:rPr>
        <w:footnoteReference w:id="149"/>
      </w:r>
      <w:r w:rsidRPr="00616692">
        <w:rPr>
          <w:lang w:val="es-ES"/>
        </w:rPr>
        <w:t>.</w:t>
      </w:r>
    </w:p>
    <w:p w14:paraId="4A03879E" w14:textId="32070425" w:rsidR="007B7AAF" w:rsidRPr="00FA506F" w:rsidRDefault="007B7AAF" w:rsidP="00B80A67">
      <w:pPr>
        <w:pStyle w:val="IAPrrafo"/>
        <w:numPr>
          <w:ilvl w:val="0"/>
          <w:numId w:val="4"/>
        </w:numPr>
        <w:tabs>
          <w:tab w:val="num" w:pos="720"/>
        </w:tabs>
        <w:ind w:firstLine="720"/>
        <w:rPr>
          <w:lang w:val="es-ES"/>
        </w:rPr>
      </w:pPr>
      <w:r w:rsidRPr="00616692">
        <w:rPr>
          <w:lang w:val="es-ES"/>
        </w:rPr>
        <w:t xml:space="preserve">Por su parte organizaciones de la sociedad civil informaron </w:t>
      </w:r>
      <w:r w:rsidR="00C26987" w:rsidRPr="00616692">
        <w:rPr>
          <w:lang w:val="es-ES"/>
        </w:rPr>
        <w:t>que</w:t>
      </w:r>
      <w:r w:rsidRPr="00616692">
        <w:rPr>
          <w:lang w:val="es-ES"/>
        </w:rPr>
        <w:t xml:space="preserve"> la SCJN determinó que la reforma de 2020 a la Ley General de Víctimas (LGV), la cual eliminaba la obligación de destinar un</w:t>
      </w:r>
      <w:r w:rsidRPr="00FA506F">
        <w:rPr>
          <w:lang w:val="es-ES"/>
        </w:rPr>
        <w:t xml:space="preserve"> porcentaje mínimo del presupuesto anual a la CEAV, era inconstitucional. Esta decisión, emitida el 13 de marzo de 2024 en el marco de un amparo, habría invalidado una reforma considerada regresiva para los derechos de las víctimas, pues eliminaba un mínimo presupuestal (0</w:t>
      </w:r>
      <w:r w:rsidR="00D8277C" w:rsidRPr="00FA506F">
        <w:rPr>
          <w:lang w:val="es-ES"/>
        </w:rPr>
        <w:t>,</w:t>
      </w:r>
      <w:r w:rsidRPr="00FA506F">
        <w:rPr>
          <w:lang w:val="es-ES"/>
        </w:rPr>
        <w:t>014% del gasto programable) para la atención a víctimas, incluidos gastos de reparación integral, funerarios, médicos, psicológicos, hospitalarios y de otros servicios necesarios para el seguimiento de sus procesos de justicia. La SCJN resolvió por unanimidad el amparo en revisión 675/2022, concluyendo que la reforma violaba el principio de progresividad de los derechos humanos, estipulado en el artículo primero de la Constitución. La sociedad civil subraya que esta decisión judicial representa un avance importante para garantizar un financiamiento adecuado y sostenido para las víctimas, aunque sería necesario que el Congreso de la Unión restableciera formalmente esta obligación en la LGV</w:t>
      </w:r>
      <w:r w:rsidR="000A7348" w:rsidRPr="00FA506F">
        <w:rPr>
          <w:rStyle w:val="FootnoteReference"/>
          <w:lang w:val="es-ES"/>
        </w:rPr>
        <w:footnoteReference w:id="150"/>
      </w:r>
      <w:r w:rsidRPr="00FA506F">
        <w:rPr>
          <w:lang w:val="es-ES"/>
        </w:rPr>
        <w:t>.</w:t>
      </w:r>
    </w:p>
    <w:p w14:paraId="2629D3F7" w14:textId="07D1A7EA" w:rsidR="00D8277C" w:rsidRPr="00FA506F" w:rsidRDefault="00D8277C" w:rsidP="00E44B33">
      <w:pPr>
        <w:pStyle w:val="parrafos"/>
        <w:numPr>
          <w:ilvl w:val="0"/>
          <w:numId w:val="0"/>
        </w:numPr>
        <w:rPr>
          <w:i/>
          <w:iCs/>
          <w:lang w:val="es-ES"/>
        </w:rPr>
      </w:pPr>
      <w:r w:rsidRPr="00FA506F">
        <w:rPr>
          <w:lang w:val="es-ES"/>
        </w:rPr>
        <w:tab/>
      </w:r>
      <w:r w:rsidRPr="00FA506F">
        <w:rPr>
          <w:i/>
          <w:iCs/>
          <w:lang w:val="es-ES"/>
        </w:rPr>
        <w:t>Análisis y nivel de cumplimiento de la recomendación</w:t>
      </w:r>
    </w:p>
    <w:p w14:paraId="524B318D"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17D16C33" w14:textId="492E0902" w:rsidR="005B28C2" w:rsidRPr="00FA506F" w:rsidRDefault="00D8277C" w:rsidP="005B28C2">
      <w:pPr>
        <w:pStyle w:val="IAPrrafo"/>
        <w:numPr>
          <w:ilvl w:val="0"/>
          <w:numId w:val="4"/>
        </w:numPr>
        <w:tabs>
          <w:tab w:val="num" w:pos="720"/>
        </w:tabs>
        <w:ind w:firstLine="720"/>
        <w:rPr>
          <w:lang w:val="es-ES"/>
        </w:rPr>
      </w:pPr>
      <w:r w:rsidRPr="00FA506F">
        <w:rPr>
          <w:lang w:val="es-ES"/>
        </w:rPr>
        <w:t xml:space="preserve">La Comisión destaca positivamente la implementación del Programa Institucional de la CEAV (PICEAV) 2020–2024, alineado con el Plan Nacional de Desarrollo 2019-2024. También reconoce que la CEAV ha venido proporcionando servicios de atención a víctimas, incluyendo acompañamiento jurídico, psicosocial y médico, así como medidas de asistencia y apoyo. Según la información aportada por el Estado, el Registro Nacional de Víctimas (RENAVI) contaría con casi 76 mil personas, y más de un cuarto de ellas fueron registradas en el último periodo. </w:t>
      </w:r>
      <w:r w:rsidR="007B7AAF" w:rsidRPr="00FA506F">
        <w:rPr>
          <w:lang w:val="es-ES"/>
        </w:rPr>
        <w:t>La CIDH reconoce los esfuerzos del Estado en la implementación de la Ley General de Víctimas y la provisión de servicios a través de la CEAV. No obstante, la reciente decisión de la SCJN que declara inconstitucional la reforma de 2020 a la LGV pone en evidencia la necesidad de asegurar un presupuesto mínimo para la atención de las víctimas y de respetar el principio de progresividad de los derechos humanos. La falta de este presupuesto fijo, junto con las deficiencias en la coordinación y en la participación de las víctimas y organizaciones de la sociedad civil, continúa limitando la efectividad de la implementación de la ley. La CIDH concluye que la recomendación permanece en</w:t>
      </w:r>
      <w:r w:rsidR="007B7AAF" w:rsidRPr="00FA506F">
        <w:rPr>
          <w:b/>
          <w:bCs/>
          <w:lang w:val="es-ES"/>
        </w:rPr>
        <w:t xml:space="preserve"> cumplimiento parcial</w:t>
      </w:r>
      <w:r w:rsidR="007B7AAF" w:rsidRPr="00FA506F">
        <w:rPr>
          <w:lang w:val="es-ES"/>
        </w:rPr>
        <w:t>.</w:t>
      </w:r>
    </w:p>
    <w:p w14:paraId="7F6E9620" w14:textId="39FF7C29" w:rsidR="005B28C2" w:rsidRPr="00FA506F" w:rsidRDefault="005B28C2" w:rsidP="005B28C2">
      <w:pPr>
        <w:pStyle w:val="parrafos"/>
        <w:numPr>
          <w:ilvl w:val="0"/>
          <w:numId w:val="0"/>
        </w:numPr>
        <w:rPr>
          <w:i/>
          <w:iCs/>
          <w:lang w:val="es-ES"/>
        </w:rPr>
      </w:pPr>
      <w:r w:rsidRPr="00FA506F">
        <w:rPr>
          <w:i/>
          <w:iCs/>
          <w:lang w:val="es-ES"/>
        </w:rPr>
        <w:tab/>
        <w:t xml:space="preserve">Medidas e información para avanzar en el cumplimiento de la recomendación </w:t>
      </w:r>
    </w:p>
    <w:p w14:paraId="6FB696A8" w14:textId="77777777" w:rsidR="005B28C2" w:rsidRPr="00FA506F" w:rsidRDefault="005B28C2" w:rsidP="005B28C2">
      <w:pPr>
        <w:pStyle w:val="parrafos"/>
        <w:numPr>
          <w:ilvl w:val="0"/>
          <w:numId w:val="0"/>
        </w:numPr>
        <w:rPr>
          <w:i/>
          <w:iCs/>
          <w:lang w:val="es-ES"/>
        </w:rPr>
      </w:pPr>
    </w:p>
    <w:p w14:paraId="5F7C5DE9" w14:textId="310F7B71" w:rsidR="005B28C2" w:rsidRPr="00FA506F" w:rsidRDefault="005B28C2" w:rsidP="005B28C2">
      <w:pPr>
        <w:pStyle w:val="IAPrrafo"/>
        <w:numPr>
          <w:ilvl w:val="0"/>
          <w:numId w:val="4"/>
        </w:numPr>
        <w:tabs>
          <w:tab w:val="num" w:pos="720"/>
        </w:tabs>
        <w:ind w:firstLine="720"/>
        <w:rPr>
          <w:lang w:val="es-ES"/>
        </w:rPr>
      </w:pPr>
      <w:r w:rsidRPr="00FA506F">
        <w:rPr>
          <w:lang w:val="es-ES"/>
        </w:rPr>
        <w:t xml:space="preserve">La Comisión invita al Estado a informar sobre los procesos de consulta a víctimas y sociedad civil respecto de las barreras en la implementación de la Ley General de Víctimas, para adoptar las medidas necesarias que hagan frente a dichas problemáticas. </w:t>
      </w:r>
    </w:p>
    <w:p w14:paraId="2AE4C069" w14:textId="77777777" w:rsidR="005B28C2" w:rsidRPr="00FA506F" w:rsidRDefault="005B28C2" w:rsidP="00E44B33">
      <w:pPr>
        <w:pStyle w:val="parrafos"/>
        <w:numPr>
          <w:ilvl w:val="0"/>
          <w:numId w:val="0"/>
        </w:numPr>
        <w:rPr>
          <w:i/>
          <w:iCs/>
          <w:lang w:val="es-ES"/>
        </w:rPr>
      </w:pPr>
    </w:p>
    <w:p w14:paraId="2F2DD304" w14:textId="5FF25FFA" w:rsidR="007B7AAF" w:rsidRPr="00032C24" w:rsidRDefault="007B7AAF" w:rsidP="1A0052D2">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032C24">
        <w:rPr>
          <w:rFonts w:ascii="Cambria" w:eastAsia="Cambria" w:hAnsi="Cambria" w:cstheme="minorBidi"/>
          <w:b/>
          <w:color w:val="000000" w:themeColor="text1"/>
          <w:kern w:val="2"/>
          <w:sz w:val="20"/>
          <w:szCs w:val="20"/>
          <w:shd w:val="clear" w:color="auto" w:fill="D0CECE" w:themeFill="background2" w:themeFillShade="E6"/>
          <w:lang w:val="es-ES"/>
          <w14:ligatures w14:val="standardContextual"/>
        </w:rPr>
        <w:t xml:space="preserve">Recomendación No. 33 </w:t>
      </w:r>
      <w:r w:rsidRPr="00032C24">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Asumir la responsabilidad histórica de rendir cuentas sobre las graves violaciones a los derechos humanos. Investigar, esclarecer y sancionar los hechos cometidos durante la época de la llamada </w:t>
      </w:r>
      <w:r w:rsidR="00A33274" w:rsidRPr="00032C24">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w:t>
      </w:r>
      <w:r w:rsidRPr="00032C24">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Guerra Sucia</w:t>
      </w:r>
      <w:r w:rsidR="00A33274" w:rsidRPr="00032C24">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w:t>
      </w:r>
      <w:r w:rsidRPr="00032C24">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w:t>
      </w:r>
    </w:p>
    <w:p w14:paraId="0C04FBF3" w14:textId="77777777" w:rsidR="007B7AAF" w:rsidRPr="00FA506F" w:rsidRDefault="007B7AAF" w:rsidP="00B80A67">
      <w:pPr>
        <w:jc w:val="both"/>
        <w:rPr>
          <w:rFonts w:ascii="Cambria" w:eastAsia="Cambria" w:hAnsi="Cambria" w:cs="Cambria"/>
          <w:i/>
          <w:iCs/>
          <w:color w:val="000000" w:themeColor="text1"/>
          <w:sz w:val="20"/>
          <w:szCs w:val="20"/>
          <w:lang w:val="es-ES"/>
        </w:rPr>
      </w:pPr>
    </w:p>
    <w:p w14:paraId="3642554C" w14:textId="6C597074" w:rsidR="007B7AAF" w:rsidRPr="00FA506F" w:rsidRDefault="007B7AAF" w:rsidP="002A41BA">
      <w:pPr>
        <w:pStyle w:val="IAPrrafo"/>
        <w:numPr>
          <w:ilvl w:val="0"/>
          <w:numId w:val="4"/>
        </w:numPr>
        <w:tabs>
          <w:tab w:val="num" w:pos="720"/>
        </w:tabs>
        <w:ind w:firstLine="720"/>
        <w:rPr>
          <w:lang w:val="es-ES"/>
        </w:rPr>
      </w:pPr>
      <w:r w:rsidRPr="00FA506F">
        <w:rPr>
          <w:lang w:val="es-ES"/>
        </w:rPr>
        <w:t>En el Capítulo V del Informe Anual de 2023, la CIDH conoció de las acciones del Mecanismo para la Verdad y el Esclarecimiento Histórico</w:t>
      </w:r>
      <w:r w:rsidR="00A33274" w:rsidRPr="00FA506F">
        <w:rPr>
          <w:lang w:val="es-ES"/>
        </w:rPr>
        <w:t xml:space="preserve"> (en adelante “Mecanismo de Esclarecimiento Histórico”</w:t>
      </w:r>
      <w:r w:rsidR="00676968" w:rsidRPr="00FA506F">
        <w:rPr>
          <w:lang w:val="es-ES"/>
        </w:rPr>
        <w:t xml:space="preserve"> o “MEH”</w:t>
      </w:r>
      <w:r w:rsidR="00A33274" w:rsidRPr="00FA506F">
        <w:rPr>
          <w:lang w:val="es-ES"/>
        </w:rPr>
        <w:t>)</w:t>
      </w:r>
      <w:r w:rsidRPr="00FA506F">
        <w:rPr>
          <w:lang w:val="es-ES"/>
        </w:rPr>
        <w:t xml:space="preserve">, incluyendo la convocatoria para recopilar testimonios y la realización de "Diálogos por la Verdad" en diversas regiones, así como un acuerdo de cooperación con Argentina para el esclarecimiento de graves violaciones a derechos humanos. Sin embargo, las organizaciones de la sociedad civil </w:t>
      </w:r>
      <w:r w:rsidR="00BE6519" w:rsidRPr="00FA506F">
        <w:rPr>
          <w:lang w:val="es-ES"/>
        </w:rPr>
        <w:t>destacaron</w:t>
      </w:r>
      <w:r w:rsidRPr="00FA506F">
        <w:rPr>
          <w:lang w:val="es-ES"/>
        </w:rPr>
        <w:t xml:space="preserve"> deficiencias en la </w:t>
      </w:r>
      <w:r w:rsidR="002A41BA" w:rsidRPr="00FA506F">
        <w:rPr>
          <w:lang w:val="es-ES"/>
        </w:rPr>
        <w:t>Comisión para el Acceso a la Verdad, el Esclarecimiento Histórico y el Impulso a la Justicia de las violaciones graves a los derechos humanos cometidas de 1965 a 1990 (</w:t>
      </w:r>
      <w:r w:rsidR="00A35F67" w:rsidRPr="00FA506F">
        <w:rPr>
          <w:lang w:val="es-ES"/>
        </w:rPr>
        <w:t>en adelante, “Comisión para el Acceso a la Verdad de la Guerra Sucia” o “</w:t>
      </w:r>
      <w:r w:rsidRPr="00FA506F">
        <w:rPr>
          <w:lang w:val="es-ES"/>
        </w:rPr>
        <w:t>COVEH</w:t>
      </w:r>
      <w:r w:rsidR="00A35F67" w:rsidRPr="00FA506F">
        <w:rPr>
          <w:lang w:val="es-ES"/>
        </w:rPr>
        <w:t>”</w:t>
      </w:r>
      <w:r w:rsidR="002A41BA" w:rsidRPr="00FA506F">
        <w:rPr>
          <w:lang w:val="es-ES"/>
        </w:rPr>
        <w:t>)</w:t>
      </w:r>
      <w:r w:rsidRPr="00FA506F">
        <w:rPr>
          <w:lang w:val="es-ES"/>
        </w:rPr>
        <w:t>, destacando renuncias de personal, problemas de presupuesto, y obstáculos por parte de la SEDENA en el acceso a archivos militares. La CIDH valoró los esfuerzos del Estado, pero expresó preocupación por los obstáculos en la transparencia y el acceso a la información. Por lo tanto, consideró que la recomendación seguía con cumplimiento parcial sustancial</w:t>
      </w:r>
      <w:r w:rsidRPr="00FA506F">
        <w:rPr>
          <w:rStyle w:val="FootnoteReference"/>
          <w:lang w:val="es-ES"/>
        </w:rPr>
        <w:footnoteReference w:id="151"/>
      </w:r>
      <w:r w:rsidRPr="00FA506F">
        <w:rPr>
          <w:lang w:val="es-ES"/>
        </w:rPr>
        <w:t xml:space="preserve">. </w:t>
      </w:r>
    </w:p>
    <w:p w14:paraId="29CF0B0B" w14:textId="77777777" w:rsidR="007B7AAF" w:rsidRPr="00FA506F" w:rsidRDefault="007B7AAF" w:rsidP="006678C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06E774F3"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787E3A7B" w14:textId="6697B1E7"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En 2024, el Estado </w:t>
      </w:r>
      <w:r w:rsidR="00BE6519" w:rsidRPr="00FA506F">
        <w:rPr>
          <w:lang w:val="es-ES"/>
        </w:rPr>
        <w:t>refirió</w:t>
      </w:r>
      <w:r w:rsidRPr="00FA506F">
        <w:rPr>
          <w:lang w:val="es-ES"/>
        </w:rPr>
        <w:t xml:space="preserve"> que, habría implementado una</w:t>
      </w:r>
      <w:r w:rsidR="00E966B1" w:rsidRPr="00FA506F">
        <w:rPr>
          <w:lang w:val="es-ES"/>
        </w:rPr>
        <w:t xml:space="preserve"> </w:t>
      </w:r>
      <w:r w:rsidRPr="00FA506F">
        <w:rPr>
          <w:lang w:val="es-ES"/>
        </w:rPr>
        <w:t>Política de Verdad y Memoria enfocada en esclarecer violaciones a derechos humanos cometidas entre 1965 y 1990. Entre septiembre de 2023 y julio de 2024, se habrían llevado a cabo varias actividades en colaboración con la CNB y CNDH incluyendo inspecciones en la 9ª Zona Militar y el Archivo Histórico de Sinaloa (identificados como centros de detención clandestina) y la exhumación de cuerpos en Ajuchitlán del Progreso, Guerrero. El Mecanismo de Esclarecimiento Histórico habría presentado su informe final al presidente de la Comisión</w:t>
      </w:r>
      <w:r w:rsidR="002505E7" w:rsidRPr="00FA506F">
        <w:rPr>
          <w:lang w:val="es-ES"/>
        </w:rPr>
        <w:t xml:space="preserve"> para el Acceso a la Verdad de la Guerra Sucia</w:t>
      </w:r>
      <w:r w:rsidRPr="00FA506F">
        <w:rPr>
          <w:lang w:val="es-ES"/>
        </w:rPr>
        <w:t xml:space="preserve"> y, posteriormente, a colectivos de víctimas en una sesión ordinaria de la COVEH. </w:t>
      </w:r>
      <w:r w:rsidR="00446F81" w:rsidRPr="00FA506F">
        <w:rPr>
          <w:lang w:val="es-ES"/>
        </w:rPr>
        <w:t>En</w:t>
      </w:r>
      <w:r w:rsidRPr="00FA506F">
        <w:rPr>
          <w:lang w:val="es-ES"/>
        </w:rPr>
        <w:t xml:space="preserve"> colaboración con la Coalición Internacional de Sitios de </w:t>
      </w:r>
      <w:r w:rsidR="002505E7" w:rsidRPr="00FA506F">
        <w:rPr>
          <w:lang w:val="es-ES"/>
        </w:rPr>
        <w:t>Memoria</w:t>
      </w:r>
      <w:r w:rsidRPr="00FA506F">
        <w:rPr>
          <w:lang w:val="es-ES"/>
        </w:rPr>
        <w:t>, se habrían desarrollado 16 proyectos para fortalecer archivos e iniciativas de memoria en el país. En abril de 2024, se habría declarado oficialmente como Sitio de Memoria el sótano del edificio en Circular de Morelia 8, y se habrían inaugurado señaléticas en vía pública para resaltar su importancia histórica</w:t>
      </w:r>
      <w:r w:rsidR="000A7348" w:rsidRPr="00FA506F">
        <w:rPr>
          <w:rStyle w:val="FootnoteReference"/>
          <w:lang w:val="es-ES"/>
        </w:rPr>
        <w:footnoteReference w:id="152"/>
      </w:r>
      <w:r w:rsidRPr="00FA506F">
        <w:rPr>
          <w:lang w:val="es-ES"/>
        </w:rPr>
        <w:t>.</w:t>
      </w:r>
    </w:p>
    <w:p w14:paraId="1D968755" w14:textId="6D351F5A" w:rsidR="007B7AAF" w:rsidRPr="00FA506F" w:rsidRDefault="00446046" w:rsidP="00B80A67">
      <w:pPr>
        <w:pStyle w:val="IAPrrafo"/>
        <w:numPr>
          <w:ilvl w:val="0"/>
          <w:numId w:val="4"/>
        </w:numPr>
        <w:tabs>
          <w:tab w:val="num" w:pos="720"/>
        </w:tabs>
        <w:ind w:firstLine="720"/>
        <w:rPr>
          <w:lang w:val="es-ES"/>
        </w:rPr>
      </w:pPr>
      <w:r w:rsidRPr="00FA506F">
        <w:rPr>
          <w:lang w:val="es-ES"/>
        </w:rPr>
        <w:t>Las</w:t>
      </w:r>
      <w:r w:rsidR="007B7AAF" w:rsidRPr="00FA506F">
        <w:rPr>
          <w:lang w:val="es-ES"/>
        </w:rPr>
        <w:t xml:space="preserve"> organizaciones de la sociedad civil informaron sobre la entrega del informe final del Mecanismo de Esclarecimiento Histórico (MEHV), en dos partes: el 25 de junio de 2024 se presentó una colección titulada </w:t>
      </w:r>
      <w:r w:rsidR="002505E7" w:rsidRPr="00FA506F">
        <w:rPr>
          <w:i/>
          <w:iCs/>
          <w:lang w:val="es-ES"/>
        </w:rPr>
        <w:t>“</w:t>
      </w:r>
      <w:r w:rsidR="007B7AAF" w:rsidRPr="00FA506F">
        <w:rPr>
          <w:i/>
          <w:iCs/>
          <w:lang w:val="es-ES"/>
        </w:rPr>
        <w:t>Fue el Estado (1965-1990)</w:t>
      </w:r>
      <w:r w:rsidR="002505E7" w:rsidRPr="00FA506F">
        <w:rPr>
          <w:i/>
          <w:iCs/>
          <w:lang w:val="es-ES"/>
        </w:rPr>
        <w:t>”</w:t>
      </w:r>
      <w:r w:rsidR="007B7AAF" w:rsidRPr="00FA506F">
        <w:rPr>
          <w:lang w:val="es-ES"/>
        </w:rPr>
        <w:t>, y el 11 de julio de 2024, se entregó el informe </w:t>
      </w:r>
      <w:r w:rsidR="007B7AAF" w:rsidRPr="00FA506F">
        <w:rPr>
          <w:i/>
          <w:iCs/>
          <w:lang w:val="es-ES"/>
        </w:rPr>
        <w:t>“Verdades innegables. Por un México sin impunidad”</w:t>
      </w:r>
      <w:r w:rsidR="007B7AAF" w:rsidRPr="00FA506F">
        <w:rPr>
          <w:lang w:val="es-ES"/>
        </w:rPr>
        <w:t xml:space="preserve">. Estos informes documentarían graves violaciones a los derechos humanos, los factores de persistencia de estas prácticas, y las barreras enfrentadas para acceder a información de las Fuerzas Armadas y otras agencias de seguridad. La segunda parte del informe se habría presentado el 10 de octubre de 2024, tras la conclusión del mandato del MEHV. </w:t>
      </w:r>
      <w:r w:rsidR="00446F81" w:rsidRPr="00FA506F">
        <w:rPr>
          <w:lang w:val="es-ES"/>
        </w:rPr>
        <w:t>Por otra parte, un</w:t>
      </w:r>
      <w:r w:rsidR="007B7AAF" w:rsidRPr="00FA506F">
        <w:rPr>
          <w:lang w:val="es-ES"/>
        </w:rPr>
        <w:t xml:space="preserve"> trabajo periodístico habría revelado el 7 de agosto de 2024 una lista, presumiblemente del Ejército Mexicano, con los nombres de 183 posibles víctimas de los “Vuelos de la Muerte” en 1974. Al menos 160 de estos nombres coincidirían con registros de personas desaparecidas en informes de la Fiscalía Especial para Movimientos Sociales y Políticos del Pasado (FEMOSPP) y otras entidades. La sociedad </w:t>
      </w:r>
      <w:r w:rsidR="00454AE0" w:rsidRPr="00FA506F">
        <w:rPr>
          <w:lang w:val="es-ES"/>
        </w:rPr>
        <w:t>refirió</w:t>
      </w:r>
      <w:r w:rsidR="007B7AAF" w:rsidRPr="00FA506F">
        <w:rPr>
          <w:lang w:val="es-ES"/>
        </w:rPr>
        <w:t xml:space="preserve"> que esta es parte de la información que las Fuerzas Armadas habrían negado. Finalmente, el 25 de septiembre de 2024, la Subsecretaría de Derechos Humanos de la Secretaría de Gobernación presentó un Resumen Ejecutivo de los informes en una sesión cerrada, excluyendo algunos hallazgos cruciales del MEHV, lo cual fue denunciado por los comisionados, quienes </w:t>
      </w:r>
      <w:r w:rsidR="00BE6519" w:rsidRPr="00FA506F">
        <w:rPr>
          <w:lang w:val="es-ES"/>
        </w:rPr>
        <w:t>refirieron</w:t>
      </w:r>
      <w:r w:rsidR="007B7AAF" w:rsidRPr="00FA506F">
        <w:rPr>
          <w:lang w:val="es-ES"/>
        </w:rPr>
        <w:t xml:space="preserve"> que se desconocía la magnitud de las violaciones y los factores de impunidad documentados. Esta situación habría </w:t>
      </w:r>
      <w:r w:rsidR="00346AFB" w:rsidRPr="00FA506F">
        <w:rPr>
          <w:lang w:val="es-ES"/>
        </w:rPr>
        <w:t xml:space="preserve">revelado </w:t>
      </w:r>
      <w:r w:rsidR="007B7AAF" w:rsidRPr="00FA506F">
        <w:rPr>
          <w:lang w:val="es-ES"/>
        </w:rPr>
        <w:t>la falta de reconocimiento oficial de los hallazgos sobre graves violaciones a derechos humanos</w:t>
      </w:r>
      <w:r w:rsidR="00346AFB" w:rsidRPr="00FA506F">
        <w:rPr>
          <w:lang w:val="es-ES"/>
        </w:rPr>
        <w:t xml:space="preserve"> del pasado</w:t>
      </w:r>
      <w:r w:rsidR="000A7348" w:rsidRPr="00FA506F">
        <w:rPr>
          <w:rStyle w:val="FootnoteReference"/>
          <w:lang w:val="es-ES"/>
        </w:rPr>
        <w:footnoteReference w:id="153"/>
      </w:r>
      <w:r w:rsidR="007B7AAF" w:rsidRPr="00FA506F">
        <w:rPr>
          <w:lang w:val="es-ES"/>
        </w:rPr>
        <w:t>.</w:t>
      </w:r>
    </w:p>
    <w:p w14:paraId="32D28B17" w14:textId="77777777" w:rsidR="007B7AAF" w:rsidRPr="00FA506F" w:rsidRDefault="007B7AAF" w:rsidP="006678C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522EC892"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67D1735C" w14:textId="754E0015"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La CIDH reconoce los avances del Estado en la implementación de la Política de Verdad y Memoria y en los esfuerzos por esclarecer los eventos históricos de violaciones graves a los derechos humanos. No obstante, las dificultades </w:t>
      </w:r>
      <w:r w:rsidR="00CC72A9" w:rsidRPr="00FA506F">
        <w:rPr>
          <w:lang w:val="es-ES"/>
        </w:rPr>
        <w:t>identificadas</w:t>
      </w:r>
      <w:r w:rsidRPr="00FA506F">
        <w:rPr>
          <w:lang w:val="es-ES"/>
        </w:rPr>
        <w:t xml:space="preserve"> por la sociedad civil, incluyendo el acceso limitado a archivos militares, la omisión de información crítica en la versión oficial del informe, y las dificultades de financiamiento, </w:t>
      </w:r>
      <w:r w:rsidR="00346AFB" w:rsidRPr="00FA506F">
        <w:rPr>
          <w:lang w:val="es-ES"/>
        </w:rPr>
        <w:t xml:space="preserve">evidenciaron </w:t>
      </w:r>
      <w:r w:rsidRPr="00FA506F">
        <w:rPr>
          <w:lang w:val="es-ES"/>
        </w:rPr>
        <w:t>serios desafíos a la transparencia y el pleno reconocimiento de los hechos documentados por el MEHV. Estas barreras compromet</w:t>
      </w:r>
      <w:r w:rsidR="00346AFB" w:rsidRPr="00FA506F">
        <w:rPr>
          <w:lang w:val="es-ES"/>
        </w:rPr>
        <w:t>i</w:t>
      </w:r>
      <w:r w:rsidRPr="00FA506F">
        <w:rPr>
          <w:lang w:val="es-ES"/>
        </w:rPr>
        <w:t>e</w:t>
      </w:r>
      <w:r w:rsidR="00346AFB" w:rsidRPr="00FA506F">
        <w:rPr>
          <w:lang w:val="es-ES"/>
        </w:rPr>
        <w:t>ro</w:t>
      </w:r>
      <w:r w:rsidRPr="00FA506F">
        <w:rPr>
          <w:lang w:val="es-ES"/>
        </w:rPr>
        <w:t>n la efectividad y la independencia del Mecanismo, lo cual e</w:t>
      </w:r>
      <w:r w:rsidR="00346AFB" w:rsidRPr="00FA506F">
        <w:rPr>
          <w:lang w:val="es-ES"/>
        </w:rPr>
        <w:t>ra</w:t>
      </w:r>
      <w:r w:rsidRPr="00FA506F">
        <w:rPr>
          <w:lang w:val="es-ES"/>
        </w:rPr>
        <w:t xml:space="preserve"> fundamental para cumplir los estándares de justicia y verdad. La CIDH concluye que la recomendación sigue en</w:t>
      </w:r>
      <w:r w:rsidRPr="00FA506F">
        <w:rPr>
          <w:b/>
          <w:bCs/>
          <w:lang w:val="es-ES"/>
        </w:rPr>
        <w:t xml:space="preserve"> cumplimiento parcial</w:t>
      </w:r>
      <w:r w:rsidRPr="00FA506F">
        <w:rPr>
          <w:lang w:val="es-ES"/>
        </w:rPr>
        <w:t xml:space="preserve"> </w:t>
      </w:r>
      <w:r w:rsidRPr="00FA506F">
        <w:rPr>
          <w:b/>
          <w:bCs/>
          <w:lang w:val="es-ES"/>
        </w:rPr>
        <w:t>sustancial.</w:t>
      </w:r>
    </w:p>
    <w:p w14:paraId="694386F5" w14:textId="77777777" w:rsidR="007B7AAF" w:rsidRPr="00FA506F" w:rsidRDefault="007B7AAF" w:rsidP="006678C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5E9D4C7A"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538BDE9A" w14:textId="792224FE"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La CIDH recomienda que el Estado </w:t>
      </w:r>
      <w:r w:rsidR="00346AFB" w:rsidRPr="00FA506F">
        <w:rPr>
          <w:lang w:val="es-ES"/>
        </w:rPr>
        <w:t xml:space="preserve">continúe llevando adelante medidas para el esclarecimiento de las graves violaciones de derechos humanos cometidas durante la denominada “Guerra Sucia”. En particular, que </w:t>
      </w:r>
      <w:r w:rsidRPr="00FA506F">
        <w:rPr>
          <w:lang w:val="es-ES"/>
        </w:rPr>
        <w:t xml:space="preserve">garantice el acceso irrestricto a la documentación relevante, especialmente la proveniente de las Fuerzas Armadas, y asegure la inclusión completa de los hallazgos en las publicaciones oficiales. </w:t>
      </w:r>
      <w:r w:rsidR="005076DB" w:rsidRPr="00FA506F">
        <w:rPr>
          <w:lang w:val="es-ES"/>
        </w:rPr>
        <w:t>La Comisión</w:t>
      </w:r>
      <w:r w:rsidRPr="00FA506F">
        <w:rPr>
          <w:lang w:val="es-ES"/>
        </w:rPr>
        <w:t xml:space="preserve"> sugiere aumentar el financiamiento de la COVEH para apoyar una labor independiente y facilitar el cumplimiento de sus objetivos de verdad y justicia.</w:t>
      </w:r>
    </w:p>
    <w:p w14:paraId="37E7A492" w14:textId="062509C9" w:rsidR="007B7AAF" w:rsidRPr="00FA506F" w:rsidRDefault="007B7AAF"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34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Fortalecer el Mecanismo de protección de defensoras y defensores de derechos humanos y periodistas, garantizando su sostenibilidad económica en el largo plazo y dotándolo de mayor autonomía administrativa y exhortando a las entidades federativas a colaborar con el mismo. Al Mecanismo, en tanto, se le recomienda realizar la evaluación y adopción de medidas de protección diferenciadas teniendo en cuenta género, l</w:t>
      </w:r>
      <w:r w:rsidR="00346AFB"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í</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deres indígenas y defensores del medio ambiente, realizar mediciones sobre la efectividad de las medidas implementadas, fomentar la articulación y cooperación institucional con la PGR, así como incrementar la transparencia de todo lo actuado para </w:t>
      </w:r>
      <w:r w:rsidR="00346AFB"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fortalecer</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la confianza de los beneficiarios. Lo anterior deberá acompañarse del desarrollo de una política de prevención y de participación de la población objetivo. </w:t>
      </w:r>
    </w:p>
    <w:p w14:paraId="4CA13AB9" w14:textId="77777777" w:rsidR="007B7AAF" w:rsidRPr="00FA506F" w:rsidRDefault="007B7AAF" w:rsidP="00B80A67">
      <w:pPr>
        <w:jc w:val="both"/>
        <w:rPr>
          <w:rFonts w:ascii="Cambria" w:eastAsia="Cambria" w:hAnsi="Cambria" w:cs="Cambria"/>
          <w:i/>
          <w:iCs/>
          <w:color w:val="000000" w:themeColor="text1"/>
          <w:sz w:val="20"/>
          <w:szCs w:val="20"/>
          <w:lang w:val="es-ES"/>
        </w:rPr>
      </w:pPr>
    </w:p>
    <w:p w14:paraId="7335BF02" w14:textId="10CDA7C6" w:rsidR="005008FA" w:rsidRPr="00FA506F" w:rsidRDefault="007B7AAF" w:rsidP="006678CB">
      <w:pPr>
        <w:pStyle w:val="IAPrrafo"/>
        <w:numPr>
          <w:ilvl w:val="0"/>
          <w:numId w:val="4"/>
        </w:numPr>
        <w:tabs>
          <w:tab w:val="num" w:pos="720"/>
        </w:tabs>
        <w:ind w:firstLine="720"/>
        <w:rPr>
          <w:rFonts w:eastAsia="Cambria" w:cs="Cambria"/>
          <w:i/>
          <w:iCs/>
          <w:color w:val="000000" w:themeColor="text1"/>
          <w:szCs w:val="20"/>
          <w:lang w:val="es-ES"/>
        </w:rPr>
      </w:pPr>
      <w:r w:rsidRPr="00FA506F">
        <w:rPr>
          <w:lang w:val="es-ES"/>
        </w:rPr>
        <w:t xml:space="preserve">De acuerdo con la información reportada por el Estado para el Informe de Seguimiento de 2023, se destacaron avances en la discusión de un nuevo Proyecto de Ley General para la Protección de Personas Defensoras de Derechos Humanos y Periodistas, valorando un aumento significativo en los recursos y personal destinados al Mecanismo de Protección. Sin embargo, las organizaciones de la sociedad civil expresaron preocupaciones sobre la falta de participación significativa en los diálogos para esta ley, y </w:t>
      </w:r>
      <w:r w:rsidR="00346AFB" w:rsidRPr="00FA506F">
        <w:rPr>
          <w:lang w:val="es-ES"/>
        </w:rPr>
        <w:t xml:space="preserve">remarcaron </w:t>
      </w:r>
      <w:r w:rsidRPr="00FA506F">
        <w:rPr>
          <w:lang w:val="es-ES"/>
        </w:rPr>
        <w:t xml:space="preserve">la necesidad de fortalecer la coordinación entre las instituciones locales y federales con el Mecanismo. La CIDH valoró el aumento presupuestal, pero subrayó la falta de información sobre medidas para dotar al Mecanismo de mayor autonomía y mejorar la coordinación interinstitucional. Por lo tanto, consideró que la recomendación seguía parcialmente cumplida e instó al Estado a informar sobre las </w:t>
      </w:r>
      <w:r w:rsidR="00346AFB" w:rsidRPr="00FA506F">
        <w:rPr>
          <w:lang w:val="es-ES"/>
        </w:rPr>
        <w:t xml:space="preserve">iniciativas </w:t>
      </w:r>
      <w:r w:rsidRPr="00FA506F">
        <w:rPr>
          <w:lang w:val="es-ES"/>
        </w:rPr>
        <w:t xml:space="preserve">adoptadas para garantizar la autonomía del Mecanismo y la participación efectiva de la población </w:t>
      </w:r>
      <w:r w:rsidR="005008FA" w:rsidRPr="00FA506F">
        <w:rPr>
          <w:lang w:val="es-ES"/>
        </w:rPr>
        <w:t>objetivo.</w:t>
      </w:r>
    </w:p>
    <w:p w14:paraId="73364773" w14:textId="39C4B216" w:rsidR="007B7AAF" w:rsidRPr="00FA506F" w:rsidRDefault="007B7AAF" w:rsidP="006678CB">
      <w:pPr>
        <w:pStyle w:val="IAPrrafo"/>
        <w:ind w:left="360" w:firstLine="360"/>
        <w:rPr>
          <w:rFonts w:eastAsia="Cambria" w:cs="Cambria"/>
          <w:i/>
          <w:iCs/>
          <w:color w:val="000000" w:themeColor="text1"/>
          <w:szCs w:val="20"/>
          <w:lang w:val="es-ES"/>
        </w:rPr>
      </w:pPr>
      <w:r w:rsidRPr="00FA506F">
        <w:rPr>
          <w:rFonts w:eastAsia="Cambria" w:cs="Cambria"/>
          <w:i/>
          <w:iCs/>
          <w:color w:val="000000" w:themeColor="text1"/>
          <w:szCs w:val="20"/>
          <w:lang w:val="es-ES"/>
        </w:rPr>
        <w:t>Información sobre el cumplimiento</w:t>
      </w:r>
    </w:p>
    <w:p w14:paraId="2E20A0FB" w14:textId="4135A38C" w:rsidR="000A7348" w:rsidRPr="00FA506F" w:rsidRDefault="007B7AAF" w:rsidP="00B80A67">
      <w:pPr>
        <w:pStyle w:val="IAPrrafo"/>
        <w:numPr>
          <w:ilvl w:val="0"/>
          <w:numId w:val="4"/>
        </w:numPr>
        <w:tabs>
          <w:tab w:val="num" w:pos="720"/>
        </w:tabs>
        <w:ind w:firstLine="720"/>
        <w:rPr>
          <w:lang w:val="es-ES"/>
        </w:rPr>
      </w:pPr>
      <w:r w:rsidRPr="00FA506F">
        <w:rPr>
          <w:lang w:val="es-ES"/>
        </w:rPr>
        <w:t xml:space="preserve">En 2024, el Estado informó del fortalecimiento del Mecanismo de Protección a partir de tres ejes: </w:t>
      </w:r>
      <w:r w:rsidR="006678CB">
        <w:rPr>
          <w:lang w:val="es-ES"/>
        </w:rPr>
        <w:t>(</w:t>
      </w:r>
      <w:r w:rsidRPr="00FA506F">
        <w:rPr>
          <w:lang w:val="es-ES"/>
        </w:rPr>
        <w:t xml:space="preserve">i) protección, </w:t>
      </w:r>
      <w:r w:rsidR="006678CB">
        <w:rPr>
          <w:lang w:val="es-ES"/>
        </w:rPr>
        <w:t>(</w:t>
      </w:r>
      <w:r w:rsidRPr="00FA506F">
        <w:rPr>
          <w:lang w:val="es-ES"/>
        </w:rPr>
        <w:t xml:space="preserve">ii) prevención y </w:t>
      </w:r>
      <w:r w:rsidR="006678CB">
        <w:rPr>
          <w:lang w:val="es-ES"/>
        </w:rPr>
        <w:t>(</w:t>
      </w:r>
      <w:r w:rsidRPr="00FA506F">
        <w:rPr>
          <w:lang w:val="es-ES"/>
        </w:rPr>
        <w:t>iii) fortalecimiento institucional, lo cual guiaría sus actividades</w:t>
      </w:r>
      <w:r w:rsidR="005076DB" w:rsidRPr="00FA506F">
        <w:rPr>
          <w:lang w:val="es-ES"/>
        </w:rPr>
        <w:t xml:space="preserve"> y de la implementación de</w:t>
      </w:r>
      <w:r w:rsidRPr="00FA506F">
        <w:rPr>
          <w:lang w:val="es-ES"/>
        </w:rPr>
        <w:t xml:space="preserve"> metodologías con perspectiva de género, logrando un análisis diferenciado y promoviendo la participación activa de la sociedad civil y organismos internacionales. El Estado reiteró que</w:t>
      </w:r>
      <w:r w:rsidR="00346AFB" w:rsidRPr="00FA506F">
        <w:rPr>
          <w:lang w:val="es-ES"/>
        </w:rPr>
        <w:t>,</w:t>
      </w:r>
      <w:r w:rsidRPr="00FA506F">
        <w:rPr>
          <w:lang w:val="es-ES"/>
        </w:rPr>
        <w:t xml:space="preserve"> desde su creación en 2012 hasta julio de 2024, la Junta habría realizado 150 sesiones y atendido 5</w:t>
      </w:r>
      <w:r w:rsidR="00A25602" w:rsidRPr="00FA506F">
        <w:rPr>
          <w:lang w:val="es-ES"/>
        </w:rPr>
        <w:t>.</w:t>
      </w:r>
      <w:r w:rsidRPr="00FA506F">
        <w:rPr>
          <w:lang w:val="es-ES"/>
        </w:rPr>
        <w:t>965 asuntos, con un 90% de aprobación de planes de protección sin necesidad de sesiones plenarias. En 2023, el Grupo de Trabajo para el Fortalecimiento del Mecanismo habría logrado avances importantes, cumpliendo el 66% de 75 recomendaciones priorizadas, y para 2024, se habrían establecido lineamientos para la atención de casos colectivos y medidas con enfoque digital</w:t>
      </w:r>
      <w:r w:rsidR="000A7348" w:rsidRPr="00FA506F">
        <w:rPr>
          <w:rStyle w:val="FootnoteReference"/>
          <w:lang w:val="es-ES"/>
        </w:rPr>
        <w:footnoteReference w:id="154"/>
      </w:r>
      <w:r w:rsidRPr="00FA506F">
        <w:rPr>
          <w:lang w:val="es-ES"/>
        </w:rPr>
        <w:t>.</w:t>
      </w:r>
    </w:p>
    <w:p w14:paraId="6F1BC96A" w14:textId="6159859B" w:rsidR="007B7AAF" w:rsidRPr="00FA506F" w:rsidRDefault="00346AFB" w:rsidP="00B80A67">
      <w:pPr>
        <w:pStyle w:val="IAPrrafo"/>
        <w:numPr>
          <w:ilvl w:val="0"/>
          <w:numId w:val="4"/>
        </w:numPr>
        <w:tabs>
          <w:tab w:val="num" w:pos="720"/>
        </w:tabs>
        <w:ind w:firstLine="720"/>
        <w:rPr>
          <w:lang w:val="es-ES"/>
        </w:rPr>
      </w:pPr>
      <w:r w:rsidRPr="00FA506F">
        <w:rPr>
          <w:lang w:val="es-ES"/>
        </w:rPr>
        <w:t>Según el Estado, e</w:t>
      </w:r>
      <w:r w:rsidR="007B7AAF" w:rsidRPr="00FA506F">
        <w:rPr>
          <w:lang w:val="es-ES"/>
        </w:rPr>
        <w:t>l presupuesto del Mecanismo se habría triplicado en comparación con administraciones previas, con un total de 2</w:t>
      </w:r>
      <w:r w:rsidR="00D71585" w:rsidRPr="00FA506F">
        <w:rPr>
          <w:lang w:val="es-ES"/>
        </w:rPr>
        <w:t>.</w:t>
      </w:r>
      <w:r w:rsidR="007B7AAF" w:rsidRPr="00FA506F">
        <w:rPr>
          <w:lang w:val="es-ES"/>
        </w:rPr>
        <w:t xml:space="preserve">606 millones de pesos entre 2019 y 2023, y una asignación de 599 millones de pesos para 2024. Esto habría permitido mejorar la cobertura en territorios necesitados de protección para periodistas y </w:t>
      </w:r>
      <w:r w:rsidRPr="00FA506F">
        <w:rPr>
          <w:lang w:val="es-ES"/>
        </w:rPr>
        <w:t xml:space="preserve">personas </w:t>
      </w:r>
      <w:r w:rsidR="007B7AAF" w:rsidRPr="00FA506F">
        <w:rPr>
          <w:lang w:val="es-ES"/>
        </w:rPr>
        <w:t>defensor</w:t>
      </w:r>
      <w:r w:rsidRPr="00FA506F">
        <w:rPr>
          <w:lang w:val="es-ES"/>
        </w:rPr>
        <w:t>a</w:t>
      </w:r>
      <w:r w:rsidR="007B7AAF" w:rsidRPr="00FA506F">
        <w:rPr>
          <w:lang w:val="es-ES"/>
        </w:rPr>
        <w:t xml:space="preserve">s de derechos humanos. En colaboración con el Instituto Mexicano del Seguro Social (IMSS), </w:t>
      </w:r>
      <w:r w:rsidRPr="00FA506F">
        <w:rPr>
          <w:lang w:val="es-ES"/>
        </w:rPr>
        <w:t xml:space="preserve">se </w:t>
      </w:r>
      <w:r w:rsidR="007B7AAF" w:rsidRPr="00FA506F">
        <w:rPr>
          <w:lang w:val="es-ES"/>
        </w:rPr>
        <w:t>habría implementado un programa de Seguridad Social para Periodistas Independientes, beneficiando a 1</w:t>
      </w:r>
      <w:r w:rsidR="00D71585" w:rsidRPr="00FA506F">
        <w:rPr>
          <w:lang w:val="es-ES"/>
        </w:rPr>
        <w:t>.</w:t>
      </w:r>
      <w:r w:rsidR="007B7AAF" w:rsidRPr="00FA506F">
        <w:rPr>
          <w:lang w:val="es-ES"/>
        </w:rPr>
        <w:t xml:space="preserve">670 periodistas con un presupuesto de 47 millones de pesos, </w:t>
      </w:r>
      <w:r w:rsidRPr="00FA506F">
        <w:rPr>
          <w:lang w:val="es-ES"/>
        </w:rPr>
        <w:t xml:space="preserve">gestionado </w:t>
      </w:r>
      <w:r w:rsidR="007B7AAF" w:rsidRPr="00FA506F">
        <w:rPr>
          <w:lang w:val="es-ES"/>
        </w:rPr>
        <w:t xml:space="preserve">a través de la SEGOB. </w:t>
      </w:r>
      <w:r w:rsidR="00446F81" w:rsidRPr="00FA506F">
        <w:rPr>
          <w:lang w:val="es-ES"/>
        </w:rPr>
        <w:t>D</w:t>
      </w:r>
      <w:r w:rsidR="007B7AAF" w:rsidRPr="00FA506F">
        <w:rPr>
          <w:lang w:val="es-ES"/>
        </w:rPr>
        <w:t>e marzo de 2023 a agosto de 2024, se habría capacitado a 3</w:t>
      </w:r>
      <w:r w:rsidR="00D71585" w:rsidRPr="00FA506F">
        <w:rPr>
          <w:lang w:val="es-ES"/>
        </w:rPr>
        <w:t>.</w:t>
      </w:r>
      <w:r w:rsidR="007B7AAF" w:rsidRPr="00FA506F">
        <w:rPr>
          <w:lang w:val="es-ES"/>
        </w:rPr>
        <w:t xml:space="preserve">344 servidores públicos y </w:t>
      </w:r>
      <w:r w:rsidRPr="00FA506F">
        <w:rPr>
          <w:lang w:val="es-ES"/>
        </w:rPr>
        <w:t xml:space="preserve">personas </w:t>
      </w:r>
      <w:r w:rsidR="007B7AAF" w:rsidRPr="00FA506F">
        <w:rPr>
          <w:lang w:val="es-ES"/>
        </w:rPr>
        <w:t>defensor</w:t>
      </w:r>
      <w:r w:rsidRPr="00FA506F">
        <w:rPr>
          <w:lang w:val="es-ES"/>
        </w:rPr>
        <w:t>a</w:t>
      </w:r>
      <w:r w:rsidR="007B7AAF" w:rsidRPr="00FA506F">
        <w:rPr>
          <w:lang w:val="es-ES"/>
        </w:rPr>
        <w:t xml:space="preserve">s en diversas entidades federativas. Para proteger a defensores ambientales, México habría implementado el Acuerdo de Escazú y organizado la mesa </w:t>
      </w:r>
      <w:r w:rsidRPr="00FA506F">
        <w:rPr>
          <w:lang w:val="es-ES"/>
        </w:rPr>
        <w:t>“</w:t>
      </w:r>
      <w:r w:rsidR="007B7AAF" w:rsidRPr="00FA506F">
        <w:rPr>
          <w:lang w:val="es-ES"/>
        </w:rPr>
        <w:t>Acción regional por las personas defensoras ambientales</w:t>
      </w:r>
      <w:r w:rsidRPr="00FA506F">
        <w:rPr>
          <w:lang w:val="es-ES"/>
        </w:rPr>
        <w:t>”</w:t>
      </w:r>
      <w:r w:rsidR="007B7AAF" w:rsidRPr="00FA506F">
        <w:rPr>
          <w:lang w:val="es-ES"/>
        </w:rPr>
        <w:t xml:space="preserve"> en febrero de 2024, integrando una perspectiva local en el Plan de Acción Regional para defensores ambientales, aprobado en abril de 2024. Actualmente, 26 entidades federativas contarían con normativas de protección para </w:t>
      </w:r>
      <w:r w:rsidRPr="00FA506F">
        <w:rPr>
          <w:lang w:val="es-ES"/>
        </w:rPr>
        <w:t xml:space="preserve">personas </w:t>
      </w:r>
      <w:r w:rsidR="007B7AAF" w:rsidRPr="00FA506F">
        <w:rPr>
          <w:lang w:val="es-ES"/>
        </w:rPr>
        <w:t>defensor</w:t>
      </w:r>
      <w:r w:rsidRPr="00FA506F">
        <w:rPr>
          <w:lang w:val="es-ES"/>
        </w:rPr>
        <w:t>a</w:t>
      </w:r>
      <w:r w:rsidR="007B7AAF" w:rsidRPr="00FA506F">
        <w:rPr>
          <w:lang w:val="es-ES"/>
        </w:rPr>
        <w:t>s y periodistas</w:t>
      </w:r>
      <w:r w:rsidR="000A7348" w:rsidRPr="00FA506F">
        <w:rPr>
          <w:rStyle w:val="FootnoteReference"/>
          <w:lang w:val="es-ES"/>
        </w:rPr>
        <w:footnoteReference w:id="155"/>
      </w:r>
      <w:r w:rsidR="007B7AAF" w:rsidRPr="00FA506F">
        <w:rPr>
          <w:lang w:val="es-ES"/>
        </w:rPr>
        <w:t>.</w:t>
      </w:r>
    </w:p>
    <w:p w14:paraId="180AEC6F" w14:textId="77777777" w:rsidR="007B7AAF" w:rsidRPr="00FA506F" w:rsidRDefault="007B7AAF" w:rsidP="006678C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761D1ACA"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5599A7A0" w14:textId="0CE5CFD7" w:rsidR="007B7AAF" w:rsidRPr="00FA506F" w:rsidRDefault="000C5596" w:rsidP="006678CB">
      <w:pPr>
        <w:pStyle w:val="parrafos"/>
        <w:ind w:firstLine="720"/>
        <w:rPr>
          <w:lang w:val="es-ES"/>
        </w:rPr>
      </w:pPr>
      <w:r w:rsidRPr="00FA506F">
        <w:rPr>
          <w:lang w:val="es-ES"/>
        </w:rPr>
        <w:t xml:space="preserve">La CIDH reconoce los esfuerzos del Estado para fortalecer el Mecanismo de Protección mediante un incremento significativo de recursos y medidas de protección diferenciadas para mujeres, defensores indígenas y ambientales. Sin embargo, la falta de autonomía administrativa y de una participación significativa de la sociedad civil en el diseño de la nueva legislación de protección sigue siendo una preocupación. </w:t>
      </w:r>
      <w:r w:rsidR="00446F81" w:rsidRPr="00FA506F">
        <w:rPr>
          <w:lang w:val="es-ES"/>
        </w:rPr>
        <w:t>Es</w:t>
      </w:r>
      <w:r w:rsidRPr="00FA506F">
        <w:rPr>
          <w:lang w:val="es-ES"/>
        </w:rPr>
        <w:t xml:space="preserve"> crucial garantizar una colaboración más efectiva entre las entidades locales y el Mecanismo. En consecuencia, la CIDH concluye que esta recomendación permanece en</w:t>
      </w:r>
      <w:r w:rsidRPr="00FA506F">
        <w:rPr>
          <w:b/>
          <w:bCs/>
          <w:lang w:val="es-ES"/>
        </w:rPr>
        <w:t xml:space="preserve"> cumplimiento parcial</w:t>
      </w:r>
      <w:r w:rsidRPr="00FA506F">
        <w:rPr>
          <w:lang w:val="es-ES"/>
        </w:rPr>
        <w:t>.</w:t>
      </w:r>
    </w:p>
    <w:p w14:paraId="0504A80A" w14:textId="77777777" w:rsidR="000C5596" w:rsidRPr="00FA506F" w:rsidRDefault="000C5596" w:rsidP="00B80A67">
      <w:pPr>
        <w:pStyle w:val="parrafos"/>
        <w:numPr>
          <w:ilvl w:val="0"/>
          <w:numId w:val="0"/>
        </w:numPr>
        <w:rPr>
          <w:lang w:val="es-ES"/>
        </w:rPr>
      </w:pPr>
    </w:p>
    <w:p w14:paraId="02C082DD" w14:textId="77777777" w:rsidR="007B7AAF" w:rsidRPr="00FA506F" w:rsidRDefault="007B7AAF" w:rsidP="006678C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2E6914AE"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104B1A21" w14:textId="42676765"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La CIDH recomienda que el Estado implemente </w:t>
      </w:r>
      <w:r w:rsidR="00346AFB" w:rsidRPr="00FA506F">
        <w:rPr>
          <w:lang w:val="es-ES"/>
        </w:rPr>
        <w:t xml:space="preserve">medidas </w:t>
      </w:r>
      <w:r w:rsidRPr="00FA506F">
        <w:rPr>
          <w:lang w:val="es-ES"/>
        </w:rPr>
        <w:t xml:space="preserve">que doten de mayor autonomía administrativa y financiera al Mecanismo de Protección y fomente una participación más activa y efectiva de la sociedad civil y las personas beneficiarias en el diseño y evaluación de sus políticas. </w:t>
      </w:r>
      <w:r w:rsidR="008C2DA5" w:rsidRPr="00FA506F">
        <w:rPr>
          <w:lang w:val="es-ES"/>
        </w:rPr>
        <w:t>La Comisión</w:t>
      </w:r>
      <w:r w:rsidRPr="00FA506F">
        <w:rPr>
          <w:lang w:val="es-ES"/>
        </w:rPr>
        <w:t xml:space="preserve"> sugiere fortalecer la coordinación entre el Mecanismo y las instituciones locales para garantizar una protección integral y prevenir violaciones en todo el país.</w:t>
      </w:r>
    </w:p>
    <w:p w14:paraId="2C360FF9" w14:textId="77777777" w:rsidR="007B7AAF" w:rsidRPr="00FA506F" w:rsidRDefault="007B7AAF"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35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Reformar el Código de Justicia Militar para disponer que cuando un elemento de las fuerzas armadas cometa actos que pudieran constituir una violación a los derechos humanos, dichos actos sean juzgados por tribunales de jurisdicción civil, independientemente de si la víctima es civil o militar. </w:t>
      </w:r>
    </w:p>
    <w:p w14:paraId="310F8ED6" w14:textId="77777777" w:rsidR="007B7AAF" w:rsidRPr="00FA506F" w:rsidRDefault="007B7AAF" w:rsidP="00B80A67">
      <w:pPr>
        <w:jc w:val="both"/>
        <w:rPr>
          <w:rFonts w:ascii="Cambria" w:eastAsia="Cambria" w:hAnsi="Cambria" w:cs="Cambria"/>
          <w:i/>
          <w:iCs/>
          <w:color w:val="000000" w:themeColor="text1"/>
          <w:sz w:val="20"/>
          <w:szCs w:val="20"/>
          <w:lang w:val="es-ES"/>
        </w:rPr>
      </w:pPr>
    </w:p>
    <w:p w14:paraId="3CE7773E" w14:textId="704A6E6D"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En el Capítulo V del Informe Anual de 2023, el Estado informó a la CIDH que la SCJN fortaleció la jurisdicción civil para casos de violaciones de derechos humanos cometidas por militares contra civiles, invalidando ciertos artículos del Código Militar de Procedimientos Penales que extendían la jurisdicción militar. Sin embargo, las organizaciones de la sociedad civil destacaron la falta de avances legislativos para reformar el Código de Justicia Militar, considerando que el Congreso ha presentado solo una iniciativa de reforma en los últimos años. La CIDH valoró los esfuerzos judiciales, pero </w:t>
      </w:r>
      <w:r w:rsidR="00BE6519" w:rsidRPr="00FA506F">
        <w:rPr>
          <w:lang w:val="es-ES"/>
        </w:rPr>
        <w:t>destacó</w:t>
      </w:r>
      <w:r w:rsidRPr="00FA506F">
        <w:rPr>
          <w:lang w:val="es-ES"/>
        </w:rPr>
        <w:t xml:space="preserve"> que la recomendación </w:t>
      </w:r>
      <w:r w:rsidR="00346AFB" w:rsidRPr="00FA506F">
        <w:rPr>
          <w:lang w:val="es-ES"/>
        </w:rPr>
        <w:t xml:space="preserve">seguía </w:t>
      </w:r>
      <w:r w:rsidRPr="00FA506F">
        <w:rPr>
          <w:lang w:val="es-ES"/>
        </w:rPr>
        <w:t xml:space="preserve">pendiente de cumplimiento, instando al Estado a completar la reforma legislativa para asegurar que la jurisdicción militar no </w:t>
      </w:r>
      <w:r w:rsidR="00346AFB" w:rsidRPr="00FA506F">
        <w:rPr>
          <w:lang w:val="es-ES"/>
        </w:rPr>
        <w:t xml:space="preserve">intervenga en casos de </w:t>
      </w:r>
      <w:r w:rsidRPr="00FA506F">
        <w:rPr>
          <w:lang w:val="es-ES"/>
        </w:rPr>
        <w:t>violaciones de derechos humanos</w:t>
      </w:r>
      <w:r w:rsidRPr="00FA506F">
        <w:rPr>
          <w:rStyle w:val="FootnoteReference"/>
          <w:lang w:val="es-ES"/>
        </w:rPr>
        <w:footnoteReference w:id="156"/>
      </w:r>
      <w:r w:rsidRPr="00FA506F">
        <w:rPr>
          <w:lang w:val="es-ES"/>
        </w:rPr>
        <w:t>.</w:t>
      </w:r>
    </w:p>
    <w:p w14:paraId="16D654A7" w14:textId="77777777" w:rsidR="007B7AAF" w:rsidRPr="00FA506F" w:rsidRDefault="007B7AAF" w:rsidP="006678C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377A36F4"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391EE71C" w14:textId="4486F611" w:rsidR="00AB6367" w:rsidRPr="00616692" w:rsidRDefault="007B7AAF" w:rsidP="00AB6367">
      <w:pPr>
        <w:pStyle w:val="IAPrrafo"/>
        <w:numPr>
          <w:ilvl w:val="0"/>
          <w:numId w:val="4"/>
        </w:numPr>
        <w:tabs>
          <w:tab w:val="num" w:pos="720"/>
        </w:tabs>
        <w:ind w:firstLine="720"/>
        <w:rPr>
          <w:lang w:val="es-ES"/>
        </w:rPr>
      </w:pPr>
      <w:r w:rsidRPr="00FA506F">
        <w:rPr>
          <w:lang w:val="es-ES"/>
        </w:rPr>
        <w:t xml:space="preserve">En 2024 el Estado refirió que, la SCJN emitió resoluciones que invalidan artículos del Código de Justicia Militar (CJM) y del Código Militar de Procedimientos Penales (CMPP), reafirmando que la jurisdicción civil es la competente para juzgar los actos cometidos por militares que vulneren derechos humanos, en línea con los estándares internacionales. La Corte habría dictaminado que los casos </w:t>
      </w:r>
      <w:r w:rsidR="00346AFB" w:rsidRPr="00FA506F">
        <w:rPr>
          <w:lang w:val="es-ES"/>
        </w:rPr>
        <w:t>que</w:t>
      </w:r>
      <w:r w:rsidRPr="00FA506F">
        <w:rPr>
          <w:lang w:val="es-ES"/>
        </w:rPr>
        <w:t xml:space="preserve"> impliquen violaciones a los derechos humanos, tanto si la víctima es civil como militar, deben ser tratados por tribunales civiles, </w:t>
      </w:r>
      <w:r w:rsidRPr="00616692">
        <w:rPr>
          <w:lang w:val="es-ES"/>
        </w:rPr>
        <w:t xml:space="preserve">fortaleciendo así el acceso a la justicia para las víctimas y reafirmando el principio de separación entre justicia militar y civil. A pesar de estas resoluciones, la reforma legislativa del CJM, que </w:t>
      </w:r>
      <w:r w:rsidR="00CC72A9" w:rsidRPr="00616692">
        <w:rPr>
          <w:lang w:val="es-ES"/>
        </w:rPr>
        <w:t>prevé</w:t>
      </w:r>
      <w:r w:rsidRPr="00616692">
        <w:rPr>
          <w:lang w:val="es-ES"/>
        </w:rPr>
        <w:t xml:space="preserve"> formalmente la competencia de la jurisdicción civil para todos los casos de violaciones a derechos humanos cometidas por militares, no habría sido aprobada por el Congreso de la Unión</w:t>
      </w:r>
      <w:r w:rsidR="000A7348" w:rsidRPr="00616692">
        <w:rPr>
          <w:rStyle w:val="FootnoteReference"/>
          <w:lang w:val="es-ES"/>
        </w:rPr>
        <w:footnoteReference w:id="157"/>
      </w:r>
      <w:r w:rsidRPr="00616692">
        <w:rPr>
          <w:lang w:val="es-ES"/>
        </w:rPr>
        <w:t xml:space="preserve">. </w:t>
      </w:r>
      <w:r w:rsidR="00AB6367" w:rsidRPr="00616692">
        <w:rPr>
          <w:lang w:val="es-ES"/>
        </w:rPr>
        <w:t>El Estado agregó en sus observaciones al presente Informe que</w:t>
      </w:r>
      <w:r w:rsidR="003F0F8B" w:rsidRPr="00616692">
        <w:rPr>
          <w:lang w:val="es-ES"/>
        </w:rPr>
        <w:t xml:space="preserve"> en</w:t>
      </w:r>
      <w:r w:rsidR="00AB6367" w:rsidRPr="00616692">
        <w:rPr>
          <w:lang w:val="es-ES"/>
        </w:rPr>
        <w:t xml:space="preserve"> diversas resoluciones emitidas por la SCJN se limita el alcance de la jurisdicción militar</w:t>
      </w:r>
      <w:r w:rsidR="00AB6367" w:rsidRPr="00616692">
        <w:rPr>
          <w:rStyle w:val="FootnoteReference"/>
          <w:lang w:val="es-ES"/>
        </w:rPr>
        <w:footnoteReference w:id="158"/>
      </w:r>
      <w:r w:rsidR="00AB6367" w:rsidRPr="00616692">
        <w:rPr>
          <w:lang w:val="es-ES"/>
        </w:rPr>
        <w:t>.</w:t>
      </w:r>
    </w:p>
    <w:p w14:paraId="60E3F36B" w14:textId="17C1C0FB" w:rsidR="007B7AAF" w:rsidRPr="00FA506F" w:rsidRDefault="00446046" w:rsidP="00B80A67">
      <w:pPr>
        <w:pStyle w:val="IAPrrafo"/>
        <w:numPr>
          <w:ilvl w:val="0"/>
          <w:numId w:val="4"/>
        </w:numPr>
        <w:tabs>
          <w:tab w:val="num" w:pos="720"/>
        </w:tabs>
        <w:ind w:firstLine="720"/>
        <w:rPr>
          <w:lang w:val="es-ES"/>
        </w:rPr>
      </w:pPr>
      <w:r w:rsidRPr="00616692">
        <w:rPr>
          <w:lang w:val="es-ES"/>
        </w:rPr>
        <w:t>Las</w:t>
      </w:r>
      <w:r w:rsidR="007B7AAF" w:rsidRPr="00616692">
        <w:rPr>
          <w:lang w:val="es-ES"/>
        </w:rPr>
        <w:t xml:space="preserve"> organizaciones de la sociedad civil informaron que la reforma al</w:t>
      </w:r>
      <w:r w:rsidR="007B7AAF" w:rsidRPr="00616692">
        <w:rPr>
          <w:rStyle w:val="apple-converted-space"/>
          <w:lang w:val="es-ES"/>
        </w:rPr>
        <w:t> </w:t>
      </w:r>
      <w:r w:rsidR="007B7AAF" w:rsidRPr="00616692">
        <w:rPr>
          <w:rStyle w:val="Strong"/>
          <w:b w:val="0"/>
          <w:bCs w:val="0"/>
          <w:lang w:val="es-ES"/>
        </w:rPr>
        <w:t>Código de Justicia Militar</w:t>
      </w:r>
      <w:r w:rsidR="007B7AAF" w:rsidRPr="00616692">
        <w:rPr>
          <w:rStyle w:val="Strong"/>
          <w:lang w:val="es-ES"/>
        </w:rPr>
        <w:t xml:space="preserve"> </w:t>
      </w:r>
      <w:r w:rsidR="007B7AAF" w:rsidRPr="00616692">
        <w:rPr>
          <w:lang w:val="es-ES"/>
        </w:rPr>
        <w:t>permanecería incompleta, ya que el Estado no habría llevado a cabo las modificaciones necesarias al artículo 57 del CJM, conforme a las sentencias de la</w:t>
      </w:r>
      <w:r w:rsidR="007B7AAF" w:rsidRPr="00616692">
        <w:rPr>
          <w:rStyle w:val="apple-converted-space"/>
          <w:lang w:val="es-ES"/>
        </w:rPr>
        <w:t> </w:t>
      </w:r>
      <w:r w:rsidR="007B7AAF" w:rsidRPr="00616692">
        <w:rPr>
          <w:rStyle w:val="Strong"/>
          <w:b w:val="0"/>
          <w:bCs w:val="0"/>
          <w:lang w:val="es-ES"/>
        </w:rPr>
        <w:t>Corte Interamericana de Derechos Humanos</w:t>
      </w:r>
      <w:r w:rsidR="007B7AAF" w:rsidRPr="00616692">
        <w:rPr>
          <w:rStyle w:val="apple-converted-space"/>
          <w:lang w:val="es-ES"/>
        </w:rPr>
        <w:t> </w:t>
      </w:r>
      <w:r w:rsidR="007B7AAF" w:rsidRPr="00616692">
        <w:rPr>
          <w:lang w:val="es-ES"/>
        </w:rPr>
        <w:t>(Corte IDH) en los casos</w:t>
      </w:r>
      <w:r w:rsidR="007B7AAF" w:rsidRPr="00616692">
        <w:rPr>
          <w:rStyle w:val="apple-converted-space"/>
          <w:lang w:val="es-ES"/>
        </w:rPr>
        <w:t> </w:t>
      </w:r>
      <w:r w:rsidR="007B7AAF" w:rsidRPr="00616692">
        <w:rPr>
          <w:rStyle w:val="Emphasis"/>
          <w:lang w:val="es-ES"/>
        </w:rPr>
        <w:t>Fernández Ortega</w:t>
      </w:r>
      <w:r w:rsidR="000A7348" w:rsidRPr="00616692">
        <w:rPr>
          <w:rStyle w:val="FootnoteReference"/>
          <w:i/>
          <w:iCs/>
          <w:lang w:val="es-ES"/>
        </w:rPr>
        <w:footnoteReference w:id="159"/>
      </w:r>
      <w:r w:rsidR="007B7AAF" w:rsidRPr="00616692">
        <w:rPr>
          <w:lang w:val="es-ES"/>
        </w:rPr>
        <w:t>,</w:t>
      </w:r>
      <w:r w:rsidR="007B7AAF" w:rsidRPr="00616692">
        <w:rPr>
          <w:rStyle w:val="apple-converted-space"/>
          <w:lang w:val="es-ES"/>
        </w:rPr>
        <w:t> </w:t>
      </w:r>
      <w:r w:rsidR="007B7AAF" w:rsidRPr="00616692">
        <w:rPr>
          <w:rStyle w:val="Emphasis"/>
          <w:lang w:val="es-ES"/>
        </w:rPr>
        <w:t>Rosendo Cantú</w:t>
      </w:r>
      <w:r w:rsidR="000A7348" w:rsidRPr="00FA506F">
        <w:rPr>
          <w:rStyle w:val="FootnoteReference"/>
          <w:i/>
          <w:iCs/>
          <w:lang w:val="es-ES"/>
        </w:rPr>
        <w:footnoteReference w:id="160"/>
      </w:r>
      <w:r w:rsidR="007B7AAF" w:rsidRPr="00FA506F">
        <w:rPr>
          <w:lang w:val="es-ES"/>
        </w:rPr>
        <w:t>,</w:t>
      </w:r>
      <w:r w:rsidR="007B7AAF" w:rsidRPr="00FA506F">
        <w:rPr>
          <w:rStyle w:val="apple-converted-space"/>
          <w:lang w:val="es-ES"/>
        </w:rPr>
        <w:t> </w:t>
      </w:r>
      <w:r w:rsidR="007B7AAF" w:rsidRPr="00FA506F">
        <w:rPr>
          <w:rStyle w:val="Emphasis"/>
          <w:lang w:val="es-ES"/>
        </w:rPr>
        <w:t>Radilla Pacheco</w:t>
      </w:r>
      <w:r w:rsidR="000A7348" w:rsidRPr="00FA506F">
        <w:rPr>
          <w:rStyle w:val="FootnoteReference"/>
          <w:i/>
          <w:iCs/>
          <w:lang w:val="es-ES"/>
        </w:rPr>
        <w:footnoteReference w:id="161"/>
      </w:r>
      <w:r w:rsidR="007B7AAF" w:rsidRPr="00FA506F">
        <w:rPr>
          <w:rStyle w:val="apple-converted-space"/>
          <w:lang w:val="es-ES"/>
        </w:rPr>
        <w:t> </w:t>
      </w:r>
      <w:r w:rsidR="007B7AAF" w:rsidRPr="00FA506F">
        <w:rPr>
          <w:lang w:val="es-ES"/>
        </w:rPr>
        <w:t>y</w:t>
      </w:r>
      <w:r w:rsidR="007B7AAF" w:rsidRPr="00FA506F">
        <w:rPr>
          <w:rStyle w:val="apple-converted-space"/>
          <w:lang w:val="es-ES"/>
        </w:rPr>
        <w:t> </w:t>
      </w:r>
      <w:r w:rsidR="007B7AAF" w:rsidRPr="00FA506F">
        <w:rPr>
          <w:rStyle w:val="Emphasis"/>
          <w:lang w:val="es-ES"/>
        </w:rPr>
        <w:t>Cabrera García y Montiel Flores</w:t>
      </w:r>
      <w:r w:rsidR="000A7348" w:rsidRPr="00FA506F">
        <w:rPr>
          <w:rStyle w:val="FootnoteReference"/>
          <w:i/>
          <w:iCs/>
          <w:lang w:val="es-ES"/>
        </w:rPr>
        <w:footnoteReference w:id="162"/>
      </w:r>
      <w:r w:rsidR="007B7AAF" w:rsidRPr="00FA506F">
        <w:rPr>
          <w:lang w:val="es-ES"/>
        </w:rPr>
        <w:t xml:space="preserve">. Según la sociedad civil, la reforma existente sería insuficiente, permitiendo que en múltiples casos de violaciones graves a derechos humanos se abran investigaciones paralelas en la jurisdicción civil y militar, lo que podría diluir la responsabilidad penal y afectar el acceso a la justicia. Un ejemplo reciente habría sido el caso de la privación de la vida de seis migrantes el 1 de octubre de 2024. </w:t>
      </w:r>
      <w:r w:rsidR="00346AFB" w:rsidRPr="00FA506F">
        <w:rPr>
          <w:lang w:val="es-ES"/>
        </w:rPr>
        <w:t>Por otra parte, l</w:t>
      </w:r>
      <w:r w:rsidR="007B7AAF" w:rsidRPr="00FA506F">
        <w:rPr>
          <w:lang w:val="es-ES"/>
        </w:rPr>
        <w:t>as organizaciones de la sociedad civil</w:t>
      </w:r>
      <w:r w:rsidR="005076DB" w:rsidRPr="00FA506F">
        <w:rPr>
          <w:lang w:val="es-ES"/>
        </w:rPr>
        <w:t xml:space="preserve"> </w:t>
      </w:r>
      <w:r w:rsidR="00BE6519" w:rsidRPr="00FA506F">
        <w:rPr>
          <w:lang w:val="es-ES"/>
        </w:rPr>
        <w:t>destacaron</w:t>
      </w:r>
      <w:r w:rsidR="007B7AAF" w:rsidRPr="00FA506F">
        <w:rPr>
          <w:lang w:val="es-ES"/>
        </w:rPr>
        <w:t xml:space="preserve"> que, con la reforma aprobada</w:t>
      </w:r>
      <w:r w:rsidR="00346AFB" w:rsidRPr="00FA506F">
        <w:rPr>
          <w:lang w:val="es-ES"/>
        </w:rPr>
        <w:t xml:space="preserve"> sobre la Guardia Nacional</w:t>
      </w:r>
      <w:r w:rsidR="007B7AAF" w:rsidRPr="00FA506F">
        <w:rPr>
          <w:lang w:val="es-ES"/>
        </w:rPr>
        <w:t xml:space="preserve">, se modificó el artículo 13 de la Constitución, ampliando la jurisdicción militar para conocer los delitos cometidos por elementos de la </w:t>
      </w:r>
      <w:r w:rsidR="00CB0E7A" w:rsidRPr="00FA506F">
        <w:rPr>
          <w:lang w:val="es-ES"/>
        </w:rPr>
        <w:t>GN</w:t>
      </w:r>
      <w:r w:rsidR="007B7AAF" w:rsidRPr="00FA506F">
        <w:rPr>
          <w:lang w:val="es-ES"/>
        </w:rPr>
        <w:t xml:space="preserve"> relacionados con faltas a la disciplina militar, lo cual contravendría los estándares </w:t>
      </w:r>
      <w:r w:rsidR="00CC72A9" w:rsidRPr="00FA506F">
        <w:rPr>
          <w:lang w:val="es-ES"/>
        </w:rPr>
        <w:t xml:space="preserve">desarrollados </w:t>
      </w:r>
      <w:r w:rsidR="007B7AAF" w:rsidRPr="00FA506F">
        <w:rPr>
          <w:lang w:val="es-ES"/>
        </w:rPr>
        <w:t>por la Corte IDH y fortalecería un esquema de extensión indebida del fuero militar</w:t>
      </w:r>
      <w:r w:rsidR="000A7348" w:rsidRPr="00FA506F">
        <w:rPr>
          <w:rStyle w:val="FootnoteReference"/>
          <w:lang w:val="es-ES"/>
        </w:rPr>
        <w:footnoteReference w:id="163"/>
      </w:r>
      <w:r w:rsidR="007B7AAF" w:rsidRPr="00FA506F">
        <w:rPr>
          <w:lang w:val="es-ES"/>
        </w:rPr>
        <w:t>.</w:t>
      </w:r>
    </w:p>
    <w:p w14:paraId="23FE46DC" w14:textId="77777777" w:rsidR="007B7AAF" w:rsidRPr="00FA506F" w:rsidRDefault="007B7AAF" w:rsidP="00EE4BD4">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6CF12A7B"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7AF7923D" w14:textId="7F151959"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La CIDH reconoce las acciones tomadas por la SCJN para reafirmar la competencia de la jurisdicción civil en casos de violaciones a derechos humanos cometidas por militares. Sin embargo, la falta de una reforma al Código de Justicia Militar, así como la reciente ampliación de la jurisdicción militar a través de la reforma a la </w:t>
      </w:r>
      <w:r w:rsidR="00CB0E7A" w:rsidRPr="00FA506F">
        <w:rPr>
          <w:lang w:val="es-ES"/>
        </w:rPr>
        <w:t>GN</w:t>
      </w:r>
      <w:r w:rsidRPr="00FA506F">
        <w:rPr>
          <w:lang w:val="es-ES"/>
        </w:rPr>
        <w:t>, plantean serios desafíos a la implementación de esta recomendación. La posibilidad de investigaciones paralelas en las jurisdicciones civil y militar podría socavar el acceso efectivo a la justicia para las víctimas y diluir la responsabilidad penal de los perpetradores. En consecuencia, la CIDH concluye que la recomendación sigue </w:t>
      </w:r>
      <w:r w:rsidRPr="00FA506F">
        <w:rPr>
          <w:b/>
          <w:bCs/>
          <w:lang w:val="es-ES"/>
        </w:rPr>
        <w:t>pendiente de cumplimiento</w:t>
      </w:r>
      <w:r w:rsidRPr="00FA506F">
        <w:rPr>
          <w:lang w:val="es-ES"/>
        </w:rPr>
        <w:t>.</w:t>
      </w:r>
    </w:p>
    <w:p w14:paraId="06B21B2F" w14:textId="77777777" w:rsidR="007B7AAF" w:rsidRPr="00FA506F" w:rsidRDefault="007B7AAF" w:rsidP="00CD2F8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79C998A3"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7C82A86B" w14:textId="72939E21" w:rsidR="00C15897" w:rsidRPr="00FA506F" w:rsidRDefault="007B7AAF" w:rsidP="00B80A67">
      <w:pPr>
        <w:pStyle w:val="IAPrrafo"/>
        <w:numPr>
          <w:ilvl w:val="0"/>
          <w:numId w:val="4"/>
        </w:numPr>
        <w:tabs>
          <w:tab w:val="num" w:pos="720"/>
        </w:tabs>
        <w:ind w:firstLine="720"/>
        <w:rPr>
          <w:lang w:val="es-ES"/>
        </w:rPr>
      </w:pPr>
      <w:r w:rsidRPr="00FA506F">
        <w:rPr>
          <w:lang w:val="es-ES"/>
        </w:rPr>
        <w:t>La CIDH recomienda que el Estado avance con urgencia en la reforma del artículo 57 del Código de Justicia Militar</w:t>
      </w:r>
      <w:r w:rsidRPr="00FA506F">
        <w:rPr>
          <w:b/>
          <w:bCs/>
          <w:lang w:val="es-ES"/>
        </w:rPr>
        <w:t xml:space="preserve"> </w:t>
      </w:r>
      <w:r w:rsidRPr="00FA506F">
        <w:rPr>
          <w:lang w:val="es-ES"/>
        </w:rPr>
        <w:t xml:space="preserve">para eliminar cualquier posibilidad de que violaciones a derechos humanos sean juzgadas por tribunales militares. </w:t>
      </w:r>
      <w:r w:rsidR="00446F81" w:rsidRPr="00FA506F">
        <w:rPr>
          <w:lang w:val="es-ES"/>
        </w:rPr>
        <w:t>Se</w:t>
      </w:r>
      <w:r w:rsidRPr="00FA506F">
        <w:rPr>
          <w:lang w:val="es-ES"/>
        </w:rPr>
        <w:t xml:space="preserve"> sugiere revisar las disposiciones recientes sobre la jurisdicción de la </w:t>
      </w:r>
      <w:r w:rsidR="00CB0E7A" w:rsidRPr="00FA506F">
        <w:rPr>
          <w:lang w:val="es-ES"/>
        </w:rPr>
        <w:t>GN</w:t>
      </w:r>
      <w:r w:rsidRPr="00FA506F">
        <w:rPr>
          <w:lang w:val="es-ES"/>
        </w:rPr>
        <w:t xml:space="preserve"> y garantizar que los casos de violaciones a derechos humanos cometidos por sus elementos sean tratados exclusivamente en tribunales civiles. </w:t>
      </w:r>
      <w:r w:rsidR="008C2DA5" w:rsidRPr="00FA506F">
        <w:rPr>
          <w:lang w:val="es-ES"/>
        </w:rPr>
        <w:t>La Comisión</w:t>
      </w:r>
      <w:r w:rsidRPr="00FA506F">
        <w:rPr>
          <w:lang w:val="es-ES"/>
        </w:rPr>
        <w:t xml:space="preserve"> insta al Estado a implementar mecanismos claros de cooperación entre la FGR y la jurisdicción militar para evitar investigaciones paralelas y garantizar una rendición de cuentas efectiva.</w:t>
      </w:r>
    </w:p>
    <w:p w14:paraId="607E018C" w14:textId="77777777" w:rsidR="007B7AAF" w:rsidRPr="00FA506F" w:rsidRDefault="007B7AAF" w:rsidP="00B80A67">
      <w:pPr>
        <w:pStyle w:val="IASubttulo2"/>
        <w:numPr>
          <w:ilvl w:val="0"/>
          <w:numId w:val="3"/>
        </w:numPr>
        <w:tabs>
          <w:tab w:val="num" w:pos="720"/>
        </w:tabs>
        <w:ind w:left="1440" w:hanging="720"/>
        <w:rPr>
          <w:sz w:val="22"/>
          <w:szCs w:val="22"/>
          <w:lang w:val="es-ES"/>
        </w:rPr>
      </w:pPr>
      <w:bookmarkStart w:id="17" w:name="_Toc195618111"/>
      <w:r w:rsidRPr="00FA506F">
        <w:rPr>
          <w:sz w:val="22"/>
          <w:szCs w:val="22"/>
          <w:lang w:val="es-ES"/>
        </w:rPr>
        <w:t>Afectación de grupos particulares</w:t>
      </w:r>
      <w:bookmarkEnd w:id="17"/>
    </w:p>
    <w:p w14:paraId="5D0E451A" w14:textId="77777777" w:rsidR="007B7AAF" w:rsidRPr="00FA506F" w:rsidRDefault="007B7AAF" w:rsidP="00CD2F81">
      <w:pPr>
        <w:pStyle w:val="IASubttulo3"/>
        <w:numPr>
          <w:ilvl w:val="0"/>
          <w:numId w:val="5"/>
        </w:numPr>
        <w:ind w:hanging="720"/>
        <w:rPr>
          <w:lang w:val="es-ES"/>
        </w:rPr>
      </w:pPr>
      <w:bookmarkStart w:id="18" w:name="_Toc195618112"/>
      <w:r w:rsidRPr="00FA506F">
        <w:rPr>
          <w:lang w:val="es-ES"/>
        </w:rPr>
        <w:t>Personas LGBT</w:t>
      </w:r>
      <w:bookmarkEnd w:id="18"/>
    </w:p>
    <w:p w14:paraId="077DF035" w14:textId="77777777" w:rsidR="007B7AAF" w:rsidRPr="00FA506F" w:rsidRDefault="007B7AAF"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38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Adoptar las medidas necesarias para investigar, sancionar y reparar actos de violencia contra personas LGBT, de acuerdo con estándares de debida diligencia. Las investigaciones en casos de violencia contra personas LGBT deben estar libres de nociones estereotipadas de las personas LGBT y deben incluir la determinación de si estos actos fueron cometidos por la orientación sexual o identidad de género de las víctimas. </w:t>
      </w:r>
    </w:p>
    <w:p w14:paraId="0574DB1A" w14:textId="77777777" w:rsidR="007B7AAF" w:rsidRPr="00FA506F" w:rsidRDefault="007B7AAF" w:rsidP="00B80A67">
      <w:pPr>
        <w:jc w:val="both"/>
        <w:rPr>
          <w:rFonts w:ascii="Cambria" w:eastAsia="Cambria" w:hAnsi="Cambria" w:cs="Cambria"/>
          <w:i/>
          <w:iCs/>
          <w:color w:val="000000" w:themeColor="text1"/>
          <w:sz w:val="20"/>
          <w:szCs w:val="20"/>
          <w:lang w:val="es-ES"/>
        </w:rPr>
      </w:pPr>
    </w:p>
    <w:p w14:paraId="5B83CB67" w14:textId="064CCEB0"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En el Capítulo V del Informe Anual de 2023, la CIDH conoció sobre la implementación del Protocolo Nacional de Actuación para el </w:t>
      </w:r>
      <w:r w:rsidR="00E966B1" w:rsidRPr="00FA506F">
        <w:rPr>
          <w:lang w:val="es-ES"/>
        </w:rPr>
        <w:t>P</w:t>
      </w:r>
      <w:r w:rsidRPr="00FA506F">
        <w:rPr>
          <w:lang w:val="es-ES"/>
        </w:rPr>
        <w:t xml:space="preserve">ersonal de </w:t>
      </w:r>
      <w:r w:rsidR="00E966B1" w:rsidRPr="00FA506F">
        <w:rPr>
          <w:lang w:val="es-ES"/>
        </w:rPr>
        <w:t>P</w:t>
      </w:r>
      <w:r w:rsidRPr="00FA506F">
        <w:rPr>
          <w:lang w:val="es-ES"/>
        </w:rPr>
        <w:t xml:space="preserve">rocuración de </w:t>
      </w:r>
      <w:r w:rsidR="00E966B1" w:rsidRPr="00FA506F">
        <w:rPr>
          <w:lang w:val="es-ES"/>
        </w:rPr>
        <w:t>J</w:t>
      </w:r>
      <w:r w:rsidRPr="00FA506F">
        <w:rPr>
          <w:lang w:val="es-ES"/>
        </w:rPr>
        <w:t xml:space="preserve">usticia en casos relacionados con la orientación sexual o identidad de género de personas LGBTI, aprobado en diciembre de 2017. Aunque la CIDH reconoció estos avances como positivos para la igualdad y no discriminación, observó que no se detallaron medidas específicas para sancionar e investigar con un enfoque diferenciado, concluyendo que la recomendación </w:t>
      </w:r>
      <w:r w:rsidR="00E966B1" w:rsidRPr="00FA506F">
        <w:rPr>
          <w:lang w:val="es-ES"/>
        </w:rPr>
        <w:t xml:space="preserve">seguía </w:t>
      </w:r>
      <w:r w:rsidRPr="00FA506F">
        <w:rPr>
          <w:lang w:val="es-ES"/>
        </w:rPr>
        <w:t>en cumplimiento parcial. La CIDH instó al Estado a desarrollar una estrategia integral para la investigación, sanción y reparación de actos de violencia contra personas LGBTI, asegurando que se adopte el principio de debida diligencia y se eviten estereotipos</w:t>
      </w:r>
      <w:r w:rsidRPr="00FA506F">
        <w:rPr>
          <w:rStyle w:val="FootnoteReference"/>
          <w:lang w:val="es-ES"/>
        </w:rPr>
        <w:footnoteReference w:id="164"/>
      </w:r>
      <w:r w:rsidRPr="00FA506F">
        <w:rPr>
          <w:lang w:val="es-ES"/>
        </w:rPr>
        <w:t>.</w:t>
      </w:r>
    </w:p>
    <w:p w14:paraId="6A1F1CA3" w14:textId="77777777" w:rsidR="007B7AAF" w:rsidRPr="00FA506F" w:rsidRDefault="007B7AAF" w:rsidP="00CD2F8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469A7A79"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6BA08FC4" w14:textId="03EF6E55" w:rsidR="00C01DF7" w:rsidRPr="0008319C" w:rsidRDefault="007B7AAF" w:rsidP="1A0052D2">
      <w:pPr>
        <w:pStyle w:val="IAPrrafo"/>
        <w:numPr>
          <w:ilvl w:val="0"/>
          <w:numId w:val="4"/>
        </w:numPr>
        <w:tabs>
          <w:tab w:val="num" w:pos="720"/>
        </w:tabs>
        <w:ind w:firstLine="720"/>
        <w:rPr>
          <w:lang w:val="es-ES"/>
        </w:rPr>
      </w:pPr>
      <w:r w:rsidRPr="0008319C">
        <w:rPr>
          <w:lang w:val="es-ES"/>
        </w:rPr>
        <w:t xml:space="preserve">En 2024, el Estado informó que la FGR habría implementado diversas actividades para mejorar la investigación y atención en casos de violencia contra personas LGBTI+. En 2024, colaboró con su oficina en Aguascalientes para elaborar opiniones técnicas sobre factores de género en investigaciones de discriminación contra mujeres trans, basadas en información de carpetas de investigación y documentos nacionales e internacionales. </w:t>
      </w:r>
      <w:r w:rsidR="00446F81" w:rsidRPr="0008319C">
        <w:rPr>
          <w:lang w:val="es-ES"/>
        </w:rPr>
        <w:t>En</w:t>
      </w:r>
      <w:r w:rsidRPr="0008319C">
        <w:rPr>
          <w:lang w:val="es-ES"/>
        </w:rPr>
        <w:t xml:space="preserve"> 2023, se habrían publicado los</w:t>
      </w:r>
      <w:r w:rsidRPr="0008319C">
        <w:rPr>
          <w:rStyle w:val="apple-converted-space"/>
          <w:lang w:val="es-ES"/>
        </w:rPr>
        <w:t> </w:t>
      </w:r>
      <w:r w:rsidRPr="0008319C">
        <w:rPr>
          <w:rStyle w:val="Strong"/>
          <w:b w:val="0"/>
          <w:bCs w:val="0"/>
          <w:lang w:val="es-ES"/>
        </w:rPr>
        <w:t>Lineamientos del Programa de Ayuda Económica para la Capacitación de Mujeres y Hombres Trans, Víctimas de Delitos</w:t>
      </w:r>
      <w:r w:rsidRPr="0008319C">
        <w:rPr>
          <w:b/>
          <w:bCs/>
          <w:lang w:val="es-ES"/>
        </w:rPr>
        <w:t>,</w:t>
      </w:r>
      <w:r w:rsidRPr="0008319C">
        <w:rPr>
          <w:lang w:val="es-ES"/>
        </w:rPr>
        <w:t xml:space="preserve"> buscando mejorar sus oportunidades laborales a través de educación y capacitación. </w:t>
      </w:r>
      <w:r w:rsidR="008C2DA5" w:rsidRPr="0008319C">
        <w:rPr>
          <w:lang w:val="es-ES"/>
        </w:rPr>
        <w:t>La</w:t>
      </w:r>
      <w:r w:rsidRPr="0008319C">
        <w:rPr>
          <w:lang w:val="es-ES"/>
        </w:rPr>
        <w:t xml:space="preserve"> FGR habría emitido opiniones administrativas en casos de licencias de comaternidad para trabajadoras en hogares lesboparentales, mostrando un enfoque inclusivo en la administración interna. En 2023, la FGR participó en la</w:t>
      </w:r>
      <w:r w:rsidRPr="0008319C">
        <w:rPr>
          <w:rStyle w:val="apple-converted-space"/>
          <w:lang w:val="es-ES"/>
        </w:rPr>
        <w:t> </w:t>
      </w:r>
      <w:r w:rsidRPr="0008319C">
        <w:rPr>
          <w:rStyle w:val="Strong"/>
          <w:b w:val="0"/>
          <w:bCs w:val="0"/>
          <w:lang w:val="es-ES"/>
        </w:rPr>
        <w:t>Red Especializada en Género</w:t>
      </w:r>
      <w:r w:rsidRPr="0008319C">
        <w:rPr>
          <w:rStyle w:val="apple-converted-space"/>
          <w:b/>
          <w:bCs/>
          <w:lang w:val="es-ES"/>
        </w:rPr>
        <w:t> </w:t>
      </w:r>
      <w:r w:rsidRPr="0008319C">
        <w:rPr>
          <w:lang w:val="es-ES"/>
        </w:rPr>
        <w:t>de la</w:t>
      </w:r>
      <w:r w:rsidRPr="0008319C">
        <w:rPr>
          <w:rStyle w:val="apple-converted-space"/>
          <w:b/>
          <w:bCs/>
          <w:lang w:val="es-ES"/>
        </w:rPr>
        <w:t> </w:t>
      </w:r>
      <w:r w:rsidRPr="0008319C">
        <w:rPr>
          <w:rStyle w:val="Strong"/>
          <w:b w:val="0"/>
          <w:bCs w:val="0"/>
          <w:lang w:val="es-ES"/>
        </w:rPr>
        <w:t xml:space="preserve">Asociación Iberoamericana de Ministerios Públicos </w:t>
      </w:r>
      <w:r w:rsidRPr="0008319C">
        <w:rPr>
          <w:lang w:val="es-ES"/>
        </w:rPr>
        <w:t>contribuyendo con información para desarrollar recursos sobre la investigación de violencia contra personas LGBTIQ+. Por su parte la SCJN publicó el “</w:t>
      </w:r>
      <w:r w:rsidRPr="0008319C">
        <w:rPr>
          <w:rStyle w:val="Strong"/>
          <w:b w:val="0"/>
          <w:bCs w:val="0"/>
          <w:lang w:val="es-ES"/>
        </w:rPr>
        <w:t>Protocolo para Juzgar con Perspectiva de Orientación Sexual, Identidad y Expresión de Género</w:t>
      </w:r>
      <w:r w:rsidRPr="0008319C">
        <w:rPr>
          <w:b/>
          <w:bCs/>
          <w:lang w:val="es-ES"/>
        </w:rPr>
        <w:t>”</w:t>
      </w:r>
      <w:r w:rsidRPr="0008319C">
        <w:rPr>
          <w:lang w:val="es-ES"/>
        </w:rPr>
        <w:t xml:space="preserve"> en 2021, que reúne criterios judiciales y estándares internacionales para garantizar los derechos de las personas LGBTI+. Este protocolo subraya la necesidad de aplicar estándares de debida diligencia en todo el proceso penal y eliminar estereotipos, promoviendo una investigación imparcial y efectiva</w:t>
      </w:r>
      <w:r w:rsidR="006B4F48" w:rsidRPr="0008319C">
        <w:rPr>
          <w:lang w:val="es-ES"/>
        </w:rPr>
        <w:t xml:space="preserve"> y </w:t>
      </w:r>
      <w:r w:rsidRPr="0008319C">
        <w:rPr>
          <w:lang w:val="es-ES"/>
        </w:rPr>
        <w:t xml:space="preserve">habría continuado aplicando el </w:t>
      </w:r>
      <w:r w:rsidRPr="0008319C">
        <w:rPr>
          <w:b/>
          <w:bCs/>
          <w:lang w:val="es-ES"/>
        </w:rPr>
        <w:t>“</w:t>
      </w:r>
      <w:r w:rsidRPr="0008319C">
        <w:rPr>
          <w:rStyle w:val="Strong"/>
          <w:b w:val="0"/>
          <w:bCs w:val="0"/>
          <w:lang w:val="es-ES"/>
        </w:rPr>
        <w:t>Protocolo Nacional de Actuación para el Personal de Procuración de Justicia</w:t>
      </w:r>
      <w:r w:rsidRPr="0008319C">
        <w:rPr>
          <w:b/>
          <w:bCs/>
          <w:lang w:val="es-ES"/>
        </w:rPr>
        <w:t>”,</w:t>
      </w:r>
      <w:r w:rsidRPr="0008319C">
        <w:rPr>
          <w:lang w:val="es-ES"/>
        </w:rPr>
        <w:t xml:space="preserve"> aprobado en 2017 y publicado en el Diario Oficial en 2018. Este protocolo establece reglas claras para casos que involucren a personas LGBTI+, buscando asegurar el respeto a sus derechos humanos</w:t>
      </w:r>
      <w:r w:rsidR="000A7348" w:rsidRPr="1A0052D2">
        <w:rPr>
          <w:rStyle w:val="FootnoteReference"/>
        </w:rPr>
        <w:footnoteReference w:id="165"/>
      </w:r>
      <w:r w:rsidRPr="0008319C">
        <w:rPr>
          <w:lang w:val="es-ES"/>
        </w:rPr>
        <w:t xml:space="preserve">. </w:t>
      </w:r>
      <w:r w:rsidR="0012383C" w:rsidRPr="0008319C">
        <w:rPr>
          <w:lang w:val="es-ES"/>
        </w:rPr>
        <w:t xml:space="preserve">El Estado agregó que el CFJ implementó medidas de protección y promoción de los derechos de las personas LGBT a través de </w:t>
      </w:r>
      <w:r w:rsidR="00777249" w:rsidRPr="0008319C">
        <w:rPr>
          <w:lang w:val="es-ES"/>
        </w:rPr>
        <w:t xml:space="preserve">la </w:t>
      </w:r>
      <w:r w:rsidR="0012383C" w:rsidRPr="0008319C">
        <w:rPr>
          <w:lang w:val="es-ES"/>
        </w:rPr>
        <w:t xml:space="preserve">capacitación, asistencia jurídica y estrategias institucionales, así como </w:t>
      </w:r>
      <w:r w:rsidR="00777249" w:rsidRPr="0008319C">
        <w:rPr>
          <w:lang w:val="es-ES"/>
        </w:rPr>
        <w:t xml:space="preserve">mediante </w:t>
      </w:r>
      <w:r w:rsidR="0012383C" w:rsidRPr="0008319C">
        <w:rPr>
          <w:lang w:val="es-ES"/>
        </w:rPr>
        <w:t>la Estrategia de Bienestar, Diversidad e Inclusión (BDI)</w:t>
      </w:r>
      <w:r w:rsidR="0012383C" w:rsidRPr="1A0052D2">
        <w:rPr>
          <w:rStyle w:val="FootnoteReference"/>
        </w:rPr>
        <w:footnoteReference w:id="166"/>
      </w:r>
      <w:r w:rsidR="0012383C" w:rsidRPr="0008319C">
        <w:rPr>
          <w:lang w:val="es-ES"/>
        </w:rPr>
        <w:t>.</w:t>
      </w:r>
      <w:r w:rsidR="00C01DF7" w:rsidRPr="0008319C">
        <w:rPr>
          <w:lang w:val="es-ES"/>
        </w:rPr>
        <w:t xml:space="preserve"> Por otra parte, el Estado </w:t>
      </w:r>
      <w:r w:rsidR="00777249" w:rsidRPr="0008319C">
        <w:rPr>
          <w:lang w:val="es-ES"/>
        </w:rPr>
        <w:t xml:space="preserve">añadió </w:t>
      </w:r>
      <w:r w:rsidR="00C01DF7" w:rsidRPr="0008319C">
        <w:rPr>
          <w:lang w:val="es-ES"/>
        </w:rPr>
        <w:t>que se han publicado obras en materia del reconocimiento y garantía de derechos de las personas LGBT. Adicionalmente, en 2023, la FEMDH participó en la revisión del Protocolo Homologado de Investigación de Delitos contra Personas LGBTI+, en coordinación con la FEVIMTRA y la Fiscalía de Aguascalientes. Dicho documento fue remitido a la CNPJ, y tras recibir aportaciones de 15 fiscalías estatales, se encuentra en espera de validación final para su publicación a nivel nacional</w:t>
      </w:r>
      <w:r w:rsidR="00C01DF7" w:rsidRPr="1A0052D2">
        <w:rPr>
          <w:rStyle w:val="FootnoteReference"/>
        </w:rPr>
        <w:footnoteReference w:id="167"/>
      </w:r>
      <w:r w:rsidR="00C01DF7" w:rsidRPr="0008319C">
        <w:rPr>
          <w:lang w:val="es-ES"/>
        </w:rPr>
        <w:t>.</w:t>
      </w:r>
    </w:p>
    <w:p w14:paraId="0EB72C0C" w14:textId="77777777" w:rsidR="007B7AAF" w:rsidRPr="00616692" w:rsidRDefault="007B7AAF" w:rsidP="00CD2F81">
      <w:pPr>
        <w:ind w:firstLine="720"/>
        <w:jc w:val="both"/>
        <w:rPr>
          <w:rFonts w:ascii="Cambria" w:eastAsia="Cambria" w:hAnsi="Cambria" w:cs="Cambria"/>
          <w:i/>
          <w:iCs/>
          <w:color w:val="000000" w:themeColor="text1"/>
          <w:sz w:val="20"/>
          <w:szCs w:val="20"/>
          <w:lang w:val="es-ES"/>
        </w:rPr>
      </w:pPr>
      <w:r w:rsidRPr="00616692">
        <w:rPr>
          <w:rFonts w:ascii="Cambria" w:eastAsia="Cambria" w:hAnsi="Cambria" w:cs="Cambria"/>
          <w:i/>
          <w:iCs/>
          <w:color w:val="000000" w:themeColor="text1"/>
          <w:sz w:val="20"/>
          <w:szCs w:val="20"/>
          <w:lang w:val="es-ES"/>
        </w:rPr>
        <w:t>Análisis y nivel de cumplimiento de la recomendación</w:t>
      </w:r>
    </w:p>
    <w:p w14:paraId="24216EF3" w14:textId="77777777" w:rsidR="007B7AAF" w:rsidRPr="00616692" w:rsidRDefault="007B7AAF" w:rsidP="00B80A67">
      <w:pPr>
        <w:ind w:firstLine="360"/>
        <w:jc w:val="both"/>
        <w:rPr>
          <w:rFonts w:ascii="Cambria" w:eastAsia="Cambria" w:hAnsi="Cambria" w:cs="Cambria"/>
          <w:i/>
          <w:iCs/>
          <w:color w:val="000000" w:themeColor="text1"/>
          <w:sz w:val="20"/>
          <w:szCs w:val="20"/>
          <w:lang w:val="es-ES"/>
        </w:rPr>
      </w:pPr>
    </w:p>
    <w:p w14:paraId="15AFF3E8" w14:textId="1DAF773E" w:rsidR="007B7AAF" w:rsidRPr="00FA506F" w:rsidRDefault="007B7AAF" w:rsidP="00E44B33">
      <w:pPr>
        <w:pStyle w:val="IAPrrafo"/>
        <w:numPr>
          <w:ilvl w:val="0"/>
          <w:numId w:val="4"/>
        </w:numPr>
        <w:tabs>
          <w:tab w:val="num" w:pos="720"/>
        </w:tabs>
        <w:ind w:firstLine="720"/>
        <w:rPr>
          <w:lang w:val="es-ES"/>
        </w:rPr>
      </w:pPr>
      <w:r w:rsidRPr="00616692">
        <w:rPr>
          <w:lang w:val="es-ES"/>
        </w:rPr>
        <w:t>La CIDH reconoce los esfuerzos del Estado para fortalecer la investigación y sanción de actos de violencia contra personas LGBTI+ a través de la implementación del Protocolo Nacional de Actuación y el Protocolo para Juzgar con Perspectiva de Orientación Sexual, Identidad y Expresión de Género. Estos protocolos han sido acompañados de capacitaciones extensivas que han beneficiado a más de 15</w:t>
      </w:r>
      <w:r w:rsidR="00E966B1" w:rsidRPr="00616692">
        <w:rPr>
          <w:lang w:val="es-ES"/>
        </w:rPr>
        <w:t>.</w:t>
      </w:r>
      <w:r w:rsidRPr="00616692">
        <w:rPr>
          <w:lang w:val="es-ES"/>
        </w:rPr>
        <w:t xml:space="preserve">900 servidores </w:t>
      </w:r>
      <w:r w:rsidR="00E966B1" w:rsidRPr="00616692">
        <w:rPr>
          <w:lang w:val="es-ES"/>
        </w:rPr>
        <w:t xml:space="preserve">y servidoras </w:t>
      </w:r>
      <w:r w:rsidRPr="00616692">
        <w:rPr>
          <w:lang w:val="es-ES"/>
        </w:rPr>
        <w:t>públic</w:t>
      </w:r>
      <w:r w:rsidR="00E966B1" w:rsidRPr="00616692">
        <w:rPr>
          <w:lang w:val="es-ES"/>
        </w:rPr>
        <w:t>a</w:t>
      </w:r>
      <w:r w:rsidRPr="00616692">
        <w:rPr>
          <w:lang w:val="es-ES"/>
        </w:rPr>
        <w:t>s, lo que refleja un compromiso significativo para mejorar la atención a esta población. Sin embargo, aunque se han logrado avances en la sensibilización del personal y en la creación de programas específicos para personas trans, persisten desafíos en la aplicación práctica de los protocolos. La falta de un Protocolo Homologado de Investigación impide una respuesta uniforme y eficaz, y la ausencia de un sistema de recopilación de datos desagregados limita la capacidad del Estado</w:t>
      </w:r>
      <w:r w:rsidRPr="00FA506F">
        <w:rPr>
          <w:lang w:val="es-ES"/>
        </w:rPr>
        <w:t xml:space="preserve"> para monitorear el impacto de las medidas adoptadas y evaluar su efectividad.</w:t>
      </w:r>
      <w:r w:rsidR="00E966B1" w:rsidRPr="00FA506F">
        <w:rPr>
          <w:lang w:val="es-ES"/>
        </w:rPr>
        <w:t xml:space="preserve"> </w:t>
      </w:r>
      <w:r w:rsidRPr="00FA506F">
        <w:rPr>
          <w:lang w:val="es-ES"/>
        </w:rPr>
        <w:t>La reciente evaluación del protocolo en colaboración con la Comisión Nacional para Prevenir la Discriminación (CONAPRED) y organizaciones de la sociedad civil es un paso positivo hacia la mejora continua, y muestra un compromiso por actualizar y fortalecer los mecanismos existentes. No obstante, los problemas</w:t>
      </w:r>
      <w:r w:rsidR="00CC72A9" w:rsidRPr="00FA506F">
        <w:rPr>
          <w:lang w:val="es-ES"/>
        </w:rPr>
        <w:t xml:space="preserve"> </w:t>
      </w:r>
      <w:r w:rsidR="006F7A01" w:rsidRPr="00FA506F">
        <w:rPr>
          <w:lang w:val="es-ES"/>
        </w:rPr>
        <w:t>existentes</w:t>
      </w:r>
      <w:r w:rsidRPr="00FA506F">
        <w:rPr>
          <w:lang w:val="es-ES"/>
        </w:rPr>
        <w:t xml:space="preserve"> en la implementación práctica, así como la persistencia de estereotipos durante el proceso de investigación, indican que aún existen áreas significativas que requieren atención. </w:t>
      </w:r>
      <w:r w:rsidR="00CC72A9" w:rsidRPr="00FA506F">
        <w:rPr>
          <w:lang w:val="es-ES"/>
        </w:rPr>
        <w:t>De conformidad con</w:t>
      </w:r>
      <w:r w:rsidRPr="00FA506F">
        <w:rPr>
          <w:lang w:val="es-ES"/>
        </w:rPr>
        <w:t xml:space="preserve"> </w:t>
      </w:r>
      <w:r w:rsidR="00CC72A9" w:rsidRPr="00FA506F">
        <w:rPr>
          <w:lang w:val="es-ES"/>
        </w:rPr>
        <w:t>e</w:t>
      </w:r>
      <w:r w:rsidRPr="00FA506F">
        <w:rPr>
          <w:lang w:val="es-ES"/>
        </w:rPr>
        <w:t xml:space="preserve">l progreso en la adopción de medidas de capacitación, sensibilización y creación de programas inclusivos, </w:t>
      </w:r>
      <w:r w:rsidR="00CC72A9" w:rsidRPr="00FA506F">
        <w:rPr>
          <w:lang w:val="es-ES"/>
        </w:rPr>
        <w:t>en contraste con</w:t>
      </w:r>
      <w:r w:rsidRPr="00FA506F">
        <w:rPr>
          <w:lang w:val="es-ES"/>
        </w:rPr>
        <w:t xml:space="preserve"> los desafíos pendientes, </w:t>
      </w:r>
      <w:r w:rsidR="00CC72A9" w:rsidRPr="00FA506F">
        <w:rPr>
          <w:lang w:val="es-ES"/>
        </w:rPr>
        <w:t xml:space="preserve">la </w:t>
      </w:r>
      <w:r w:rsidRPr="00FA506F">
        <w:rPr>
          <w:lang w:val="es-ES"/>
        </w:rPr>
        <w:t xml:space="preserve">CIDH </w:t>
      </w:r>
      <w:r w:rsidR="008A7252" w:rsidRPr="00FA506F">
        <w:rPr>
          <w:lang w:val="es-ES"/>
        </w:rPr>
        <w:t>avanza</w:t>
      </w:r>
      <w:r w:rsidRPr="00FA506F">
        <w:rPr>
          <w:lang w:val="es-ES"/>
        </w:rPr>
        <w:t xml:space="preserve"> el nivel de </w:t>
      </w:r>
      <w:r w:rsidRPr="00FA506F">
        <w:rPr>
          <w:b/>
          <w:bCs/>
          <w:lang w:val="es-ES"/>
        </w:rPr>
        <w:t>cumplimiento a parcial sustancial,</w:t>
      </w:r>
      <w:r w:rsidRPr="00FA506F">
        <w:rPr>
          <w:lang w:val="es-ES"/>
        </w:rPr>
        <w:t xml:space="preserve"> reconociendo los esfuerzos significativos realizados, aunque todavía no suficientes para alcanzar el cumplimiento total.</w:t>
      </w:r>
    </w:p>
    <w:p w14:paraId="66349543" w14:textId="77777777" w:rsidR="00ED42B9" w:rsidRDefault="00ED42B9" w:rsidP="00CD2F81">
      <w:pPr>
        <w:ind w:firstLine="720"/>
        <w:jc w:val="both"/>
        <w:rPr>
          <w:rFonts w:ascii="Cambria" w:eastAsia="Cambria" w:hAnsi="Cambria" w:cs="Cambria"/>
          <w:i/>
          <w:iCs/>
          <w:color w:val="000000" w:themeColor="text1"/>
          <w:sz w:val="20"/>
          <w:szCs w:val="20"/>
          <w:lang w:val="es-ES"/>
        </w:rPr>
      </w:pPr>
    </w:p>
    <w:p w14:paraId="184C5BEF" w14:textId="77777777" w:rsidR="00ED42B9" w:rsidRDefault="00ED42B9" w:rsidP="00CD2F81">
      <w:pPr>
        <w:ind w:firstLine="720"/>
        <w:jc w:val="both"/>
        <w:rPr>
          <w:rFonts w:ascii="Cambria" w:eastAsia="Cambria" w:hAnsi="Cambria" w:cs="Cambria"/>
          <w:i/>
          <w:iCs/>
          <w:color w:val="000000" w:themeColor="text1"/>
          <w:sz w:val="20"/>
          <w:szCs w:val="20"/>
          <w:lang w:val="es-ES"/>
        </w:rPr>
      </w:pPr>
    </w:p>
    <w:p w14:paraId="1A2CCEF2" w14:textId="0A4F1E5C" w:rsidR="007B7AAF" w:rsidRPr="00FA506F" w:rsidRDefault="007B7AAF" w:rsidP="00CD2F8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440BCE37"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13F2E595" w14:textId="6F7E4775"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Para avanzar en el cumplimiento de la </w:t>
      </w:r>
      <w:r w:rsidR="00E966B1" w:rsidRPr="00FA506F">
        <w:rPr>
          <w:lang w:val="es-ES"/>
        </w:rPr>
        <w:t>r</w:t>
      </w:r>
      <w:r w:rsidRPr="00FA506F">
        <w:rPr>
          <w:lang w:val="es-ES"/>
        </w:rPr>
        <w:t>ecomendación</w:t>
      </w:r>
      <w:r w:rsidR="00E966B1" w:rsidRPr="00FA506F">
        <w:rPr>
          <w:lang w:val="es-ES"/>
        </w:rPr>
        <w:t>,</w:t>
      </w:r>
      <w:r w:rsidRPr="00FA506F">
        <w:rPr>
          <w:lang w:val="es-ES"/>
        </w:rPr>
        <w:t xml:space="preserve"> la CIDH invita al Estado a continuar con el fortalecimiento de la implementación del Protocolo Nacional de Actuación, actualizándolo en colaboración con CONAPRED y organizaciones civiles para abordar las áreas de mejora</w:t>
      </w:r>
      <w:r w:rsidR="00CC72A9" w:rsidRPr="00FA506F">
        <w:rPr>
          <w:lang w:val="es-ES"/>
        </w:rPr>
        <w:t>.</w:t>
      </w:r>
      <w:r w:rsidRPr="00FA506F">
        <w:rPr>
          <w:lang w:val="es-ES"/>
        </w:rPr>
        <w:t xml:space="preserve"> </w:t>
      </w:r>
      <w:r w:rsidR="005076DB" w:rsidRPr="00FA506F">
        <w:rPr>
          <w:lang w:val="es-ES"/>
        </w:rPr>
        <w:t xml:space="preserve">La Comisión </w:t>
      </w:r>
      <w:r w:rsidRPr="00FA506F">
        <w:rPr>
          <w:lang w:val="es-ES"/>
        </w:rPr>
        <w:t>sugiere el desarrollo de un Protocolo Homologado de Investigación y la creación de un sistema de recopilación de datos estadísticos desagregados para monitorear los casos de violencia contra personas LGBTI+, garantizando la eliminación de estereotipos y la aplicación de estándares de debida diligencia</w:t>
      </w:r>
      <w:r w:rsidR="00E966B1" w:rsidRPr="00FA506F">
        <w:rPr>
          <w:lang w:val="es-ES"/>
        </w:rPr>
        <w:t xml:space="preserve"> en las investigaciones</w:t>
      </w:r>
      <w:r w:rsidRPr="00FA506F">
        <w:rPr>
          <w:lang w:val="es-ES"/>
        </w:rPr>
        <w:t>.</w:t>
      </w:r>
    </w:p>
    <w:p w14:paraId="685E312F" w14:textId="77777777" w:rsidR="007B7AAF" w:rsidRPr="00FA506F" w:rsidRDefault="007B7AAF"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39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Adoptar medidas necesarias en materia de prevención de la violencia, incluyendo medidas legislativas y en políticas públicas en miras hacia la erradicación de la discriminación social que existe hacia personas LGBT, la cual potencia y refuerza la violencia basada en prejuicio. </w:t>
      </w:r>
    </w:p>
    <w:p w14:paraId="0091D0CA" w14:textId="77777777" w:rsidR="007B7AAF" w:rsidRPr="00FA506F" w:rsidRDefault="007B7AAF" w:rsidP="00B80A67">
      <w:pPr>
        <w:pStyle w:val="IAPrrafo"/>
        <w:spacing w:after="0"/>
        <w:rPr>
          <w:lang w:val="es-ES"/>
        </w:rPr>
      </w:pPr>
    </w:p>
    <w:p w14:paraId="75037A65" w14:textId="04CD3700"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En el Capítulo V del Informe Anual de 2023, la CIDH conoció sobre actividades de la Unidad de Igualdad de Género para promover los derechos LGBTI y destacó el Programa Nacional para la Igualdad y No Discriminación (PRONAIND) para el período 2021-2024. El Estado reportó la emisión de una opinión administrativa </w:t>
      </w:r>
      <w:r w:rsidR="00E966B1" w:rsidRPr="00FA506F">
        <w:rPr>
          <w:lang w:val="es-ES"/>
        </w:rPr>
        <w:t xml:space="preserve">de </w:t>
      </w:r>
      <w:r w:rsidRPr="00FA506F">
        <w:rPr>
          <w:lang w:val="es-ES"/>
        </w:rPr>
        <w:t>la FGR</w:t>
      </w:r>
      <w:r w:rsidR="00E966B1" w:rsidRPr="00FA506F">
        <w:rPr>
          <w:lang w:val="es-ES"/>
        </w:rPr>
        <w:t>,</w:t>
      </w:r>
      <w:r w:rsidRPr="00FA506F">
        <w:rPr>
          <w:lang w:val="es-ES"/>
        </w:rPr>
        <w:t xml:space="preserve"> que facilitó licencias por comaternidad en hogares lesbomaternales. Aunque la CIDH valoró estos esfuerzos, observó que la información sobre iniciativas legislativas fue insuficiente y no detalló cómo estas medidas contribuyen a políticas públicas para prevenir la discriminación. Por ello, la recomendación se consideró en cumplimiento parcial. La CIDH sugirió que el Estado proporcione información detallada sobre las políticas públicas y leyes para la prevención y erradicación de la discriminación contra personas LGBTI</w:t>
      </w:r>
      <w:r w:rsidRPr="00FA506F">
        <w:rPr>
          <w:vertAlign w:val="superscript"/>
          <w:lang w:val="es-ES"/>
        </w:rPr>
        <w:footnoteReference w:id="168"/>
      </w:r>
      <w:r w:rsidRPr="00FA506F">
        <w:rPr>
          <w:lang w:val="es-ES"/>
        </w:rPr>
        <w:t>.</w:t>
      </w:r>
    </w:p>
    <w:p w14:paraId="217B6A8F" w14:textId="77777777" w:rsidR="007B7AAF" w:rsidRPr="00FA506F" w:rsidRDefault="007B7AAF" w:rsidP="00CD2F8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16B3A454"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04B3DCB9" w14:textId="6D53FCA5" w:rsidR="007B7AAF" w:rsidRPr="00616692" w:rsidRDefault="007B7AAF" w:rsidP="00B80A67">
      <w:pPr>
        <w:pStyle w:val="IAPrrafo"/>
        <w:numPr>
          <w:ilvl w:val="0"/>
          <w:numId w:val="4"/>
        </w:numPr>
        <w:tabs>
          <w:tab w:val="num" w:pos="720"/>
        </w:tabs>
        <w:ind w:firstLine="720"/>
        <w:rPr>
          <w:lang w:val="es-ES"/>
        </w:rPr>
      </w:pPr>
      <w:r w:rsidRPr="00FA506F">
        <w:rPr>
          <w:lang w:val="es-ES"/>
        </w:rPr>
        <w:t xml:space="preserve">En 2024, el Estado informó que, hasta la fecha, 22 entidades federativas habrían aprobado leyes que permiten el reconocimiento administrativo de la identidad de género en los registros de nacimiento, facilitando el cambio de género conforme a la autopercepción de las personas. De estas entidades, 19 habrían incluido el reconocimiento de la identidad de género no binaria, permitiendo la inclusión de la opción “X” en documentos oficiales como la CURP y el pasaporte. La Secretaría de Relaciones Exteriores (SRE) habría implementado en 2022 un instructivo para expedir actas de nacimiento a personas trans en los consulados mexicanos, evitando la necesidad de viajar a México. </w:t>
      </w:r>
      <w:r w:rsidR="006B4F48" w:rsidRPr="00FA506F">
        <w:rPr>
          <w:lang w:val="es-ES"/>
        </w:rPr>
        <w:t>El</w:t>
      </w:r>
      <w:r w:rsidRPr="00FA506F">
        <w:rPr>
          <w:lang w:val="es-ES"/>
        </w:rPr>
        <w:t xml:space="preserve"> Instituto Nacional Electoral (INE) habría facilitado el cambio de sexo en la credencial de elector y promovido la inclusión de la identidad sexo genérica en su Consulta Infantil y Juvenil de 2021. </w:t>
      </w:r>
      <w:r w:rsidR="006B4F48" w:rsidRPr="00FA506F">
        <w:rPr>
          <w:lang w:val="es-ES"/>
        </w:rPr>
        <w:t>El</w:t>
      </w:r>
      <w:r w:rsidRPr="00FA506F">
        <w:rPr>
          <w:lang w:val="es-ES"/>
        </w:rPr>
        <w:t xml:space="preserve"> Programa Nacional para la Igualdad y No Discriminación (PRONAIND) 2021-2024, coordinado por CONAPRED, establecería estrategias para asegurar la igualdad y no discriminación mediante reformas normativas, acciones afirmativas y capacitaciones. Un hito legislativo relevante fue la aprobación, el 25 de abril de 2024, de una reforma para prohibir los Esfuerzos para Corregir la Orientación Sexual e Identidad de Género (ECOSIG), imponiendo penas de prisión y multas a quienes practiquen estas terapias. Esta reforma, que entró en vigor en junio de 2024, ha sido ampliamente celebrada por organismos internacionales como ONUSIDA y la </w:t>
      </w:r>
      <w:r w:rsidR="00E966B1" w:rsidRPr="00FA506F">
        <w:rPr>
          <w:lang w:val="es-ES"/>
        </w:rPr>
        <w:t xml:space="preserve">propia </w:t>
      </w:r>
      <w:r w:rsidRPr="00FA506F">
        <w:rPr>
          <w:lang w:val="es-ES"/>
        </w:rPr>
        <w:t xml:space="preserve">CIDH. Por su parte, el CONAPRED habría monitoreado activamente las reformas locales y, hasta julio de 2024, </w:t>
      </w:r>
      <w:r w:rsidR="00E966B1" w:rsidRPr="00FA506F">
        <w:rPr>
          <w:lang w:val="es-ES"/>
        </w:rPr>
        <w:t xml:space="preserve">habría </w:t>
      </w:r>
      <w:r w:rsidRPr="00FA506F">
        <w:rPr>
          <w:lang w:val="es-ES"/>
        </w:rPr>
        <w:t>identificado que 19 entidades federativas han tipificado los ECOSIG en sus códigos penales y leyes de salud, lo que muestra un avance significativo hacia la erradicación de prácticas discriminatorias</w:t>
      </w:r>
      <w:r w:rsidR="000A7348" w:rsidRPr="00616692">
        <w:rPr>
          <w:rStyle w:val="FootnoteReference"/>
          <w:lang w:val="es-ES"/>
        </w:rPr>
        <w:footnoteReference w:id="169"/>
      </w:r>
      <w:r w:rsidRPr="00616692">
        <w:rPr>
          <w:lang w:val="es-ES"/>
        </w:rPr>
        <w:t>.</w:t>
      </w:r>
    </w:p>
    <w:p w14:paraId="04B16464" w14:textId="1F6E2CC5" w:rsidR="00C01DF7" w:rsidRPr="00616692" w:rsidRDefault="00C01DF7" w:rsidP="00C01DF7">
      <w:pPr>
        <w:pStyle w:val="IAPrrafo"/>
        <w:numPr>
          <w:ilvl w:val="0"/>
          <w:numId w:val="4"/>
        </w:numPr>
        <w:tabs>
          <w:tab w:val="num" w:pos="720"/>
        </w:tabs>
        <w:ind w:firstLine="720"/>
        <w:rPr>
          <w:lang w:val="es-ES"/>
        </w:rPr>
      </w:pPr>
      <w:r w:rsidRPr="00616692">
        <w:rPr>
          <w:lang w:val="es-ES"/>
        </w:rPr>
        <w:t xml:space="preserve">El Estado agregó en sus observaciones al presente </w:t>
      </w:r>
      <w:r w:rsidR="00A706C0" w:rsidRPr="00616692">
        <w:rPr>
          <w:lang w:val="es-ES"/>
        </w:rPr>
        <w:t>I</w:t>
      </w:r>
      <w:r w:rsidRPr="00616692">
        <w:rPr>
          <w:lang w:val="es-ES"/>
        </w:rPr>
        <w:t>nform</w:t>
      </w:r>
      <w:r w:rsidR="00022D03" w:rsidRPr="00616692">
        <w:rPr>
          <w:lang w:val="es-ES"/>
        </w:rPr>
        <w:t>e</w:t>
      </w:r>
      <w:r w:rsidRPr="00616692">
        <w:rPr>
          <w:lang w:val="es-ES"/>
        </w:rPr>
        <w:t xml:space="preserve"> que la Cámara de Diputados instaló un Grupo de Trabajo en conjunto con dependencias del Ejecutivo Federal y organismos autónomos, con el propósito de desarrollar un proyecto de ley general de atención a la diversidad sexual y de género, así como una reforma constitucional para reconocer el derecho al libre desarrollo de la personalidad, la igualdad y la no discriminación por orientación sexual, identidad de género y características sexuales. </w:t>
      </w:r>
      <w:r w:rsidR="00CD2F81" w:rsidRPr="00616692">
        <w:rPr>
          <w:lang w:val="es-ES"/>
        </w:rPr>
        <w:t>Además,</w:t>
      </w:r>
      <w:r w:rsidRPr="00616692">
        <w:rPr>
          <w:lang w:val="es-ES"/>
        </w:rPr>
        <w:t xml:space="preserve"> se publicaron los Lineamientos del Programa de Ayuda Económica para la Capacitación de Mujeres y Hombres Trans, Víctimas de Delitos</w:t>
      </w:r>
      <w:r w:rsidRPr="00616692">
        <w:rPr>
          <w:rStyle w:val="FootnoteReference"/>
          <w:lang w:val="es-ES"/>
        </w:rPr>
        <w:footnoteReference w:id="170"/>
      </w:r>
      <w:r w:rsidRPr="00616692">
        <w:rPr>
          <w:lang w:val="es-ES"/>
        </w:rPr>
        <w:t>.</w:t>
      </w:r>
    </w:p>
    <w:p w14:paraId="03274D26" w14:textId="77777777" w:rsidR="007B7AAF" w:rsidRPr="00FA506F" w:rsidRDefault="007B7AAF" w:rsidP="00CD2F81">
      <w:pPr>
        <w:ind w:firstLine="720"/>
        <w:jc w:val="both"/>
        <w:rPr>
          <w:rFonts w:ascii="Cambria" w:eastAsia="Cambria" w:hAnsi="Cambria" w:cs="Cambria"/>
          <w:i/>
          <w:iCs/>
          <w:color w:val="000000" w:themeColor="text1"/>
          <w:sz w:val="20"/>
          <w:szCs w:val="20"/>
          <w:lang w:val="es-ES"/>
        </w:rPr>
      </w:pPr>
      <w:r w:rsidRPr="00616692">
        <w:rPr>
          <w:rFonts w:ascii="Cambria" w:eastAsia="Cambria" w:hAnsi="Cambria" w:cs="Cambria"/>
          <w:i/>
          <w:iCs/>
          <w:color w:val="000000" w:themeColor="text1"/>
          <w:sz w:val="20"/>
          <w:szCs w:val="20"/>
          <w:lang w:val="es-ES"/>
        </w:rPr>
        <w:t>Análisis y nivel de cumplimiento de la recomendación</w:t>
      </w:r>
    </w:p>
    <w:p w14:paraId="15C7572A"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132B4638" w14:textId="4AF55912" w:rsidR="005008FA" w:rsidRPr="00FA506F" w:rsidRDefault="005008FA" w:rsidP="00B80A67">
      <w:pPr>
        <w:pStyle w:val="IAPrrafo"/>
        <w:numPr>
          <w:ilvl w:val="0"/>
          <w:numId w:val="4"/>
        </w:numPr>
        <w:tabs>
          <w:tab w:val="num" w:pos="720"/>
        </w:tabs>
        <w:ind w:firstLine="720"/>
        <w:rPr>
          <w:lang w:val="es-ES"/>
        </w:rPr>
      </w:pPr>
      <w:r w:rsidRPr="00FA506F">
        <w:rPr>
          <w:lang w:val="es-ES"/>
        </w:rPr>
        <w:t xml:space="preserve">La CIDH reconoce que el Estado ha implementado una serie de políticas públicas y reformas legislativas orientadas a la prevención de la violencia y la erradicación de la discriminación contra personas LGBTI+. El Programa Nacional para la Igualdad y No Discriminación (PRONAIND) y las acciones coordinadas con CONAPRED muestran un enfoque integral y coherente en la transformación de patrones culturales discriminatorios. No obstante, persisten desafíos en la implementación uniforme de estas políticas en todas las entidades federativas, así como en la adopción de leyes y políticas públicas que aborden de manera explícita la prevención de la violencia basada en prejuicios hacia personas LGBTI+. Debido al progreso </w:t>
      </w:r>
      <w:r w:rsidR="00E966B1" w:rsidRPr="00FA506F">
        <w:rPr>
          <w:lang w:val="es-ES"/>
        </w:rPr>
        <w:t xml:space="preserve">relevante </w:t>
      </w:r>
      <w:r w:rsidRPr="00FA506F">
        <w:rPr>
          <w:lang w:val="es-ES"/>
        </w:rPr>
        <w:t xml:space="preserve">en la adopción de medidas legislativas, la implementación de políticas públicas inclusivas y la coordinación activa con organismos internacionales y locales, se concluye que el nivel de cumplimiento de esta recomendación avanza a </w:t>
      </w:r>
      <w:r w:rsidRPr="00FA506F">
        <w:rPr>
          <w:b/>
          <w:bCs/>
          <w:lang w:val="es-ES"/>
        </w:rPr>
        <w:t>cumplimiento parcial sustancial.</w:t>
      </w:r>
      <w:r w:rsidRPr="00FA506F">
        <w:rPr>
          <w:lang w:val="es-ES"/>
        </w:rPr>
        <w:t xml:space="preserve"> Aunque aún se requieren esfuerzos para garantizar una implementación uniforme y efectiva en todo el territorio, los avances hasta ahora son tangibles y responden a los objetivos planteados por la recomendación.</w:t>
      </w:r>
    </w:p>
    <w:p w14:paraId="738F86CB" w14:textId="77777777" w:rsidR="007B7AAF" w:rsidRPr="00FA506F" w:rsidRDefault="007B7AAF" w:rsidP="00CD2F8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6433080A"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14C84FDC" w14:textId="0BBC4E6E" w:rsidR="007B7AAF" w:rsidRPr="00FA506F" w:rsidRDefault="007B7AAF" w:rsidP="00B80A67">
      <w:pPr>
        <w:pStyle w:val="IAPrrafo"/>
        <w:numPr>
          <w:ilvl w:val="0"/>
          <w:numId w:val="4"/>
        </w:numPr>
        <w:tabs>
          <w:tab w:val="num" w:pos="720"/>
        </w:tabs>
        <w:ind w:firstLine="720"/>
        <w:rPr>
          <w:lang w:val="es-ES"/>
        </w:rPr>
      </w:pPr>
      <w:r w:rsidRPr="00FA506F">
        <w:rPr>
          <w:lang w:val="es-ES"/>
        </w:rPr>
        <w:t>Para avanzar en el cumplimiento</w:t>
      </w:r>
      <w:r w:rsidR="00E966B1" w:rsidRPr="00FA506F">
        <w:rPr>
          <w:lang w:val="es-ES"/>
        </w:rPr>
        <w:t xml:space="preserve"> total</w:t>
      </w:r>
      <w:r w:rsidRPr="00FA506F">
        <w:rPr>
          <w:lang w:val="es-ES"/>
        </w:rPr>
        <w:t xml:space="preserve"> de esta recomendación es necesario que el Estado asegure la implementación uniforme de las leyes y políticas públicas en todas las entidades federativas, garantizando que el reconocimiento de la identidad de género y la prohibición de los ECOSIG se apliquen de manera efectiva en todo el país. </w:t>
      </w:r>
      <w:r w:rsidR="00E966B1" w:rsidRPr="00FA506F">
        <w:rPr>
          <w:lang w:val="es-ES"/>
        </w:rPr>
        <w:t xml:space="preserve">Se invita al Estado a fortalecer </w:t>
      </w:r>
      <w:r w:rsidRPr="00FA506F">
        <w:rPr>
          <w:lang w:val="es-ES"/>
        </w:rPr>
        <w:t>las campañas de sensibilización y educación pública, en colaboración con CONAPRED y organizaciones de la sociedad civil, para abordar los prejuicios y estereotipos que perpetúan la discriminación y la violencia contra personas LGBTI+</w:t>
      </w:r>
      <w:r w:rsidR="00E966B1" w:rsidRPr="00FA506F">
        <w:rPr>
          <w:lang w:val="es-ES"/>
        </w:rPr>
        <w:t>;</w:t>
      </w:r>
      <w:r w:rsidRPr="00FA506F">
        <w:rPr>
          <w:lang w:val="es-ES"/>
        </w:rPr>
        <w:t xml:space="preserve"> y </w:t>
      </w:r>
      <w:r w:rsidR="00E966B1" w:rsidRPr="00FA506F">
        <w:rPr>
          <w:lang w:val="es-ES"/>
        </w:rPr>
        <w:t xml:space="preserve">que </w:t>
      </w:r>
      <w:r w:rsidRPr="00FA506F">
        <w:rPr>
          <w:lang w:val="es-ES"/>
        </w:rPr>
        <w:t>desarrolle un sistema de monitoreo y evaluación que permita medir el impacto de las políticas públicas implementadas, incluyendo la recopilación de datos desagregados sobre incidentes de violencia y discriminación</w:t>
      </w:r>
      <w:r w:rsidR="00CC72A9" w:rsidRPr="00FA506F">
        <w:rPr>
          <w:lang w:val="es-ES"/>
        </w:rPr>
        <w:t xml:space="preserve">. </w:t>
      </w:r>
      <w:r w:rsidRPr="00FA506F">
        <w:rPr>
          <w:lang w:val="es-ES"/>
        </w:rPr>
        <w:t>Estas acciones consolidarían los avances logrados y contribuirían a la erradicación efectiva de la discriminación y violencia basada en prejuicios, alineando al Estado con los estándares internacionales de derechos humanos.</w:t>
      </w:r>
    </w:p>
    <w:p w14:paraId="63AC77CC" w14:textId="77777777" w:rsidR="007B7AAF" w:rsidRPr="00FA506F" w:rsidRDefault="007B7AAF" w:rsidP="00CD2F81">
      <w:pPr>
        <w:pStyle w:val="IASubttulo3"/>
        <w:numPr>
          <w:ilvl w:val="0"/>
          <w:numId w:val="5"/>
        </w:numPr>
        <w:ind w:hanging="720"/>
        <w:rPr>
          <w:lang w:val="es-ES"/>
        </w:rPr>
      </w:pPr>
      <w:bookmarkStart w:id="19" w:name="_Toc195618113"/>
      <w:r w:rsidRPr="00FA506F">
        <w:rPr>
          <w:lang w:val="es-ES"/>
        </w:rPr>
        <w:t>Mujeres</w:t>
      </w:r>
      <w:bookmarkEnd w:id="19"/>
    </w:p>
    <w:p w14:paraId="6A7CB4E2" w14:textId="77777777" w:rsidR="007B7AAF" w:rsidRPr="00FA506F" w:rsidRDefault="007B7AAF"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40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Implementar y fortalecer medidas, incorporando la perspectiva de género, para cumplir con el deber de actuar con debida diligencia para prevenir, sancionar y erradicar la violencia y discriminación contra las mujeres, incluyendo esfuerzos concretos para cumplir con las obligaciones de prevención, investigación, sanción y reparación de violaciones de los derechos humanos de las mujeres; ello comprende la capacitación y monitoreo de las autoridades encargadas desde la investigación, incluyendo los servicios de salud y en el ámbito de la justicia.</w:t>
      </w:r>
    </w:p>
    <w:p w14:paraId="4D3431E5" w14:textId="77777777" w:rsidR="007B7AAF" w:rsidRPr="00FA506F" w:rsidRDefault="007B7AAF" w:rsidP="00B80A67">
      <w:pPr>
        <w:jc w:val="both"/>
        <w:rPr>
          <w:rFonts w:ascii="Cambria" w:eastAsia="Cambria" w:hAnsi="Cambria" w:cs="Cambria"/>
          <w:i/>
          <w:iCs/>
          <w:color w:val="000000" w:themeColor="text1"/>
          <w:sz w:val="20"/>
          <w:szCs w:val="20"/>
          <w:lang w:val="es-ES"/>
        </w:rPr>
      </w:pPr>
    </w:p>
    <w:p w14:paraId="666AF854" w14:textId="21F9FB23"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De acuerdo con la información reportada por el Estado para el Informe de Seguimiento de 2023, la Comisión tomó nota de varias iniciativas y programas para atender la violencia de género y promover la igualdad, incluyendo la colaboración con entidades locales y la realización de brigadas para asesoría jurídica a mujeres privadas de libertad. </w:t>
      </w:r>
      <w:r w:rsidR="00E966B1" w:rsidRPr="00FA506F">
        <w:rPr>
          <w:lang w:val="es-ES"/>
        </w:rPr>
        <w:t>El Estado d</w:t>
      </w:r>
      <w:r w:rsidRPr="00FA506F">
        <w:rPr>
          <w:lang w:val="es-ES"/>
        </w:rPr>
        <w:t xml:space="preserve">estacó la implementación del programa </w:t>
      </w:r>
      <w:r w:rsidR="00E966B1" w:rsidRPr="00FA506F">
        <w:rPr>
          <w:lang w:val="es-ES"/>
        </w:rPr>
        <w:t>“</w:t>
      </w:r>
      <w:r w:rsidRPr="00FA506F">
        <w:rPr>
          <w:lang w:val="es-ES"/>
        </w:rPr>
        <w:t>Construye</w:t>
      </w:r>
      <w:r w:rsidR="00E966B1" w:rsidRPr="00FA506F">
        <w:rPr>
          <w:lang w:val="es-ES"/>
        </w:rPr>
        <w:t>”</w:t>
      </w:r>
      <w:r w:rsidRPr="00FA506F">
        <w:rPr>
          <w:lang w:val="es-ES"/>
        </w:rPr>
        <w:t xml:space="preserve"> para fomentar relaciones igualitarias entre servidores públicos masculinos y la creación de una Unidad Especializada de Igualdad de Género en la FGR. El Estado </w:t>
      </w:r>
      <w:r w:rsidR="00E966B1" w:rsidRPr="00FA506F">
        <w:rPr>
          <w:lang w:val="es-ES"/>
        </w:rPr>
        <w:t xml:space="preserve">también </w:t>
      </w:r>
      <w:r w:rsidRPr="00FA506F">
        <w:rPr>
          <w:lang w:val="es-ES"/>
        </w:rPr>
        <w:t xml:space="preserve">mencionó actividades académicas sobre violencia de género y capacitación sobre la Ley General de Acceso de las Mujeres a una Vida Libre de Violencia. Sin embargo, las organizaciones de la sociedad civil </w:t>
      </w:r>
      <w:r w:rsidR="00E966B1" w:rsidRPr="00FA506F">
        <w:rPr>
          <w:lang w:val="es-ES"/>
        </w:rPr>
        <w:t>resaltaron</w:t>
      </w:r>
      <w:r w:rsidRPr="00FA506F">
        <w:rPr>
          <w:lang w:val="es-ES"/>
        </w:rPr>
        <w:t xml:space="preserve"> vacíos en las encuestas sobre violencia, el uso de modelos punitivos en los Centros de Justicia para la Mujer y obstáculos persistentes para las víctimas de violencia sexual. La CIDH valoró los esfuerzos, considerando que la recomendación </w:t>
      </w:r>
      <w:r w:rsidR="00E966B1" w:rsidRPr="00FA506F">
        <w:rPr>
          <w:lang w:val="es-ES"/>
        </w:rPr>
        <w:t xml:space="preserve">había avanzado </w:t>
      </w:r>
      <w:r w:rsidRPr="00FA506F">
        <w:rPr>
          <w:lang w:val="es-ES"/>
        </w:rPr>
        <w:t xml:space="preserve">a cumplimiento parcial, pero </w:t>
      </w:r>
      <w:r w:rsidR="00E966B1" w:rsidRPr="00FA506F">
        <w:rPr>
          <w:lang w:val="es-ES"/>
        </w:rPr>
        <w:t xml:space="preserve">señaló </w:t>
      </w:r>
      <w:r w:rsidRPr="00FA506F">
        <w:rPr>
          <w:lang w:val="es-ES"/>
        </w:rPr>
        <w:t xml:space="preserve">que </w:t>
      </w:r>
      <w:r w:rsidR="00E966B1" w:rsidRPr="00FA506F">
        <w:rPr>
          <w:lang w:val="es-ES"/>
        </w:rPr>
        <w:t xml:space="preserve">persistían </w:t>
      </w:r>
      <w:r w:rsidRPr="00FA506F">
        <w:rPr>
          <w:lang w:val="es-ES"/>
        </w:rPr>
        <w:t>desafíos y la necesidad de una estrategia integral</w:t>
      </w:r>
      <w:r w:rsidR="005076DB" w:rsidRPr="00FA506F">
        <w:rPr>
          <w:lang w:val="es-ES"/>
        </w:rPr>
        <w:t xml:space="preserve"> e i</w:t>
      </w:r>
      <w:r w:rsidRPr="00FA506F">
        <w:rPr>
          <w:lang w:val="es-ES"/>
        </w:rPr>
        <w:t xml:space="preserve">nstó al Estado </w:t>
      </w:r>
      <w:r w:rsidR="00CC72A9" w:rsidRPr="00FA506F">
        <w:rPr>
          <w:lang w:val="es-ES"/>
        </w:rPr>
        <w:t>a implementar</w:t>
      </w:r>
      <w:r w:rsidRPr="00FA506F">
        <w:rPr>
          <w:lang w:val="es-ES"/>
        </w:rPr>
        <w:t xml:space="preserve"> una estrategia comprensiva que incluya diagnósticos claros y medidas específicas para evitar una visión meramente punitivista, abarcando capacitación, monitoreo y atención integral.</w:t>
      </w:r>
    </w:p>
    <w:p w14:paraId="30C59C10" w14:textId="77777777" w:rsidR="007B7AAF" w:rsidRPr="00FA506F" w:rsidRDefault="007B7AAF" w:rsidP="00CD2F8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2800DAB8"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1AB35BAE" w14:textId="77777777" w:rsidR="0012383C" w:rsidRPr="00616692" w:rsidRDefault="007B7AAF" w:rsidP="00B80A67">
      <w:pPr>
        <w:pStyle w:val="IAPrrafo"/>
        <w:numPr>
          <w:ilvl w:val="0"/>
          <w:numId w:val="4"/>
        </w:numPr>
        <w:tabs>
          <w:tab w:val="num" w:pos="720"/>
        </w:tabs>
        <w:ind w:firstLine="720"/>
        <w:rPr>
          <w:lang w:val="es-ES"/>
        </w:rPr>
      </w:pPr>
      <w:r w:rsidRPr="00FA506F">
        <w:rPr>
          <w:lang w:val="es-ES"/>
        </w:rPr>
        <w:t>En 2024, el Estado reportó que habría implementado una serie de medidas integrales con enfoque de género para abordar la violencia y discriminación contra las mujeres. Destac</w:t>
      </w:r>
      <w:r w:rsidR="00E966B1" w:rsidRPr="00FA506F">
        <w:rPr>
          <w:lang w:val="es-ES"/>
        </w:rPr>
        <w:t>ó</w:t>
      </w:r>
      <w:r w:rsidRPr="00FA506F">
        <w:rPr>
          <w:lang w:val="es-ES"/>
        </w:rPr>
        <w:t xml:space="preserve"> la Estrategia Integral contra la Violencia hacia las Mujeres y Niñas, aplicada en 15 municipios prioritarios, involucrando a 24 dependencias federales y más de 200 gobiernos locales. </w:t>
      </w:r>
      <w:r w:rsidR="00E966B1" w:rsidRPr="00FA506F">
        <w:rPr>
          <w:lang w:val="es-ES"/>
        </w:rPr>
        <w:t>Según México, e</w:t>
      </w:r>
      <w:r w:rsidRPr="00FA506F">
        <w:rPr>
          <w:lang w:val="es-ES"/>
        </w:rPr>
        <w:t>sta estrategia tiene como objetivo reducir los feminicidios y mejorar el acceso a la justicia, y ha resultado en la detención de 1</w:t>
      </w:r>
      <w:r w:rsidR="00317490" w:rsidRPr="00FA506F">
        <w:rPr>
          <w:lang w:val="es-ES"/>
        </w:rPr>
        <w:t>.</w:t>
      </w:r>
      <w:r w:rsidRPr="00FA506F">
        <w:rPr>
          <w:lang w:val="es-ES"/>
        </w:rPr>
        <w:t xml:space="preserve">437 personas implicadas en delitos de género. </w:t>
      </w:r>
      <w:r w:rsidR="00E966B1" w:rsidRPr="00FA506F">
        <w:rPr>
          <w:lang w:val="es-ES"/>
        </w:rPr>
        <w:t>También se reportó que l</w:t>
      </w:r>
      <w:r w:rsidR="006B4F48" w:rsidRPr="00FA506F">
        <w:rPr>
          <w:lang w:val="es-ES"/>
        </w:rPr>
        <w:t>os</w:t>
      </w:r>
      <w:r w:rsidRPr="00FA506F">
        <w:rPr>
          <w:lang w:val="es-ES"/>
        </w:rPr>
        <w:t> Centros de Justicia para las Mujeres (CJM) habrían incrementado sus servicios en un 5</w:t>
      </w:r>
      <w:r w:rsidR="00317490" w:rsidRPr="00FA506F">
        <w:rPr>
          <w:lang w:val="es-ES"/>
        </w:rPr>
        <w:t>,</w:t>
      </w:r>
      <w:r w:rsidRPr="00FA506F">
        <w:rPr>
          <w:lang w:val="es-ES"/>
        </w:rPr>
        <w:t>4%, proporcionando asesoría jurídica, atención psicológica, médica y refugios, apoyados por el Programa de Apoyo para Refugios Especializados, que ha recibido más de 2</w:t>
      </w:r>
      <w:r w:rsidR="00317490" w:rsidRPr="00FA506F">
        <w:rPr>
          <w:lang w:val="es-ES"/>
        </w:rPr>
        <w:t>.</w:t>
      </w:r>
      <w:r w:rsidRPr="00FA506F">
        <w:rPr>
          <w:lang w:val="es-ES"/>
        </w:rPr>
        <w:t xml:space="preserve">525 millones de pesos. En el ámbito legislativo, se habrían aprobado reformas significativas, como la modificación del Código Nacional de Procedimientos Civiles y Familiares (CNPCF) en 2023, para garantizar la perspectiva de género en los casos que involucren a mujeres y niños. </w:t>
      </w:r>
      <w:r w:rsidR="00E966B1" w:rsidRPr="00FA506F">
        <w:rPr>
          <w:lang w:val="es-ES"/>
        </w:rPr>
        <w:t>A su vez, l</w:t>
      </w:r>
      <w:r w:rsidRPr="00FA506F">
        <w:rPr>
          <w:lang w:val="es-ES"/>
        </w:rPr>
        <w:t xml:space="preserve">a Ley General de Acceso de las Mujeres a una Vida Libre de Violencia </w:t>
      </w:r>
      <w:r w:rsidR="00E966B1" w:rsidRPr="00FA506F">
        <w:rPr>
          <w:lang w:val="es-ES"/>
        </w:rPr>
        <w:t>se</w:t>
      </w:r>
      <w:r w:rsidRPr="00FA506F">
        <w:rPr>
          <w:lang w:val="es-ES"/>
        </w:rPr>
        <w:t xml:space="preserve"> habría fortalecido para abordar el acoso sexual en espacios públicos y mejorar la coordinación interinstitucional. </w:t>
      </w:r>
      <w:r w:rsidR="00E966B1" w:rsidRPr="00FA506F">
        <w:rPr>
          <w:lang w:val="es-ES"/>
        </w:rPr>
        <w:t>El Estado agregó que s</w:t>
      </w:r>
      <w:r w:rsidR="006B4F48" w:rsidRPr="00FA506F">
        <w:rPr>
          <w:lang w:val="es-ES"/>
        </w:rPr>
        <w:t>e</w:t>
      </w:r>
      <w:r w:rsidRPr="00FA506F">
        <w:rPr>
          <w:lang w:val="es-ES"/>
        </w:rPr>
        <w:t xml:space="preserve"> creó la Comisión para la Atención del Delito de Homicidio Doloso, encabezada por la Secretaría de Seguridad y Protección Ciudadana (SSPC), para mejorar la judicialización de casos de </w:t>
      </w:r>
      <w:r w:rsidRPr="00616692">
        <w:rPr>
          <w:lang w:val="es-ES"/>
        </w:rPr>
        <w:t xml:space="preserve">feminicidio. </w:t>
      </w:r>
    </w:p>
    <w:p w14:paraId="09A8B5EF" w14:textId="1D4AA3DA" w:rsidR="0012383C" w:rsidRPr="00616692" w:rsidRDefault="007B7AAF" w:rsidP="0012383C">
      <w:pPr>
        <w:pStyle w:val="IAPrrafo"/>
        <w:numPr>
          <w:ilvl w:val="0"/>
          <w:numId w:val="4"/>
        </w:numPr>
        <w:tabs>
          <w:tab w:val="num" w:pos="720"/>
        </w:tabs>
        <w:ind w:firstLine="720"/>
        <w:rPr>
          <w:lang w:val="es-ES"/>
        </w:rPr>
      </w:pPr>
      <w:r w:rsidRPr="00616692">
        <w:rPr>
          <w:lang w:val="es-ES"/>
        </w:rPr>
        <w:t>En términos de capacitación, la</w:t>
      </w:r>
      <w:r w:rsidR="00CB0E7A" w:rsidRPr="00616692">
        <w:rPr>
          <w:lang w:val="es-ES"/>
        </w:rPr>
        <w:t xml:space="preserve"> </w:t>
      </w:r>
      <w:r w:rsidRPr="00616692">
        <w:rPr>
          <w:lang w:val="es-ES"/>
        </w:rPr>
        <w:t>SCJN habría capacitado a más de 152</w:t>
      </w:r>
      <w:r w:rsidR="00317490" w:rsidRPr="00616692">
        <w:rPr>
          <w:lang w:val="es-ES"/>
        </w:rPr>
        <w:t>.</w:t>
      </w:r>
      <w:r w:rsidRPr="00616692">
        <w:rPr>
          <w:lang w:val="es-ES"/>
        </w:rPr>
        <w:t xml:space="preserve">000 servidores públicos desde 2018, incluyendo fiscales, jueces y policías, para abordar la violencia de género desde un enfoque de derechos humanos. Protocolos especializados, como el Protocolo Nacional de Actuación Policial ante Casos de Violencia contra las Mujeres y Feminicidio, habrían sido implementados para mejorar la respuesta de las autoridades. </w:t>
      </w:r>
      <w:r w:rsidR="00E966B1" w:rsidRPr="00616692">
        <w:rPr>
          <w:lang w:val="es-ES"/>
        </w:rPr>
        <w:t>Finalmente, l</w:t>
      </w:r>
      <w:r w:rsidR="006B4F48" w:rsidRPr="00616692">
        <w:rPr>
          <w:lang w:val="es-ES"/>
        </w:rPr>
        <w:t>a</w:t>
      </w:r>
      <w:r w:rsidRPr="00616692">
        <w:rPr>
          <w:lang w:val="es-ES"/>
        </w:rPr>
        <w:t> Estrategia Nacional para la Prevención del Embarazo en Adolescentes (ENAPEA) habría logrado una reducción del 30% en la tasa de fecundidad adolescente en los últimos cinco años</w:t>
      </w:r>
      <w:r w:rsidR="000A7348" w:rsidRPr="00616692">
        <w:rPr>
          <w:rStyle w:val="FootnoteReference"/>
          <w:lang w:val="es-ES"/>
        </w:rPr>
        <w:footnoteReference w:id="171"/>
      </w:r>
      <w:r w:rsidRPr="00616692">
        <w:rPr>
          <w:lang w:val="es-ES"/>
        </w:rPr>
        <w:t>.</w:t>
      </w:r>
      <w:r w:rsidR="0012383C" w:rsidRPr="00616692">
        <w:rPr>
          <w:lang w:val="es-ES"/>
        </w:rPr>
        <w:t xml:space="preserve"> En sus observaciones al presente </w:t>
      </w:r>
      <w:r w:rsidR="002C00AA" w:rsidRPr="00616692">
        <w:rPr>
          <w:lang w:val="es-ES"/>
        </w:rPr>
        <w:t>I</w:t>
      </w:r>
      <w:r w:rsidR="0012383C" w:rsidRPr="00616692">
        <w:rPr>
          <w:lang w:val="es-ES"/>
        </w:rPr>
        <w:t>nforme, el Estado agregó que</w:t>
      </w:r>
      <w:r w:rsidR="002C00AA" w:rsidRPr="00616692">
        <w:rPr>
          <w:lang w:val="es-ES"/>
        </w:rPr>
        <w:t>,</w:t>
      </w:r>
      <w:r w:rsidR="0012383C" w:rsidRPr="00616692">
        <w:rPr>
          <w:lang w:val="es-ES"/>
        </w:rPr>
        <w:t xml:space="preserve"> en 2024, la inversión aprobada para los programas clave (Programa de Apoyo a Instancias de Mujeres en las Entidades Federativas - PAIMEF, Centros de Justicia para las Mujeres - CJM y Refugios Especializados para Mujeres Víctimas de Violencia de Género) fue de 1</w:t>
      </w:r>
      <w:r w:rsidR="002C00AA" w:rsidRPr="00616692">
        <w:rPr>
          <w:lang w:val="es-ES"/>
        </w:rPr>
        <w:t>.</w:t>
      </w:r>
      <w:r w:rsidR="0012383C" w:rsidRPr="00616692">
        <w:rPr>
          <w:lang w:val="es-ES"/>
        </w:rPr>
        <w:t>067</w:t>
      </w:r>
      <w:r w:rsidR="002C00AA" w:rsidRPr="00616692">
        <w:rPr>
          <w:lang w:val="es-ES"/>
        </w:rPr>
        <w:t>,</w:t>
      </w:r>
      <w:r w:rsidR="0012383C" w:rsidRPr="00616692">
        <w:rPr>
          <w:lang w:val="es-ES"/>
        </w:rPr>
        <w:t>6 millones de pesos, sumando un total de 5</w:t>
      </w:r>
      <w:r w:rsidR="002C00AA" w:rsidRPr="00616692">
        <w:rPr>
          <w:lang w:val="es-ES"/>
        </w:rPr>
        <w:t>.</w:t>
      </w:r>
      <w:r w:rsidR="0012383C" w:rsidRPr="00616692">
        <w:rPr>
          <w:lang w:val="es-ES"/>
        </w:rPr>
        <w:t>597</w:t>
      </w:r>
      <w:r w:rsidR="002C00AA" w:rsidRPr="00616692">
        <w:rPr>
          <w:lang w:val="es-ES"/>
        </w:rPr>
        <w:t>,</w:t>
      </w:r>
      <w:r w:rsidR="0012383C" w:rsidRPr="00616692">
        <w:rPr>
          <w:lang w:val="es-ES"/>
        </w:rPr>
        <w:t xml:space="preserve">8 millones de pesos durante todo el sexenio. </w:t>
      </w:r>
      <w:r w:rsidR="00CD2F81" w:rsidRPr="00616692">
        <w:rPr>
          <w:lang w:val="es-ES"/>
        </w:rPr>
        <w:t>Además,</w:t>
      </w:r>
      <w:r w:rsidR="0012383C" w:rsidRPr="00616692">
        <w:rPr>
          <w:lang w:val="es-ES"/>
        </w:rPr>
        <w:t xml:space="preserve"> el Banco Nacional de Datos e Información sobre Casos de Violencia contra las Mujeres (BANAVIM) se modernizó para optimizar la gestión de casos de violencia de género</w:t>
      </w:r>
      <w:r w:rsidR="0012383C" w:rsidRPr="00616692">
        <w:rPr>
          <w:rStyle w:val="FootnoteReference"/>
          <w:lang w:val="es-ES"/>
        </w:rPr>
        <w:footnoteReference w:id="172"/>
      </w:r>
      <w:r w:rsidR="0012383C" w:rsidRPr="00616692">
        <w:rPr>
          <w:lang w:val="es-ES"/>
        </w:rPr>
        <w:t>.</w:t>
      </w:r>
    </w:p>
    <w:p w14:paraId="26F762B5" w14:textId="77777777" w:rsidR="007B7AAF" w:rsidRPr="00616692" w:rsidRDefault="007B7AAF" w:rsidP="00CD2F81">
      <w:pPr>
        <w:ind w:firstLine="720"/>
        <w:jc w:val="both"/>
        <w:rPr>
          <w:rFonts w:ascii="Cambria" w:eastAsia="Cambria" w:hAnsi="Cambria" w:cs="Cambria"/>
          <w:i/>
          <w:iCs/>
          <w:color w:val="000000" w:themeColor="text1"/>
          <w:sz w:val="20"/>
          <w:szCs w:val="20"/>
          <w:lang w:val="es-ES"/>
        </w:rPr>
      </w:pPr>
      <w:r w:rsidRPr="00616692">
        <w:rPr>
          <w:rFonts w:ascii="Cambria" w:eastAsia="Cambria" w:hAnsi="Cambria" w:cs="Cambria"/>
          <w:i/>
          <w:iCs/>
          <w:color w:val="000000" w:themeColor="text1"/>
          <w:sz w:val="20"/>
          <w:szCs w:val="20"/>
          <w:lang w:val="es-ES"/>
        </w:rPr>
        <w:t>Análisis y nivel de cumplimiento de la recomendación</w:t>
      </w:r>
    </w:p>
    <w:p w14:paraId="7B928009" w14:textId="77777777" w:rsidR="007B7AAF" w:rsidRPr="00616692" w:rsidRDefault="007B7AAF" w:rsidP="00B80A67">
      <w:pPr>
        <w:ind w:firstLine="360"/>
        <w:jc w:val="both"/>
        <w:rPr>
          <w:rFonts w:ascii="Cambria" w:eastAsia="Cambria" w:hAnsi="Cambria" w:cs="Cambria"/>
          <w:i/>
          <w:iCs/>
          <w:color w:val="000000" w:themeColor="text1"/>
          <w:sz w:val="20"/>
          <w:szCs w:val="20"/>
          <w:lang w:val="es-ES"/>
        </w:rPr>
      </w:pPr>
    </w:p>
    <w:p w14:paraId="53EEDEE4" w14:textId="1B427749" w:rsidR="00C15897" w:rsidRPr="00FA506F" w:rsidRDefault="007B7AAF" w:rsidP="00B80A67">
      <w:pPr>
        <w:pStyle w:val="IAPrrafo"/>
        <w:numPr>
          <w:ilvl w:val="0"/>
          <w:numId w:val="4"/>
        </w:numPr>
        <w:tabs>
          <w:tab w:val="num" w:pos="720"/>
        </w:tabs>
        <w:ind w:firstLine="720"/>
        <w:rPr>
          <w:lang w:val="es-ES"/>
        </w:rPr>
      </w:pPr>
      <w:r w:rsidRPr="00616692">
        <w:rPr>
          <w:lang w:val="es-ES"/>
        </w:rPr>
        <w:t>La CIDH valora de manera positiva los avances significativos del Estado en el diseño e implementación de políticas públicas, programas y reformas legislativas orientadas a prevenir, sancionar y erradicar la violencia contra las mujeres, integrando un enfoque de género. La ejecución de la</w:t>
      </w:r>
      <w:r w:rsidRPr="00616692">
        <w:rPr>
          <w:rStyle w:val="apple-converted-space"/>
          <w:lang w:val="es-ES"/>
        </w:rPr>
        <w:t> </w:t>
      </w:r>
      <w:r w:rsidRPr="00616692">
        <w:rPr>
          <w:rStyle w:val="Strong"/>
          <w:b w:val="0"/>
          <w:bCs w:val="0"/>
          <w:lang w:val="es-ES"/>
        </w:rPr>
        <w:t>Estrategia Integral contra la Violencia hacia las Mujeres y Niñas</w:t>
      </w:r>
      <w:r w:rsidRPr="00616692">
        <w:rPr>
          <w:rStyle w:val="apple-converted-space"/>
          <w:lang w:val="es-ES"/>
        </w:rPr>
        <w:t> </w:t>
      </w:r>
      <w:r w:rsidRPr="00616692">
        <w:rPr>
          <w:lang w:val="es-ES"/>
        </w:rPr>
        <w:t>y los esfuerzos para fortalecer los</w:t>
      </w:r>
      <w:r w:rsidRPr="00616692">
        <w:rPr>
          <w:rStyle w:val="apple-converted-space"/>
          <w:lang w:val="es-ES"/>
        </w:rPr>
        <w:t> </w:t>
      </w:r>
      <w:r w:rsidRPr="00616692">
        <w:rPr>
          <w:rStyle w:val="Strong"/>
          <w:b w:val="0"/>
          <w:bCs w:val="0"/>
          <w:lang w:val="es-ES"/>
        </w:rPr>
        <w:t>Centros de Justicia para las Mujeres</w:t>
      </w:r>
      <w:r w:rsidRPr="00616692">
        <w:rPr>
          <w:rStyle w:val="apple-converted-space"/>
          <w:lang w:val="es-ES"/>
        </w:rPr>
        <w:t> </w:t>
      </w:r>
      <w:r w:rsidRPr="00616692">
        <w:rPr>
          <w:lang w:val="es-ES"/>
        </w:rPr>
        <w:t>reflejan una respuesta coherente y coordinada a los desafíos de la violencia de género en México. La capacitación masiva de servidores</w:t>
      </w:r>
      <w:r w:rsidR="00E966B1" w:rsidRPr="00616692">
        <w:rPr>
          <w:lang w:val="es-ES"/>
        </w:rPr>
        <w:t xml:space="preserve"> y servidoras</w:t>
      </w:r>
      <w:r w:rsidRPr="00616692">
        <w:rPr>
          <w:lang w:val="es-ES"/>
        </w:rPr>
        <w:t xml:space="preserve"> públic</w:t>
      </w:r>
      <w:r w:rsidR="00E966B1" w:rsidRPr="00616692">
        <w:rPr>
          <w:lang w:val="es-ES"/>
        </w:rPr>
        <w:t>a</w:t>
      </w:r>
      <w:r w:rsidRPr="00616692">
        <w:rPr>
          <w:lang w:val="es-ES"/>
        </w:rPr>
        <w:t>s, así como la implementación de protocolos especializados, indican un compromiso claro con el fortalecimiento de</w:t>
      </w:r>
      <w:r w:rsidRPr="00FA506F">
        <w:rPr>
          <w:lang w:val="es-ES"/>
        </w:rPr>
        <w:t xml:space="preserve"> capacidades institucionales para abordar la violencia de género. Sin embargo, </w:t>
      </w:r>
      <w:r w:rsidR="00E966B1" w:rsidRPr="00FA506F">
        <w:rPr>
          <w:lang w:val="es-ES"/>
        </w:rPr>
        <w:t xml:space="preserve">a criterio de la CIDH, </w:t>
      </w:r>
      <w:r w:rsidRPr="00FA506F">
        <w:rPr>
          <w:lang w:val="es-ES"/>
        </w:rPr>
        <w:t xml:space="preserve">persisten desafíos en la implementación uniforme de estas medidas en todo el país, especialmente en zonas rurales y municipios con altos índices de violencia. La información proporcionada por organizaciones de la sociedad civil destaca vacíos en la recopilación de datos y en la coordinación interinstitucional, así como el uso persistente de modelos punitivos en los Centros de Justicia para la Mujer, que pueden limitar el acceso a la justicia para las víctimas. Dado el progreso sustancial en la creación de marcos normativos y la implementación de estrategias integrales, y considerando los desafíos persistentes en la aplicación práctica y en la recolección de datos desagregados, se concluye que el nivel de cumplimiento </w:t>
      </w:r>
      <w:r w:rsidR="008A7252" w:rsidRPr="00FA506F">
        <w:rPr>
          <w:lang w:val="es-ES"/>
        </w:rPr>
        <w:t>avanza</w:t>
      </w:r>
      <w:r w:rsidRPr="00FA506F">
        <w:rPr>
          <w:lang w:val="es-ES"/>
        </w:rPr>
        <w:t xml:space="preserve"> a</w:t>
      </w:r>
      <w:r w:rsidRPr="00FA506F">
        <w:rPr>
          <w:rStyle w:val="apple-converted-space"/>
          <w:lang w:val="es-ES"/>
        </w:rPr>
        <w:t> </w:t>
      </w:r>
      <w:r w:rsidRPr="00FA506F">
        <w:rPr>
          <w:rStyle w:val="Strong"/>
          <w:lang w:val="es-ES"/>
        </w:rPr>
        <w:t>cumplimiento parcial sustancial</w:t>
      </w:r>
      <w:r w:rsidRPr="00FA506F">
        <w:rPr>
          <w:lang w:val="es-ES"/>
        </w:rPr>
        <w:t>.</w:t>
      </w:r>
    </w:p>
    <w:p w14:paraId="3B7FB1D4" w14:textId="77777777" w:rsidR="007B7AAF" w:rsidRPr="00FA506F" w:rsidRDefault="007B7AAF" w:rsidP="00CD2F8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2CD5F885"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27ABCC60" w14:textId="5FE6DADF"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Para el cumplimiento total de la recomendación, es necesario que el Estado fortalezca la implementación uniforme de los programas y protocolos en todas las entidades federativas, con especial atención a las zonas rurales y comunidades con altos índices de violencia de género. </w:t>
      </w:r>
      <w:r w:rsidR="006B4F48" w:rsidRPr="00FA506F">
        <w:rPr>
          <w:lang w:val="es-ES"/>
        </w:rPr>
        <w:t>El Estado</w:t>
      </w:r>
      <w:r w:rsidRPr="00FA506F">
        <w:rPr>
          <w:lang w:val="es-ES"/>
        </w:rPr>
        <w:t xml:space="preserve"> debe mejorar la recopilación de datos desagregados para monitorear el impacto de las políticas implementadas y ajustar las estrategias según sea necesario, garantizando un enfoque basado en evidencia. Es fundamental desarrollar una estrategia integral de capacitación continua en colaboración con organizaciones de la sociedad civil, asegurando que todos los servidores públicos, incluidos los operadores de justicia y personal de salud, cuenten con conocimientos actualizados sobre la debida diligencia en casos de violencia de género. El Estado debe promover un enfoque de atención integral para las víctimas, evitando modelos meramente punitivos y garantizando el acceso a servicios de salud, asesoría jurídica y apoyo psicológico, con un enfoque centrado en las necesidades de las víctimas. Por último, es </w:t>
      </w:r>
      <w:r w:rsidR="005A66EE" w:rsidRPr="00FA506F">
        <w:rPr>
          <w:lang w:val="es-ES"/>
        </w:rPr>
        <w:t xml:space="preserve">crucial </w:t>
      </w:r>
      <w:r w:rsidRPr="00FA506F">
        <w:rPr>
          <w:lang w:val="es-ES"/>
        </w:rPr>
        <w:t>fortalecer los mecanismos de monitoreo y evaluación, asegurando la participación de organizaciones de la sociedad civil y de las propias mujeres afectadas, para evaluar la efectividad de las medidas adoptadas y garantizar una respuesta coordinada y efectiva.</w:t>
      </w:r>
    </w:p>
    <w:p w14:paraId="04CC5259" w14:textId="77777777" w:rsidR="007B7AAF" w:rsidRPr="00FA506F" w:rsidRDefault="007B7AAF"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41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Adoptar las medidas necesarias para prevenir, castigar y erradicar hechos de violencia sexual y otras formas de violencia, tortura y tratos crueles, inhumanos o degradantes por parte de las fuerzas de seguridad en contra de las mujeres, especialmente aquellas privadas de libertad.</w:t>
      </w:r>
    </w:p>
    <w:p w14:paraId="2D7FE125" w14:textId="77777777" w:rsidR="007B7AAF" w:rsidRPr="00FA506F" w:rsidRDefault="007B7AAF" w:rsidP="00B80A67">
      <w:pPr>
        <w:jc w:val="both"/>
        <w:rPr>
          <w:rFonts w:ascii="Cambria" w:eastAsia="Cambria" w:hAnsi="Cambria" w:cs="Cambria"/>
          <w:i/>
          <w:iCs/>
          <w:color w:val="000000" w:themeColor="text1"/>
          <w:sz w:val="20"/>
          <w:szCs w:val="20"/>
          <w:lang w:val="es-ES"/>
        </w:rPr>
      </w:pPr>
    </w:p>
    <w:p w14:paraId="1DED26DA" w14:textId="00E76185" w:rsidR="007B7AAF" w:rsidRPr="00FA506F" w:rsidRDefault="007B7AAF" w:rsidP="00B80A67">
      <w:pPr>
        <w:pStyle w:val="IAPrrafo"/>
        <w:numPr>
          <w:ilvl w:val="0"/>
          <w:numId w:val="4"/>
        </w:numPr>
        <w:tabs>
          <w:tab w:val="num" w:pos="720"/>
        </w:tabs>
        <w:ind w:firstLine="720"/>
        <w:rPr>
          <w:lang w:val="es-ES"/>
        </w:rPr>
      </w:pPr>
      <w:r w:rsidRPr="00FA506F">
        <w:rPr>
          <w:lang w:val="es-ES"/>
        </w:rPr>
        <w:t>En el Capítulo V del Informe Anual de 2023, el Estado reportó que la Secretaría de Seguridad y Protección Ciudadana (SSPC) difundió material sobre tortura sexual en los Centros Federales de Readaptación Social y que el Comisionado de Prevención instruyó al personal penitenciario sobre la prohibición de la tortura, buscando asegurar condiciones dignas para las personas privadas de libertad, especialmente mujeres. Aunque estas acciones son positivas, la CIDH observó que la información no aborda</w:t>
      </w:r>
      <w:r w:rsidR="005A66EE" w:rsidRPr="00FA506F">
        <w:rPr>
          <w:lang w:val="es-ES"/>
        </w:rPr>
        <w:t>ba</w:t>
      </w:r>
      <w:r w:rsidRPr="00FA506F">
        <w:rPr>
          <w:lang w:val="es-ES"/>
        </w:rPr>
        <w:t xml:space="preserve"> completamente los aspectos de castigo y erradicación de la tortura y otros tratos crueles hacia las mujeres bajo custodia. </w:t>
      </w:r>
      <w:r w:rsidR="005076DB" w:rsidRPr="00FA506F">
        <w:rPr>
          <w:lang w:val="es-ES"/>
        </w:rPr>
        <w:t>El Estado</w:t>
      </w:r>
      <w:r w:rsidRPr="00FA506F">
        <w:rPr>
          <w:lang w:val="es-ES"/>
        </w:rPr>
        <w:t xml:space="preserve"> mencionó un Diagnóstico Nacional sobre Tortura Sexual con 67 recomendaciones, pero no se reportaron avances en su implementación. Por lo tanto, se consideró que la recomendación avanzó a cumplimiento parcial. La CIDH instó al Estado a presentar medidas más completas para prevenir, castigar y erradicar la tortura y tratos degradantes, especialmente para las mujeres privadas de libertad</w:t>
      </w:r>
      <w:r w:rsidRPr="00FA506F">
        <w:rPr>
          <w:rStyle w:val="FootnoteReference"/>
          <w:lang w:val="es-ES"/>
        </w:rPr>
        <w:footnoteReference w:id="173"/>
      </w:r>
      <w:r w:rsidRPr="00FA506F">
        <w:rPr>
          <w:lang w:val="es-ES"/>
        </w:rPr>
        <w:t>.</w:t>
      </w:r>
    </w:p>
    <w:p w14:paraId="2DF84DF1" w14:textId="77777777" w:rsidR="007B7AAF" w:rsidRPr="00FA506F" w:rsidRDefault="007B7AAF" w:rsidP="00CD2F8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29D2DABD"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191E4361" w14:textId="5DA79EF7" w:rsidR="007B7AAF" w:rsidRPr="00616692" w:rsidRDefault="007B7AAF" w:rsidP="00CF56A9">
      <w:pPr>
        <w:pStyle w:val="IAPrrafo"/>
        <w:numPr>
          <w:ilvl w:val="0"/>
          <w:numId w:val="4"/>
        </w:numPr>
        <w:tabs>
          <w:tab w:val="num" w:pos="720"/>
        </w:tabs>
        <w:ind w:firstLine="720"/>
        <w:rPr>
          <w:lang w:val="es-ES"/>
        </w:rPr>
      </w:pPr>
      <w:r w:rsidRPr="00FA506F">
        <w:rPr>
          <w:lang w:val="es-ES"/>
        </w:rPr>
        <w:t>En 2024 el Estado reportó la implementación</w:t>
      </w:r>
      <w:r w:rsidR="005A66EE" w:rsidRPr="00FA506F">
        <w:rPr>
          <w:lang w:val="es-ES"/>
        </w:rPr>
        <w:t xml:space="preserve"> de</w:t>
      </w:r>
      <w:r w:rsidRPr="00FA506F">
        <w:rPr>
          <w:lang w:val="es-ES"/>
        </w:rPr>
        <w:t xml:space="preserve"> diversas acciones para abordar la prevención, castigo y erradicación de la tortura y otros tratos crueles e inhumanos contra mujeres, especialmente en situaciones de privación de libertad. Entre las medidas más destacadas, la SEDENA y CNDH organizaron 81 cursos en línea sobre derechos humanos, desplazamiento forzado y prevención de la tortura, capacitando a 2</w:t>
      </w:r>
      <w:r w:rsidR="00317490" w:rsidRPr="00FA506F">
        <w:rPr>
          <w:lang w:val="es-ES"/>
        </w:rPr>
        <w:t>.</w:t>
      </w:r>
      <w:r w:rsidRPr="00FA506F">
        <w:rPr>
          <w:lang w:val="es-ES"/>
        </w:rPr>
        <w:t xml:space="preserve">729 elementos de las Fuerzas Armadas. Estas capacitaciones habrían fortalecido el conocimiento y la sensibilización en el ámbito militar sobre los derechos humanos, incluyendo la prohibición de la tortura. El Mecanismo de Seguimiento de Casos de Tortura Sexual </w:t>
      </w:r>
      <w:r w:rsidRPr="00616692">
        <w:rPr>
          <w:lang w:val="es-ES"/>
        </w:rPr>
        <w:t>Cometida contra Mujeres (MTS), creado para abordar esta problemática, habría promovido 67 recomendaciones derivadas del Diagnóstico Nacional sobre Tortura Sexual. Estas recomendaciones buscan visibilizar la tortura sexual, identificar desafíos y colocarlas en la agenda pública. En diciembre de 2023, el MTS organizó una Jornada de Salud en el Centro Federal de Readaptación Social Femenil Morelos, donde se brindó atención médica integral a mujeres privadas de libertad, abarcando aspectos de salud física y mental</w:t>
      </w:r>
      <w:r w:rsidR="00902744" w:rsidRPr="00616692">
        <w:rPr>
          <w:rStyle w:val="FootnoteReference"/>
          <w:lang w:val="es-ES"/>
        </w:rPr>
        <w:footnoteReference w:id="174"/>
      </w:r>
      <w:r w:rsidRPr="00616692">
        <w:rPr>
          <w:lang w:val="es-ES"/>
        </w:rPr>
        <w:t>.</w:t>
      </w:r>
      <w:r w:rsidR="00CF56A9" w:rsidRPr="00616692">
        <w:rPr>
          <w:lang w:val="es-ES"/>
        </w:rPr>
        <w:t xml:space="preserve"> El Estado agregó que en 2024 se implementó el Mecanismo y Criterios para la Elaboración de Programas Anuales de Capacitación, basado en un diagnóstico de necesidades de formación. La incorporación de la Conferencia Nacional de Gobernadores (CONAGO) en 2023</w:t>
      </w:r>
      <w:r w:rsidR="0094522B" w:rsidRPr="00616692">
        <w:rPr>
          <w:lang w:val="es-ES"/>
        </w:rPr>
        <w:t>,</w:t>
      </w:r>
      <w:r w:rsidR="00CF56A9" w:rsidRPr="00616692">
        <w:rPr>
          <w:lang w:val="es-ES"/>
        </w:rPr>
        <w:t xml:space="preserve"> como invitada permanente al mecanismo de coordinación nacional</w:t>
      </w:r>
      <w:r w:rsidR="00615B82" w:rsidRPr="00616692">
        <w:rPr>
          <w:lang w:val="es-ES"/>
        </w:rPr>
        <w:t>,</w:t>
      </w:r>
      <w:r w:rsidR="00CF56A9" w:rsidRPr="00616692">
        <w:rPr>
          <w:lang w:val="es-ES"/>
        </w:rPr>
        <w:t xml:space="preserve"> reforzó la colaboración entre distintos niveles de gobierno, impulsando la implementación de políticas de prevención y erradicación de la violencia</w:t>
      </w:r>
      <w:r w:rsidR="00CF56A9" w:rsidRPr="00616692">
        <w:rPr>
          <w:rStyle w:val="FootnoteReference"/>
          <w:lang w:val="es-ES"/>
        </w:rPr>
        <w:footnoteReference w:id="175"/>
      </w:r>
      <w:r w:rsidR="00CF56A9" w:rsidRPr="00616692">
        <w:rPr>
          <w:lang w:val="es-ES"/>
        </w:rPr>
        <w:t>.</w:t>
      </w:r>
    </w:p>
    <w:p w14:paraId="0C5F82F5" w14:textId="5BFC8EBB" w:rsidR="007B7AAF" w:rsidRPr="00FA506F" w:rsidRDefault="007B7AAF" w:rsidP="00B80A67">
      <w:pPr>
        <w:pStyle w:val="IAPrrafo"/>
        <w:ind w:left="720"/>
        <w:rPr>
          <w:rFonts w:eastAsia="Cambria" w:cs="Cambria"/>
          <w:i/>
          <w:iCs/>
          <w:color w:val="000000" w:themeColor="text1"/>
          <w:szCs w:val="20"/>
          <w:lang w:val="es-ES"/>
        </w:rPr>
      </w:pPr>
      <w:r w:rsidRPr="00616692">
        <w:rPr>
          <w:rFonts w:eastAsia="Cambria" w:cs="Cambria"/>
          <w:i/>
          <w:iCs/>
          <w:color w:val="000000" w:themeColor="text1"/>
          <w:szCs w:val="20"/>
          <w:lang w:val="es-ES"/>
        </w:rPr>
        <w:t>Análisis y nivel de cumplimiento de la recomendación</w:t>
      </w:r>
    </w:p>
    <w:p w14:paraId="472FAAB3" w14:textId="6B48D031"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La CIDH reconoce que el Estado ha adoptado medidas importantes para prevenir, castigar y erradicar la tortura y otros tratos crueles e inhumanos contra mujeres, especialmente aquellas privadas de libertad. Las capacitaciones en derechos humanos dirigidas a elementos de las Fuerzas Armadas y el impulso del Mecanismo de Seguimiento de Casos de Tortura Sexual representan esfuerzos notables para abordar esta problemática desde un enfoque integral y de derechos humanos. La atención brindada a través de jornadas de salud en centros de readaptación social y las resoluciones de reparación integral emitidas por la CEAV reflejan un compromiso con la reparación de las víctimas. No obstante, a pesar de estos avances, persisten desafíos significativos, como la implementación efectiva de las 67 recomendaciones derivadas del Diagnóstico Nacional sobre Tortura Sexual, y la falta de información sobre sanciones específicas para los perpetradores. La persistencia de la tortura sexual y otros tratos degradantes, así como la necesidad de una mayor coordinación interinstitucional y monitoreo de las acciones implementadas, indican que aún no se ha logrado un cumplimiento pleno de la recomendación. Por lo tanto, se concluye que el nivel de cumplimiento </w:t>
      </w:r>
      <w:r w:rsidR="00816AE6" w:rsidRPr="00FA506F">
        <w:rPr>
          <w:lang w:val="es-ES"/>
        </w:rPr>
        <w:t>avanza</w:t>
      </w:r>
      <w:r w:rsidRPr="00FA506F">
        <w:rPr>
          <w:lang w:val="es-ES"/>
        </w:rPr>
        <w:t xml:space="preserve"> a </w:t>
      </w:r>
      <w:r w:rsidRPr="00FA506F">
        <w:rPr>
          <w:b/>
          <w:bCs/>
          <w:lang w:val="es-ES"/>
        </w:rPr>
        <w:t>cumplimiento parcial sustancial,</w:t>
      </w:r>
      <w:r w:rsidRPr="00FA506F">
        <w:rPr>
          <w:lang w:val="es-ES"/>
        </w:rPr>
        <w:t xml:space="preserve"> considerando los avances tangibles logrados, pero reconociendo que aún existen áreas críticas que requieren atención.</w:t>
      </w:r>
    </w:p>
    <w:p w14:paraId="0AB469A0" w14:textId="77777777" w:rsidR="007B7AAF" w:rsidRPr="00FA506F" w:rsidRDefault="007B7AAF" w:rsidP="00CD2F8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4644D55F" w14:textId="77777777" w:rsidR="007B7AAF" w:rsidRPr="00FA506F" w:rsidRDefault="007B7AAF" w:rsidP="00B80A67">
      <w:pPr>
        <w:pStyle w:val="parrafos"/>
        <w:numPr>
          <w:ilvl w:val="0"/>
          <w:numId w:val="0"/>
        </w:numPr>
        <w:ind w:firstLine="360"/>
        <w:rPr>
          <w:lang w:val="es-ES"/>
        </w:rPr>
      </w:pPr>
    </w:p>
    <w:p w14:paraId="59BA8AD5" w14:textId="3667956C" w:rsidR="007B7AAF" w:rsidRPr="00FA506F" w:rsidRDefault="007B7AAF" w:rsidP="00B80A67">
      <w:pPr>
        <w:pStyle w:val="IAPrrafo"/>
        <w:numPr>
          <w:ilvl w:val="0"/>
          <w:numId w:val="4"/>
        </w:numPr>
        <w:tabs>
          <w:tab w:val="num" w:pos="720"/>
        </w:tabs>
        <w:ind w:firstLine="720"/>
        <w:rPr>
          <w:lang w:val="es-ES"/>
        </w:rPr>
      </w:pPr>
      <w:r w:rsidRPr="00FA506F">
        <w:rPr>
          <w:lang w:val="es-ES"/>
        </w:rPr>
        <w:t>La CIDH invita al Estado a reforzar la implementación de las 67 recomendaciones del Diagnóstico Nacional sobre Tortura Sexual, asegurando su adopción tanto a nivel federal como estatal</w:t>
      </w:r>
      <w:r w:rsidR="005A66EE" w:rsidRPr="00FA506F">
        <w:rPr>
          <w:lang w:val="es-ES"/>
        </w:rPr>
        <w:t>,</w:t>
      </w:r>
      <w:r w:rsidR="008C2DA5" w:rsidRPr="00FA506F">
        <w:rPr>
          <w:lang w:val="es-ES"/>
        </w:rPr>
        <w:t xml:space="preserve"> y </w:t>
      </w:r>
      <w:r w:rsidR="005A66EE" w:rsidRPr="00FA506F">
        <w:rPr>
          <w:lang w:val="es-ES"/>
        </w:rPr>
        <w:t xml:space="preserve">a </w:t>
      </w:r>
      <w:r w:rsidRPr="00FA506F">
        <w:rPr>
          <w:lang w:val="es-ES"/>
        </w:rPr>
        <w:t>fortalecer los mecanismos de sanción para los perpetradores de tortura sexual y otros tratos crueles, inhumanos o degradantes, garantizando que los casos sean investigados con debida diligencia y se impongan sanciones proporcionales a la gravedad de los actos cometidos. Es fundamental incrementar la coordinación interinstitucional y el monitoreo de las acciones del MTS para asegurar una respuesta integral a los casos de tortura sexual. Finalmente, se debe continuar fortaleciendo la capacitación en derechos humanos para el personal de las fuerzas de seguridad y del sistema penitenciario, con un enfoque específico en la prevención de la tortura y el respeto a los derechos de las mujeres privadas de libertad.</w:t>
      </w:r>
    </w:p>
    <w:p w14:paraId="646CE7BE" w14:textId="77777777" w:rsidR="007B7AAF" w:rsidRPr="00FA506F" w:rsidRDefault="007B7AAF"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43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Adoptar políticas públicas destinadas a reestructurar los estereotipos sobre el rol de las mujeres en la sociedad y promover la erradicación de patrones socioculturales discriminatorios que impiden su acceso a la justicia, incluyendo programas de capacitación y políticas integrales de prevención de la violencia contra las mujeres. </w:t>
      </w:r>
    </w:p>
    <w:p w14:paraId="4103401C" w14:textId="77777777" w:rsidR="007B7AAF" w:rsidRPr="00FA506F" w:rsidRDefault="007B7AAF" w:rsidP="00B80A67">
      <w:pPr>
        <w:jc w:val="both"/>
        <w:rPr>
          <w:rFonts w:ascii="Cambria" w:eastAsia="Cambria" w:hAnsi="Cambria" w:cs="Cambria"/>
          <w:i/>
          <w:iCs/>
          <w:color w:val="000000" w:themeColor="text1"/>
          <w:sz w:val="20"/>
          <w:szCs w:val="20"/>
          <w:lang w:val="es-ES"/>
        </w:rPr>
      </w:pPr>
    </w:p>
    <w:p w14:paraId="34BF5514" w14:textId="3B93B6A7"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De acuerdo con la información reportada por el Estado para el Informe de Seguimiento de 2023, el Estado </w:t>
      </w:r>
      <w:r w:rsidR="005A66EE" w:rsidRPr="00FA506F">
        <w:rPr>
          <w:lang w:val="es-ES"/>
        </w:rPr>
        <w:t xml:space="preserve">resaltó que </w:t>
      </w:r>
      <w:r w:rsidRPr="00FA506F">
        <w:rPr>
          <w:lang w:val="es-ES"/>
        </w:rPr>
        <w:t xml:space="preserve">la Comisión Nacional para Prevenir y Erradicar la Violencia contra las Mujeres (CONAVIM) capacitó a más de 2.700 personas, la Secretaría de Educación Pública (SEP) implementó protocolos educativos sobre violencia de género, y la </w:t>
      </w:r>
      <w:r w:rsidR="00CB0E7A" w:rsidRPr="00FA506F">
        <w:rPr>
          <w:lang w:val="es-ES"/>
        </w:rPr>
        <w:t>F</w:t>
      </w:r>
      <w:r w:rsidR="002A41BA" w:rsidRPr="00FA506F">
        <w:rPr>
          <w:lang w:val="es-ES"/>
        </w:rPr>
        <w:t xml:space="preserve">iscalía </w:t>
      </w:r>
      <w:r w:rsidR="00CB0E7A" w:rsidRPr="00FA506F">
        <w:rPr>
          <w:lang w:val="es-ES"/>
        </w:rPr>
        <w:t>G</w:t>
      </w:r>
      <w:r w:rsidR="002A41BA" w:rsidRPr="00FA506F">
        <w:rPr>
          <w:lang w:val="es-ES"/>
        </w:rPr>
        <w:t xml:space="preserve">eneral de la </w:t>
      </w:r>
      <w:r w:rsidR="00CB0E7A" w:rsidRPr="00FA506F">
        <w:rPr>
          <w:lang w:val="es-ES"/>
        </w:rPr>
        <w:t>R</w:t>
      </w:r>
      <w:r w:rsidR="002A41BA" w:rsidRPr="00FA506F">
        <w:rPr>
          <w:lang w:val="es-ES"/>
        </w:rPr>
        <w:t>epública</w:t>
      </w:r>
      <w:r w:rsidRPr="00FA506F">
        <w:rPr>
          <w:lang w:val="es-ES"/>
        </w:rPr>
        <w:t xml:space="preserve"> desarrolló actividades con enfoque de género. </w:t>
      </w:r>
      <w:r w:rsidR="006B4F48" w:rsidRPr="00FA506F">
        <w:rPr>
          <w:lang w:val="es-ES"/>
        </w:rPr>
        <w:t>El</w:t>
      </w:r>
      <w:r w:rsidRPr="00FA506F">
        <w:rPr>
          <w:lang w:val="es-ES"/>
        </w:rPr>
        <w:t xml:space="preserve"> Instituto de Seguridad y Servicios Sociales de los Trabajadores del Estado (ISSSTE) creó una Comisión de Igualdad y No Discriminación. La CIDH valoró estos esfuerzos, pero </w:t>
      </w:r>
      <w:r w:rsidR="00CC72A9" w:rsidRPr="00FA506F">
        <w:rPr>
          <w:lang w:val="es-ES"/>
        </w:rPr>
        <w:t>concluyó</w:t>
      </w:r>
      <w:r w:rsidRPr="00FA506F">
        <w:rPr>
          <w:lang w:val="es-ES"/>
        </w:rPr>
        <w:t xml:space="preserve"> que las acciones </w:t>
      </w:r>
      <w:r w:rsidR="005A66EE" w:rsidRPr="00FA506F">
        <w:rPr>
          <w:lang w:val="es-ES"/>
        </w:rPr>
        <w:t xml:space="preserve">debían </w:t>
      </w:r>
      <w:r w:rsidRPr="00FA506F">
        <w:rPr>
          <w:lang w:val="es-ES"/>
        </w:rPr>
        <w:t xml:space="preserve">integrarse en una estrategia más coordinada y estructurada para </w:t>
      </w:r>
      <w:r w:rsidR="005A66EE" w:rsidRPr="00FA506F">
        <w:rPr>
          <w:lang w:val="es-ES"/>
        </w:rPr>
        <w:t xml:space="preserve">remover </w:t>
      </w:r>
      <w:r w:rsidRPr="00FA506F">
        <w:rPr>
          <w:lang w:val="es-ES"/>
        </w:rPr>
        <w:t xml:space="preserve">los estereotipos de género. Por lo tanto, la recomendación </w:t>
      </w:r>
      <w:r w:rsidR="00DB4A17" w:rsidRPr="00FA506F">
        <w:rPr>
          <w:lang w:val="es-ES"/>
        </w:rPr>
        <w:t xml:space="preserve">se determinó </w:t>
      </w:r>
      <w:r w:rsidRPr="00FA506F">
        <w:rPr>
          <w:lang w:val="es-ES"/>
        </w:rPr>
        <w:t>en cumplimiento parcial. La CIDH sugirió que el Estado adopte una estrategia integral que incluya la construcción, diseño, implementación, y evaluación de políticas públicas con participación de la sociedad civil e indicadores claros para medir la efectividad</w:t>
      </w:r>
      <w:r w:rsidRPr="00FA506F">
        <w:rPr>
          <w:rStyle w:val="FootnoteReference"/>
          <w:lang w:val="es-ES"/>
        </w:rPr>
        <w:footnoteReference w:id="176"/>
      </w:r>
      <w:r w:rsidRPr="00FA506F">
        <w:rPr>
          <w:lang w:val="es-ES"/>
        </w:rPr>
        <w:t>.</w:t>
      </w:r>
    </w:p>
    <w:p w14:paraId="2B2FB11D" w14:textId="77777777" w:rsidR="007B7AAF" w:rsidRPr="00FA506F" w:rsidRDefault="007B7AAF" w:rsidP="00CD2F8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5FAA7EFF"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073F14E4" w14:textId="1D390581" w:rsidR="00902744" w:rsidRPr="00616692" w:rsidRDefault="007B7AAF" w:rsidP="00CF56A9">
      <w:pPr>
        <w:pStyle w:val="IAPrrafo"/>
        <w:numPr>
          <w:ilvl w:val="0"/>
          <w:numId w:val="4"/>
        </w:numPr>
        <w:tabs>
          <w:tab w:val="num" w:pos="720"/>
        </w:tabs>
        <w:ind w:firstLine="720"/>
        <w:rPr>
          <w:lang w:val="es-ES"/>
        </w:rPr>
      </w:pPr>
      <w:r w:rsidRPr="00FA506F">
        <w:rPr>
          <w:lang w:val="es-ES"/>
        </w:rPr>
        <w:t>En 2024, el Estado reportó que se han implementado diversas acciones en el marco del Programa Nacional para la Igualdad y la No Discriminación (PRONAIND) 2021-2024, cuyo objetivo es visibilizar y combatir la discriminación en México a través de políticas públicas integrales. La CONAVIM capacitó a más de 2</w:t>
      </w:r>
      <w:r w:rsidR="00A25602" w:rsidRPr="00FA506F">
        <w:rPr>
          <w:lang w:val="es-ES"/>
        </w:rPr>
        <w:t>.</w:t>
      </w:r>
      <w:r w:rsidRPr="00FA506F">
        <w:rPr>
          <w:lang w:val="es-ES"/>
        </w:rPr>
        <w:t>700 personas en temas de igualdad de género, mientras que la SEP implementó protocolos educativos para abordar la violencia de género en las instituciones educativas. La FGR desarrolló actividades enfocadas en la promoción de la igualdad y la prevención de la discriminación, y el Instituto de Seguridad y Servicios Sociales de los Trabajadores del Estado</w:t>
      </w:r>
      <w:r w:rsidR="002A41BA" w:rsidRPr="00FA506F">
        <w:rPr>
          <w:lang w:val="es-ES"/>
        </w:rPr>
        <w:t xml:space="preserve"> </w:t>
      </w:r>
      <w:r w:rsidRPr="00FA506F">
        <w:rPr>
          <w:lang w:val="es-ES"/>
        </w:rPr>
        <w:t>creó una Comisión de Igualdad y No Discriminación para promover estos principios en su ámbito de acción.</w:t>
      </w:r>
      <w:r w:rsidR="00902744" w:rsidRPr="00FA506F">
        <w:rPr>
          <w:lang w:val="es-ES"/>
        </w:rPr>
        <w:t xml:space="preserve"> </w:t>
      </w:r>
      <w:r w:rsidR="006B4F48" w:rsidRPr="00FA506F">
        <w:rPr>
          <w:lang w:val="es-ES"/>
        </w:rPr>
        <w:t>El</w:t>
      </w:r>
      <w:r w:rsidRPr="00FA506F">
        <w:rPr>
          <w:lang w:val="es-ES"/>
        </w:rPr>
        <w:t xml:space="preserve"> Estado informó sobre estudios que analizan la discriminación por orientación sexual e identidad de género en el mercado laboral, así como investigaciones sobre la inclusión financiera de personas con discapacidad</w:t>
      </w:r>
      <w:r w:rsidR="005A66EE" w:rsidRPr="00FA506F">
        <w:rPr>
          <w:lang w:val="es-ES"/>
        </w:rPr>
        <w:t>;</w:t>
      </w:r>
      <w:r w:rsidR="005076DB" w:rsidRPr="00FA506F">
        <w:rPr>
          <w:lang w:val="es-ES"/>
        </w:rPr>
        <w:t xml:space="preserve"> y </w:t>
      </w:r>
      <w:r w:rsidR="005A66EE" w:rsidRPr="00FA506F">
        <w:rPr>
          <w:lang w:val="es-ES"/>
        </w:rPr>
        <w:t xml:space="preserve">se </w:t>
      </w:r>
      <w:r w:rsidRPr="00FA506F">
        <w:rPr>
          <w:lang w:val="es-ES"/>
        </w:rPr>
        <w:t xml:space="preserve">realizaron diagnósticos sobre el fortalecimiento </w:t>
      </w:r>
      <w:r w:rsidRPr="00616692">
        <w:rPr>
          <w:lang w:val="es-ES"/>
        </w:rPr>
        <w:t xml:space="preserve">de capacidades para el empleo, con datos desagregados del IMSS y del Sistema Integral de Información de la Dirección General de Universidades Tecnológicas y Politécnicas. En el ámbito de sensibilización, </w:t>
      </w:r>
      <w:r w:rsidR="005A66EE" w:rsidRPr="00616692">
        <w:rPr>
          <w:lang w:val="es-ES"/>
        </w:rPr>
        <w:t xml:space="preserve">México destacó que </w:t>
      </w:r>
      <w:r w:rsidRPr="00616692">
        <w:rPr>
          <w:lang w:val="es-ES"/>
        </w:rPr>
        <w:t xml:space="preserve">se han implementado programas para transformar paradigmas discriminatorios en instituciones y la sociedad. </w:t>
      </w:r>
      <w:r w:rsidR="00CD2F81" w:rsidRPr="00616692">
        <w:rPr>
          <w:lang w:val="es-ES"/>
        </w:rPr>
        <w:t>Asimismo,</w:t>
      </w:r>
      <w:r w:rsidR="005A66EE" w:rsidRPr="00616692">
        <w:rPr>
          <w:lang w:val="es-ES"/>
        </w:rPr>
        <w:t xml:space="preserve"> se informó que l</w:t>
      </w:r>
      <w:r w:rsidRPr="00616692">
        <w:rPr>
          <w:lang w:val="es-ES"/>
        </w:rPr>
        <w:t>a Secretaría de Seguridad y Protección Ciudadana ofreció capacitaciones en municipios prioritarios afectados por violencia de género y feminicidios, en línea con los protocolos establecidos</w:t>
      </w:r>
      <w:r w:rsidR="00902744" w:rsidRPr="00616692">
        <w:rPr>
          <w:rStyle w:val="FootnoteReference"/>
          <w:lang w:val="es-ES"/>
        </w:rPr>
        <w:footnoteReference w:id="177"/>
      </w:r>
      <w:r w:rsidRPr="00616692">
        <w:rPr>
          <w:lang w:val="es-ES"/>
        </w:rPr>
        <w:t>.</w:t>
      </w:r>
      <w:r w:rsidR="00CF56A9" w:rsidRPr="00616692">
        <w:rPr>
          <w:lang w:val="es-ES"/>
        </w:rPr>
        <w:t xml:space="preserve"> En sus observaciones al presente </w:t>
      </w:r>
      <w:r w:rsidR="00615B82" w:rsidRPr="00616692">
        <w:rPr>
          <w:lang w:val="es-ES"/>
        </w:rPr>
        <w:t>I</w:t>
      </w:r>
      <w:r w:rsidR="00CF56A9" w:rsidRPr="00616692">
        <w:rPr>
          <w:lang w:val="es-ES"/>
        </w:rPr>
        <w:t>nforme, el Estado resaltó la implementación de la Estrategia Nacional de Fortalecimiento a la Actuación Policial con Perspectiva de Género, que capacitó a 10</w:t>
      </w:r>
      <w:r w:rsidR="00615B82" w:rsidRPr="00616692">
        <w:rPr>
          <w:lang w:val="es-ES"/>
        </w:rPr>
        <w:t>.</w:t>
      </w:r>
      <w:r w:rsidR="00CF56A9" w:rsidRPr="00616692">
        <w:rPr>
          <w:lang w:val="es-ES"/>
        </w:rPr>
        <w:t>345 personas, incluyendo 4</w:t>
      </w:r>
      <w:r w:rsidR="00615B82" w:rsidRPr="00616692">
        <w:rPr>
          <w:lang w:val="es-ES"/>
        </w:rPr>
        <w:t>.</w:t>
      </w:r>
      <w:r w:rsidR="00CF56A9" w:rsidRPr="00616692">
        <w:rPr>
          <w:lang w:val="es-ES"/>
        </w:rPr>
        <w:t>554 mujeres y 2</w:t>
      </w:r>
      <w:r w:rsidR="00615B82" w:rsidRPr="00616692">
        <w:rPr>
          <w:lang w:val="es-ES"/>
        </w:rPr>
        <w:t>.</w:t>
      </w:r>
      <w:r w:rsidR="00CF56A9" w:rsidRPr="00616692">
        <w:rPr>
          <w:lang w:val="es-ES"/>
        </w:rPr>
        <w:t>626 hombres, en derechos humanos y perspectiva de género</w:t>
      </w:r>
      <w:r w:rsidR="00CF56A9" w:rsidRPr="00616692">
        <w:rPr>
          <w:rStyle w:val="FootnoteReference"/>
          <w:lang w:val="es-ES"/>
        </w:rPr>
        <w:footnoteReference w:id="178"/>
      </w:r>
      <w:r w:rsidR="00CF56A9" w:rsidRPr="00616692">
        <w:rPr>
          <w:lang w:val="es-ES"/>
        </w:rPr>
        <w:t>.</w:t>
      </w:r>
    </w:p>
    <w:p w14:paraId="53A72776" w14:textId="1387284F" w:rsidR="007B7AAF" w:rsidRPr="00FA506F" w:rsidRDefault="007B7AAF" w:rsidP="00B80A67">
      <w:pPr>
        <w:pStyle w:val="IAPrrafo"/>
        <w:numPr>
          <w:ilvl w:val="0"/>
          <w:numId w:val="4"/>
        </w:numPr>
        <w:tabs>
          <w:tab w:val="num" w:pos="720"/>
        </w:tabs>
        <w:ind w:firstLine="720"/>
        <w:rPr>
          <w:lang w:val="es-ES"/>
        </w:rPr>
      </w:pPr>
      <w:r w:rsidRPr="00616692">
        <w:rPr>
          <w:lang w:val="es-ES"/>
        </w:rPr>
        <w:t>Para la promoción de los derechos de niñas, niños y adolescentes, el Sistema Nacional de Protección Integral de Niñas, Niños y Adolescentes (SIPINNA) produjo 50 gráficos y 62 videos que difunden los derechos reconocidos en la Ley General de los Derechos de Niñas, Niños y Adolescentes, integrando una perspectiva de género e interculturalidad</w:t>
      </w:r>
      <w:r w:rsidRPr="00FA506F">
        <w:rPr>
          <w:lang w:val="es-ES"/>
        </w:rPr>
        <w:t xml:space="preserve">. El CONAPRED desarrolló materiales audiovisuales y campañas de concientización como </w:t>
      </w:r>
      <w:r w:rsidR="005A66EE" w:rsidRPr="00FA506F">
        <w:rPr>
          <w:lang w:val="es-ES"/>
        </w:rPr>
        <w:t>“</w:t>
      </w:r>
      <w:r w:rsidRPr="00FA506F">
        <w:rPr>
          <w:lang w:val="es-ES"/>
        </w:rPr>
        <w:t>Discriminas cuando...</w:t>
      </w:r>
      <w:r w:rsidR="005A66EE" w:rsidRPr="00FA506F">
        <w:rPr>
          <w:lang w:val="es-ES"/>
        </w:rPr>
        <w:t>”</w:t>
      </w:r>
      <w:r w:rsidRPr="00FA506F">
        <w:rPr>
          <w:lang w:val="es-ES"/>
        </w:rPr>
        <w:t xml:space="preserve"> (2020) y </w:t>
      </w:r>
      <w:r w:rsidR="005A66EE" w:rsidRPr="00FA506F">
        <w:rPr>
          <w:lang w:val="es-ES"/>
        </w:rPr>
        <w:t>“</w:t>
      </w:r>
      <w:r w:rsidRPr="00FA506F">
        <w:rPr>
          <w:lang w:val="es-ES"/>
        </w:rPr>
        <w:t>Ser diferente es mi derecho</w:t>
      </w:r>
      <w:r w:rsidR="005A66EE" w:rsidRPr="00FA506F">
        <w:rPr>
          <w:lang w:val="es-ES"/>
        </w:rPr>
        <w:t>”</w:t>
      </w:r>
      <w:r w:rsidRPr="00FA506F">
        <w:rPr>
          <w:lang w:val="es-ES"/>
        </w:rPr>
        <w:t xml:space="preserve"> (2022), utilizando redes sociales para promover la inclusión y combatir la discriminación basada en orientación sexual e identidad de género</w:t>
      </w:r>
      <w:r w:rsidR="006B4F48" w:rsidRPr="00FA506F">
        <w:rPr>
          <w:lang w:val="es-ES"/>
        </w:rPr>
        <w:t xml:space="preserve"> y</w:t>
      </w:r>
      <w:r w:rsidRPr="00FA506F">
        <w:rPr>
          <w:lang w:val="es-ES"/>
        </w:rPr>
        <w:t xml:space="preserve"> se implementó la Norma Mexicana NMX-R-025-SCFI-2015 sobre Igualdad Laboral y No Discriminación, fomentando la certificación de centros de trabajo en igualdad laboral</w:t>
      </w:r>
      <w:r w:rsidR="00902744" w:rsidRPr="00FA506F">
        <w:rPr>
          <w:rStyle w:val="FootnoteReference"/>
          <w:lang w:val="es-ES"/>
        </w:rPr>
        <w:footnoteReference w:id="179"/>
      </w:r>
      <w:r w:rsidRPr="00FA506F">
        <w:rPr>
          <w:lang w:val="es-ES"/>
        </w:rPr>
        <w:t>.</w:t>
      </w:r>
    </w:p>
    <w:p w14:paraId="4EA1B73A" w14:textId="77777777" w:rsidR="007B7AAF" w:rsidRPr="00FA506F" w:rsidRDefault="007B7AAF" w:rsidP="00CD2F8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2CFF1259"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506FB7D9" w14:textId="0C17A5EC" w:rsidR="007B7AAF" w:rsidRPr="00FA506F" w:rsidRDefault="006F7A01" w:rsidP="00B80A67">
      <w:pPr>
        <w:pStyle w:val="IAPrrafo"/>
        <w:numPr>
          <w:ilvl w:val="0"/>
          <w:numId w:val="4"/>
        </w:numPr>
        <w:tabs>
          <w:tab w:val="num" w:pos="720"/>
        </w:tabs>
        <w:ind w:firstLine="720"/>
        <w:rPr>
          <w:lang w:val="es-ES"/>
        </w:rPr>
      </w:pPr>
      <w:r w:rsidRPr="00FA506F">
        <w:rPr>
          <w:lang w:val="es-ES"/>
        </w:rPr>
        <w:t>Si</w:t>
      </w:r>
      <w:r w:rsidR="007B7AAF" w:rsidRPr="00FA506F">
        <w:rPr>
          <w:lang w:val="es-ES"/>
        </w:rPr>
        <w:t xml:space="preserve"> bien existe un compromiso por parte del Estado para transformar los paradigmas discriminatorios y promover la igualdad de género, a pesar de los avances significativos, persisten desafíos en la implementación uniforme y efectiva de estas medidas en todas las entidades federativas. La información proporcionada no da cuenta </w:t>
      </w:r>
      <w:r w:rsidR="005A66EE" w:rsidRPr="00FA506F">
        <w:rPr>
          <w:lang w:val="es-ES"/>
        </w:rPr>
        <w:t xml:space="preserve">de </w:t>
      </w:r>
      <w:r w:rsidR="007B7AAF" w:rsidRPr="00FA506F">
        <w:rPr>
          <w:lang w:val="es-ES"/>
        </w:rPr>
        <w:t>cómo se evalúa el impacto de estas acciones, y falta</w:t>
      </w:r>
      <w:r w:rsidR="005A66EE" w:rsidRPr="00FA506F">
        <w:rPr>
          <w:lang w:val="es-ES"/>
        </w:rPr>
        <w:t>n</w:t>
      </w:r>
      <w:r w:rsidR="007B7AAF" w:rsidRPr="00FA506F">
        <w:rPr>
          <w:lang w:val="es-ES"/>
        </w:rPr>
        <w:t xml:space="preserve"> datos desagregados</w:t>
      </w:r>
      <w:r w:rsidR="005A66EE" w:rsidRPr="00FA506F">
        <w:rPr>
          <w:lang w:val="es-ES"/>
        </w:rPr>
        <w:t xml:space="preserve"> que</w:t>
      </w:r>
      <w:r w:rsidR="007B7AAF" w:rsidRPr="00FA506F">
        <w:rPr>
          <w:lang w:val="es-ES"/>
        </w:rPr>
        <w:t xml:space="preserve"> dificulta el monitoreo del progreso. </w:t>
      </w:r>
      <w:r w:rsidR="006B4F48" w:rsidRPr="00FA506F">
        <w:rPr>
          <w:lang w:val="es-ES"/>
        </w:rPr>
        <w:t>L</w:t>
      </w:r>
      <w:r w:rsidR="007B7AAF" w:rsidRPr="00FA506F">
        <w:rPr>
          <w:lang w:val="es-ES"/>
        </w:rPr>
        <w:t>as acciones reportadas carecen de una estrategia integral que abarque desde la construcción y diseño hasta la evaluación de políticas públicas efectivas, incluyendo una participación más activa de la sociedad civil y el desarrollo de indicadores claros para medir su efectividad. Por estas razones, se concluye que la recomendación permanece en </w:t>
      </w:r>
      <w:r w:rsidR="007B7AAF" w:rsidRPr="00FA506F">
        <w:rPr>
          <w:b/>
          <w:bCs/>
          <w:lang w:val="es-ES"/>
        </w:rPr>
        <w:t>cumplimiento parcial</w:t>
      </w:r>
      <w:r w:rsidR="007B7AAF" w:rsidRPr="00FA506F">
        <w:rPr>
          <w:lang w:val="es-ES"/>
        </w:rPr>
        <w:t>, con avances importantes, pero con áreas que aún requieren atención y fortalecimiento para lograr un cumplimiento total.</w:t>
      </w:r>
    </w:p>
    <w:p w14:paraId="68ECDFAA" w14:textId="77777777" w:rsidR="007B7AAF" w:rsidRPr="00FA506F" w:rsidRDefault="007B7AAF" w:rsidP="00CD2F8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624D62CF"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5353764C" w14:textId="65EA25D7" w:rsidR="00E015F0" w:rsidRPr="004F38A0" w:rsidRDefault="00E015F0" w:rsidP="00E015F0">
      <w:pPr>
        <w:pStyle w:val="IAPrrafo"/>
        <w:numPr>
          <w:ilvl w:val="0"/>
          <w:numId w:val="4"/>
        </w:numPr>
        <w:tabs>
          <w:tab w:val="num" w:pos="720"/>
        </w:tabs>
        <w:ind w:firstLine="720"/>
        <w:rPr>
          <w:lang w:val="es-ES"/>
        </w:rPr>
      </w:pPr>
      <w:r w:rsidRPr="004F38A0">
        <w:rPr>
          <w:lang w:val="es-ES"/>
        </w:rPr>
        <w:t>Para avanzar en el cumplimiento de esta recomendación, la CIDH sugiere que el Estado adopte una estrategia integral y coordinada para la reestructuración de estereotipos de género, que incluya la participación activa de la sociedad civil en el diseño y evaluación de políticas públicas. Es fundamental mejorar la recopilación de datos desagregados para monitorear el impacto de las medidas implementadas y ajustar las estrategias según sea necesario. El Estado debe continuar fortaleciendo los programas de capacitación y sensibilización dirigidos a funcionarios públicos y al público en general, integrando enfoques interculturales e interseccionales que aborden las necesidades específicas de grupos vulnerables, como mujeres indígenas y afromexicanas. Es necesario intensificar las campañas de sensibilización para eliminar los estereotipos de género en todos los niveles de la sociedad y promover cambios de políticas que reflejen un compromiso genuino con la igualdad de género.</w:t>
      </w:r>
    </w:p>
    <w:p w14:paraId="6D78EC2E" w14:textId="77777777" w:rsidR="007B7AAF" w:rsidRPr="00FA506F" w:rsidRDefault="007B7AAF"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44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Diseñar e implementar políticas culturalmente adecuadas con la participación de mujeres indígenas, aplicando un enfoque comprehensivo y holístico, cuyo objetivo sea la prevención, investigación, sanción y reparación de actos de violencia y discriminación cometidos en su contra. </w:t>
      </w:r>
    </w:p>
    <w:p w14:paraId="530985A3" w14:textId="77777777" w:rsidR="007B7AAF" w:rsidRPr="00FA506F" w:rsidRDefault="007B7AAF" w:rsidP="00B80A67">
      <w:pPr>
        <w:jc w:val="both"/>
        <w:rPr>
          <w:rFonts w:ascii="Cambria" w:eastAsia="Cambria" w:hAnsi="Cambria" w:cs="Cambria"/>
          <w:i/>
          <w:iCs/>
          <w:color w:val="000000" w:themeColor="text1"/>
          <w:sz w:val="20"/>
          <w:szCs w:val="20"/>
          <w:lang w:val="es-ES"/>
        </w:rPr>
      </w:pPr>
    </w:p>
    <w:p w14:paraId="2F58B1D5" w14:textId="4C15E046" w:rsidR="007B7AAF" w:rsidRPr="00FA506F" w:rsidRDefault="007B7AAF" w:rsidP="00B80A67">
      <w:pPr>
        <w:pStyle w:val="IAPrrafo"/>
        <w:numPr>
          <w:ilvl w:val="0"/>
          <w:numId w:val="4"/>
        </w:numPr>
        <w:tabs>
          <w:tab w:val="num" w:pos="720"/>
        </w:tabs>
        <w:ind w:firstLine="720"/>
        <w:rPr>
          <w:lang w:val="es-ES"/>
        </w:rPr>
      </w:pPr>
      <w:r w:rsidRPr="00FA506F">
        <w:rPr>
          <w:lang w:val="es-ES"/>
        </w:rPr>
        <w:t>En el Capítulo V del Informe Anual de 2023, la Comisión tomó nota de iniciativas como la Unidad Especializada para la Atención de Asuntos Indígenas de la FGR, la cual capacitó en violencia de género a comunidades indígenas y servidores públicos. El INMUJERES continuó con su estrategia para prevenir y sancionar el hostigamiento sexual en Instituciones de Educación Superior y en Universidades Interculturales.</w:t>
      </w:r>
      <w:r w:rsidR="005A66EE" w:rsidRPr="00FA506F">
        <w:rPr>
          <w:lang w:val="es-ES"/>
        </w:rPr>
        <w:t xml:space="preserve"> También s</w:t>
      </w:r>
      <w:r w:rsidR="006B4F48" w:rsidRPr="00FA506F">
        <w:rPr>
          <w:lang w:val="es-ES"/>
        </w:rPr>
        <w:t>e</w:t>
      </w:r>
      <w:r w:rsidRPr="00FA506F">
        <w:rPr>
          <w:lang w:val="es-ES"/>
        </w:rPr>
        <w:t xml:space="preserve"> publicó el Mecanismo de Seguimiento de Casos de Tortura Sexual, que liberó a varias mujeres indígenas. La SCJN</w:t>
      </w:r>
      <w:r w:rsidR="005A66EE" w:rsidRPr="00FA506F">
        <w:rPr>
          <w:lang w:val="es-ES"/>
        </w:rPr>
        <w:t>, por su parte,</w:t>
      </w:r>
      <w:r w:rsidRPr="00FA506F">
        <w:rPr>
          <w:lang w:val="es-ES"/>
        </w:rPr>
        <w:t xml:space="preserve"> actualizó el Protocolo para juzgar con perspectiva intercultural, y se cuentan con Casas de la Mujer Indígena o Afromexicana para brindar atención culturalmente pertinente. Sin embargo, la sociedad civil reportó que, a pesar de estos esfuerzos, no se ha</w:t>
      </w:r>
      <w:r w:rsidR="005A66EE" w:rsidRPr="00FA506F">
        <w:rPr>
          <w:lang w:val="es-ES"/>
        </w:rPr>
        <w:t>bía</w:t>
      </w:r>
      <w:r w:rsidRPr="00FA506F">
        <w:rPr>
          <w:lang w:val="es-ES"/>
        </w:rPr>
        <w:t>n implementado políticas suficientemente adaptadas a las necesidades interculturales y que persist</w:t>
      </w:r>
      <w:r w:rsidR="005A66EE" w:rsidRPr="00FA506F">
        <w:rPr>
          <w:lang w:val="es-ES"/>
        </w:rPr>
        <w:t>ía</w:t>
      </w:r>
      <w:r w:rsidRPr="00FA506F">
        <w:rPr>
          <w:lang w:val="es-ES"/>
        </w:rPr>
        <w:t>n problemas de racismo estructural y falta de reconocimiento de los sistemas normativos indígenas. La CIDH valoró las iniciativas y avances, pero consideró que se requiere una estrategia más integral y especializada para garantizar la prevención, investigación, y reparación de la violencia contra mujeres indígenas, destacando que la recomendación avanzó a cumplimiento parcial</w:t>
      </w:r>
      <w:r w:rsidRPr="00FA506F">
        <w:rPr>
          <w:rStyle w:val="FootnoteReference"/>
          <w:lang w:val="es-ES"/>
        </w:rPr>
        <w:footnoteReference w:id="180"/>
      </w:r>
      <w:r w:rsidRPr="00FA506F">
        <w:rPr>
          <w:lang w:val="es-ES"/>
        </w:rPr>
        <w:t>.</w:t>
      </w:r>
    </w:p>
    <w:p w14:paraId="78AAF644" w14:textId="77777777" w:rsidR="007B7AAF" w:rsidRPr="00FA506F" w:rsidRDefault="007B7AAF" w:rsidP="00CD2F8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51B69041"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13556E98" w14:textId="1BC622D5" w:rsidR="00CF56A9" w:rsidRPr="00616692" w:rsidRDefault="00454AE0" w:rsidP="00CF56A9">
      <w:pPr>
        <w:pStyle w:val="IAPrrafo"/>
        <w:numPr>
          <w:ilvl w:val="0"/>
          <w:numId w:val="4"/>
        </w:numPr>
        <w:tabs>
          <w:tab w:val="num" w:pos="720"/>
        </w:tabs>
        <w:ind w:firstLine="720"/>
        <w:rPr>
          <w:lang w:val="es-ES"/>
        </w:rPr>
      </w:pPr>
      <w:r w:rsidRPr="00FA506F">
        <w:rPr>
          <w:lang w:val="es-ES"/>
        </w:rPr>
        <w:t>E</w:t>
      </w:r>
      <w:r w:rsidR="005A66EE" w:rsidRPr="00FA506F">
        <w:rPr>
          <w:lang w:val="es-ES"/>
        </w:rPr>
        <w:t>n 2024 e</w:t>
      </w:r>
      <w:r w:rsidRPr="00FA506F">
        <w:rPr>
          <w:lang w:val="es-ES"/>
        </w:rPr>
        <w:t>l</w:t>
      </w:r>
      <w:r w:rsidR="007B7AAF" w:rsidRPr="00FA506F">
        <w:rPr>
          <w:lang w:val="es-ES"/>
        </w:rPr>
        <w:t xml:space="preserve"> Estado </w:t>
      </w:r>
      <w:r w:rsidRPr="00FA506F">
        <w:rPr>
          <w:lang w:val="es-ES"/>
        </w:rPr>
        <w:t>informó</w:t>
      </w:r>
      <w:r w:rsidR="007B7AAF" w:rsidRPr="00FA506F">
        <w:rPr>
          <w:lang w:val="es-ES"/>
        </w:rPr>
        <w:t xml:space="preserve"> que habría implementado diversas iniciativas para atender las necesidades de las mujeres indígenas. A través del Programa para el Bienestar Integral de los Pueblos Indígenas (PROBIPI), se habrían apoyado 157 proyectos destinados a beneficiar a 1</w:t>
      </w:r>
      <w:r w:rsidR="00317490" w:rsidRPr="00FA506F">
        <w:rPr>
          <w:lang w:val="es-ES"/>
        </w:rPr>
        <w:t>.</w:t>
      </w:r>
      <w:r w:rsidR="007B7AAF" w:rsidRPr="00FA506F">
        <w:rPr>
          <w:lang w:val="es-ES"/>
        </w:rPr>
        <w:t>776 comunidades, incluyendo acciones específicas para fortalecer el gobierno comunitario y promover los derechos de las mujeres indígenas</w:t>
      </w:r>
      <w:r w:rsidR="005A66EE" w:rsidRPr="00FA506F">
        <w:rPr>
          <w:lang w:val="es-ES"/>
        </w:rPr>
        <w:t>;</w:t>
      </w:r>
      <w:r w:rsidR="006B4F48" w:rsidRPr="00FA506F">
        <w:rPr>
          <w:lang w:val="es-ES"/>
        </w:rPr>
        <w:t xml:space="preserve"> y </w:t>
      </w:r>
      <w:r w:rsidR="007B7AAF" w:rsidRPr="00FA506F">
        <w:rPr>
          <w:lang w:val="es-ES"/>
        </w:rPr>
        <w:t>habría brindado apoyo económico a promotoras comunitarias de derechos de mujeres indígenas y afromexicanas para llevar a cabo acciones con pertinencia cultural y lingüística.</w:t>
      </w:r>
      <w:r w:rsidR="005A66EE" w:rsidRPr="00FA506F">
        <w:rPr>
          <w:lang w:val="es-ES"/>
        </w:rPr>
        <w:t xml:space="preserve"> Asimismo, e</w:t>
      </w:r>
      <w:r w:rsidR="007B7AAF" w:rsidRPr="00FA506F">
        <w:rPr>
          <w:lang w:val="es-ES"/>
        </w:rPr>
        <w:t xml:space="preserve">l INPI y el INMUJERES habrían colaborado en la </w:t>
      </w:r>
      <w:r w:rsidR="007B7AAF" w:rsidRPr="00616692">
        <w:rPr>
          <w:lang w:val="es-ES"/>
        </w:rPr>
        <w:t xml:space="preserve">realización de la “Escuela de Derechos de las Mujeres Indígenas por la Igualdad”, que resultó en la creación de la “Carta de Derechos de las Mujeres”, abordando temas como la justicia, educación y salud. </w:t>
      </w:r>
      <w:r w:rsidR="005A66EE" w:rsidRPr="00616692">
        <w:rPr>
          <w:lang w:val="es-ES"/>
        </w:rPr>
        <w:t>México resaltó que s</w:t>
      </w:r>
      <w:r w:rsidR="008C2DA5" w:rsidRPr="00616692">
        <w:rPr>
          <w:lang w:val="es-ES"/>
        </w:rPr>
        <w:t>e</w:t>
      </w:r>
      <w:r w:rsidR="007B7AAF" w:rsidRPr="00616692">
        <w:rPr>
          <w:lang w:val="es-ES"/>
        </w:rPr>
        <w:t xml:space="preserve"> habrían difundido 195 programas de radio enfocados en los derechos de las mujeres indígenas a través de la Red de Mujeres Indígenas (Red Mira). </w:t>
      </w:r>
      <w:r w:rsidR="005A66EE" w:rsidRPr="00616692">
        <w:rPr>
          <w:lang w:val="es-ES"/>
        </w:rPr>
        <w:t>Y agregó que e</w:t>
      </w:r>
      <w:r w:rsidR="007B7AAF" w:rsidRPr="00616692">
        <w:rPr>
          <w:lang w:val="es-ES"/>
        </w:rPr>
        <w:t>l Estado habría participado en proyectos de prevención de la trata de personas en comunidades indígenas en colaboración con ONUD</w:t>
      </w:r>
      <w:r w:rsidR="00CB0E7A" w:rsidRPr="00616692">
        <w:rPr>
          <w:lang w:val="es-ES"/>
        </w:rPr>
        <w:t>H</w:t>
      </w:r>
      <w:r w:rsidR="007B7AAF" w:rsidRPr="00616692">
        <w:rPr>
          <w:lang w:val="es-ES"/>
        </w:rPr>
        <w:t xml:space="preserve">, logrando la capacitación de actores locales y servidores públicos. Sin embargo, </w:t>
      </w:r>
      <w:r w:rsidR="005A66EE" w:rsidRPr="00616692">
        <w:rPr>
          <w:lang w:val="es-ES"/>
        </w:rPr>
        <w:t xml:space="preserve">la CIDH advierte que </w:t>
      </w:r>
      <w:r w:rsidR="007B7AAF" w:rsidRPr="00616692">
        <w:rPr>
          <w:lang w:val="es-ES"/>
        </w:rPr>
        <w:t>el Estado no habría proporcionado datos desagregados sobre el impacto de estas iniciativas, ni detallado la participación efectiva de mujeres indígenas en el diseño y monitoreo de estas políticas. La información disponible</w:t>
      </w:r>
      <w:r w:rsidR="005A66EE" w:rsidRPr="00616692">
        <w:rPr>
          <w:lang w:val="es-ES"/>
        </w:rPr>
        <w:t>, en consecuencia,</w:t>
      </w:r>
      <w:r w:rsidR="007B7AAF" w:rsidRPr="00616692">
        <w:rPr>
          <w:lang w:val="es-ES"/>
        </w:rPr>
        <w:t xml:space="preserve"> no permitiría evaluar la sostenibilidad y efectividad de los proyectos implementados</w:t>
      </w:r>
      <w:r w:rsidR="00902744" w:rsidRPr="00616692">
        <w:rPr>
          <w:rStyle w:val="FootnoteReference"/>
          <w:lang w:val="es-ES"/>
        </w:rPr>
        <w:footnoteReference w:id="181"/>
      </w:r>
      <w:r w:rsidR="007B7AAF" w:rsidRPr="00616692">
        <w:rPr>
          <w:lang w:val="es-ES"/>
        </w:rPr>
        <w:t>.</w:t>
      </w:r>
      <w:r w:rsidR="00CF56A9" w:rsidRPr="00616692">
        <w:rPr>
          <w:lang w:val="es-ES"/>
        </w:rPr>
        <w:t xml:space="preserve"> En sus observaciones al presente </w:t>
      </w:r>
      <w:r w:rsidR="00285BCD" w:rsidRPr="00616692">
        <w:rPr>
          <w:lang w:val="es-ES"/>
        </w:rPr>
        <w:t>I</w:t>
      </w:r>
      <w:r w:rsidR="00CF56A9" w:rsidRPr="00616692">
        <w:rPr>
          <w:lang w:val="es-ES"/>
        </w:rPr>
        <w:t>nforme el Estado agregó que</w:t>
      </w:r>
      <w:r w:rsidR="00285BCD" w:rsidRPr="00616692">
        <w:rPr>
          <w:lang w:val="es-ES"/>
        </w:rPr>
        <w:t>,</w:t>
      </w:r>
      <w:r w:rsidR="00CF56A9" w:rsidRPr="00616692">
        <w:rPr>
          <w:lang w:val="es-ES"/>
        </w:rPr>
        <w:t xml:space="preserve"> a través del Programa para el Bienestar Integral de los Pueblos Indígenas (PROBIPI), se fortalecieron 35 Casas de la Mujer Indígena y Afromexicana en 17 estados, brindando atención psicológica, médica y jurídica en lenguas indígenas a mujeres de 16 pueblos originarios. En educación, el Programa de Apoyo a la Educación Indígena (PAEI) brindó alimentación y hospedaje a 40</w:t>
      </w:r>
      <w:r w:rsidR="00285BCD" w:rsidRPr="00616692">
        <w:rPr>
          <w:lang w:val="es-ES"/>
        </w:rPr>
        <w:t>.</w:t>
      </w:r>
      <w:r w:rsidR="00CF56A9" w:rsidRPr="00616692">
        <w:rPr>
          <w:lang w:val="es-ES"/>
        </w:rPr>
        <w:t>129 mujeres en 1</w:t>
      </w:r>
      <w:r w:rsidR="00285BCD" w:rsidRPr="00616692">
        <w:rPr>
          <w:lang w:val="es-ES"/>
        </w:rPr>
        <w:t>.</w:t>
      </w:r>
      <w:r w:rsidR="00CF56A9" w:rsidRPr="00616692">
        <w:rPr>
          <w:lang w:val="es-ES"/>
        </w:rPr>
        <w:t>391 casas y comedores</w:t>
      </w:r>
      <w:r w:rsidR="00CF56A9" w:rsidRPr="00616692">
        <w:rPr>
          <w:rStyle w:val="FootnoteReference"/>
          <w:lang w:val="es-ES"/>
        </w:rPr>
        <w:footnoteReference w:id="182"/>
      </w:r>
      <w:r w:rsidR="00CF56A9" w:rsidRPr="00616692">
        <w:rPr>
          <w:lang w:val="es-ES"/>
        </w:rPr>
        <w:t>.</w:t>
      </w:r>
    </w:p>
    <w:p w14:paraId="2DBA5AEF" w14:textId="77777777" w:rsidR="007B7AAF" w:rsidRPr="00FA506F" w:rsidRDefault="007B7AAF" w:rsidP="00CD2F81">
      <w:pPr>
        <w:ind w:firstLine="720"/>
        <w:jc w:val="both"/>
        <w:rPr>
          <w:rFonts w:ascii="Cambria" w:eastAsia="Cambria" w:hAnsi="Cambria" w:cs="Cambria"/>
          <w:i/>
          <w:iCs/>
          <w:color w:val="000000" w:themeColor="text1"/>
          <w:sz w:val="20"/>
          <w:szCs w:val="20"/>
          <w:lang w:val="es-ES"/>
        </w:rPr>
      </w:pPr>
      <w:r w:rsidRPr="00616692">
        <w:rPr>
          <w:rFonts w:ascii="Cambria" w:eastAsia="Cambria" w:hAnsi="Cambria" w:cs="Cambria"/>
          <w:i/>
          <w:iCs/>
          <w:color w:val="000000" w:themeColor="text1"/>
          <w:sz w:val="20"/>
          <w:szCs w:val="20"/>
          <w:lang w:val="es-ES"/>
        </w:rPr>
        <w:t>Análisis y nivel de cumplimiento de la recomendación</w:t>
      </w:r>
    </w:p>
    <w:p w14:paraId="613F53AC"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5579C6F3" w14:textId="6C071C42" w:rsidR="007B7AAF" w:rsidRPr="00FA506F" w:rsidRDefault="007B7AAF" w:rsidP="00CD2F81">
      <w:pPr>
        <w:pStyle w:val="parrafos"/>
        <w:ind w:firstLine="720"/>
        <w:rPr>
          <w:b/>
          <w:bCs/>
          <w:lang w:val="es-ES"/>
        </w:rPr>
      </w:pPr>
      <w:r w:rsidRPr="000658DB">
        <w:rPr>
          <w:rStyle w:val="IAPrrafoChar"/>
          <w:lang w:val="es-ES"/>
        </w:rPr>
        <w:t xml:space="preserve">La CIDH valora los esfuerzos del Estado por diseñar políticas que buscan atender las necesidades específicas de las mujeres indígenas, especialmente a través de iniciativas como PROBIPI y la colaboración con organismos internacionales. La creación de la “Escuela de Derechos de las Mujeres Indígenas por la Igualdad” y los programas de radio enfocados en derechos son avances positivos hacia una mayor visibilidad de las mujeres indígenas y la promoción de sus derechos. No obstante, </w:t>
      </w:r>
      <w:r w:rsidR="002A41BA" w:rsidRPr="000658DB">
        <w:rPr>
          <w:rStyle w:val="IAPrrafoChar"/>
          <w:lang w:val="es-ES"/>
        </w:rPr>
        <w:t>estas</w:t>
      </w:r>
      <w:r w:rsidRPr="000658DB">
        <w:rPr>
          <w:rStyle w:val="IAPrrafoChar"/>
          <w:lang w:val="es-ES"/>
        </w:rPr>
        <w:t xml:space="preserve"> políticas parecen ser fragmentadas y carecen de un enfoque integral que permita abordar de manera efectiva la discriminación y violencia estructural que enfrentan las mujeres indígenas. La falta de datos desagregados y la limitada participación de las propias mujeres indígenas en el desarrollo y evaluación de las políticas afectan su efectividad y sostenibilidad</w:t>
      </w:r>
      <w:r w:rsidR="006B4F48" w:rsidRPr="000658DB">
        <w:rPr>
          <w:rStyle w:val="IAPrrafoChar"/>
          <w:lang w:val="es-ES"/>
        </w:rPr>
        <w:t xml:space="preserve"> y </w:t>
      </w:r>
      <w:r w:rsidRPr="000658DB">
        <w:rPr>
          <w:rStyle w:val="IAPrrafoChar"/>
          <w:lang w:val="es-ES"/>
        </w:rPr>
        <w:t xml:space="preserve">persisten problemas de racismo estructural y falta de reconocimiento de los sistemas normativos indígenas, lo que limita el acceso de las mujeres indígenas a la justicia y a servicios adecuados. Por lo tanto, la CIDH concluye que esta recomendación se </w:t>
      </w:r>
      <w:r w:rsidR="005008FA" w:rsidRPr="000658DB">
        <w:rPr>
          <w:rStyle w:val="IAPrrafoChar"/>
          <w:lang w:val="es-ES"/>
        </w:rPr>
        <w:t>mantiene</w:t>
      </w:r>
      <w:r w:rsidRPr="000658DB">
        <w:rPr>
          <w:rStyle w:val="IAPrrafoChar"/>
          <w:lang w:val="es-ES"/>
        </w:rPr>
        <w:t xml:space="preserve"> en </w:t>
      </w:r>
      <w:r w:rsidRPr="00EE250C">
        <w:rPr>
          <w:rStyle w:val="IAPrrafoChar"/>
          <w:b/>
          <w:bCs/>
          <w:lang w:val="es-ES"/>
        </w:rPr>
        <w:t>cumplimiento parcial</w:t>
      </w:r>
      <w:r w:rsidR="005A66EE" w:rsidRPr="000658DB">
        <w:rPr>
          <w:rStyle w:val="IAPrrafoChar"/>
          <w:lang w:val="es-ES"/>
        </w:rPr>
        <w:t>;</w:t>
      </w:r>
      <w:r w:rsidRPr="000658DB">
        <w:rPr>
          <w:rStyle w:val="IAPrrafoChar"/>
          <w:lang w:val="es-ES"/>
        </w:rPr>
        <w:t xml:space="preserve"> ya que, aunque se han realizado esfuerzos notables, </w:t>
      </w:r>
      <w:r w:rsidR="005A66EE" w:rsidRPr="000658DB">
        <w:rPr>
          <w:rStyle w:val="IAPrrafoChar"/>
          <w:lang w:val="es-ES"/>
        </w:rPr>
        <w:t xml:space="preserve">todavía </w:t>
      </w:r>
      <w:r w:rsidRPr="000658DB">
        <w:rPr>
          <w:rStyle w:val="IAPrrafoChar"/>
          <w:lang w:val="es-ES"/>
        </w:rPr>
        <w:t>se requiere una estrategia más integral y sostenible que garantice la implementación efectiva de políticas culturalmente adaptadas</w:t>
      </w:r>
      <w:r w:rsidRPr="00FA506F">
        <w:rPr>
          <w:lang w:val="es-ES"/>
        </w:rPr>
        <w:t>.</w:t>
      </w:r>
    </w:p>
    <w:p w14:paraId="3BD22D79" w14:textId="77777777" w:rsidR="007B7AAF" w:rsidRPr="00FA506F" w:rsidRDefault="007B7AAF" w:rsidP="00B80A67">
      <w:pPr>
        <w:pStyle w:val="parrafos"/>
        <w:numPr>
          <w:ilvl w:val="0"/>
          <w:numId w:val="0"/>
        </w:numPr>
        <w:rPr>
          <w:b/>
          <w:bCs/>
          <w:lang w:val="es-ES"/>
        </w:rPr>
      </w:pPr>
    </w:p>
    <w:p w14:paraId="09274298" w14:textId="77777777" w:rsidR="007B7AAF" w:rsidRPr="00FA506F" w:rsidRDefault="007B7AAF" w:rsidP="00CD2F8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42326735" w14:textId="77777777" w:rsidR="007B7AAF" w:rsidRPr="00FA506F" w:rsidRDefault="007B7AAF" w:rsidP="00B80A67">
      <w:pPr>
        <w:pStyle w:val="parrafos"/>
        <w:numPr>
          <w:ilvl w:val="0"/>
          <w:numId w:val="0"/>
        </w:numPr>
        <w:rPr>
          <w:b/>
          <w:bCs/>
          <w:lang w:val="es-ES"/>
        </w:rPr>
      </w:pPr>
    </w:p>
    <w:p w14:paraId="22AE399E" w14:textId="68DBB6BD" w:rsidR="007B7AAF" w:rsidRPr="00FA506F" w:rsidRDefault="007B7AAF" w:rsidP="000658DB">
      <w:pPr>
        <w:pStyle w:val="parrafos"/>
        <w:ind w:firstLine="720"/>
        <w:rPr>
          <w:lang w:val="es-ES"/>
        </w:rPr>
      </w:pPr>
      <w:r w:rsidRPr="00FA506F">
        <w:rPr>
          <w:lang w:val="es-ES"/>
        </w:rPr>
        <w:t xml:space="preserve">Para avanzar hacia un cumplimiento total, el Estado debería desarrollar un sistema de monitoreo con datos desagregados que permita evaluar el impacto de las políticas implementadas, identificando áreas de mejora y facilitando la adaptación de las estrategias conforme a los resultados obtenidos. Es fundamental garantizar la participación activa de mujeres indígenas y afromexicanas en el diseño, implementación y evaluación de estas políticas, asegurando que sus perspectivas sean </w:t>
      </w:r>
      <w:r w:rsidR="00CC72A9" w:rsidRPr="00FA506F">
        <w:rPr>
          <w:lang w:val="es-ES"/>
        </w:rPr>
        <w:t>previstas</w:t>
      </w:r>
      <w:r w:rsidRPr="00FA506F">
        <w:rPr>
          <w:lang w:val="es-ES"/>
        </w:rPr>
        <w:t xml:space="preserve"> en todas las etapas del proceso.</w:t>
      </w:r>
    </w:p>
    <w:p w14:paraId="10E52251" w14:textId="77777777" w:rsidR="007B7AAF" w:rsidRPr="00FA506F" w:rsidRDefault="007B7AAF" w:rsidP="00B80A67">
      <w:pPr>
        <w:pStyle w:val="parrafos"/>
        <w:numPr>
          <w:ilvl w:val="0"/>
          <w:numId w:val="0"/>
        </w:numPr>
        <w:rPr>
          <w:lang w:val="es-ES"/>
        </w:rPr>
      </w:pPr>
    </w:p>
    <w:p w14:paraId="41622E94" w14:textId="77777777" w:rsidR="007B7AAF" w:rsidRPr="00FA506F" w:rsidRDefault="007B7AAF" w:rsidP="000658DB">
      <w:pPr>
        <w:pStyle w:val="IASubttulo3"/>
        <w:numPr>
          <w:ilvl w:val="0"/>
          <w:numId w:val="5"/>
        </w:numPr>
        <w:ind w:hanging="720"/>
        <w:rPr>
          <w:lang w:val="es-ES"/>
        </w:rPr>
      </w:pPr>
      <w:bookmarkStart w:id="20" w:name="_Toc195618114"/>
      <w:r w:rsidRPr="00FA506F">
        <w:rPr>
          <w:lang w:val="es-ES"/>
        </w:rPr>
        <w:t>Niñas, niños y adolescentes</w:t>
      </w:r>
      <w:bookmarkEnd w:id="20"/>
    </w:p>
    <w:p w14:paraId="6EA1C399" w14:textId="77777777" w:rsidR="007B7AAF" w:rsidRPr="00FA506F" w:rsidRDefault="007B7AAF"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45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Elaborar protocolos de actuación de la policía respecto de las intervenciones con niños, niñas y adolescentes con el fin de asegurar la protección de sus derechos.</w:t>
      </w:r>
    </w:p>
    <w:p w14:paraId="4ED9AAA2" w14:textId="77777777" w:rsidR="007B7AAF" w:rsidRPr="00FA506F" w:rsidRDefault="007B7AAF" w:rsidP="00B80A67">
      <w:pPr>
        <w:jc w:val="both"/>
        <w:rPr>
          <w:rFonts w:ascii="Cambria" w:eastAsia="Cambria" w:hAnsi="Cambria" w:cs="Cambria"/>
          <w:i/>
          <w:iCs/>
          <w:color w:val="000000" w:themeColor="text1"/>
          <w:sz w:val="20"/>
          <w:szCs w:val="20"/>
          <w:lang w:val="es-ES"/>
        </w:rPr>
      </w:pPr>
    </w:p>
    <w:p w14:paraId="0F73F1FB" w14:textId="0F0E68C7" w:rsidR="007B7AAF" w:rsidRPr="00FA506F" w:rsidRDefault="007B7AAF" w:rsidP="00B80A67">
      <w:pPr>
        <w:pStyle w:val="IAPrrafo"/>
        <w:numPr>
          <w:ilvl w:val="0"/>
          <w:numId w:val="4"/>
        </w:numPr>
        <w:tabs>
          <w:tab w:val="num" w:pos="720"/>
        </w:tabs>
        <w:ind w:firstLine="720"/>
        <w:rPr>
          <w:lang w:val="es-ES"/>
        </w:rPr>
      </w:pPr>
      <w:r w:rsidRPr="00FA506F">
        <w:rPr>
          <w:lang w:val="es-ES"/>
        </w:rPr>
        <w:t>De acuerdo con la información reportada por el Estado para el Informe de Seguimiento de 2023, el Sistema Nacional para el Desarrollo Integral de la Familia capacitó a 28</w:t>
      </w:r>
      <w:r w:rsidR="00201EFF" w:rsidRPr="00FA506F">
        <w:rPr>
          <w:lang w:val="es-ES"/>
        </w:rPr>
        <w:t>.</w:t>
      </w:r>
      <w:r w:rsidRPr="00FA506F">
        <w:rPr>
          <w:lang w:val="es-ES"/>
        </w:rPr>
        <w:t xml:space="preserve">878 personas servidoras públicas en temas como trata de personas, derechos de la niñez y violencia de género. </w:t>
      </w:r>
      <w:r w:rsidR="00201EFF" w:rsidRPr="00FA506F">
        <w:rPr>
          <w:lang w:val="es-ES"/>
        </w:rPr>
        <w:t>México d</w:t>
      </w:r>
      <w:r w:rsidRPr="00FA506F">
        <w:rPr>
          <w:lang w:val="es-ES"/>
        </w:rPr>
        <w:t xml:space="preserve">estacó la participación de diversas instituciones en estas capacitaciones y la implementación de cursos y protocolos, como el Protocolo Nacional de Coordinación Interinstitucional para la Protección de Niñas, Niños y Adolescentes Víctimas de Violencia. </w:t>
      </w:r>
      <w:r w:rsidR="00201EFF" w:rsidRPr="00FA506F">
        <w:rPr>
          <w:lang w:val="es-ES"/>
        </w:rPr>
        <w:t>También</w:t>
      </w:r>
      <w:r w:rsidRPr="00FA506F">
        <w:rPr>
          <w:lang w:val="es-ES"/>
        </w:rPr>
        <w:t xml:space="preserve"> mencionó el uso de un </w:t>
      </w:r>
      <w:r w:rsidRPr="00FA506F">
        <w:rPr>
          <w:i/>
          <w:iCs/>
          <w:lang w:val="es-ES"/>
        </w:rPr>
        <w:t>campus</w:t>
      </w:r>
      <w:r w:rsidRPr="00FA506F">
        <w:rPr>
          <w:lang w:val="es-ES"/>
        </w:rPr>
        <w:t xml:space="preserve"> virtual para ampliar el alcance de la formación. Sin embargo, la CIDH identificó la necesidad de información adicional sobre la aplicación específica de estos protocolos por parte de la policía. Por ello, </w:t>
      </w:r>
      <w:r w:rsidR="00CC72A9" w:rsidRPr="00FA506F">
        <w:rPr>
          <w:lang w:val="es-ES"/>
        </w:rPr>
        <w:t>concluyó</w:t>
      </w:r>
      <w:r w:rsidRPr="00FA506F">
        <w:rPr>
          <w:lang w:val="es-ES"/>
        </w:rPr>
        <w:t xml:space="preserve"> que la recomendación permanecía en cumplimiento parcial y solicitó al Estado más detalles sobre la implementación y los resultados de los protocolos dirigidos a la policía para asegurar una actuación con enfoque de derechos humanos</w:t>
      </w:r>
      <w:r w:rsidRPr="00FA506F">
        <w:rPr>
          <w:rStyle w:val="FootnoteReference"/>
          <w:lang w:val="es-ES"/>
        </w:rPr>
        <w:footnoteReference w:id="183"/>
      </w:r>
      <w:r w:rsidRPr="00FA506F">
        <w:rPr>
          <w:lang w:val="es-ES"/>
        </w:rPr>
        <w:t>.</w:t>
      </w:r>
    </w:p>
    <w:p w14:paraId="6E16D796" w14:textId="77777777" w:rsidR="007B7AAF" w:rsidRPr="00FA506F" w:rsidRDefault="007B7AAF" w:rsidP="000658D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7D59988A"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713DDA7E" w14:textId="36D65137" w:rsidR="007B7AAF" w:rsidRPr="00FA506F" w:rsidRDefault="007B7AAF" w:rsidP="00B80A67">
      <w:pPr>
        <w:pStyle w:val="IAPrrafo"/>
        <w:numPr>
          <w:ilvl w:val="0"/>
          <w:numId w:val="4"/>
        </w:numPr>
        <w:tabs>
          <w:tab w:val="num" w:pos="720"/>
        </w:tabs>
        <w:ind w:firstLine="720"/>
        <w:rPr>
          <w:rFonts w:eastAsia="Cambria" w:cs="Cambria"/>
          <w:color w:val="000000" w:themeColor="text1"/>
          <w:szCs w:val="20"/>
          <w:lang w:val="es-ES"/>
        </w:rPr>
      </w:pPr>
      <w:r w:rsidRPr="00FA506F">
        <w:rPr>
          <w:lang w:val="es-ES"/>
        </w:rPr>
        <w:t>En 2024</w:t>
      </w:r>
      <w:r w:rsidRPr="00FA506F">
        <w:rPr>
          <w:rFonts w:eastAsia="Cambria" w:cs="Cambria"/>
          <w:color w:val="000000" w:themeColor="text1"/>
          <w:szCs w:val="20"/>
          <w:lang w:val="es-ES"/>
        </w:rPr>
        <w:t>, el Estado mexicano reportó avances en la capacitación y desarrollo de protocolos para la protección de niñas, niños y adolescentes (NNA). El Sistema Nacional para el Desarrollo Integral de la Familia (SNDIF) capacitó a 28</w:t>
      </w:r>
      <w:r w:rsidR="00317490" w:rsidRPr="00FA506F">
        <w:rPr>
          <w:rFonts w:eastAsia="Cambria" w:cs="Cambria"/>
          <w:color w:val="000000" w:themeColor="text1"/>
          <w:szCs w:val="20"/>
          <w:lang w:val="es-ES"/>
        </w:rPr>
        <w:t>.</w:t>
      </w:r>
      <w:r w:rsidRPr="00FA506F">
        <w:rPr>
          <w:rFonts w:eastAsia="Cambria" w:cs="Cambria"/>
          <w:color w:val="000000" w:themeColor="text1"/>
          <w:szCs w:val="20"/>
          <w:lang w:val="es-ES"/>
        </w:rPr>
        <w:t xml:space="preserve">878 servidores </w:t>
      </w:r>
      <w:r w:rsidR="00595828" w:rsidRPr="00FA506F">
        <w:rPr>
          <w:rFonts w:eastAsia="Cambria" w:cs="Cambria"/>
          <w:color w:val="000000" w:themeColor="text1"/>
          <w:szCs w:val="20"/>
          <w:lang w:val="es-ES"/>
        </w:rPr>
        <w:t xml:space="preserve">y servidoras </w:t>
      </w:r>
      <w:r w:rsidRPr="00FA506F">
        <w:rPr>
          <w:rFonts w:eastAsia="Cambria" w:cs="Cambria"/>
          <w:color w:val="000000" w:themeColor="text1"/>
          <w:szCs w:val="20"/>
          <w:lang w:val="es-ES"/>
        </w:rPr>
        <w:t>públic</w:t>
      </w:r>
      <w:r w:rsidR="00595828" w:rsidRPr="00FA506F">
        <w:rPr>
          <w:rFonts w:eastAsia="Cambria" w:cs="Cambria"/>
          <w:color w:val="000000" w:themeColor="text1"/>
          <w:szCs w:val="20"/>
          <w:lang w:val="es-ES"/>
        </w:rPr>
        <w:t>a</w:t>
      </w:r>
      <w:r w:rsidRPr="00FA506F">
        <w:rPr>
          <w:rFonts w:eastAsia="Cambria" w:cs="Cambria"/>
          <w:color w:val="000000" w:themeColor="text1"/>
          <w:szCs w:val="20"/>
          <w:lang w:val="es-ES"/>
        </w:rPr>
        <w:t>s en temas relacionados con los derechos de la niñez, trata de personas y violencia de género, y se implementó el Protocolo Nacional de Coordinación Interinstitucional para la Protección de NNA víctimas de violencia. La Secretaría de Seguridad y Protección Ciudadana</w:t>
      </w:r>
      <w:r w:rsidR="00595828" w:rsidRPr="00FA506F">
        <w:rPr>
          <w:rFonts w:eastAsia="Cambria" w:cs="Cambria"/>
          <w:color w:val="000000" w:themeColor="text1"/>
          <w:szCs w:val="20"/>
          <w:lang w:val="es-ES"/>
        </w:rPr>
        <w:t>, a su vez,</w:t>
      </w:r>
      <w:r w:rsidR="002A41BA" w:rsidRPr="00FA506F">
        <w:rPr>
          <w:rFonts w:eastAsia="Cambria" w:cs="Cambria"/>
          <w:color w:val="000000" w:themeColor="text1"/>
          <w:szCs w:val="20"/>
          <w:lang w:val="es-ES"/>
        </w:rPr>
        <w:t xml:space="preserve"> </w:t>
      </w:r>
      <w:r w:rsidRPr="00FA506F">
        <w:rPr>
          <w:rFonts w:eastAsia="Cambria" w:cs="Cambria"/>
          <w:color w:val="000000" w:themeColor="text1"/>
          <w:szCs w:val="20"/>
          <w:lang w:val="es-ES"/>
        </w:rPr>
        <w:t>llevó a cabo más de 4</w:t>
      </w:r>
      <w:r w:rsidR="00317490" w:rsidRPr="00FA506F">
        <w:rPr>
          <w:rFonts w:eastAsia="Cambria" w:cs="Cambria"/>
          <w:color w:val="000000" w:themeColor="text1"/>
          <w:szCs w:val="20"/>
          <w:lang w:val="es-ES"/>
        </w:rPr>
        <w:t>.</w:t>
      </w:r>
      <w:r w:rsidRPr="00FA506F">
        <w:rPr>
          <w:rFonts w:eastAsia="Cambria" w:cs="Cambria"/>
          <w:color w:val="000000" w:themeColor="text1"/>
          <w:szCs w:val="20"/>
          <w:lang w:val="es-ES"/>
        </w:rPr>
        <w:t xml:space="preserve">000 cursos y talleres enfocados en la prevención de violencia, seguridad digital y promoción de la cultura de paz, con especial énfasis en fortalecer la perspectiva de género en la actuación policial. </w:t>
      </w:r>
      <w:r w:rsidR="006B4F48" w:rsidRPr="00FA506F">
        <w:rPr>
          <w:rFonts w:eastAsia="Cambria" w:cs="Cambria"/>
          <w:color w:val="000000" w:themeColor="text1"/>
          <w:szCs w:val="20"/>
          <w:lang w:val="es-ES"/>
        </w:rPr>
        <w:t>El</w:t>
      </w:r>
      <w:r w:rsidRPr="00FA506F">
        <w:rPr>
          <w:rFonts w:eastAsia="Cambria" w:cs="Cambria"/>
          <w:color w:val="000000" w:themeColor="text1"/>
          <w:szCs w:val="20"/>
          <w:lang w:val="es-ES"/>
        </w:rPr>
        <w:t xml:space="preserve"> Sistema Nacional de Protección Integral de Niñas, Niños y Adolescentes (SIPINNA) habría implementado programas de protección en los 32 estados del país, alcanzando un avance del 73</w:t>
      </w:r>
      <w:r w:rsidR="00317490" w:rsidRPr="00FA506F">
        <w:rPr>
          <w:rFonts w:eastAsia="Cambria" w:cs="Cambria"/>
          <w:color w:val="000000" w:themeColor="text1"/>
          <w:szCs w:val="20"/>
          <w:lang w:val="es-ES"/>
        </w:rPr>
        <w:t>,</w:t>
      </w:r>
      <w:r w:rsidRPr="00FA506F">
        <w:rPr>
          <w:rFonts w:eastAsia="Cambria" w:cs="Cambria"/>
          <w:color w:val="000000" w:themeColor="text1"/>
          <w:szCs w:val="20"/>
          <w:lang w:val="es-ES"/>
        </w:rPr>
        <w:t xml:space="preserve">3% en la creación de sistemas municipales. </w:t>
      </w:r>
      <w:r w:rsidR="005076DB" w:rsidRPr="00FA506F">
        <w:rPr>
          <w:rFonts w:eastAsia="Cambria" w:cs="Cambria"/>
          <w:color w:val="000000" w:themeColor="text1"/>
          <w:szCs w:val="20"/>
          <w:lang w:val="es-ES"/>
        </w:rPr>
        <w:t>El Estado informó del desarrollo de</w:t>
      </w:r>
      <w:r w:rsidRPr="00FA506F">
        <w:rPr>
          <w:rFonts w:eastAsia="Cambria" w:cs="Cambria"/>
          <w:color w:val="000000" w:themeColor="text1"/>
          <w:szCs w:val="20"/>
          <w:lang w:val="es-ES"/>
        </w:rPr>
        <w:t xml:space="preserve"> programas específicos para la protección de NNA migrantes, incluyendo la figura del Oficial de Protección a la Infancia (OPI), con una capacitación robusta en colaboración con organizaciones como UNICEF y Save The Children</w:t>
      </w:r>
      <w:r w:rsidR="00902744" w:rsidRPr="00FA506F">
        <w:rPr>
          <w:rStyle w:val="FootnoteReference"/>
          <w:rFonts w:eastAsia="Cambria" w:cs="Cambria"/>
          <w:color w:val="000000" w:themeColor="text1"/>
          <w:szCs w:val="20"/>
          <w:lang w:val="es-ES"/>
        </w:rPr>
        <w:footnoteReference w:id="184"/>
      </w:r>
      <w:r w:rsidRPr="00FA506F">
        <w:rPr>
          <w:rFonts w:eastAsia="Cambria" w:cs="Cambria"/>
          <w:color w:val="000000" w:themeColor="text1"/>
          <w:szCs w:val="20"/>
          <w:lang w:val="es-ES"/>
        </w:rPr>
        <w:t>. </w:t>
      </w:r>
    </w:p>
    <w:p w14:paraId="6CF4176C" w14:textId="77777777" w:rsidR="007B7AAF" w:rsidRPr="00FA506F" w:rsidRDefault="007B7AAF" w:rsidP="000658D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6B33699E"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2E67B515" w14:textId="56F68A4A" w:rsidR="007B7AAF" w:rsidRPr="00FA506F" w:rsidRDefault="007B7AAF" w:rsidP="00B80A67">
      <w:pPr>
        <w:pStyle w:val="IAPrrafo"/>
        <w:numPr>
          <w:ilvl w:val="0"/>
          <w:numId w:val="4"/>
        </w:numPr>
        <w:tabs>
          <w:tab w:val="num" w:pos="720"/>
        </w:tabs>
        <w:ind w:firstLine="720"/>
        <w:rPr>
          <w:b/>
          <w:bCs/>
          <w:lang w:val="es-ES"/>
        </w:rPr>
      </w:pPr>
      <w:r w:rsidRPr="00FA506F">
        <w:rPr>
          <w:lang w:val="es-ES"/>
        </w:rPr>
        <w:t>La CIDH valora de manera positiva los protocolos reportados por el Estado esfuerzos en la capacitación interinstitucional y en la implementación de protocolos destinados a proteger los derechos de NNA, incluyendo enfoques específicos para grupos vulnerables, como los NNA migrantes</w:t>
      </w:r>
      <w:r w:rsidR="00595828" w:rsidRPr="00FA506F">
        <w:rPr>
          <w:lang w:val="es-ES"/>
        </w:rPr>
        <w:t>. E</w:t>
      </w:r>
      <w:r w:rsidRPr="00FA506F">
        <w:rPr>
          <w:lang w:val="es-ES"/>
        </w:rPr>
        <w:t xml:space="preserve">n ese sentido, la Comisión concluye que la recomendación </w:t>
      </w:r>
      <w:r w:rsidR="00816AE6" w:rsidRPr="00FA506F">
        <w:rPr>
          <w:lang w:val="es-ES"/>
        </w:rPr>
        <w:t>avanza a</w:t>
      </w:r>
      <w:r w:rsidRPr="00FA506F">
        <w:rPr>
          <w:lang w:val="es-ES"/>
        </w:rPr>
        <w:t xml:space="preserve"> </w:t>
      </w:r>
      <w:r w:rsidRPr="00FA506F">
        <w:rPr>
          <w:b/>
          <w:bCs/>
          <w:lang w:val="es-ES"/>
        </w:rPr>
        <w:t>cumplimiento total.</w:t>
      </w:r>
    </w:p>
    <w:p w14:paraId="5B9AA2A5" w14:textId="77777777" w:rsidR="007B7AAF" w:rsidRPr="00FA506F" w:rsidRDefault="007B7AAF"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46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Implementar y fortalecer medidas para cumplir con el deber de actuar con debida diligencia para prevenir, sancionar y erradicar la violencia contra las niñas, niños y adolescentes, incluyendo esfuerzos concretos para cumplir con las obligaciones de prevención, investigación, sanción y reparación de violaciones de los derechos humanos y considerar los agravantes correspondientes dada la edad de la víctima. </w:t>
      </w:r>
    </w:p>
    <w:p w14:paraId="565E80BC" w14:textId="77777777" w:rsidR="007B7AAF" w:rsidRPr="00FA506F" w:rsidRDefault="007B7AAF" w:rsidP="00B80A67">
      <w:pPr>
        <w:jc w:val="both"/>
        <w:rPr>
          <w:rFonts w:ascii="Cambria" w:eastAsia="Cambria" w:hAnsi="Cambria" w:cs="Cambria"/>
          <w:i/>
          <w:iCs/>
          <w:color w:val="000000" w:themeColor="text1"/>
          <w:sz w:val="20"/>
          <w:szCs w:val="20"/>
          <w:lang w:val="es-ES"/>
        </w:rPr>
      </w:pPr>
    </w:p>
    <w:p w14:paraId="027DA29D" w14:textId="629AC280" w:rsidR="007B7AAF" w:rsidRPr="00FA506F" w:rsidRDefault="007B7AAF" w:rsidP="00B80A67">
      <w:pPr>
        <w:pStyle w:val="IAPrrafo"/>
        <w:numPr>
          <w:ilvl w:val="0"/>
          <w:numId w:val="4"/>
        </w:numPr>
        <w:tabs>
          <w:tab w:val="num" w:pos="720"/>
        </w:tabs>
        <w:ind w:firstLine="720"/>
        <w:rPr>
          <w:szCs w:val="20"/>
          <w:lang w:val="es-ES"/>
        </w:rPr>
      </w:pPr>
      <w:r w:rsidRPr="00FA506F">
        <w:rPr>
          <w:szCs w:val="20"/>
          <w:lang w:val="es-ES"/>
        </w:rPr>
        <w:t xml:space="preserve">En el Capítulo V del Informe Anual de 2023, el Estado reportó que el Sistema Nacional para el Desarrollo Integral de la Familia a través de la Procuraduría Federal de Protección de Niñas, Niños y Adolescentes desarrolló un Registro de Medidas de Protección que estaba a punto de ser implementado. </w:t>
      </w:r>
      <w:r w:rsidR="006B4F48" w:rsidRPr="00FA506F">
        <w:rPr>
          <w:szCs w:val="20"/>
          <w:lang w:val="es-ES"/>
        </w:rPr>
        <w:t>La</w:t>
      </w:r>
      <w:r w:rsidRPr="00FA506F">
        <w:rPr>
          <w:szCs w:val="20"/>
          <w:lang w:val="es-ES"/>
        </w:rPr>
        <w:t xml:space="preserve"> FEVIMTRA coordinó con el Programa Nacional Alerta AMBER México y participó en acciones para proteger a las NNA en México, incluyendo el Sistema Nacional de Protección Integral de Niñas, Niños y Adolescentes</w:t>
      </w:r>
      <w:r w:rsidR="002A41BA" w:rsidRPr="00FA506F">
        <w:rPr>
          <w:szCs w:val="20"/>
          <w:lang w:val="es-ES"/>
        </w:rPr>
        <w:t xml:space="preserve">. </w:t>
      </w:r>
      <w:r w:rsidRPr="00FA506F">
        <w:rPr>
          <w:szCs w:val="20"/>
          <w:lang w:val="es-ES"/>
        </w:rPr>
        <w:t xml:space="preserve">Se mencionó </w:t>
      </w:r>
      <w:r w:rsidR="00595828" w:rsidRPr="00FA506F">
        <w:rPr>
          <w:szCs w:val="20"/>
          <w:lang w:val="es-ES"/>
        </w:rPr>
        <w:t xml:space="preserve">además </w:t>
      </w:r>
      <w:r w:rsidRPr="00FA506F">
        <w:rPr>
          <w:szCs w:val="20"/>
          <w:lang w:val="es-ES"/>
        </w:rPr>
        <w:t xml:space="preserve">el Plan 2019-2024 de la </w:t>
      </w:r>
      <w:r w:rsidR="00A65AAA" w:rsidRPr="00FA506F">
        <w:rPr>
          <w:rFonts w:eastAsia="Times New Roman"/>
          <w:color w:val="001D35"/>
          <w:szCs w:val="20"/>
          <w:shd w:val="clear" w:color="auto" w:fill="FFFFFF"/>
          <w:lang w:val="es-ES"/>
        </w:rPr>
        <w:t>Comisión para Prevenir y Responder a la Violencia contra Niñas, Niños y Adolescentes (COMPREVNNA)</w:t>
      </w:r>
      <w:r w:rsidRPr="00FA506F">
        <w:rPr>
          <w:szCs w:val="20"/>
          <w:lang w:val="es-ES"/>
        </w:rPr>
        <w:t xml:space="preserve">, con un informe de implementación previsto para enero de 2024. La CIDH saludó estos esfuerzos, pero </w:t>
      </w:r>
      <w:r w:rsidR="00CC72A9" w:rsidRPr="00FA506F">
        <w:rPr>
          <w:szCs w:val="20"/>
          <w:lang w:val="es-ES"/>
        </w:rPr>
        <w:t xml:space="preserve">determinó </w:t>
      </w:r>
      <w:r w:rsidRPr="00FA506F">
        <w:rPr>
          <w:szCs w:val="20"/>
          <w:lang w:val="es-ES"/>
        </w:rPr>
        <w:t>que la recomendación estaba en cumplimiento parcial debido a la necesidad de más información sobre la implementación del SIPINNA, el Registro de Medidas de Protección y el Plan de Acción de la COMPREVNNA</w:t>
      </w:r>
      <w:r w:rsidRPr="00FA506F">
        <w:rPr>
          <w:rStyle w:val="FootnoteReference"/>
          <w:szCs w:val="20"/>
          <w:lang w:val="es-ES"/>
        </w:rPr>
        <w:footnoteReference w:id="185"/>
      </w:r>
      <w:r w:rsidRPr="00FA506F">
        <w:rPr>
          <w:szCs w:val="20"/>
          <w:lang w:val="es-ES"/>
        </w:rPr>
        <w:t>.</w:t>
      </w:r>
    </w:p>
    <w:p w14:paraId="28D40D3F" w14:textId="77777777" w:rsidR="007B7AAF" w:rsidRPr="00FA506F" w:rsidRDefault="007B7AAF" w:rsidP="000658D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6A0CE3CE"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0B8C5657" w14:textId="6624A614" w:rsidR="007B7AAF" w:rsidRPr="00616692" w:rsidRDefault="007B7AAF" w:rsidP="00B80A67">
      <w:pPr>
        <w:pStyle w:val="IAPrrafo"/>
        <w:numPr>
          <w:ilvl w:val="0"/>
          <w:numId w:val="4"/>
        </w:numPr>
        <w:tabs>
          <w:tab w:val="num" w:pos="720"/>
        </w:tabs>
        <w:ind w:firstLine="720"/>
        <w:rPr>
          <w:lang w:val="es-ES"/>
        </w:rPr>
      </w:pPr>
      <w:r w:rsidRPr="00FA506F">
        <w:rPr>
          <w:lang w:val="es-ES"/>
        </w:rPr>
        <w:t>En 2024, el Estado reportó avances en la capacitación de personal para abordar la protección de los derechos de niños, niñas y adolescentes</w:t>
      </w:r>
      <w:r w:rsidR="002A41BA" w:rsidRPr="00FA506F">
        <w:rPr>
          <w:lang w:val="es-ES"/>
        </w:rPr>
        <w:t xml:space="preserve">. </w:t>
      </w:r>
      <w:r w:rsidRPr="00FA506F">
        <w:rPr>
          <w:lang w:val="es-ES"/>
        </w:rPr>
        <w:t>El Sistema Nacional para el Desarrollo Integral de la Familia habría capacitado a 28</w:t>
      </w:r>
      <w:r w:rsidR="00A65AAA" w:rsidRPr="00FA506F">
        <w:rPr>
          <w:lang w:val="es-ES"/>
        </w:rPr>
        <w:t>.</w:t>
      </w:r>
      <w:r w:rsidRPr="00FA506F">
        <w:rPr>
          <w:lang w:val="es-ES"/>
        </w:rPr>
        <w:t>878 servidores públicos en temas como derechos de la niñez, trata de personas y violencia de género, utilizando tanto cursos presenciales como plataformas virtuales para maximizar el alcance</w:t>
      </w:r>
      <w:r w:rsidR="00A65AAA" w:rsidRPr="00FA506F">
        <w:rPr>
          <w:lang w:val="es-ES"/>
        </w:rPr>
        <w:t>;</w:t>
      </w:r>
      <w:r w:rsidR="006B4F48" w:rsidRPr="00FA506F">
        <w:rPr>
          <w:lang w:val="es-ES"/>
        </w:rPr>
        <w:t xml:space="preserve"> y </w:t>
      </w:r>
      <w:r w:rsidRPr="00FA506F">
        <w:rPr>
          <w:lang w:val="es-ES"/>
        </w:rPr>
        <w:t xml:space="preserve">habría implementado el Protocolo Nacional de Coordinación Interinstitucional para la Protección de NNA Víctimas de Violencia, buscando estandarizar la respuesta de las autoridades y garantizar un enfoque de derechos humanos. </w:t>
      </w:r>
      <w:r w:rsidRPr="00616692">
        <w:rPr>
          <w:lang w:val="es-ES"/>
        </w:rPr>
        <w:t xml:space="preserve">La Secretaría de Seguridad y Protección Ciudadana </w:t>
      </w:r>
      <w:r w:rsidR="00A65AAA" w:rsidRPr="00616692">
        <w:rPr>
          <w:lang w:val="es-ES"/>
        </w:rPr>
        <w:t xml:space="preserve">(SSPC) </w:t>
      </w:r>
      <w:r w:rsidRPr="00616692">
        <w:rPr>
          <w:lang w:val="es-ES"/>
        </w:rPr>
        <w:t>habría reforzado sus intervenciones en municipios con alta incidencia de violencia de género, con un enfoque particular en la prevención de la violencia en espacios educativos y comunitarios. Entre septiembre de 2023 y junio de 2024, la SSPC habría realizado más de 4</w:t>
      </w:r>
      <w:r w:rsidR="00317490" w:rsidRPr="00616692">
        <w:rPr>
          <w:lang w:val="es-ES"/>
        </w:rPr>
        <w:t>.</w:t>
      </w:r>
      <w:r w:rsidRPr="00616692">
        <w:rPr>
          <w:lang w:val="es-ES"/>
        </w:rPr>
        <w:t xml:space="preserve">000 cursos y talleres dirigidos a fomentar la cultura de paz, la seguridad digital y la prevención de adicciones en NNA. </w:t>
      </w:r>
      <w:r w:rsidR="008C2DA5" w:rsidRPr="00616692">
        <w:rPr>
          <w:lang w:val="es-ES"/>
        </w:rPr>
        <w:t>Se</w:t>
      </w:r>
      <w:r w:rsidRPr="00616692">
        <w:rPr>
          <w:lang w:val="es-ES"/>
        </w:rPr>
        <w:t xml:space="preserve"> habrían realizado</w:t>
      </w:r>
      <w:r w:rsidR="00A65AAA" w:rsidRPr="00616692">
        <w:rPr>
          <w:lang w:val="es-ES"/>
        </w:rPr>
        <w:t xml:space="preserve"> además</w:t>
      </w:r>
      <w:r w:rsidRPr="00616692">
        <w:rPr>
          <w:lang w:val="es-ES"/>
        </w:rPr>
        <w:t xml:space="preserve"> acciones específicas para la reintegración social de adolescentes en conflicto con la ley, con un enfoque en la educación, la salud y la capacitación laboral</w:t>
      </w:r>
      <w:r w:rsidR="00902744" w:rsidRPr="00616692">
        <w:rPr>
          <w:rStyle w:val="FootnoteReference"/>
          <w:lang w:val="es-ES"/>
        </w:rPr>
        <w:footnoteReference w:id="186"/>
      </w:r>
      <w:r w:rsidRPr="00616692">
        <w:rPr>
          <w:lang w:val="es-ES"/>
        </w:rPr>
        <w:t>.</w:t>
      </w:r>
    </w:p>
    <w:p w14:paraId="4575A17F" w14:textId="0D8A5AD9" w:rsidR="00CF56A9" w:rsidRPr="00616692" w:rsidRDefault="00CF56A9" w:rsidP="00CF56A9">
      <w:pPr>
        <w:pStyle w:val="IAPrrafo"/>
        <w:numPr>
          <w:ilvl w:val="0"/>
          <w:numId w:val="4"/>
        </w:numPr>
        <w:tabs>
          <w:tab w:val="num" w:pos="720"/>
        </w:tabs>
        <w:ind w:firstLine="720"/>
        <w:rPr>
          <w:lang w:val="es-ES"/>
        </w:rPr>
      </w:pPr>
      <w:r w:rsidRPr="00616692">
        <w:rPr>
          <w:lang w:val="es-ES"/>
        </w:rPr>
        <w:t xml:space="preserve">En sus observaciones al presente </w:t>
      </w:r>
      <w:r w:rsidR="00285BCD" w:rsidRPr="00616692">
        <w:rPr>
          <w:lang w:val="es-ES"/>
        </w:rPr>
        <w:t>I</w:t>
      </w:r>
      <w:r w:rsidRPr="00616692">
        <w:rPr>
          <w:lang w:val="es-ES"/>
        </w:rPr>
        <w:t>nforme, el Estado agregó que la Comisión para Prevenir y Responder a la Violencia contra Niñas, Niños y Adolescentes (COMPREVNNA), a través de la Procuraduría Federal de Protección de NNA (PFPNNA), brindó asesoría y representación jurídica en casos de custodia, abuso sexual, sustracción y patria potestad</w:t>
      </w:r>
      <w:r w:rsidRPr="00616692">
        <w:rPr>
          <w:rStyle w:val="FootnoteReference"/>
          <w:lang w:val="es-ES"/>
        </w:rPr>
        <w:footnoteReference w:id="187"/>
      </w:r>
      <w:r w:rsidRPr="00616692">
        <w:rPr>
          <w:lang w:val="es-ES"/>
        </w:rPr>
        <w:t>.</w:t>
      </w:r>
    </w:p>
    <w:p w14:paraId="21D90ECA" w14:textId="77777777" w:rsidR="007B7AAF" w:rsidRPr="00616692" w:rsidRDefault="007B7AAF" w:rsidP="000658DB">
      <w:pPr>
        <w:ind w:firstLine="720"/>
        <w:jc w:val="both"/>
        <w:rPr>
          <w:rFonts w:ascii="Cambria" w:eastAsia="Cambria" w:hAnsi="Cambria" w:cs="Cambria"/>
          <w:i/>
          <w:iCs/>
          <w:color w:val="000000" w:themeColor="text1"/>
          <w:sz w:val="20"/>
          <w:szCs w:val="20"/>
          <w:lang w:val="es-ES"/>
        </w:rPr>
      </w:pPr>
      <w:r w:rsidRPr="00616692">
        <w:rPr>
          <w:rFonts w:ascii="Cambria" w:eastAsia="Cambria" w:hAnsi="Cambria" w:cs="Cambria"/>
          <w:i/>
          <w:iCs/>
          <w:color w:val="000000" w:themeColor="text1"/>
          <w:sz w:val="20"/>
          <w:szCs w:val="20"/>
          <w:lang w:val="es-ES"/>
        </w:rPr>
        <w:t>Análisis y nivel de cumplimiento de la recomendación</w:t>
      </w:r>
    </w:p>
    <w:p w14:paraId="1F19244A" w14:textId="77777777" w:rsidR="007B7AAF" w:rsidRPr="00616692" w:rsidRDefault="007B7AAF" w:rsidP="00B80A67">
      <w:pPr>
        <w:ind w:firstLine="360"/>
        <w:jc w:val="both"/>
        <w:rPr>
          <w:rFonts w:ascii="Cambria" w:eastAsia="Cambria" w:hAnsi="Cambria" w:cs="Cambria"/>
          <w:i/>
          <w:iCs/>
          <w:color w:val="000000" w:themeColor="text1"/>
          <w:sz w:val="20"/>
          <w:szCs w:val="20"/>
          <w:lang w:val="es-ES"/>
        </w:rPr>
      </w:pPr>
    </w:p>
    <w:p w14:paraId="7A638011" w14:textId="537167D2" w:rsidR="005008FA" w:rsidRPr="00FA506F" w:rsidRDefault="005008FA" w:rsidP="00B80A67">
      <w:pPr>
        <w:pStyle w:val="IAPrrafo"/>
        <w:numPr>
          <w:ilvl w:val="0"/>
          <w:numId w:val="4"/>
        </w:numPr>
        <w:tabs>
          <w:tab w:val="num" w:pos="720"/>
        </w:tabs>
        <w:ind w:firstLine="720"/>
        <w:rPr>
          <w:lang w:val="es-ES"/>
        </w:rPr>
      </w:pPr>
      <w:r w:rsidRPr="00616692">
        <w:rPr>
          <w:lang w:val="es-ES"/>
        </w:rPr>
        <w:t>La CIDH reconoce los esfuerzos del Estado para desarrollar capacidades institucionales y establecer protocolos de actuación para la protección de los derechos de los NNA. La implementación del Protocolo Nacional de Coordinación Interinstitucional y el fortalecimiento del SIPINNA reflejan un compromiso significativo para mejorar la respuesta a situaciones que involucren a niños, niñas y adolescentes. Las capacitaciones masivas realizadas por el SNDIF y la SSPC son avances importantes, especialmente al haber incluido temas como la perspectiva de género y la seguridad digital. Sin embargo, persisten desafíos en la aplicación específica de estos protocolos por parte de la policía y otras fuerzas de seguridad. Aunque el Estado reporta avances en la capacitación, no se proporcionaron datos sobre la evaluación de impacto de estas formaciones ni sobre la implementación efectiva de</w:t>
      </w:r>
      <w:r w:rsidRPr="00FA506F">
        <w:rPr>
          <w:lang w:val="es-ES"/>
        </w:rPr>
        <w:t xml:space="preserve"> los protocolos a nivel operativo. La falta de información sobre el monitoreo y la supervisión de las intervenciones policiales en casos que involucran a NNA indica una brecha significativa en la práctica. En consecuencia, la recomendación se mantiene en </w:t>
      </w:r>
      <w:r w:rsidRPr="00FA506F">
        <w:rPr>
          <w:b/>
          <w:bCs/>
          <w:lang w:val="es-ES"/>
        </w:rPr>
        <w:t>cumplimiento parcial.</w:t>
      </w:r>
    </w:p>
    <w:p w14:paraId="5547F056" w14:textId="77777777" w:rsidR="007B7AAF" w:rsidRPr="00FA506F" w:rsidRDefault="007B7AAF" w:rsidP="000658D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43DBFFE3"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69F48FD6" w14:textId="019E3006"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Para avanzar hacia el cumplimiento total de la recomendación, se invita al Estado a implementar un sistema de monitoreo y evaluación que permita medir el impacto de las capacitaciones y la efectividad de los protocolos en la actuación de la policía y otras autoridades de seguridad. </w:t>
      </w:r>
      <w:r w:rsidR="006B4F48" w:rsidRPr="00FA506F">
        <w:rPr>
          <w:lang w:val="es-ES"/>
        </w:rPr>
        <w:t>Es</w:t>
      </w:r>
      <w:r w:rsidRPr="00FA506F">
        <w:rPr>
          <w:lang w:val="es-ES"/>
        </w:rPr>
        <w:t xml:space="preserve"> necesario desarrollar indicadores claros que evalúen el respeto al principio del </w:t>
      </w:r>
      <w:r w:rsidR="00A65AAA" w:rsidRPr="00FA506F">
        <w:rPr>
          <w:lang w:val="es-ES"/>
        </w:rPr>
        <w:t>i</w:t>
      </w:r>
      <w:r w:rsidRPr="00FA506F">
        <w:rPr>
          <w:lang w:val="es-ES"/>
        </w:rPr>
        <w:t xml:space="preserve">nterés </w:t>
      </w:r>
      <w:r w:rsidR="00A65AAA" w:rsidRPr="00FA506F">
        <w:rPr>
          <w:lang w:val="es-ES"/>
        </w:rPr>
        <w:t>s</w:t>
      </w:r>
      <w:r w:rsidRPr="00FA506F">
        <w:rPr>
          <w:lang w:val="es-ES"/>
        </w:rPr>
        <w:t xml:space="preserve">uperior de la </w:t>
      </w:r>
      <w:r w:rsidR="00A65AAA" w:rsidRPr="00FA506F">
        <w:rPr>
          <w:lang w:val="es-ES"/>
        </w:rPr>
        <w:t>n</w:t>
      </w:r>
      <w:r w:rsidRPr="00FA506F">
        <w:rPr>
          <w:lang w:val="es-ES"/>
        </w:rPr>
        <w:t xml:space="preserve">iñez en todas las intervenciones policiales. </w:t>
      </w:r>
      <w:r w:rsidR="008C2DA5" w:rsidRPr="00FA506F">
        <w:rPr>
          <w:lang w:val="es-ES"/>
        </w:rPr>
        <w:t>La Comisión</w:t>
      </w:r>
      <w:r w:rsidRPr="00FA506F">
        <w:rPr>
          <w:lang w:val="es-ES"/>
        </w:rPr>
        <w:t xml:space="preserve"> sugiere aumentar la colaboración con organizaciones de la sociedad civil y organismos internacionales para fortalecer la supervisión y garantizar que los protocolos se apliquen con un enfoque de derechos humanos, evitando cualquier tipo de abuso o maltrato. Finalmente, es crucial asegurar la participación activa de NNA en la elaboración y revisión de estos protocolos, promoviendo así un enfoque inclusivo y basado en sus necesidades y derechos específicos.</w:t>
      </w:r>
    </w:p>
    <w:p w14:paraId="663F05EB" w14:textId="77777777" w:rsidR="007B7AAF" w:rsidRPr="00FA506F" w:rsidRDefault="007B7AAF" w:rsidP="000658DB">
      <w:pPr>
        <w:pStyle w:val="IASubttulo3"/>
        <w:numPr>
          <w:ilvl w:val="0"/>
          <w:numId w:val="5"/>
        </w:numPr>
        <w:ind w:hanging="720"/>
        <w:rPr>
          <w:lang w:val="es-ES"/>
        </w:rPr>
      </w:pPr>
      <w:bookmarkStart w:id="21" w:name="_Toc195618115"/>
      <w:r w:rsidRPr="00FA506F">
        <w:rPr>
          <w:lang w:val="es-ES"/>
        </w:rPr>
        <w:t>Pueblos indígenas</w:t>
      </w:r>
      <w:bookmarkEnd w:id="21"/>
    </w:p>
    <w:p w14:paraId="1AD2E7E8" w14:textId="77777777" w:rsidR="007B7AAF" w:rsidRPr="00FA506F" w:rsidRDefault="007B7AAF"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47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Adoptar medidas para que se utilice una perspectiva culturalmente adecuada y se tome en cuenta el carácter colectivo de las comunidades y pueblos indígenas cuando estos, o sus integrantes, sean víctimas de violaciones a derechos humanos. </w:t>
      </w:r>
    </w:p>
    <w:p w14:paraId="28177976" w14:textId="77777777" w:rsidR="007B7AAF" w:rsidRPr="00FA506F" w:rsidRDefault="007B7AAF" w:rsidP="00B80A67">
      <w:pPr>
        <w:jc w:val="both"/>
        <w:rPr>
          <w:rFonts w:ascii="Cambria" w:eastAsia="Cambria" w:hAnsi="Cambria" w:cs="Cambria"/>
          <w:i/>
          <w:iCs/>
          <w:color w:val="000000" w:themeColor="text1"/>
          <w:sz w:val="20"/>
          <w:szCs w:val="20"/>
          <w:lang w:val="es-ES"/>
        </w:rPr>
      </w:pPr>
    </w:p>
    <w:p w14:paraId="279B76F7" w14:textId="2CA503BD"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De acuerdo con la información reportada por el Estado para el Informe de Seguimiento de 2023, la Comisión tomó nota de que el INPI había desarrollado un Registro de Medidas de Protección para personas indígenas y afromexicanas, el que estaba en la fase final de implementación. </w:t>
      </w:r>
      <w:r w:rsidR="005076DB" w:rsidRPr="00FA506F">
        <w:rPr>
          <w:lang w:val="es-ES"/>
        </w:rPr>
        <w:t>El Estado</w:t>
      </w:r>
      <w:r w:rsidRPr="00FA506F">
        <w:rPr>
          <w:lang w:val="es-ES"/>
        </w:rPr>
        <w:t xml:space="preserve"> informó que se apoyaba a estas personas en su excarcelación y se fortalecía el rol de intérpretes y traductores</w:t>
      </w:r>
      <w:r w:rsidR="006B4F48" w:rsidRPr="00FA506F">
        <w:rPr>
          <w:lang w:val="es-ES"/>
        </w:rPr>
        <w:t xml:space="preserve"> y </w:t>
      </w:r>
      <w:r w:rsidRPr="00FA506F">
        <w:rPr>
          <w:lang w:val="es-ES"/>
        </w:rPr>
        <w:t xml:space="preserve">apoyar a familias en situación de desplazamiento forzado o necesidad económica. El Estado reportó avances en una Reforma Constitucional sobre Derechos de los Pueblos Indígenas y Afromexicanos. Sin embargo, las organizaciones de la sociedad civil </w:t>
      </w:r>
      <w:r w:rsidR="00BE6519" w:rsidRPr="00FA506F">
        <w:rPr>
          <w:lang w:val="es-ES"/>
        </w:rPr>
        <w:t>destacaron</w:t>
      </w:r>
      <w:r w:rsidRPr="00FA506F">
        <w:rPr>
          <w:lang w:val="es-ES"/>
        </w:rPr>
        <w:t xml:space="preserve"> que, a pesar de los esfuerzos, persist</w:t>
      </w:r>
      <w:r w:rsidR="00A65AAA" w:rsidRPr="00FA506F">
        <w:rPr>
          <w:lang w:val="es-ES"/>
        </w:rPr>
        <w:t>ía</w:t>
      </w:r>
      <w:r w:rsidRPr="00FA506F">
        <w:rPr>
          <w:lang w:val="es-ES"/>
        </w:rPr>
        <w:t>n problemas como la falta de avance en la reforma constitucional, desconfianza en el sistema judicial y la falta de datos cuantitativos y cualitativos sobre violaciones a los derechos humanos de los pueblos indígenas. Las organizaciones criticaron la falta de reconocimiento de los sistemas de justicia indígenas y la criminalización del trabajo en defensa de los derechos indígenas. La CIDH valoró los avances reportados, pero destacó la necesidad de información adicional sobre la participación de las comunidades indígenas en el diseño e implementación de estas medidas. Por lo tanto, si bien la recomendación avanzó a un cumplimiento parcial sustancial, la CIDH instó al Estado a proporcionar más información sobre cómo las medidas adoptadas toman en cuenta la perspectiva cultural y el carácter colectivo de las comunidades indígenas</w:t>
      </w:r>
      <w:r w:rsidRPr="00FA506F">
        <w:rPr>
          <w:rStyle w:val="FootnoteReference"/>
          <w:lang w:val="es-ES"/>
        </w:rPr>
        <w:footnoteReference w:id="188"/>
      </w:r>
      <w:r w:rsidRPr="00FA506F">
        <w:rPr>
          <w:lang w:val="es-ES"/>
        </w:rPr>
        <w:t>.</w:t>
      </w:r>
    </w:p>
    <w:p w14:paraId="122FA611" w14:textId="77777777" w:rsidR="007B7AAF" w:rsidRPr="00FA506F" w:rsidRDefault="007B7AAF" w:rsidP="000658D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4902A6D4"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05C6E5E4" w14:textId="518D2DEC" w:rsidR="007B7AAF" w:rsidRPr="00616692" w:rsidRDefault="007B7AAF" w:rsidP="00B80A67">
      <w:pPr>
        <w:pStyle w:val="IAPrrafo"/>
        <w:numPr>
          <w:ilvl w:val="0"/>
          <w:numId w:val="4"/>
        </w:numPr>
        <w:tabs>
          <w:tab w:val="num" w:pos="720"/>
        </w:tabs>
        <w:ind w:firstLine="720"/>
        <w:rPr>
          <w:szCs w:val="20"/>
          <w:lang w:val="es-ES"/>
        </w:rPr>
      </w:pPr>
      <w:r w:rsidRPr="00FA506F">
        <w:rPr>
          <w:szCs w:val="20"/>
          <w:lang w:val="es-ES"/>
        </w:rPr>
        <w:t xml:space="preserve">En 2024, el Estado reportó la creación del Catálogo Nacional de Pueblos y Comunidades Indígenas y Afromexicanas. Este instrumento permite identificar a los pueblos y comunidades del país para asegurar el ejercicio de sus derechos colectivos y orientar el diseño e implementación de políticas públicas. </w:t>
      </w:r>
      <w:r w:rsidR="006B4F48" w:rsidRPr="00FA506F">
        <w:rPr>
          <w:szCs w:val="20"/>
          <w:lang w:val="es-ES"/>
        </w:rPr>
        <w:t>El</w:t>
      </w:r>
      <w:r w:rsidRPr="00FA506F">
        <w:rPr>
          <w:szCs w:val="20"/>
          <w:lang w:val="es-ES"/>
        </w:rPr>
        <w:t xml:space="preserve"> Programa de Apoyo a los Pueblos Indígenas y Afromexicanos (PROBIPI) ha priorizado la entrega directa de recursos a las comunidades, enfocándose en proyectos validados en asambleas comunitarias y fortaleciendo la perspectiva de género. Entre 2022 y 2024, se habrían invertido más de 6</w:t>
      </w:r>
      <w:r w:rsidR="00A65AAA" w:rsidRPr="00FA506F">
        <w:rPr>
          <w:szCs w:val="20"/>
          <w:lang w:val="es-ES"/>
        </w:rPr>
        <w:t>.</w:t>
      </w:r>
      <w:r w:rsidRPr="00FA506F">
        <w:rPr>
          <w:szCs w:val="20"/>
          <w:lang w:val="es-ES"/>
        </w:rPr>
        <w:t>500 millones de pesos en proyectos de infraestructura, empoderamiento de mujeres y promoción del patrimonio cultural. La consolidación de modelos de autogobierno, como en el municipio indígena de Hueyapan, Morelos, y la capacitación en derechos humanos a comunidades indígenas y afromexicanas</w:t>
      </w:r>
      <w:r w:rsidR="005076DB" w:rsidRPr="00FA506F">
        <w:rPr>
          <w:szCs w:val="20"/>
          <w:lang w:val="es-ES"/>
        </w:rPr>
        <w:t xml:space="preserve"> </w:t>
      </w:r>
      <w:r w:rsidRPr="00FA506F">
        <w:rPr>
          <w:szCs w:val="20"/>
          <w:lang w:val="es-ES"/>
        </w:rPr>
        <w:t xml:space="preserve">reflejan esfuerzos significativos en este sentido. No obstante, la sociedad civil </w:t>
      </w:r>
      <w:r w:rsidR="00BE6519" w:rsidRPr="00FA506F">
        <w:rPr>
          <w:szCs w:val="20"/>
          <w:lang w:val="es-ES"/>
        </w:rPr>
        <w:t>destacó</w:t>
      </w:r>
      <w:r w:rsidRPr="00FA506F">
        <w:rPr>
          <w:szCs w:val="20"/>
          <w:lang w:val="es-ES"/>
        </w:rPr>
        <w:t xml:space="preserve"> deficiencias, como la falta de datos completos sobre violaciones a los derechos humanos de los pueblos indígenas y la insuficiencia en el reconocimiento de los sistemas de justicia indígenas</w:t>
      </w:r>
      <w:r w:rsidR="00902744" w:rsidRPr="00FA506F">
        <w:rPr>
          <w:lang w:val="es-ES"/>
        </w:rPr>
        <w:footnoteReference w:id="189"/>
      </w:r>
      <w:r w:rsidRPr="00FA506F">
        <w:rPr>
          <w:szCs w:val="20"/>
          <w:lang w:val="es-ES"/>
        </w:rPr>
        <w:t xml:space="preserve">. </w:t>
      </w:r>
      <w:r w:rsidR="00E347CB" w:rsidRPr="00FA506F">
        <w:rPr>
          <w:szCs w:val="20"/>
          <w:lang w:val="es-ES"/>
        </w:rPr>
        <w:t xml:space="preserve">Por su parte, la Comisión recibió satisfactoriamente la información sobre la reforma constitucional </w:t>
      </w:r>
      <w:r w:rsidR="000547CB" w:rsidRPr="00FA506F">
        <w:rPr>
          <w:szCs w:val="20"/>
          <w:lang w:val="es-ES"/>
        </w:rPr>
        <w:t>que entró en vigor el 1 de</w:t>
      </w:r>
      <w:r w:rsidR="00E347CB" w:rsidRPr="00FA506F">
        <w:rPr>
          <w:szCs w:val="20"/>
          <w:lang w:val="es-ES"/>
        </w:rPr>
        <w:t xml:space="preserve"> octubre</w:t>
      </w:r>
      <w:r w:rsidR="001C600D" w:rsidRPr="00FA506F">
        <w:rPr>
          <w:szCs w:val="20"/>
          <w:lang w:val="es-ES"/>
        </w:rPr>
        <w:t xml:space="preserve"> que</w:t>
      </w:r>
      <w:r w:rsidR="00485331" w:rsidRPr="00FA506F">
        <w:rPr>
          <w:szCs w:val="20"/>
          <w:lang w:val="es-ES"/>
        </w:rPr>
        <w:t xml:space="preserve"> </w:t>
      </w:r>
      <w:r w:rsidR="001C600D" w:rsidRPr="00FA506F">
        <w:rPr>
          <w:szCs w:val="20"/>
          <w:lang w:val="es-ES"/>
        </w:rPr>
        <w:t>g</w:t>
      </w:r>
      <w:r w:rsidR="00485331" w:rsidRPr="00FA506F">
        <w:rPr>
          <w:szCs w:val="20"/>
          <w:lang w:val="es-ES"/>
        </w:rPr>
        <w:t xml:space="preserve">arantiza </w:t>
      </w:r>
      <w:r w:rsidR="001C600D" w:rsidRPr="00FA506F">
        <w:rPr>
          <w:szCs w:val="20"/>
          <w:lang w:val="es-ES"/>
        </w:rPr>
        <w:t>el</w:t>
      </w:r>
      <w:r w:rsidR="00485331" w:rsidRPr="00FA506F">
        <w:rPr>
          <w:szCs w:val="20"/>
          <w:lang w:val="es-ES"/>
        </w:rPr>
        <w:t xml:space="preserve"> derecho </w:t>
      </w:r>
      <w:r w:rsidR="001C600D" w:rsidRPr="00FA506F">
        <w:rPr>
          <w:szCs w:val="20"/>
          <w:lang w:val="es-ES"/>
        </w:rPr>
        <w:t xml:space="preserve">de los pueblos indígenas de México </w:t>
      </w:r>
      <w:r w:rsidR="00485331" w:rsidRPr="00FA506F">
        <w:rPr>
          <w:szCs w:val="20"/>
          <w:lang w:val="es-ES"/>
        </w:rPr>
        <w:t xml:space="preserve">a decidir conforme a sus </w:t>
      </w:r>
      <w:r w:rsidR="00485331" w:rsidRPr="00616692">
        <w:rPr>
          <w:szCs w:val="20"/>
          <w:lang w:val="es-ES"/>
        </w:rPr>
        <w:t>sistemas normativos, representantes y formas internas de gobierno, y establece que la nación tiene una composición pluricultural y multiétnica</w:t>
      </w:r>
      <w:r w:rsidR="001C600D" w:rsidRPr="00616692">
        <w:rPr>
          <w:szCs w:val="20"/>
          <w:lang w:val="es-ES"/>
        </w:rPr>
        <w:t>.</w:t>
      </w:r>
    </w:p>
    <w:p w14:paraId="0D819532" w14:textId="1AFD207D" w:rsidR="00CF56A9" w:rsidRPr="00616692" w:rsidRDefault="00CF56A9" w:rsidP="00CF56A9">
      <w:pPr>
        <w:pStyle w:val="IAPrrafo"/>
        <w:numPr>
          <w:ilvl w:val="0"/>
          <w:numId w:val="4"/>
        </w:numPr>
        <w:tabs>
          <w:tab w:val="num" w:pos="720"/>
        </w:tabs>
        <w:ind w:firstLine="720"/>
        <w:rPr>
          <w:lang w:val="es-ES"/>
        </w:rPr>
      </w:pPr>
      <w:r w:rsidRPr="00616692">
        <w:rPr>
          <w:lang w:val="es-ES"/>
        </w:rPr>
        <w:t xml:space="preserve">En sus observaciones al presente </w:t>
      </w:r>
      <w:r w:rsidR="004D33E7" w:rsidRPr="00616692">
        <w:rPr>
          <w:lang w:val="es-ES"/>
        </w:rPr>
        <w:t>I</w:t>
      </w:r>
      <w:r w:rsidRPr="00616692">
        <w:rPr>
          <w:lang w:val="es-ES"/>
        </w:rPr>
        <w:t xml:space="preserve">nforme, el Estado agregó que el 30 de septiembre de 2024, se reformó el artículo 2° de la Constitución, reconociendo a los Pueblos Indígenas y Afromexicanos como sujetos de derecho público, con personalidad jurídica y patrimonio propio. Además, </w:t>
      </w:r>
      <w:r w:rsidR="004D33E7" w:rsidRPr="00616692">
        <w:rPr>
          <w:lang w:val="es-ES"/>
        </w:rPr>
        <w:t>e</w:t>
      </w:r>
      <w:r w:rsidRPr="00616692">
        <w:rPr>
          <w:lang w:val="es-ES"/>
        </w:rPr>
        <w:t>l 11 de diciembre de 2024, se creó el Mecanismo para la Implementación y Protección de los Derechos de los Pueblos Indígenas, con la participación de 17 secretarías y órganos nacionales para coordinar políticas públicas transversales</w:t>
      </w:r>
      <w:r w:rsidRPr="00616692">
        <w:rPr>
          <w:rStyle w:val="FootnoteReference"/>
          <w:lang w:val="es-ES"/>
        </w:rPr>
        <w:footnoteReference w:id="190"/>
      </w:r>
      <w:r w:rsidRPr="00616692">
        <w:rPr>
          <w:lang w:val="es-ES"/>
        </w:rPr>
        <w:t>.</w:t>
      </w:r>
    </w:p>
    <w:p w14:paraId="3A6E0B42" w14:textId="77777777" w:rsidR="007B7AAF" w:rsidRPr="00616692" w:rsidRDefault="007B7AAF" w:rsidP="000658DB">
      <w:pPr>
        <w:ind w:firstLine="720"/>
        <w:jc w:val="both"/>
        <w:rPr>
          <w:rFonts w:ascii="Cambria" w:eastAsia="Cambria" w:hAnsi="Cambria" w:cs="Cambria"/>
          <w:i/>
          <w:iCs/>
          <w:color w:val="000000" w:themeColor="text1"/>
          <w:sz w:val="20"/>
          <w:szCs w:val="20"/>
          <w:lang w:val="es-ES"/>
        </w:rPr>
      </w:pPr>
      <w:r w:rsidRPr="00616692">
        <w:rPr>
          <w:rFonts w:ascii="Cambria" w:eastAsia="Cambria" w:hAnsi="Cambria" w:cs="Cambria"/>
          <w:i/>
          <w:iCs/>
          <w:color w:val="000000" w:themeColor="text1"/>
          <w:sz w:val="20"/>
          <w:szCs w:val="20"/>
          <w:lang w:val="es-ES"/>
        </w:rPr>
        <w:t>Análisis y nivel de cumplimiento de la recomendación</w:t>
      </w:r>
    </w:p>
    <w:p w14:paraId="2AB2BBFE" w14:textId="77777777" w:rsidR="007B7AAF" w:rsidRPr="00616692" w:rsidRDefault="007B7AAF" w:rsidP="00B80A67">
      <w:pPr>
        <w:ind w:firstLine="360"/>
        <w:jc w:val="both"/>
        <w:rPr>
          <w:rFonts w:ascii="Cambria" w:eastAsia="Cambria" w:hAnsi="Cambria" w:cs="Cambria"/>
          <w:i/>
          <w:iCs/>
          <w:color w:val="000000" w:themeColor="text1"/>
          <w:sz w:val="20"/>
          <w:szCs w:val="20"/>
          <w:lang w:val="es-ES"/>
        </w:rPr>
      </w:pPr>
    </w:p>
    <w:p w14:paraId="25E2D106" w14:textId="06E54F5D" w:rsidR="007B7AAF" w:rsidRPr="00616692" w:rsidRDefault="007B7AAF" w:rsidP="00B80A67">
      <w:pPr>
        <w:pStyle w:val="IAPrrafo"/>
        <w:numPr>
          <w:ilvl w:val="0"/>
          <w:numId w:val="4"/>
        </w:numPr>
        <w:tabs>
          <w:tab w:val="num" w:pos="720"/>
        </w:tabs>
        <w:ind w:firstLine="720"/>
        <w:rPr>
          <w:lang w:val="es-ES"/>
        </w:rPr>
      </w:pPr>
      <w:r w:rsidRPr="00616692">
        <w:rPr>
          <w:lang w:val="es-ES"/>
        </w:rPr>
        <w:t>El Estado ha demostrado avances tangibles en la creación de mecanismos para proteger los derechos de las comunidades indígenas, particularmente a través del Catálogo Nacional y el fortalecimiento de proyectos comunitarios</w:t>
      </w:r>
      <w:r w:rsidR="001C600D" w:rsidRPr="00616692">
        <w:rPr>
          <w:lang w:val="es-ES"/>
        </w:rPr>
        <w:t>; y mediante la aprobación de la reforma constitucional</w:t>
      </w:r>
      <w:r w:rsidRPr="00616692">
        <w:rPr>
          <w:lang w:val="es-ES"/>
        </w:rPr>
        <w:t xml:space="preserve">. Sin embargo, persisten desafíos en la implementación efectiva de un enfoque culturalmente adecuado que tome en cuenta el carácter colectivo de estas comunidades. La falta de datos cuantitativos y cualitativos sobre violaciones a los derechos humanos de los pueblos indígenas y la limitada participación de estas comunidades en la toma de decisiones siguen siendo obstáculos para el cumplimiento total de la recomendación. En ese sentido, la recomendación permanece en </w:t>
      </w:r>
      <w:r w:rsidRPr="00616692">
        <w:rPr>
          <w:b/>
          <w:bCs/>
          <w:lang w:val="es-ES"/>
        </w:rPr>
        <w:t>cumplimiento parcial</w:t>
      </w:r>
      <w:r w:rsidR="000674A1" w:rsidRPr="00616692">
        <w:rPr>
          <w:b/>
          <w:bCs/>
          <w:lang w:val="es-ES"/>
        </w:rPr>
        <w:t xml:space="preserve"> sustancial</w:t>
      </w:r>
      <w:r w:rsidRPr="00616692">
        <w:rPr>
          <w:b/>
          <w:bCs/>
          <w:lang w:val="es-ES"/>
        </w:rPr>
        <w:t>.</w:t>
      </w:r>
      <w:r w:rsidRPr="00616692">
        <w:rPr>
          <w:lang w:val="es-ES"/>
        </w:rPr>
        <w:tab/>
      </w:r>
    </w:p>
    <w:p w14:paraId="5BF006CA" w14:textId="77777777" w:rsidR="00E16969" w:rsidRDefault="00E16969" w:rsidP="000658DB">
      <w:pPr>
        <w:ind w:firstLine="720"/>
        <w:jc w:val="both"/>
        <w:rPr>
          <w:rFonts w:ascii="Cambria" w:eastAsia="Cambria" w:hAnsi="Cambria" w:cs="Cambria"/>
          <w:i/>
          <w:iCs/>
          <w:color w:val="000000" w:themeColor="text1"/>
          <w:sz w:val="20"/>
          <w:szCs w:val="20"/>
          <w:lang w:val="es-ES"/>
        </w:rPr>
      </w:pPr>
    </w:p>
    <w:p w14:paraId="09798D2E" w14:textId="3423C958" w:rsidR="007B7AAF" w:rsidRPr="00FA506F" w:rsidRDefault="007B7AAF" w:rsidP="000658D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1729C174"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662E1D27" w14:textId="00A4C3BA" w:rsidR="005B28C2" w:rsidRPr="00FA506F" w:rsidRDefault="007B7AAF" w:rsidP="005B28C2">
      <w:pPr>
        <w:pStyle w:val="IAPrrafo"/>
        <w:numPr>
          <w:ilvl w:val="0"/>
          <w:numId w:val="4"/>
        </w:numPr>
        <w:tabs>
          <w:tab w:val="num" w:pos="720"/>
        </w:tabs>
        <w:ind w:firstLine="720"/>
        <w:rPr>
          <w:lang w:val="es-ES"/>
        </w:rPr>
      </w:pPr>
      <w:r w:rsidRPr="00FA506F">
        <w:rPr>
          <w:lang w:val="es-ES"/>
        </w:rPr>
        <w:t>Para alcanzar el cumplimiento total de la recomendación, el Estado debe asegurar una participación activa y significativa de las comunidades indígenas en el diseño, implementación y evaluación de políticas pública</w:t>
      </w:r>
      <w:r w:rsidR="005B28C2" w:rsidRPr="00FA506F">
        <w:rPr>
          <w:lang w:val="es-ES"/>
        </w:rPr>
        <w:t>s.</w:t>
      </w:r>
      <w:r w:rsidRPr="00FA506F">
        <w:rPr>
          <w:lang w:val="es-ES"/>
        </w:rPr>
        <w:t xml:space="preserve"> </w:t>
      </w:r>
      <w:r w:rsidR="006B4F48" w:rsidRPr="00FA506F">
        <w:rPr>
          <w:lang w:val="es-ES"/>
        </w:rPr>
        <w:t>Es</w:t>
      </w:r>
      <w:r w:rsidRPr="00FA506F">
        <w:rPr>
          <w:lang w:val="es-ES"/>
        </w:rPr>
        <w:t xml:space="preserve"> necesario fortalecer la recopilación y análisis de datos específicos sobre violaciones a los derechos humanos de los pueblos indígenas y garantizar mecanismos de diálogo efectivos que promuevan la resolución pacífica de conflictos en territorios indígenas.</w:t>
      </w:r>
      <w:r w:rsidR="005B28C2" w:rsidRPr="00FA506F">
        <w:rPr>
          <w:lang w:val="es-ES"/>
        </w:rPr>
        <w:t xml:space="preserve"> Si bien, la Comisión tomó conocimiento de la reforma constitucional </w:t>
      </w:r>
      <w:r w:rsidR="005B28C2" w:rsidRPr="00FA506F">
        <w:rPr>
          <w:rFonts w:cs="Noto Serif"/>
          <w:color w:val="111111"/>
          <w:lang w:val="es-ES"/>
        </w:rPr>
        <w:t xml:space="preserve">que reconoce derechos a pueblos y comunidades indígenas, publicada el </w:t>
      </w:r>
      <w:r w:rsidR="00D42451" w:rsidRPr="00FA506F">
        <w:rPr>
          <w:rFonts w:cs="Noto Serif"/>
          <w:color w:val="111111"/>
          <w:lang w:val="es-ES"/>
        </w:rPr>
        <w:t>30 de septiembre de 2024, la CIDH invita al Estado a proporcionar información sobre la implementación de la reforma y su impacto en el cumplimiento de esta recomendación.</w:t>
      </w:r>
    </w:p>
    <w:p w14:paraId="72275E85" w14:textId="77777777" w:rsidR="007B7AAF" w:rsidRPr="00FA506F" w:rsidRDefault="007B7AAF"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49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Adoptar las medidas necesarias para realizar consultas libres, previas e informadas en proyectos que afectan sus territorios. </w:t>
      </w:r>
    </w:p>
    <w:p w14:paraId="6B6206F4" w14:textId="77777777" w:rsidR="007B7AAF" w:rsidRPr="00FA506F" w:rsidRDefault="007B7AAF" w:rsidP="00B80A67">
      <w:pPr>
        <w:jc w:val="both"/>
        <w:rPr>
          <w:rFonts w:ascii="Cambria" w:eastAsia="Cambria" w:hAnsi="Cambria" w:cs="Cambria"/>
          <w:i/>
          <w:iCs/>
          <w:color w:val="000000" w:themeColor="text1"/>
          <w:sz w:val="20"/>
          <w:szCs w:val="20"/>
          <w:lang w:val="es-ES"/>
        </w:rPr>
      </w:pPr>
    </w:p>
    <w:p w14:paraId="2AB1BB8C" w14:textId="568B40DB" w:rsidR="007B7AAF" w:rsidRPr="00616692" w:rsidRDefault="007B7AAF" w:rsidP="00B80A67">
      <w:pPr>
        <w:pStyle w:val="IAPrrafo"/>
        <w:numPr>
          <w:ilvl w:val="0"/>
          <w:numId w:val="4"/>
        </w:numPr>
        <w:tabs>
          <w:tab w:val="num" w:pos="720"/>
        </w:tabs>
        <w:ind w:firstLine="720"/>
        <w:rPr>
          <w:lang w:val="es-ES"/>
        </w:rPr>
      </w:pPr>
      <w:r w:rsidRPr="00FA506F">
        <w:rPr>
          <w:lang w:val="es-ES"/>
        </w:rPr>
        <w:t xml:space="preserve">De acuerdo con la información reportada por el Estado para el Informe de Seguimiento de 2023, la Comisión tomó nota de que el derecho a la consulta previa, libre e informada está vigente desde septiembre de 1991 con el Convenio 169 de la OIT, aunque su implementación comenzó en 2004. Entre 2004 y 2018, la Comisión Nacional para el Desarrollo de los Pueblos Indígenas participó en 109 procesos de consulta, mientras que desde 2019, el INPI ha participado en 178 procesos y realizado 657 asambleas de diálogo y consulta. Sin perjuicio de lo anterior, </w:t>
      </w:r>
      <w:r w:rsidR="00042A95" w:rsidRPr="00FA506F">
        <w:rPr>
          <w:lang w:val="es-ES"/>
        </w:rPr>
        <w:t xml:space="preserve">organizaciones de la </w:t>
      </w:r>
      <w:r w:rsidRPr="00FA506F">
        <w:rPr>
          <w:lang w:val="es-ES"/>
        </w:rPr>
        <w:t>sociedad civil document</w:t>
      </w:r>
      <w:r w:rsidR="00042A95" w:rsidRPr="00FA506F">
        <w:rPr>
          <w:lang w:val="es-ES"/>
        </w:rPr>
        <w:t>aron</w:t>
      </w:r>
      <w:r w:rsidRPr="00FA506F">
        <w:rPr>
          <w:lang w:val="es-ES"/>
        </w:rPr>
        <w:t xml:space="preserve"> graves violaciones de derechos humanos en </w:t>
      </w:r>
      <w:r w:rsidRPr="00616692">
        <w:rPr>
          <w:lang w:val="es-ES"/>
        </w:rPr>
        <w:t>comunidades indígenas, incluyendo la criminalización de defensores de derechos y la falta de reconocimiento de los pueblos indígenas como sujetos de derecho. La CIDH observó que, aunque existen mecanismos para asegurar las consultas, falta</w:t>
      </w:r>
      <w:r w:rsidR="00042A95" w:rsidRPr="00616692">
        <w:rPr>
          <w:lang w:val="es-ES"/>
        </w:rPr>
        <w:t>ba</w:t>
      </w:r>
      <w:r w:rsidRPr="00616692">
        <w:rPr>
          <w:lang w:val="es-ES"/>
        </w:rPr>
        <w:t xml:space="preserve"> información específica sobre cómo se realizan estas consultas y cómo se resuelven los conflictos actuales. En consecuencia, la recomendación se </w:t>
      </w:r>
      <w:r w:rsidR="00042A95" w:rsidRPr="00616692">
        <w:rPr>
          <w:lang w:val="es-ES"/>
        </w:rPr>
        <w:t xml:space="preserve">mantuvo </w:t>
      </w:r>
      <w:r w:rsidRPr="00616692">
        <w:rPr>
          <w:lang w:val="es-ES"/>
        </w:rPr>
        <w:t>con un nivel de cumplimiento parcial. La CIDH invitó al Estado a proporcionar información adicional sobre cómo se garantizan los procesos de consulta previos, libres e informados</w:t>
      </w:r>
      <w:r w:rsidRPr="00616692">
        <w:rPr>
          <w:rStyle w:val="FootnoteReference"/>
          <w:lang w:val="es-ES"/>
        </w:rPr>
        <w:footnoteReference w:id="191"/>
      </w:r>
      <w:r w:rsidRPr="00616692">
        <w:rPr>
          <w:lang w:val="es-ES"/>
        </w:rPr>
        <w:t>.</w:t>
      </w:r>
    </w:p>
    <w:p w14:paraId="75E88116" w14:textId="66A55D5E" w:rsidR="00CF56A9" w:rsidRPr="00616692" w:rsidRDefault="00CF56A9" w:rsidP="00CF56A9">
      <w:pPr>
        <w:pStyle w:val="IAPrrafo"/>
        <w:numPr>
          <w:ilvl w:val="0"/>
          <w:numId w:val="4"/>
        </w:numPr>
        <w:tabs>
          <w:tab w:val="num" w:pos="720"/>
        </w:tabs>
        <w:ind w:firstLine="720"/>
        <w:rPr>
          <w:lang w:val="es-ES"/>
        </w:rPr>
      </w:pPr>
      <w:r w:rsidRPr="00616692">
        <w:rPr>
          <w:lang w:val="es-ES"/>
        </w:rPr>
        <w:t>En sus observaciones al presente informe, el Estado agregó que el Catálogo Nacional de Pueblos y Comunidades Indígenas y Afromexicanas (CNPCIA) es el primer instrumento estatal que identifica y reconoce a los pueblos y comunidades indígenas y afromexicanas como sujetos de derecho público, garantizando el ejercicio de sus derechos colectivos</w:t>
      </w:r>
      <w:r w:rsidRPr="00616692">
        <w:rPr>
          <w:rStyle w:val="FootnoteReference"/>
          <w:lang w:val="es-ES"/>
        </w:rPr>
        <w:footnoteReference w:id="192"/>
      </w:r>
      <w:r w:rsidRPr="00616692">
        <w:rPr>
          <w:lang w:val="es-ES"/>
        </w:rPr>
        <w:t>.</w:t>
      </w:r>
    </w:p>
    <w:p w14:paraId="7F74BBE7" w14:textId="77777777" w:rsidR="007B7AAF" w:rsidRPr="00616692" w:rsidRDefault="007B7AAF" w:rsidP="000658DB">
      <w:pPr>
        <w:ind w:firstLine="720"/>
        <w:jc w:val="both"/>
        <w:rPr>
          <w:rFonts w:ascii="Cambria" w:eastAsia="Cambria" w:hAnsi="Cambria" w:cs="Cambria"/>
          <w:i/>
          <w:iCs/>
          <w:color w:val="000000" w:themeColor="text1"/>
          <w:sz w:val="20"/>
          <w:szCs w:val="20"/>
          <w:lang w:val="es-ES"/>
        </w:rPr>
      </w:pPr>
      <w:r w:rsidRPr="00616692">
        <w:rPr>
          <w:rFonts w:ascii="Cambria" w:eastAsia="Cambria" w:hAnsi="Cambria" w:cs="Cambria"/>
          <w:i/>
          <w:iCs/>
          <w:color w:val="000000" w:themeColor="text1"/>
          <w:sz w:val="20"/>
          <w:szCs w:val="20"/>
          <w:lang w:val="es-ES"/>
        </w:rPr>
        <w:t>Información sobre el cumplimiento</w:t>
      </w:r>
    </w:p>
    <w:p w14:paraId="3C598926" w14:textId="77777777" w:rsidR="007B7AAF" w:rsidRPr="00616692" w:rsidRDefault="007B7AAF" w:rsidP="00B80A67">
      <w:pPr>
        <w:ind w:firstLine="360"/>
        <w:jc w:val="both"/>
        <w:rPr>
          <w:rFonts w:ascii="Cambria" w:eastAsia="Cambria" w:hAnsi="Cambria" w:cs="Cambria"/>
          <w:i/>
          <w:iCs/>
          <w:color w:val="000000" w:themeColor="text1"/>
          <w:sz w:val="20"/>
          <w:szCs w:val="20"/>
          <w:lang w:val="es-ES"/>
        </w:rPr>
      </w:pPr>
    </w:p>
    <w:p w14:paraId="51EF56F0" w14:textId="6E8FF31F" w:rsidR="007B7AAF" w:rsidRPr="00FA506F" w:rsidRDefault="007B7AAF" w:rsidP="00B80A67">
      <w:pPr>
        <w:pStyle w:val="IAPrrafo"/>
        <w:numPr>
          <w:ilvl w:val="0"/>
          <w:numId w:val="4"/>
        </w:numPr>
        <w:tabs>
          <w:tab w:val="num" w:pos="720"/>
        </w:tabs>
        <w:ind w:firstLine="720"/>
        <w:rPr>
          <w:lang w:val="es-ES"/>
        </w:rPr>
      </w:pPr>
      <w:r w:rsidRPr="00616692">
        <w:rPr>
          <w:lang w:val="es-ES"/>
        </w:rPr>
        <w:t>En 2024, Estado destacó la creación de un Catálogo Nacional de Pueblos y Comunidades Indígenas y Afromexicanas, que identifica a 70 pueblos indígenas y al pueblo afromexicano, abarcando 12</w:t>
      </w:r>
      <w:r w:rsidR="00317490" w:rsidRPr="00616692">
        <w:rPr>
          <w:lang w:val="es-ES"/>
        </w:rPr>
        <w:t>.</w:t>
      </w:r>
      <w:r w:rsidRPr="00616692">
        <w:rPr>
          <w:lang w:val="es-ES"/>
        </w:rPr>
        <w:t>711 comunidades. Este catálogo habría sido diseñado para facilitar la elaboración e implementación de políticas públicas con enfoque culturalmente adecuado</w:t>
      </w:r>
      <w:r w:rsidR="006B4F48" w:rsidRPr="00616692">
        <w:rPr>
          <w:lang w:val="es-ES"/>
        </w:rPr>
        <w:t xml:space="preserve"> y </w:t>
      </w:r>
      <w:r w:rsidRPr="00616692">
        <w:rPr>
          <w:lang w:val="es-ES"/>
        </w:rPr>
        <w:t>habrían invertido</w:t>
      </w:r>
      <w:r w:rsidRPr="00FA506F">
        <w:rPr>
          <w:lang w:val="es-ES"/>
        </w:rPr>
        <w:t xml:space="preserve"> 6</w:t>
      </w:r>
      <w:r w:rsidR="00317490" w:rsidRPr="00FA506F">
        <w:rPr>
          <w:lang w:val="es-ES"/>
        </w:rPr>
        <w:t>.</w:t>
      </w:r>
      <w:r w:rsidRPr="00FA506F">
        <w:rPr>
          <w:lang w:val="es-ES"/>
        </w:rPr>
        <w:t>537</w:t>
      </w:r>
      <w:r w:rsidR="00644632" w:rsidRPr="00FA506F">
        <w:rPr>
          <w:lang w:val="es-ES"/>
        </w:rPr>
        <w:t>,</w:t>
      </w:r>
      <w:r w:rsidRPr="00FA506F">
        <w:rPr>
          <w:lang w:val="es-ES"/>
        </w:rPr>
        <w:t>8 millones de pesos en el Programa de Apoyo a los Pueblos Indígenas y Afromexicanos (PROBIPI) durante el periodo 2022-2024, enfocándose en derechos indígenas, empoderamiento de mujeres, y promoción del patrimonio cultural. El Estado habría implementado proyectos específicos, como la consolidación del autogobierno en Hueyapan, Morelos, y se habría realizado un curso de capacitación en derechos humanos para comunidades indígenas y afromexicanas</w:t>
      </w:r>
      <w:r w:rsidR="005076DB" w:rsidRPr="00FA506F">
        <w:rPr>
          <w:lang w:val="es-ES"/>
        </w:rPr>
        <w:t xml:space="preserve"> y </w:t>
      </w:r>
      <w:r w:rsidRPr="00FA506F">
        <w:rPr>
          <w:lang w:val="es-ES"/>
        </w:rPr>
        <w:t>se habrían llevado a cabo procesos de diálogo en territorios indígenas en diversos estados para la resolución pacífica de conflictos. La creación de 244 Casas de la Mujer Indígena y Afromexicana y la implementación de 20,664 acciones de acceso a la justicia serían parte del enfoque integral del Estado hacia los pueblos indígenas</w:t>
      </w:r>
      <w:r w:rsidR="00902744" w:rsidRPr="00FA506F">
        <w:rPr>
          <w:rStyle w:val="FootnoteReference"/>
          <w:lang w:val="es-ES"/>
        </w:rPr>
        <w:footnoteReference w:id="193"/>
      </w:r>
      <w:r w:rsidRPr="00FA506F">
        <w:rPr>
          <w:lang w:val="es-ES"/>
        </w:rPr>
        <w:t>.</w:t>
      </w:r>
    </w:p>
    <w:p w14:paraId="65E710BF" w14:textId="3944D994"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Sin embargo, las organizaciones de la sociedad civil </w:t>
      </w:r>
      <w:r w:rsidR="009434B8" w:rsidRPr="00FA506F">
        <w:rPr>
          <w:lang w:val="es-ES"/>
        </w:rPr>
        <w:t>destacaron la</w:t>
      </w:r>
      <w:r w:rsidRPr="00FA506F">
        <w:rPr>
          <w:lang w:val="es-ES"/>
        </w:rPr>
        <w:t xml:space="preserve"> persistente criminalización del activismo indígena</w:t>
      </w:r>
      <w:r w:rsidR="005076DB" w:rsidRPr="00FA506F">
        <w:rPr>
          <w:lang w:val="es-ES"/>
        </w:rPr>
        <w:t xml:space="preserve"> y </w:t>
      </w:r>
      <w:r w:rsidRPr="00FA506F">
        <w:rPr>
          <w:lang w:val="es-ES"/>
        </w:rPr>
        <w:t>report</w:t>
      </w:r>
      <w:r w:rsidR="005076DB" w:rsidRPr="00FA506F">
        <w:rPr>
          <w:lang w:val="es-ES"/>
        </w:rPr>
        <w:t>aron</w:t>
      </w:r>
      <w:r w:rsidRPr="00FA506F">
        <w:rPr>
          <w:lang w:val="es-ES"/>
        </w:rPr>
        <w:t xml:space="preserve"> problemas de racismo estructural y falta de reconocimiento de los sistemas de justicia propios de los pueblos indígenas</w:t>
      </w:r>
      <w:r w:rsidR="00902744" w:rsidRPr="00FA506F">
        <w:rPr>
          <w:rStyle w:val="FootnoteReference"/>
          <w:lang w:val="es-ES"/>
        </w:rPr>
        <w:footnoteReference w:id="194"/>
      </w:r>
      <w:r w:rsidRPr="00FA506F">
        <w:rPr>
          <w:lang w:val="es-ES"/>
        </w:rPr>
        <w:t>.</w:t>
      </w:r>
      <w:r w:rsidR="00042A95" w:rsidRPr="00FA506F">
        <w:rPr>
          <w:lang w:val="es-ES"/>
        </w:rPr>
        <w:t xml:space="preserve"> </w:t>
      </w:r>
      <w:r w:rsidR="00042A95" w:rsidRPr="00FA506F">
        <w:rPr>
          <w:szCs w:val="20"/>
          <w:lang w:val="es-ES"/>
        </w:rPr>
        <w:t>Por su parte, como ya se mencionó, la Comisión reconoce positivamente la reforma constitucional que entró en vigor el 1 de octubre y que garantiza el derecho de los pueblos indígenas y afromexicanos a decidir conforme a sus sistemas normativos, representantes y formas internas de gobierno, y establece que la nación tiene una composición pluricultural y multiétnica.</w:t>
      </w:r>
      <w:r w:rsidR="00FC0B9C" w:rsidRPr="00FA506F">
        <w:rPr>
          <w:szCs w:val="20"/>
          <w:lang w:val="es-ES"/>
        </w:rPr>
        <w:t xml:space="preserve"> En particular, se</w:t>
      </w:r>
      <w:r w:rsidR="00FC0B9C" w:rsidRPr="00FA506F">
        <w:rPr>
          <w:lang w:val="es-ES"/>
        </w:rPr>
        <w:t xml:space="preserve"> incorpora el reconocimiento de los pueblos y comunidades indígenas, incluyendo a los pueblos y comunidades afromexicanas, como sujetos de derecho público, con personalidad jurídica y patrimonio propio; se preserva, difunde y fomenta su cultura, lenguas y educación, con base en sus métodos de enseñanza-aprendizaje; se promueve el desarrollo de la medicina tradicional y prácticas de salud, alimentación nutritiva, bioculturalidad e integridad de lugares sagrados, así como el reconocimiento del trabajo comunitario; y se reafirma el derecho a ser consultados y cooperar de buena fe para adoptar y aplicar las medidas que puedan causar impactos significativos en su vida o entorno, para lo cual les brinda asistencia jurisdiccional idónea. De igual modo, la reforma determina que las autoridades mexicanas, en el ámbito de sus competencias, deberán establecer las partidas específicas presupuestales para los pueblos y comunidades que administren y ejerzan conforme a las leyes de la materia. </w:t>
      </w:r>
    </w:p>
    <w:p w14:paraId="6C7A6E3D" w14:textId="77777777" w:rsidR="007B7AAF" w:rsidRPr="00FA506F" w:rsidRDefault="007B7AAF" w:rsidP="000658D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2FE407DB"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5A0E3366" w14:textId="4C0A0FE1" w:rsidR="007B7AAF" w:rsidRPr="00FA506F" w:rsidRDefault="00FC0B9C" w:rsidP="00B80A67">
      <w:pPr>
        <w:pStyle w:val="IAPrrafo"/>
        <w:numPr>
          <w:ilvl w:val="0"/>
          <w:numId w:val="4"/>
        </w:numPr>
        <w:tabs>
          <w:tab w:val="num" w:pos="720"/>
        </w:tabs>
        <w:ind w:firstLine="720"/>
        <w:rPr>
          <w:b/>
          <w:bCs/>
          <w:lang w:val="es-ES"/>
        </w:rPr>
      </w:pPr>
      <w:r w:rsidRPr="00FA506F">
        <w:rPr>
          <w:lang w:val="es-ES"/>
        </w:rPr>
        <w:t xml:space="preserve">La CIDH saluda el progreso en la reciente reforma constitucional, porque significa un avance significativo en el proceso de armonización normativa y de reconocimiento efectivo de los derechos colectivos de los pueblos indígenas. Sin embargo, teniendo en cuenta su incipiente aprobación, aun no se advierte su impacto a nivel nacional y local. Asimismo, </w:t>
      </w:r>
      <w:r w:rsidR="007B7AAF" w:rsidRPr="00FA506F">
        <w:rPr>
          <w:lang w:val="es-ES"/>
        </w:rPr>
        <w:t xml:space="preserve">la persistencia de prácticas de criminalización de defensores indígenas </w:t>
      </w:r>
      <w:r w:rsidRPr="00FA506F">
        <w:rPr>
          <w:lang w:val="es-ES"/>
        </w:rPr>
        <w:t>y l</w:t>
      </w:r>
      <w:r w:rsidR="006B4F48" w:rsidRPr="00FA506F">
        <w:rPr>
          <w:lang w:val="es-ES"/>
        </w:rPr>
        <w:t>a</w:t>
      </w:r>
      <w:r w:rsidR="007B7AAF" w:rsidRPr="00FA506F">
        <w:rPr>
          <w:lang w:val="es-ES"/>
        </w:rPr>
        <w:t xml:space="preserve"> limitada participación de las comunidades en el diseño e implementación de estas políticas sigue siendo un desafío significativo, lo que sugiere una necesidad de integrar más activamente la perspectiva de los pueblos indígenas en la formulación de políticas. En este contexto, la CIDH concluye que la recomendación </w:t>
      </w:r>
      <w:r w:rsidRPr="00FA506F">
        <w:rPr>
          <w:lang w:val="es-ES"/>
        </w:rPr>
        <w:t xml:space="preserve">avanza hacia su </w:t>
      </w:r>
      <w:r w:rsidR="007B7AAF" w:rsidRPr="00FA506F">
        <w:rPr>
          <w:rStyle w:val="Strong"/>
          <w:lang w:val="es-ES"/>
        </w:rPr>
        <w:t>cumplimiento parcial</w:t>
      </w:r>
      <w:r w:rsidRPr="00FA506F">
        <w:rPr>
          <w:rStyle w:val="Strong"/>
          <w:lang w:val="es-ES"/>
        </w:rPr>
        <w:t xml:space="preserve"> sustancial</w:t>
      </w:r>
      <w:r w:rsidR="004F3E06" w:rsidRPr="00FA506F">
        <w:rPr>
          <w:rStyle w:val="Strong"/>
          <w:lang w:val="es-ES"/>
        </w:rPr>
        <w:t xml:space="preserve">, </w:t>
      </w:r>
      <w:r w:rsidR="007B7AAF" w:rsidRPr="00FA506F">
        <w:rPr>
          <w:lang w:val="es-ES"/>
        </w:rPr>
        <w:t>reconociendo los avances en la creación de instrumentos y programas, pero subrayando la necesidad de una implementación más efectiva y de mayor participación comunitaria en el proceso.</w:t>
      </w:r>
    </w:p>
    <w:p w14:paraId="6DD6BDE6" w14:textId="77777777" w:rsidR="007B7AAF" w:rsidRPr="00FA506F" w:rsidRDefault="007B7AAF" w:rsidP="000658D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62400555"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4D19738E" w14:textId="35787FDB"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Para el cumplimiento total de esta recomendación es necesario que el Estado </w:t>
      </w:r>
      <w:r w:rsidR="00FC0B9C" w:rsidRPr="00FA506F">
        <w:rPr>
          <w:lang w:val="es-ES"/>
        </w:rPr>
        <w:t>informe el impacto de la reforma constitucional y</w:t>
      </w:r>
      <w:r w:rsidRPr="00FA506F">
        <w:rPr>
          <w:lang w:val="es-ES"/>
        </w:rPr>
        <w:t xml:space="preserve"> </w:t>
      </w:r>
      <w:r w:rsidR="00FC0B9C" w:rsidRPr="00FA506F">
        <w:rPr>
          <w:lang w:val="es-ES"/>
        </w:rPr>
        <w:t xml:space="preserve">que se fortalezca </w:t>
      </w:r>
      <w:r w:rsidRPr="00FA506F">
        <w:rPr>
          <w:lang w:val="es-ES"/>
        </w:rPr>
        <w:t xml:space="preserve">la participación activa de los pueblos indígenas en la creación y evaluación de políticas públicas, garantizando que sus voces sean escuchadas y respetadas. </w:t>
      </w:r>
      <w:r w:rsidR="006B4F48" w:rsidRPr="00FA506F">
        <w:rPr>
          <w:lang w:val="es-ES"/>
        </w:rPr>
        <w:t>El</w:t>
      </w:r>
      <w:r w:rsidRPr="00FA506F">
        <w:rPr>
          <w:lang w:val="es-ES"/>
        </w:rPr>
        <w:t xml:space="preserve"> Estado debe mejorar los mecanismos de recopilación de datos cualitativos y cuantitativos sobre las violaciones de derechos humanos, incluyendo indicadores que reflejen adecuadamente la perspectiva cultural y el carácter colectivo de los pueblos indígenas.</w:t>
      </w:r>
    </w:p>
    <w:p w14:paraId="6472FB15" w14:textId="77777777" w:rsidR="007B7AAF" w:rsidRPr="00FA506F" w:rsidRDefault="007B7AAF" w:rsidP="000658DB">
      <w:pPr>
        <w:pStyle w:val="IASubttulo3"/>
        <w:numPr>
          <w:ilvl w:val="0"/>
          <w:numId w:val="5"/>
        </w:numPr>
        <w:ind w:hanging="630"/>
        <w:rPr>
          <w:lang w:val="es-ES"/>
        </w:rPr>
      </w:pPr>
      <w:bookmarkStart w:id="22" w:name="_Toc195618116"/>
      <w:r w:rsidRPr="00FA506F">
        <w:rPr>
          <w:lang w:val="es-ES"/>
        </w:rPr>
        <w:t>Personas privadas de libertad</w:t>
      </w:r>
      <w:bookmarkEnd w:id="22"/>
    </w:p>
    <w:p w14:paraId="2A172F12" w14:textId="77777777" w:rsidR="007B7AAF" w:rsidRPr="00FA506F" w:rsidRDefault="007B7AAF"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50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Corregir la excesiva aplicación de la prisión preventiva, y aplicarla excepcionalmente, haciendo uso de otras medidas cautelares no privativas de la libertad. En este marco, garantizar la inmediata puesta a disposición del juez de las personas detenidas, a fin de restringir la detención sin orden judicial en los casos de presunta flagrancia y flagrancia equiparada.</w:t>
      </w:r>
    </w:p>
    <w:p w14:paraId="5675823B" w14:textId="77777777" w:rsidR="007B7AAF" w:rsidRPr="00FA506F" w:rsidRDefault="007B7AAF" w:rsidP="00B80A67">
      <w:pPr>
        <w:jc w:val="both"/>
        <w:rPr>
          <w:rFonts w:ascii="Cambria" w:eastAsia="Cambria" w:hAnsi="Cambria" w:cs="Cambria"/>
          <w:i/>
          <w:iCs/>
          <w:color w:val="000000" w:themeColor="text1"/>
          <w:sz w:val="20"/>
          <w:szCs w:val="20"/>
          <w:lang w:val="es-ES"/>
        </w:rPr>
      </w:pPr>
    </w:p>
    <w:p w14:paraId="7511F037" w14:textId="6ACDB392"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En el Capítulo V del Informe Anual de 2023, la CIDH conoció que la SCJN estaba tramitando el Expediente de Recepción de Sentencias de Tribunales Internacionales 3/2023, que abordaría los efectos de la sentencia de la Corte Interamericana en el caso </w:t>
      </w:r>
      <w:r w:rsidR="00E97120" w:rsidRPr="00FA506F">
        <w:rPr>
          <w:lang w:val="es-ES"/>
        </w:rPr>
        <w:t>“</w:t>
      </w:r>
      <w:r w:rsidRPr="000658DB">
        <w:rPr>
          <w:i/>
          <w:iCs/>
          <w:lang w:val="es-ES"/>
        </w:rPr>
        <w:t>Daniel García y otros contra México</w:t>
      </w:r>
      <w:r w:rsidR="00E97120" w:rsidRPr="00FA506F">
        <w:rPr>
          <w:lang w:val="es-ES"/>
        </w:rPr>
        <w:t>”</w:t>
      </w:r>
      <w:r w:rsidRPr="00FA506F">
        <w:rPr>
          <w:lang w:val="es-ES"/>
        </w:rPr>
        <w:t xml:space="preserve"> sobre la prisión preventiva oficiosa. La SCJN reafirmó su doctrina sobre la invalidez de normas locales relacionadas con la prisión preventiva, los requisitos para otorgar sustitutos de pena y beneficios </w:t>
      </w:r>
      <w:r w:rsidR="00A657E6" w:rsidRPr="00FA506F">
        <w:rPr>
          <w:lang w:val="es-ES"/>
        </w:rPr>
        <w:t>de pre-liberación</w:t>
      </w:r>
      <w:r w:rsidRPr="00FA506F">
        <w:rPr>
          <w:lang w:val="es-ES"/>
        </w:rPr>
        <w:t xml:space="preserve"> y su relación con el principio de reinserción social</w:t>
      </w:r>
      <w:r w:rsidR="00E97120" w:rsidRPr="00FA506F">
        <w:rPr>
          <w:lang w:val="es-ES"/>
        </w:rPr>
        <w:t>,</w:t>
      </w:r>
      <w:r w:rsidR="006B4F48" w:rsidRPr="00FA506F">
        <w:rPr>
          <w:lang w:val="es-ES"/>
        </w:rPr>
        <w:t xml:space="preserve"> y </w:t>
      </w:r>
      <w:r w:rsidRPr="00FA506F">
        <w:rPr>
          <w:lang w:val="es-ES"/>
        </w:rPr>
        <w:t xml:space="preserve">se publicó un Acuerdo Presidencial para gestionar las solicitudes de preliberación </w:t>
      </w:r>
      <w:r w:rsidR="00CC72A9" w:rsidRPr="00FA506F">
        <w:rPr>
          <w:lang w:val="es-ES"/>
        </w:rPr>
        <w:t>y</w:t>
      </w:r>
      <w:r w:rsidRPr="00FA506F">
        <w:rPr>
          <w:lang w:val="es-ES"/>
        </w:rPr>
        <w:t xml:space="preserve"> casos de personas en prisión preventiva y víctimas de tortura. Las organizaciones de la sociedad civil reportaron la eliminación de la prisión preventiva oficiosa en 18 estados, </w:t>
      </w:r>
      <w:r w:rsidR="005076DB" w:rsidRPr="00FA506F">
        <w:rPr>
          <w:lang w:val="es-ES"/>
        </w:rPr>
        <w:t xml:space="preserve">sin que hayan implementado </w:t>
      </w:r>
      <w:r w:rsidRPr="00FA506F">
        <w:rPr>
          <w:lang w:val="es-ES"/>
        </w:rPr>
        <w:t>medidas legislativas o ejecutivas para eliminarla a nivel nacional</w:t>
      </w:r>
      <w:r w:rsidR="00E97120" w:rsidRPr="00FA506F">
        <w:rPr>
          <w:lang w:val="es-ES"/>
        </w:rPr>
        <w:t>,</w:t>
      </w:r>
      <w:r w:rsidRPr="00FA506F">
        <w:rPr>
          <w:lang w:val="es-ES"/>
        </w:rPr>
        <w:t xml:space="preserve"> y </w:t>
      </w:r>
      <w:r w:rsidR="00E97120" w:rsidRPr="00FA506F">
        <w:rPr>
          <w:lang w:val="es-ES"/>
        </w:rPr>
        <w:t xml:space="preserve">señaló </w:t>
      </w:r>
      <w:r w:rsidRPr="00FA506F">
        <w:rPr>
          <w:lang w:val="es-ES"/>
        </w:rPr>
        <w:t xml:space="preserve">que el Poder Ejecutivo Federal había emitido críticas hacia el poder judicial. La CIDH agradeció la información proporcionada, pero </w:t>
      </w:r>
      <w:r w:rsidR="00BE6519" w:rsidRPr="00FA506F">
        <w:rPr>
          <w:lang w:val="es-ES"/>
        </w:rPr>
        <w:t>destacó</w:t>
      </w:r>
      <w:r w:rsidRPr="00FA506F">
        <w:rPr>
          <w:lang w:val="es-ES"/>
        </w:rPr>
        <w:t xml:space="preserve"> la falta de datos actualizados sobre la disminución de la prisión preventiva y las medidas alternativas adoptadas, y concluyó que la recomendación </w:t>
      </w:r>
      <w:r w:rsidR="00E97120" w:rsidRPr="00FA506F">
        <w:rPr>
          <w:lang w:val="es-ES"/>
        </w:rPr>
        <w:t xml:space="preserve">seguía </w:t>
      </w:r>
      <w:r w:rsidRPr="00FA506F">
        <w:rPr>
          <w:lang w:val="es-ES"/>
        </w:rPr>
        <w:t>pendiente de cumplimiento. La CIDH sugirió al Estado que fortaleciera las medidas para reducir el uso de la prisión preventiva y proporcionara datos sobre su uso, y reiteró su llamado para eliminar la prisión preventiva oficiosa del ordenamiento jurídico</w:t>
      </w:r>
      <w:r w:rsidRPr="00FA506F">
        <w:rPr>
          <w:rStyle w:val="FootnoteReference"/>
          <w:lang w:val="es-ES"/>
        </w:rPr>
        <w:footnoteReference w:id="195"/>
      </w:r>
      <w:r w:rsidRPr="00FA506F">
        <w:rPr>
          <w:lang w:val="es-ES"/>
        </w:rPr>
        <w:t>.</w:t>
      </w:r>
    </w:p>
    <w:p w14:paraId="4C396591" w14:textId="77777777" w:rsidR="007B7AAF" w:rsidRPr="00FA506F" w:rsidRDefault="007B7AAF" w:rsidP="000658D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50FA419E"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6E5B21F6" w14:textId="7BD41C98" w:rsidR="00C01DF7" w:rsidRPr="00616692" w:rsidRDefault="007B7AAF" w:rsidP="00022D03">
      <w:pPr>
        <w:pStyle w:val="IAPrrafo"/>
        <w:numPr>
          <w:ilvl w:val="0"/>
          <w:numId w:val="4"/>
        </w:numPr>
        <w:tabs>
          <w:tab w:val="num" w:pos="720"/>
        </w:tabs>
        <w:ind w:firstLine="720"/>
        <w:rPr>
          <w:lang w:val="es-ES"/>
        </w:rPr>
      </w:pPr>
      <w:r w:rsidRPr="00FA506F">
        <w:rPr>
          <w:lang w:val="es-ES"/>
        </w:rPr>
        <w:t xml:space="preserve">En 2024, el Estado </w:t>
      </w:r>
      <w:r w:rsidR="00454AE0" w:rsidRPr="00FA506F">
        <w:rPr>
          <w:lang w:val="es-ES"/>
        </w:rPr>
        <w:t>informó</w:t>
      </w:r>
      <w:r w:rsidRPr="00FA506F">
        <w:rPr>
          <w:lang w:val="es-ES"/>
        </w:rPr>
        <w:t xml:space="preserve"> que, a través de la Ley de Amnistía y otros programas de preliberación, el gobierno habría permitido la liberación de miles de personas detenidas por delitos no graves, incluyendo adultos mayores con enfermedades crónicas y víctimas de tortura. Entre julio de 2022 y marzo de 2024, se habrían otorgado 8</w:t>
      </w:r>
      <w:r w:rsidR="00A25602" w:rsidRPr="00FA506F">
        <w:rPr>
          <w:lang w:val="es-ES"/>
        </w:rPr>
        <w:t>.</w:t>
      </w:r>
      <w:r w:rsidRPr="00FA506F">
        <w:rPr>
          <w:lang w:val="es-ES"/>
        </w:rPr>
        <w:t xml:space="preserve">733 beneficios de preliberación, que incluyeron modalidades como libertad anticipada, remisión parcial de la pena, libertad condicionada y amnistía. </w:t>
      </w:r>
      <w:r w:rsidR="00E97120" w:rsidRPr="00FA506F">
        <w:rPr>
          <w:lang w:val="es-ES"/>
        </w:rPr>
        <w:t>Según el Estado, e</w:t>
      </w:r>
      <w:r w:rsidRPr="00FA506F">
        <w:rPr>
          <w:lang w:val="es-ES"/>
        </w:rPr>
        <w:t xml:space="preserve">l Comité Permanente de Seguimiento de Preliberaciones, creado en 2021, habría jugado un rol clave en la revisión de solicitudes de preliberación y en casos de tortura, promoviendo la liberación de personas vulnerables. Adicionalmente, se habrían realizado reformas al Código Nacional de Procedimientos Penales (CNPP) y al Código Penal Federal (CPF) para limitar la aplicación de la prisión preventiva oficiosa a delitos graves, como el feminicidio y la violencia sexual contra menores. El Estado habría cooperado con el Grupo de Trabajo sobre la Detención Arbitraria </w:t>
      </w:r>
      <w:r w:rsidR="00E97120" w:rsidRPr="00FA506F">
        <w:rPr>
          <w:lang w:val="es-ES"/>
        </w:rPr>
        <w:t>de Naciones Unidas</w:t>
      </w:r>
      <w:r w:rsidRPr="00FA506F">
        <w:rPr>
          <w:lang w:val="es-ES"/>
        </w:rPr>
        <w:t>, que visitó México en septiembre de 2023 para evaluar las condiciones de detención. El informe del G</w:t>
      </w:r>
      <w:r w:rsidR="00E97120" w:rsidRPr="00FA506F">
        <w:rPr>
          <w:lang w:val="es-ES"/>
        </w:rPr>
        <w:t>rupo de Trabajo</w:t>
      </w:r>
      <w:r w:rsidRPr="00FA506F">
        <w:rPr>
          <w:lang w:val="es-ES"/>
        </w:rPr>
        <w:t xml:space="preserve">, presentado en septiembre de 2024, reconoció avances como la reducción del uso del arraigo y la implementación del Registro Nacional de Detenciones. No obstante, las organizaciones de la sociedad civil </w:t>
      </w:r>
      <w:r w:rsidR="00BE6519" w:rsidRPr="00FA506F">
        <w:rPr>
          <w:lang w:val="es-ES"/>
        </w:rPr>
        <w:t>informaron</w:t>
      </w:r>
      <w:r w:rsidRPr="00FA506F">
        <w:rPr>
          <w:lang w:val="es-ES"/>
        </w:rPr>
        <w:t xml:space="preserve"> que no se han adoptado medidas legislativas para eliminar la prisión preventiva oficiosa a nivel </w:t>
      </w:r>
      <w:r w:rsidRPr="00616692">
        <w:rPr>
          <w:lang w:val="es-ES"/>
        </w:rPr>
        <w:t>nacional, y que persisten críticas del Poder Ejecutivo hacia el poder judicial</w:t>
      </w:r>
      <w:r w:rsidR="00E97120" w:rsidRPr="00616692">
        <w:rPr>
          <w:lang w:val="es-ES"/>
        </w:rPr>
        <w:t xml:space="preserve"> por su invalidez</w:t>
      </w:r>
      <w:r w:rsidR="00902744" w:rsidRPr="00616692">
        <w:rPr>
          <w:rStyle w:val="FootnoteReference"/>
          <w:lang w:val="es-ES"/>
        </w:rPr>
        <w:footnoteReference w:id="196"/>
      </w:r>
      <w:r w:rsidRPr="00616692">
        <w:rPr>
          <w:lang w:val="es-ES"/>
        </w:rPr>
        <w:t>.</w:t>
      </w:r>
      <w:r w:rsidR="00C43BB5" w:rsidRPr="00616692">
        <w:rPr>
          <w:lang w:val="es-ES"/>
        </w:rPr>
        <w:t xml:space="preserve"> Finalmente, la CIDH tomó conocimiento sobre la iniciativa de reforma constitucional que procura ampliar el catálogo de delitos que facultan la prisión preventiva oficiosa. </w:t>
      </w:r>
      <w:r w:rsidR="00992A08" w:rsidRPr="00616692">
        <w:rPr>
          <w:lang w:val="es-ES"/>
        </w:rPr>
        <w:t>La reforma fue aprobada por la Cámara de Diputados el 13 de noviembre de 2024 y pasó a estudio del Senado</w:t>
      </w:r>
      <w:r w:rsidR="00AA467F" w:rsidRPr="00616692">
        <w:rPr>
          <w:rStyle w:val="FootnoteReference"/>
          <w:lang w:val="es-ES"/>
        </w:rPr>
        <w:footnoteReference w:id="197"/>
      </w:r>
      <w:r w:rsidR="00992A08" w:rsidRPr="00616692">
        <w:rPr>
          <w:lang w:val="es-ES"/>
        </w:rPr>
        <w:t>.</w:t>
      </w:r>
      <w:r w:rsidR="00E04975" w:rsidRPr="00616692">
        <w:rPr>
          <w:lang w:val="es-ES"/>
        </w:rPr>
        <w:t xml:space="preserve"> </w:t>
      </w:r>
      <w:r w:rsidR="00C01DF7" w:rsidRPr="00616692">
        <w:rPr>
          <w:lang w:val="es-ES"/>
        </w:rPr>
        <w:t xml:space="preserve">El Estado agregó en sus observaciones al presente </w:t>
      </w:r>
      <w:r w:rsidR="00E04975" w:rsidRPr="00616692">
        <w:rPr>
          <w:lang w:val="es-ES"/>
        </w:rPr>
        <w:t>I</w:t>
      </w:r>
      <w:r w:rsidR="00C01DF7" w:rsidRPr="00616692">
        <w:rPr>
          <w:lang w:val="es-ES"/>
        </w:rPr>
        <w:t>nforme que</w:t>
      </w:r>
      <w:r w:rsidR="00022D03" w:rsidRPr="00616692">
        <w:rPr>
          <w:lang w:val="es-ES"/>
        </w:rPr>
        <w:t xml:space="preserve"> la SCJN resolvió cuatro asuntos que establecen algunos criterios para la delimitación de la prisión preventiva oficiosa</w:t>
      </w:r>
      <w:r w:rsidR="00C01DF7" w:rsidRPr="00616692">
        <w:rPr>
          <w:rStyle w:val="FootnoteReference"/>
          <w:lang w:val="es-ES"/>
        </w:rPr>
        <w:footnoteReference w:id="198"/>
      </w:r>
      <w:r w:rsidR="00C01DF7" w:rsidRPr="00616692">
        <w:rPr>
          <w:lang w:val="es-ES"/>
        </w:rPr>
        <w:t>.</w:t>
      </w:r>
    </w:p>
    <w:p w14:paraId="3AD61333" w14:textId="77777777" w:rsidR="007B7AAF" w:rsidRPr="00FA506F" w:rsidRDefault="007B7AAF" w:rsidP="000658DB">
      <w:pPr>
        <w:ind w:firstLine="720"/>
        <w:jc w:val="both"/>
        <w:rPr>
          <w:rFonts w:ascii="Cambria" w:eastAsia="Cambria" w:hAnsi="Cambria" w:cs="Cambria"/>
          <w:i/>
          <w:iCs/>
          <w:color w:val="000000" w:themeColor="text1"/>
          <w:sz w:val="20"/>
          <w:szCs w:val="20"/>
          <w:lang w:val="es-ES"/>
        </w:rPr>
      </w:pPr>
      <w:r w:rsidRPr="00616692">
        <w:rPr>
          <w:rFonts w:ascii="Cambria" w:eastAsia="Cambria" w:hAnsi="Cambria" w:cs="Cambria"/>
          <w:i/>
          <w:iCs/>
          <w:color w:val="000000" w:themeColor="text1"/>
          <w:sz w:val="20"/>
          <w:szCs w:val="20"/>
          <w:lang w:val="es-ES"/>
        </w:rPr>
        <w:t>Análisis y nivel de cumplimiento de la recomendación</w:t>
      </w:r>
    </w:p>
    <w:p w14:paraId="41AB6CA2"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68736C46" w14:textId="400FCAD2"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La CIDH observa con preocupación la persistencia de la prisión preventiva oficiosa a nivel nacional y </w:t>
      </w:r>
      <w:r w:rsidR="00AA467F" w:rsidRPr="00FA506F">
        <w:rPr>
          <w:lang w:val="es-ES"/>
        </w:rPr>
        <w:t xml:space="preserve">advierte que la iniciativa de reforma constitucional y </w:t>
      </w:r>
      <w:r w:rsidRPr="00FA506F">
        <w:rPr>
          <w:lang w:val="es-ES"/>
        </w:rPr>
        <w:t xml:space="preserve">la falta de reformas legislativas para eliminarla completamente evidencian una brecha significativa en el cumplimiento de la recomendación. Aunque el uso del arraigo ha disminuido, la aplicación de la prisión preventiva sigue siendo frecuente y desproporcionada, especialmente en delitos menores, lo que afecta a personas en situación de vulnerabilidad y contribuye a la sobrepoblación carcelaria. La falta de datos actualizados y detallados sobre la implementación de medidas alternativas limita la capacidad para evaluar el impacto real de estas iniciativas. Por lo tanto, la CIDH concluye que la recomendación </w:t>
      </w:r>
      <w:r w:rsidR="004F3E06" w:rsidRPr="00FA506F">
        <w:rPr>
          <w:lang w:val="es-ES"/>
        </w:rPr>
        <w:t>retrocede a</w:t>
      </w:r>
      <w:r w:rsidRPr="00FA506F">
        <w:rPr>
          <w:lang w:val="es-ES"/>
        </w:rPr>
        <w:t xml:space="preserve"> </w:t>
      </w:r>
      <w:r w:rsidRPr="00FA506F">
        <w:rPr>
          <w:b/>
          <w:bCs/>
          <w:lang w:val="es-ES"/>
        </w:rPr>
        <w:t>pendiente de cumplimiento.</w:t>
      </w:r>
    </w:p>
    <w:p w14:paraId="2F0DA913" w14:textId="77777777" w:rsidR="007B7AAF" w:rsidRPr="00FA506F" w:rsidRDefault="007B7AAF" w:rsidP="000658D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3A1C0A1B"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3A1D2EF4" w14:textId="373B7A8B" w:rsidR="007B7AAF" w:rsidRPr="00FA506F" w:rsidRDefault="007B7AAF" w:rsidP="00B80A67">
      <w:pPr>
        <w:pStyle w:val="IAPrrafo"/>
        <w:numPr>
          <w:ilvl w:val="0"/>
          <w:numId w:val="4"/>
        </w:numPr>
        <w:tabs>
          <w:tab w:val="num" w:pos="720"/>
        </w:tabs>
        <w:ind w:firstLine="720"/>
        <w:rPr>
          <w:lang w:val="es-ES"/>
        </w:rPr>
      </w:pPr>
      <w:r w:rsidRPr="00FA506F">
        <w:rPr>
          <w:lang w:val="es-ES"/>
        </w:rPr>
        <w:t>Con el fin de orientar el cumplimiento de la recomendación, la Comisión sugiere al Estado</w:t>
      </w:r>
      <w:r w:rsidR="00902744" w:rsidRPr="00FA506F">
        <w:rPr>
          <w:lang w:val="es-ES"/>
        </w:rPr>
        <w:t xml:space="preserve"> </w:t>
      </w:r>
      <w:r w:rsidR="00C16B1B" w:rsidRPr="00FA506F">
        <w:rPr>
          <w:lang w:val="es-ES"/>
        </w:rPr>
        <w:t xml:space="preserve">evitar avanzar en la reforma constitucional que amplía el catálogo de delitos que permiten la prisión preventiva oficiosa y, por el contrario, que se elimine esta figura de su ordenamiento jurídico. Asimismo, la CIDH invita al Estado a </w:t>
      </w:r>
      <w:r w:rsidRPr="00FA506F">
        <w:rPr>
          <w:lang w:val="es-ES"/>
        </w:rPr>
        <w:t xml:space="preserve">fortalecer medidas para disminuir el uso de la prisión preventiva, así como de otras medidas alternativas a la privación de la libertad durante el juicio. La valoración de estas medidas requeriría que el Estado proporcione datos sobre el uso de esta figura, haciendo evidente si ha disminuido o, por el contrario, se ha mantenido o incrementado. </w:t>
      </w:r>
    </w:p>
    <w:p w14:paraId="0C9F1D69" w14:textId="720560DA" w:rsidR="007B7AAF" w:rsidRPr="00FA506F" w:rsidRDefault="007B7AAF"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51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Adoptar todas las medidas necesarias para garantizar una estrategia de reinserción social. En este sentido, garantizar que los recursos financieros sean dirigidos a humanizar e implementar medidas que permitan la reinserción de las personas privadas de libertad. En particular, respecto a las personas con discapacidad, identificar una estrategia de inserción social mediante la implementación de servicios en la comunidad.</w:t>
      </w:r>
      <w:r w:rsidR="00A25DCA"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w:t>
      </w:r>
    </w:p>
    <w:p w14:paraId="4F3805A8" w14:textId="77777777" w:rsidR="007B7AAF" w:rsidRPr="00FA506F" w:rsidRDefault="007B7AAF" w:rsidP="00B80A67">
      <w:pPr>
        <w:jc w:val="both"/>
        <w:rPr>
          <w:rFonts w:ascii="Cambria" w:eastAsia="Cambria" w:hAnsi="Cambria" w:cs="Cambria"/>
          <w:i/>
          <w:iCs/>
          <w:color w:val="000000" w:themeColor="text1"/>
          <w:sz w:val="20"/>
          <w:szCs w:val="20"/>
          <w:lang w:val="es-ES"/>
        </w:rPr>
      </w:pPr>
    </w:p>
    <w:p w14:paraId="333DE6EF" w14:textId="6759EDB2"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En el Capítulo V del Informe Anual de 2023, el Estado informó que la Comisión Intersecretarial para la Reinserción Social y Servicios Post Penales, instalada en 2019, estaba en funcionamiento. Se reportó que se realizaban acciones de reclutamiento y contratación para el Sistema Penitenciario Federal y que se habían presentado </w:t>
      </w:r>
      <w:r w:rsidR="00C16B1B" w:rsidRPr="00FA506F">
        <w:rPr>
          <w:lang w:val="es-ES"/>
        </w:rPr>
        <w:t xml:space="preserve">ocho </w:t>
      </w:r>
      <w:r w:rsidRPr="00FA506F">
        <w:rPr>
          <w:lang w:val="es-ES"/>
        </w:rPr>
        <w:t xml:space="preserve">denuncias y </w:t>
      </w:r>
      <w:r w:rsidR="00C16B1B" w:rsidRPr="00FA506F">
        <w:rPr>
          <w:lang w:val="es-ES"/>
        </w:rPr>
        <w:t>tres</w:t>
      </w:r>
      <w:r w:rsidRPr="00FA506F">
        <w:rPr>
          <w:lang w:val="es-ES"/>
        </w:rPr>
        <w:t xml:space="preserve"> vistas al Órgano Interno de Control contra funcionarios penitenciarios y personal de custodia; de estas, </w:t>
      </w:r>
      <w:r w:rsidR="00C16B1B" w:rsidRPr="00FA506F">
        <w:rPr>
          <w:lang w:val="es-ES"/>
        </w:rPr>
        <w:t>siete</w:t>
      </w:r>
      <w:r w:rsidRPr="00FA506F">
        <w:rPr>
          <w:lang w:val="es-ES"/>
        </w:rPr>
        <w:t xml:space="preserve"> denuncias y las </w:t>
      </w:r>
      <w:r w:rsidR="00C16B1B" w:rsidRPr="00FA506F">
        <w:rPr>
          <w:lang w:val="es-ES"/>
        </w:rPr>
        <w:t>tres</w:t>
      </w:r>
      <w:r w:rsidRPr="00FA506F">
        <w:rPr>
          <w:lang w:val="es-ES"/>
        </w:rPr>
        <w:t xml:space="preserve"> vistas estaban en investigación, y una denuncia se resolvió mediante un mecanismo alternativo de solución de controversias en materia penal. La CIDH observó que el Estado solo </w:t>
      </w:r>
      <w:r w:rsidR="00C16B1B" w:rsidRPr="00FA506F">
        <w:rPr>
          <w:lang w:val="es-ES"/>
        </w:rPr>
        <w:t>había mencionado</w:t>
      </w:r>
      <w:r w:rsidRPr="00FA506F">
        <w:rPr>
          <w:lang w:val="es-ES"/>
        </w:rPr>
        <w:t xml:space="preserve"> el fortalecimiento del órgano de reinserción social sin especificar cómo impactaría la estrategia de reinserción. </w:t>
      </w:r>
      <w:r w:rsidR="00C16B1B" w:rsidRPr="00FA506F">
        <w:rPr>
          <w:lang w:val="es-ES"/>
        </w:rPr>
        <w:t>Advirtió que además existían</w:t>
      </w:r>
      <w:r w:rsidRPr="00FA506F">
        <w:rPr>
          <w:lang w:val="es-ES"/>
        </w:rPr>
        <w:t xml:space="preserve"> deficiencias en infraestructura, falta de programas de capacitación, salud mental y herramientas para la reinserción en los centros penitenciarios. La CIDH concluyó que la recomendación seguía pendiente de cumplimiento. </w:t>
      </w:r>
      <w:r w:rsidR="00C16B1B" w:rsidRPr="00FA506F">
        <w:rPr>
          <w:lang w:val="es-ES"/>
        </w:rPr>
        <w:t>En consecuencia, s</w:t>
      </w:r>
      <w:r w:rsidRPr="00FA506F">
        <w:rPr>
          <w:lang w:val="es-ES"/>
        </w:rPr>
        <w:t>e instó al Estado a proporcionar información evaluable sobre las acciones de reinserción social adoptadas y avanzar con una estrategia general para garantizar procesos de reinserción, detallando las acciones desarrolladas por la Comisión Intersecretarial</w:t>
      </w:r>
      <w:r w:rsidRPr="00FA506F">
        <w:rPr>
          <w:rStyle w:val="FootnoteReference"/>
          <w:lang w:val="es-ES"/>
        </w:rPr>
        <w:footnoteReference w:id="199"/>
      </w:r>
      <w:r w:rsidRPr="00FA506F">
        <w:rPr>
          <w:lang w:val="es-ES"/>
        </w:rPr>
        <w:t>.</w:t>
      </w:r>
    </w:p>
    <w:p w14:paraId="68D11DB0" w14:textId="77777777" w:rsidR="007B7AAF" w:rsidRPr="00FA506F" w:rsidRDefault="007B7AAF" w:rsidP="000658D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396CD1FD"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1EC0A3B7" w14:textId="0000BBAE" w:rsidR="007B7AAF" w:rsidRPr="00FA506F" w:rsidRDefault="007B7AAF" w:rsidP="00B80A67">
      <w:pPr>
        <w:pStyle w:val="IAPrrafo"/>
        <w:numPr>
          <w:ilvl w:val="0"/>
          <w:numId w:val="4"/>
        </w:numPr>
        <w:tabs>
          <w:tab w:val="num" w:pos="720"/>
        </w:tabs>
        <w:ind w:firstLine="720"/>
        <w:rPr>
          <w:lang w:val="es-ES"/>
        </w:rPr>
      </w:pPr>
      <w:r w:rsidRPr="00FA506F">
        <w:rPr>
          <w:lang w:val="es-ES"/>
        </w:rPr>
        <w:t>En 2024, el Estado informó sobre una serie de acciones coordinadas por el Órgano Administrativo Desconcentrado de Prevención y Readaptación Social para mejorar la reinserción social de las personas privadas de la libertad. Se destacaron programas en áreas como cultura, salud, educación y capacitación laboral. El programa </w:t>
      </w:r>
      <w:r w:rsidR="00C16B1B" w:rsidRPr="00FA506F">
        <w:rPr>
          <w:lang w:val="es-ES"/>
        </w:rPr>
        <w:t>“</w:t>
      </w:r>
      <w:r w:rsidRPr="00FA506F">
        <w:rPr>
          <w:lang w:val="es-ES"/>
        </w:rPr>
        <w:t>Cultura Comunitaria</w:t>
      </w:r>
      <w:r w:rsidR="00C16B1B" w:rsidRPr="00FA506F">
        <w:rPr>
          <w:lang w:val="es-ES"/>
        </w:rPr>
        <w:t>”</w:t>
      </w:r>
      <w:r w:rsidRPr="00FA506F">
        <w:rPr>
          <w:lang w:val="es-ES"/>
        </w:rPr>
        <w:t>, implementado por la Secretaría de Cultura, brindó talleres artísticos en centros de reclusión de cuatro entidades, con el objetivo de combatir estigmas y fomentar la expresión artística como medio de rehabilitación. En el ámbito de salud, se habrían realizado más de 70</w:t>
      </w:r>
      <w:r w:rsidR="00317490" w:rsidRPr="00FA506F">
        <w:rPr>
          <w:lang w:val="es-ES"/>
        </w:rPr>
        <w:t>.</w:t>
      </w:r>
      <w:r w:rsidRPr="00FA506F">
        <w:rPr>
          <w:lang w:val="es-ES"/>
        </w:rPr>
        <w:t>000 consultas médicas generales, 19</w:t>
      </w:r>
      <w:r w:rsidR="00317490" w:rsidRPr="00FA506F">
        <w:rPr>
          <w:lang w:val="es-ES"/>
        </w:rPr>
        <w:t>.</w:t>
      </w:r>
      <w:r w:rsidRPr="00FA506F">
        <w:rPr>
          <w:lang w:val="es-ES"/>
        </w:rPr>
        <w:t>000 odontológicas y 21</w:t>
      </w:r>
      <w:r w:rsidR="00317490" w:rsidRPr="00FA506F">
        <w:rPr>
          <w:lang w:val="es-ES"/>
        </w:rPr>
        <w:t>.</w:t>
      </w:r>
      <w:r w:rsidRPr="00FA506F">
        <w:rPr>
          <w:lang w:val="es-ES"/>
        </w:rPr>
        <w:t>000 especializadas en los 14 Centros Federales de Readaptación Social (CEFERESO), reforzando el enfoque integral en la reinserción. El Estado reportó</w:t>
      </w:r>
      <w:r w:rsidR="00C16B1B" w:rsidRPr="00FA506F">
        <w:rPr>
          <w:lang w:val="es-ES"/>
        </w:rPr>
        <w:t xml:space="preserve"> además</w:t>
      </w:r>
      <w:r w:rsidRPr="00FA506F">
        <w:rPr>
          <w:lang w:val="es-ES"/>
        </w:rPr>
        <w:t xml:space="preserve"> esfuerzos significativos en la capacitación del personal penitenciario, incluyendo la participación de más de 6</w:t>
      </w:r>
      <w:r w:rsidR="00317490" w:rsidRPr="00FA506F">
        <w:rPr>
          <w:lang w:val="es-ES"/>
        </w:rPr>
        <w:t>.</w:t>
      </w:r>
      <w:r w:rsidRPr="00FA506F">
        <w:rPr>
          <w:lang w:val="es-ES"/>
        </w:rPr>
        <w:t xml:space="preserve">000 servidores públicos en cursos especializados, con el apoyo de organismos internacionales como el PAcCTO y la UNODC. </w:t>
      </w:r>
      <w:r w:rsidR="006B4F48" w:rsidRPr="00FA506F">
        <w:rPr>
          <w:lang w:val="es-ES"/>
        </w:rPr>
        <w:t xml:space="preserve">El Estado </w:t>
      </w:r>
      <w:r w:rsidR="00C16B1B" w:rsidRPr="00FA506F">
        <w:rPr>
          <w:lang w:val="es-ES"/>
        </w:rPr>
        <w:t xml:space="preserve">destacó a su vez </w:t>
      </w:r>
      <w:r w:rsidR="006B4F48" w:rsidRPr="00FA506F">
        <w:rPr>
          <w:lang w:val="es-ES"/>
        </w:rPr>
        <w:t>la implementación de</w:t>
      </w:r>
      <w:r w:rsidRPr="00FA506F">
        <w:rPr>
          <w:lang w:val="es-ES"/>
        </w:rPr>
        <w:t xml:space="preserve"> proyectos de capacitación digital, beneficiando a más de 1</w:t>
      </w:r>
      <w:r w:rsidR="00317490" w:rsidRPr="00FA506F">
        <w:rPr>
          <w:lang w:val="es-ES"/>
        </w:rPr>
        <w:t>.</w:t>
      </w:r>
      <w:r w:rsidRPr="00FA506F">
        <w:rPr>
          <w:lang w:val="es-ES"/>
        </w:rPr>
        <w:t xml:space="preserve">000 personas privadas de libertad en los centros de Santa Martha Acatitla, facilitando su futura reinserción laboral a través del aprendizaje de herramientas digitales como Microsoft Office. </w:t>
      </w:r>
      <w:r w:rsidR="00446046" w:rsidRPr="00FA506F">
        <w:rPr>
          <w:lang w:val="es-ES"/>
        </w:rPr>
        <w:t>En relación con</w:t>
      </w:r>
      <w:r w:rsidRPr="00FA506F">
        <w:rPr>
          <w:lang w:val="es-ES"/>
        </w:rPr>
        <w:t xml:space="preserve"> los adolescentes en conflicto con la ley, el Estado mencionó la realización de talleres para la prevención de conductas de riesgo y programas deportivos como Más Beis, Menos Violencia, implementados en 13 centros de internamiento, orientados a fomentar hábitos saludables y reducir la reincidencia</w:t>
      </w:r>
      <w:r w:rsidR="00902744" w:rsidRPr="00FA506F">
        <w:rPr>
          <w:rStyle w:val="FootnoteReference"/>
          <w:lang w:val="es-ES"/>
        </w:rPr>
        <w:footnoteReference w:id="200"/>
      </w:r>
      <w:r w:rsidRPr="00FA506F">
        <w:rPr>
          <w:lang w:val="es-ES"/>
        </w:rPr>
        <w:t>.</w:t>
      </w:r>
    </w:p>
    <w:p w14:paraId="5F555DEC" w14:textId="77777777" w:rsidR="007B7AAF" w:rsidRPr="00FA506F" w:rsidRDefault="007B7AAF" w:rsidP="000658D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69011AA5"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79C25F24" w14:textId="372CB8E9" w:rsidR="004F3E06" w:rsidRPr="00FA506F" w:rsidRDefault="004F3E06" w:rsidP="00B80A67">
      <w:pPr>
        <w:pStyle w:val="IAPrrafo"/>
        <w:numPr>
          <w:ilvl w:val="0"/>
          <w:numId w:val="4"/>
        </w:numPr>
        <w:tabs>
          <w:tab w:val="num" w:pos="720"/>
        </w:tabs>
        <w:ind w:firstLine="720"/>
        <w:rPr>
          <w:lang w:val="es-ES"/>
        </w:rPr>
      </w:pPr>
      <w:r w:rsidRPr="00FA506F">
        <w:rPr>
          <w:lang w:val="es-ES"/>
        </w:rPr>
        <w:t>La CIDH reconoce los esfuerzos del Estado por implementar actividades orientadas a la reinserción social, especialmente en áreas como salud, cultura y capacitación laboral. La creación de programas como </w:t>
      </w:r>
      <w:r w:rsidR="00C16B1B" w:rsidRPr="00FA506F">
        <w:rPr>
          <w:lang w:val="es-ES"/>
        </w:rPr>
        <w:t>“</w:t>
      </w:r>
      <w:r w:rsidRPr="00FA506F">
        <w:rPr>
          <w:lang w:val="es-ES"/>
        </w:rPr>
        <w:t>Cultura Comunitaria</w:t>
      </w:r>
      <w:r w:rsidR="00C16B1B" w:rsidRPr="00FA506F">
        <w:rPr>
          <w:lang w:val="es-ES"/>
        </w:rPr>
        <w:t>”</w:t>
      </w:r>
      <w:r w:rsidRPr="00FA506F">
        <w:rPr>
          <w:lang w:val="es-ES"/>
        </w:rPr>
        <w:t xml:space="preserve"> y el desarrollo de proyectos digitales reflejan un compromiso por mejorar las oportunidades de reinserción de las personas privadas de libertad. </w:t>
      </w:r>
      <w:r w:rsidR="008C2DA5" w:rsidRPr="00FA506F">
        <w:rPr>
          <w:lang w:val="es-ES"/>
        </w:rPr>
        <w:t>La</w:t>
      </w:r>
      <w:r w:rsidRPr="00FA506F">
        <w:rPr>
          <w:lang w:val="es-ES"/>
        </w:rPr>
        <w:t xml:space="preserve"> atención a adolescentes en conflicto con la ley y la capacitación continua del personal penitenciario son avances importantes que contribuyen al fortalecimiento del sistema de justicia. No obstante, persisten desafíos significativos en la implementación de una estrategia integral de reinserción social. Aunque se reportan avances en diferentes programas, la falta de una coordinación efectiva y de indicadores claros para medir su impacto limita la capacidad de evaluar su efectividad. </w:t>
      </w:r>
      <w:r w:rsidR="006B4F48" w:rsidRPr="00FA506F">
        <w:rPr>
          <w:lang w:val="es-ES"/>
        </w:rPr>
        <w:t>La</w:t>
      </w:r>
      <w:r w:rsidRPr="00FA506F">
        <w:rPr>
          <w:lang w:val="es-ES"/>
        </w:rPr>
        <w:t xml:space="preserve"> ausencia de programas específicos para personas con discapacidad y la falta de servicios comunitarios post-penales evidencian la necesidad de adoptar un enfoque más inclusivo y holístico en la reinserción social. Por lo tanto, la CIDH concluye que la recomendación avanza a </w:t>
      </w:r>
      <w:r w:rsidRPr="00FA506F">
        <w:rPr>
          <w:b/>
          <w:bCs/>
          <w:lang w:val="es-ES"/>
        </w:rPr>
        <w:t>cumplimiento parcial,</w:t>
      </w:r>
      <w:r w:rsidRPr="00FA506F">
        <w:rPr>
          <w:lang w:val="es-ES"/>
        </w:rPr>
        <w:t xml:space="preserve"> señalando avances importantes pero insuficientes para garantizar una estrategia de reinserción social efectiva y coordinada que responda a las necesidades de todos los grupos en situación de vulnerabilidad.</w:t>
      </w:r>
    </w:p>
    <w:p w14:paraId="396F793E" w14:textId="77777777" w:rsidR="007B7AAF" w:rsidRPr="00FA506F" w:rsidRDefault="007B7AAF" w:rsidP="000658D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048B1D0A"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67E5B01E" w14:textId="1CC2411B"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Para alcanzar el cumplimiento total de esta recomendación, el Estado debería desarrollar e implementar una estrategia nacional de reinserción social que incluya programas específicos para personas con discapacidad y servicios comunitarios post-penales. Esta estrategia debe estar basada en un enfoque de derechos humanos y de género, e incluir indicadores claros para evaluar el impacto de las acciones implementadas. Es fundamental fortalecer la coordinación interinstitucional y garantizar una asignación adecuada de recursos financieros para mejorar la infraestructura de los centros penitenciarios y ampliar los programas de capacitación laboral y educación. </w:t>
      </w:r>
      <w:r w:rsidR="008C2DA5" w:rsidRPr="00FA506F">
        <w:rPr>
          <w:lang w:val="es-ES"/>
        </w:rPr>
        <w:t>El</w:t>
      </w:r>
      <w:r w:rsidRPr="00FA506F">
        <w:rPr>
          <w:lang w:val="es-ES"/>
        </w:rPr>
        <w:t xml:space="preserve"> Estado debería establecer mecanismos de seguimiento y monitoreo que permitan medir los resultados de los programas y ajustar las políticas en consecuencia, asegurando una reinserción social efectiva y sostenible para todas las personas privadas de libertad.</w:t>
      </w:r>
    </w:p>
    <w:p w14:paraId="71A26488" w14:textId="77777777" w:rsidR="007B7AAF" w:rsidRPr="00FA506F" w:rsidRDefault="007B7AAF"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52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Hacer pública la información sobre los estándares de la American Correctional Association (“ACA” por sus siglas en inglés) para acreditar centros penales. </w:t>
      </w:r>
    </w:p>
    <w:p w14:paraId="7DF7BC59" w14:textId="77777777" w:rsidR="007B7AAF" w:rsidRPr="00FA506F" w:rsidRDefault="007B7AAF" w:rsidP="00B80A67">
      <w:pPr>
        <w:jc w:val="both"/>
        <w:rPr>
          <w:rFonts w:ascii="Cambria" w:eastAsia="Cambria" w:hAnsi="Cambria" w:cs="Cambria"/>
          <w:i/>
          <w:iCs/>
          <w:color w:val="000000" w:themeColor="text1"/>
          <w:sz w:val="20"/>
          <w:szCs w:val="20"/>
          <w:lang w:val="es-ES"/>
        </w:rPr>
      </w:pPr>
    </w:p>
    <w:p w14:paraId="2401A7C8" w14:textId="27FE2AAC" w:rsidR="007B7AAF" w:rsidRPr="00FA506F" w:rsidRDefault="007B7AAF" w:rsidP="00B80A67">
      <w:pPr>
        <w:pStyle w:val="IAPrrafo"/>
        <w:numPr>
          <w:ilvl w:val="0"/>
          <w:numId w:val="4"/>
        </w:numPr>
        <w:tabs>
          <w:tab w:val="num" w:pos="720"/>
        </w:tabs>
        <w:ind w:firstLine="720"/>
        <w:rPr>
          <w:lang w:val="es-ES"/>
        </w:rPr>
      </w:pPr>
      <w:r w:rsidRPr="00FA506F">
        <w:rPr>
          <w:lang w:val="es-ES"/>
        </w:rPr>
        <w:t>En el Capítulo V del Informe Anual de 2023, el Estado reportó que 12 Instituciones Federales estaban certificadas por la Asociación Americana de Correccionales (ACA), algunas de las cuales habían sido fiscalizadas y recomendadas para reacreditación</w:t>
      </w:r>
      <w:r w:rsidR="005076DB" w:rsidRPr="00FA506F">
        <w:rPr>
          <w:lang w:val="es-ES"/>
        </w:rPr>
        <w:t xml:space="preserve"> y se </w:t>
      </w:r>
      <w:r w:rsidRPr="00FA506F">
        <w:rPr>
          <w:lang w:val="es-ES"/>
        </w:rPr>
        <w:t xml:space="preserve">buscaba la acreditación de cinco instituciones penitenciarias adicionales para ese año. La CIDH celebró estos avances y consideró que la recomendación había alcanzado un cumplimiento parcial sustancial. No obstante, solicitó al Estado información adicional sobre el progreso en la certificación de los centros penitenciarios restantes para avanzar en el cumplimiento </w:t>
      </w:r>
      <w:r w:rsidR="00C16B1B" w:rsidRPr="00FA506F">
        <w:rPr>
          <w:lang w:val="es-ES"/>
        </w:rPr>
        <w:t xml:space="preserve">total </w:t>
      </w:r>
      <w:r w:rsidRPr="00FA506F">
        <w:rPr>
          <w:lang w:val="es-ES"/>
        </w:rPr>
        <w:t>de la recomendación</w:t>
      </w:r>
      <w:r w:rsidRPr="00FA506F">
        <w:rPr>
          <w:rStyle w:val="FootnoteReference"/>
          <w:lang w:val="es-ES"/>
        </w:rPr>
        <w:footnoteReference w:id="201"/>
      </w:r>
      <w:r w:rsidRPr="00FA506F">
        <w:rPr>
          <w:lang w:val="es-ES"/>
        </w:rPr>
        <w:t>.</w:t>
      </w:r>
    </w:p>
    <w:p w14:paraId="6E8E6A76" w14:textId="77777777" w:rsidR="007B7AAF" w:rsidRPr="00FA506F" w:rsidRDefault="007B7AAF" w:rsidP="000658D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689723A8"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6EF65393" w14:textId="26248DC6"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En 2024, el Estado, </w:t>
      </w:r>
      <w:r w:rsidR="00454AE0" w:rsidRPr="00FA506F">
        <w:rPr>
          <w:lang w:val="es-ES"/>
        </w:rPr>
        <w:t>informó</w:t>
      </w:r>
      <w:r w:rsidRPr="00FA506F">
        <w:rPr>
          <w:lang w:val="es-ES"/>
        </w:rPr>
        <w:t xml:space="preserve"> que al menos 12 centros penitenciarios federales estarían certificados por la ACA, y algunas de estas instituciones habrían sido auditadas para su reacreditación</w:t>
      </w:r>
      <w:r w:rsidR="0070025F" w:rsidRPr="00FA506F">
        <w:rPr>
          <w:lang w:val="es-ES"/>
        </w:rPr>
        <w:t>;</w:t>
      </w:r>
      <w:r w:rsidR="006B4F48" w:rsidRPr="00FA506F">
        <w:rPr>
          <w:lang w:val="es-ES"/>
        </w:rPr>
        <w:t xml:space="preserve"> y </w:t>
      </w:r>
      <w:r w:rsidRPr="00FA506F">
        <w:rPr>
          <w:lang w:val="es-ES"/>
        </w:rPr>
        <w:t>se buscaba la acreditación de cinco centros adicionales para mejorar los estándares operativos y las condiciones de detención en el sistema penitenciario federal. Las actividades informadas incluirían la optimización de la infraestructura penitenciaria y la desincorporación de cinco centros, lo cual permitiría un manejo más eficiente de los recursos y mejoraría las condiciones de internamiento.</w:t>
      </w:r>
      <w:r w:rsidR="00902744" w:rsidRPr="00FA506F">
        <w:rPr>
          <w:lang w:val="es-ES"/>
        </w:rPr>
        <w:t xml:space="preserve"> </w:t>
      </w:r>
      <w:r w:rsidRPr="00FA506F">
        <w:rPr>
          <w:lang w:val="es-ES"/>
        </w:rPr>
        <w:t>El Estado reportó esfuerzos para mejorar la gobernabilidad, la salud y la capacitación dentro de los centros penitenciarios. Entre septiembre de 2023 y junio de 2024, se habrían realizado más de 158</w:t>
      </w:r>
      <w:r w:rsidR="00317490" w:rsidRPr="00FA506F">
        <w:rPr>
          <w:lang w:val="es-ES"/>
        </w:rPr>
        <w:t>.</w:t>
      </w:r>
      <w:r w:rsidRPr="00FA506F">
        <w:rPr>
          <w:lang w:val="es-ES"/>
        </w:rPr>
        <w:t>000 consultas médicas y más de 12</w:t>
      </w:r>
      <w:r w:rsidR="00317490" w:rsidRPr="00FA506F">
        <w:rPr>
          <w:lang w:val="es-ES"/>
        </w:rPr>
        <w:t>.</w:t>
      </w:r>
      <w:r w:rsidRPr="00FA506F">
        <w:rPr>
          <w:lang w:val="es-ES"/>
        </w:rPr>
        <w:t>000 actividades culturales y educativas para personas privadas de libertad. Los fondos provenientes del Fondo para el Fortalecimiento de las Instituciones de Seguridad Pública (FOFISP) habrían sido asignados a 10 estados, con una inversión total de 129</w:t>
      </w:r>
      <w:r w:rsidR="00317490" w:rsidRPr="00FA506F">
        <w:rPr>
          <w:lang w:val="es-ES"/>
        </w:rPr>
        <w:t>,</w:t>
      </w:r>
      <w:r w:rsidRPr="00FA506F">
        <w:rPr>
          <w:lang w:val="es-ES"/>
        </w:rPr>
        <w:t>15 millones de pesos, destinados a mejorar la infraestructura y los servicios penitenciarios</w:t>
      </w:r>
      <w:r w:rsidR="00902744" w:rsidRPr="00FA506F">
        <w:rPr>
          <w:rStyle w:val="FootnoteReference"/>
          <w:lang w:val="es-ES"/>
        </w:rPr>
        <w:footnoteReference w:id="202"/>
      </w:r>
      <w:r w:rsidRPr="00FA506F">
        <w:rPr>
          <w:lang w:val="es-ES"/>
        </w:rPr>
        <w:t>.</w:t>
      </w:r>
    </w:p>
    <w:p w14:paraId="7AF12CA7"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r w:rsidRPr="00FA506F">
        <w:rPr>
          <w:lang w:val="es-ES"/>
        </w:rPr>
        <w:tab/>
      </w:r>
      <w:r w:rsidRPr="00FA506F">
        <w:rPr>
          <w:rFonts w:ascii="Cambria" w:eastAsia="Cambria" w:hAnsi="Cambria" w:cs="Cambria"/>
          <w:i/>
          <w:iCs/>
          <w:color w:val="000000" w:themeColor="text1"/>
          <w:sz w:val="20"/>
          <w:szCs w:val="20"/>
          <w:lang w:val="es-ES"/>
        </w:rPr>
        <w:t>Análisis y nivel de cumplimiento de la recomendación</w:t>
      </w:r>
    </w:p>
    <w:p w14:paraId="114B056C" w14:textId="77777777" w:rsidR="007B7AAF" w:rsidRPr="00FA506F" w:rsidRDefault="007B7AAF" w:rsidP="00B80A67">
      <w:pPr>
        <w:pStyle w:val="parrafos"/>
        <w:numPr>
          <w:ilvl w:val="0"/>
          <w:numId w:val="0"/>
        </w:numPr>
        <w:rPr>
          <w:i/>
          <w:iCs/>
          <w:lang w:val="es-ES"/>
        </w:rPr>
      </w:pPr>
    </w:p>
    <w:p w14:paraId="061BB25E" w14:textId="22525663" w:rsidR="007B7AAF" w:rsidRPr="00FA506F" w:rsidRDefault="007B7AAF" w:rsidP="00B80A67">
      <w:pPr>
        <w:pStyle w:val="IAPrrafo"/>
        <w:numPr>
          <w:ilvl w:val="0"/>
          <w:numId w:val="4"/>
        </w:numPr>
        <w:tabs>
          <w:tab w:val="num" w:pos="720"/>
        </w:tabs>
        <w:ind w:firstLine="720"/>
        <w:rPr>
          <w:lang w:val="es-ES"/>
        </w:rPr>
      </w:pPr>
      <w:r w:rsidRPr="00FA506F">
        <w:rPr>
          <w:lang w:val="es-ES"/>
        </w:rPr>
        <w:t>El Estado ha demostrado avances significativos en la implementación de los estándares de acreditación de la ACA para los centros penitenciarios federales, lo que refleja un esfuerzo por mejorar la gobernabilidad y las condiciones de detención. La ampliación del programa de acreditación a cinco centros adicionales y las mejoras reportadas en infraestructura, salud y actividades de reinserción son pasos importantes hacia el cumplimiento de la recomendación</w:t>
      </w:r>
      <w:r w:rsidR="008C2DA5" w:rsidRPr="00FA506F">
        <w:rPr>
          <w:lang w:val="es-ES"/>
        </w:rPr>
        <w:t>. El</w:t>
      </w:r>
      <w:r w:rsidRPr="00FA506F">
        <w:rPr>
          <w:lang w:val="es-ES"/>
        </w:rPr>
        <w:t xml:space="preserve"> uso de recursos del FOFISP para fortalecer el sistema penitenciario nacional y la optimización de la capacidad instalada son indicativos de un compromiso por mejorar las condiciones de internamiento</w:t>
      </w:r>
      <w:r w:rsidR="00902744" w:rsidRPr="00FA506F">
        <w:rPr>
          <w:lang w:val="es-ES"/>
        </w:rPr>
        <w:t>.</w:t>
      </w:r>
    </w:p>
    <w:p w14:paraId="6F96611D" w14:textId="635F9D20"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No obstante, la CIDH señala que la recomendación </w:t>
      </w:r>
      <w:r w:rsidR="004F3E06" w:rsidRPr="00FA506F">
        <w:rPr>
          <w:lang w:val="es-ES"/>
        </w:rPr>
        <w:t>permanece</w:t>
      </w:r>
      <w:r w:rsidRPr="00FA506F">
        <w:rPr>
          <w:lang w:val="es-ES"/>
        </w:rPr>
        <w:t xml:space="preserve"> en </w:t>
      </w:r>
      <w:r w:rsidRPr="00FA506F">
        <w:rPr>
          <w:b/>
          <w:bCs/>
          <w:lang w:val="es-ES"/>
        </w:rPr>
        <w:t>cumplimiento parcial sustancial</w:t>
      </w:r>
      <w:r w:rsidRPr="00FA506F">
        <w:rPr>
          <w:lang w:val="es-ES"/>
        </w:rPr>
        <w:t>, ya que persisten desafíos en la difusión pública de los estándares de la ACA. La transparencia en estos procesos es fundamental para permitir la evaluación independiente</w:t>
      </w:r>
      <w:r w:rsidR="0070025F" w:rsidRPr="00FA506F">
        <w:rPr>
          <w:lang w:val="es-ES"/>
        </w:rPr>
        <w:t>,</w:t>
      </w:r>
      <w:r w:rsidRPr="00FA506F">
        <w:rPr>
          <w:lang w:val="es-ES"/>
        </w:rPr>
        <w:t xml:space="preserve"> y para que la sociedad civil y las partes interesadas puedan conocer los criterios utilizados para la acreditación, así como los beneficios tangibles que estas certificaciones aportan al sistema penitenciario.</w:t>
      </w:r>
    </w:p>
    <w:p w14:paraId="771892BD" w14:textId="77777777" w:rsidR="007B7AAF" w:rsidRPr="00FA506F" w:rsidRDefault="007B7AAF" w:rsidP="00B80A67">
      <w:pPr>
        <w:pStyle w:val="parrafos"/>
        <w:numPr>
          <w:ilvl w:val="0"/>
          <w:numId w:val="0"/>
        </w:numPr>
        <w:rPr>
          <w:i/>
          <w:iCs/>
          <w:lang w:val="es-ES"/>
        </w:rPr>
      </w:pPr>
      <w:r w:rsidRPr="00FA506F">
        <w:rPr>
          <w:i/>
          <w:iCs/>
          <w:lang w:val="es-ES"/>
        </w:rPr>
        <w:tab/>
        <w:t xml:space="preserve">Medidas e información para avanzar en el cumplimiento de la recomendación </w:t>
      </w:r>
    </w:p>
    <w:p w14:paraId="04C24A95" w14:textId="77777777" w:rsidR="007B7AAF" w:rsidRPr="00FA506F" w:rsidRDefault="007B7AAF" w:rsidP="00B80A67">
      <w:pPr>
        <w:pStyle w:val="parrafos"/>
        <w:numPr>
          <w:ilvl w:val="0"/>
          <w:numId w:val="0"/>
        </w:numPr>
        <w:rPr>
          <w:i/>
          <w:iCs/>
          <w:lang w:val="es-ES"/>
        </w:rPr>
      </w:pPr>
    </w:p>
    <w:p w14:paraId="2CB3FB97" w14:textId="7C56253D"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Para el cumplimiento </w:t>
      </w:r>
      <w:r w:rsidR="0070025F" w:rsidRPr="00FA506F">
        <w:rPr>
          <w:lang w:val="es-ES"/>
        </w:rPr>
        <w:t xml:space="preserve">total </w:t>
      </w:r>
      <w:r w:rsidRPr="00FA506F">
        <w:rPr>
          <w:lang w:val="es-ES"/>
        </w:rPr>
        <w:t xml:space="preserve">de la recomendación, es necesario que el Estado remita información sobre el avance en los procesos de certificación de </w:t>
      </w:r>
      <w:r w:rsidR="0070025F" w:rsidRPr="00FA506F">
        <w:rPr>
          <w:lang w:val="es-ES"/>
        </w:rPr>
        <w:t xml:space="preserve">los restantes </w:t>
      </w:r>
      <w:r w:rsidRPr="00FA506F">
        <w:rPr>
          <w:lang w:val="es-ES"/>
        </w:rPr>
        <w:t>centros penitenciarios.</w:t>
      </w:r>
    </w:p>
    <w:p w14:paraId="0FC791F2" w14:textId="77777777" w:rsidR="007B7AAF" w:rsidRPr="00FA506F" w:rsidRDefault="007B7AAF"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53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Implementar medidas de carácter normativo y de cualquier otra índole a fin de garantizar condiciones de detención adecuadas a las necesidades particulares de grupos en especial situación de vulnerabilidad. En relación con las mujeres privadas de libertad, el Estado debe garantizar que la adopción de medidas respectivas atienda a un enfoque de género. Respecto a las personas con discapacidad privadas de su libertad, el Estado mexicano debe garantizar la eliminación de barreras del entorno que dificultan el ejercicio de sus derechos, mediante la realización de ajustes razonables. </w:t>
      </w:r>
    </w:p>
    <w:p w14:paraId="7636AC54" w14:textId="77777777" w:rsidR="007B7AAF" w:rsidRPr="00FA506F" w:rsidRDefault="007B7AAF" w:rsidP="00B80A67">
      <w:pPr>
        <w:jc w:val="both"/>
        <w:rPr>
          <w:rFonts w:ascii="Cambria" w:eastAsia="Cambria" w:hAnsi="Cambria" w:cs="Cambria"/>
          <w:i/>
          <w:iCs/>
          <w:color w:val="000000" w:themeColor="text1"/>
          <w:sz w:val="20"/>
          <w:szCs w:val="20"/>
          <w:lang w:val="es-ES"/>
        </w:rPr>
      </w:pPr>
      <w:bookmarkStart w:id="23" w:name="_Toc146037856"/>
    </w:p>
    <w:p w14:paraId="2A7E144B" w14:textId="734E50F9" w:rsidR="007B7AAF" w:rsidRPr="00FA506F" w:rsidRDefault="007B7AAF" w:rsidP="00B80A67">
      <w:pPr>
        <w:pStyle w:val="IAPrrafo"/>
        <w:numPr>
          <w:ilvl w:val="0"/>
          <w:numId w:val="4"/>
        </w:numPr>
        <w:tabs>
          <w:tab w:val="num" w:pos="720"/>
        </w:tabs>
        <w:ind w:firstLine="720"/>
        <w:rPr>
          <w:lang w:val="es-ES"/>
        </w:rPr>
      </w:pPr>
      <w:r w:rsidRPr="00FA506F">
        <w:rPr>
          <w:lang w:val="es-ES"/>
        </w:rPr>
        <w:t>De acuerdo con el Capítulo V del Informe Anual de 2023, el Estado informó que</w:t>
      </w:r>
      <w:r w:rsidR="00CC72A9" w:rsidRPr="00FA506F">
        <w:rPr>
          <w:lang w:val="es-ES"/>
        </w:rPr>
        <w:t>,</w:t>
      </w:r>
      <w:r w:rsidR="006B4F48" w:rsidRPr="00FA506F">
        <w:rPr>
          <w:lang w:val="es-ES"/>
        </w:rPr>
        <w:t xml:space="preserve"> en conjunto con</w:t>
      </w:r>
      <w:r w:rsidRPr="00FA506F">
        <w:rPr>
          <w:lang w:val="es-ES"/>
        </w:rPr>
        <w:t xml:space="preserve"> los servicios permanentes, se brinda atención médica específica para mujeres en los centros penitenciarios y que se han habilitado espacios adaptados para personas con discapacidad. Sin embargo, las organizaciones de la sociedad civil reportaron preocupantes condiciones en los centros, incluyendo hacinamiento severo, falta de acceso a productos de higiene personal, y una mayor incidencia de violencia y discriminación contra personas LGBTI y mujeres trans. La CIDH observó con preocupación estas condiciones y destacó la falta de avances en el cumplimiento de la recomendación. La recomendación se mantuvo pendiente</w:t>
      </w:r>
      <w:r w:rsidR="0070025F" w:rsidRPr="00FA506F">
        <w:rPr>
          <w:lang w:val="es-ES"/>
        </w:rPr>
        <w:t xml:space="preserve"> de cumplimiento</w:t>
      </w:r>
      <w:r w:rsidRPr="00FA506F">
        <w:rPr>
          <w:lang w:val="es-ES"/>
        </w:rPr>
        <w:t>, y se requirió información adicional sobre las medidas adoptadas para garantizar condiciones dignas y adecuadas de detención, especialmente para mujeres y personas con discapacidad</w:t>
      </w:r>
      <w:r w:rsidRPr="00FA506F">
        <w:rPr>
          <w:rStyle w:val="FootnoteReference"/>
          <w:lang w:val="es-ES"/>
        </w:rPr>
        <w:footnoteReference w:id="203"/>
      </w:r>
      <w:r w:rsidRPr="00FA506F">
        <w:rPr>
          <w:lang w:val="es-ES"/>
        </w:rPr>
        <w:t xml:space="preserve">. </w:t>
      </w:r>
    </w:p>
    <w:p w14:paraId="41DD4BCD" w14:textId="77777777" w:rsidR="007B7AAF" w:rsidRPr="00FA506F" w:rsidRDefault="007B7AAF" w:rsidP="000658D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61B1C70B"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7C2DED73" w14:textId="307C6D17" w:rsidR="007B7AAF" w:rsidRPr="00FA506F" w:rsidRDefault="007B7AAF" w:rsidP="00B80A67">
      <w:pPr>
        <w:pStyle w:val="IAPrrafo"/>
        <w:numPr>
          <w:ilvl w:val="0"/>
          <w:numId w:val="4"/>
        </w:numPr>
        <w:tabs>
          <w:tab w:val="num" w:pos="720"/>
        </w:tabs>
        <w:ind w:firstLine="720"/>
        <w:rPr>
          <w:szCs w:val="20"/>
          <w:lang w:val="es-ES"/>
        </w:rPr>
      </w:pPr>
      <w:r w:rsidRPr="00FA506F">
        <w:rPr>
          <w:lang w:val="es-ES"/>
        </w:rPr>
        <w:t>En 2024 el Estado reportó que se han implementado diversas medidas para mejorar las condiciones de detención de personas en situaciones de vulnerabilidad, con un enfoque específico hacia las mujeres y personas con discapacidad. Entre los avances, se menciona la provisión de servicios médicos especializados para mujeres en los centros penitenciarios, así como la habilitación de espacios adaptados para personas con discapacidad, cumpliendo con los ajustes razonables necesarios para facilitar el acceso a sus derechos. En relación con las mujeres privadas de libertad, el Estado reportó la implementación de programas educativos, de salud y recreativos en el CEFERESO CPS 16 Femenil, donde se brindaron 632 consultas médicas especializadas y se llevaron a cabo actividades educativas para 110 mujeres</w:t>
      </w:r>
      <w:r w:rsidR="005076DB" w:rsidRPr="00FA506F">
        <w:rPr>
          <w:lang w:val="es-ES"/>
        </w:rPr>
        <w:t xml:space="preserve"> y </w:t>
      </w:r>
      <w:r w:rsidRPr="00FA506F">
        <w:rPr>
          <w:lang w:val="es-ES"/>
        </w:rPr>
        <w:t>ofrecieron talleres de capacitación laboral y actividades recreativas, tales como yoga, teatro y danza, con una participación activa de las internas</w:t>
      </w:r>
      <w:r w:rsidR="006B4F48" w:rsidRPr="00FA506F">
        <w:rPr>
          <w:lang w:val="es-ES"/>
        </w:rPr>
        <w:t xml:space="preserve"> y </w:t>
      </w:r>
      <w:r w:rsidRPr="00FA506F">
        <w:rPr>
          <w:lang w:val="es-ES"/>
        </w:rPr>
        <w:t>proporcionaron servicios de atención psicológica, con 11</w:t>
      </w:r>
      <w:r w:rsidR="00317490" w:rsidRPr="00FA506F">
        <w:rPr>
          <w:lang w:val="es-ES"/>
        </w:rPr>
        <w:t>.</w:t>
      </w:r>
      <w:r w:rsidRPr="00FA506F">
        <w:rPr>
          <w:lang w:val="es-ES"/>
        </w:rPr>
        <w:t>859 participaciones en talleres de autocuidado y charlas preventivas. A través de estas iniciativas, se busca mitigar los efectos negativos de la reclusión y promover una reintegración efectiva. El Estado informó sobre la capacitación masiva de elementos de seguridad y procuración de justicia en temas de derechos humanos, perspectiva de género y atención a víctimas. En colaboración con la CNDH, CONAPRED e INMUJERES, se capacitaron a 3</w:t>
      </w:r>
      <w:r w:rsidR="00317490" w:rsidRPr="00FA506F">
        <w:rPr>
          <w:lang w:val="es-ES"/>
        </w:rPr>
        <w:t>.</w:t>
      </w:r>
      <w:r w:rsidRPr="00FA506F">
        <w:rPr>
          <w:lang w:val="es-ES"/>
        </w:rPr>
        <w:t>609 elementos del Servicio de Protección Federal, enfocados en mejorar la actuación policial con perspectiva de género. Estas acciones reflejan un esfuerzo por fortalecer la protección de los derechos de las mujeres privadas de libertad y garantizar condiciones más dignas de detención</w:t>
      </w:r>
      <w:r w:rsidR="00902744" w:rsidRPr="00FA506F">
        <w:rPr>
          <w:rStyle w:val="FootnoteReference"/>
          <w:lang w:val="es-ES"/>
        </w:rPr>
        <w:footnoteReference w:id="204"/>
      </w:r>
      <w:r w:rsidRPr="00FA506F">
        <w:rPr>
          <w:lang w:val="es-ES"/>
        </w:rPr>
        <w:t>.</w:t>
      </w:r>
    </w:p>
    <w:p w14:paraId="08FB49AB" w14:textId="77777777" w:rsidR="007B7AAF" w:rsidRPr="00FA506F" w:rsidRDefault="007B7AAF" w:rsidP="000658DB">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2B45E663"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33A41F76" w14:textId="295E5FFD" w:rsidR="007B7AAF" w:rsidRPr="00FA506F" w:rsidRDefault="006F7A01" w:rsidP="00B80A67">
      <w:pPr>
        <w:pStyle w:val="IAPrrafo"/>
        <w:numPr>
          <w:ilvl w:val="0"/>
          <w:numId w:val="4"/>
        </w:numPr>
        <w:tabs>
          <w:tab w:val="num" w:pos="720"/>
        </w:tabs>
        <w:ind w:firstLine="720"/>
        <w:rPr>
          <w:szCs w:val="20"/>
          <w:lang w:val="es-ES"/>
        </w:rPr>
      </w:pPr>
      <w:r w:rsidRPr="00FA506F">
        <w:rPr>
          <w:szCs w:val="20"/>
          <w:lang w:val="es-ES"/>
        </w:rPr>
        <w:t>A</w:t>
      </w:r>
      <w:r w:rsidR="007B7AAF" w:rsidRPr="00FA506F">
        <w:rPr>
          <w:szCs w:val="20"/>
          <w:lang w:val="es-ES"/>
        </w:rPr>
        <w:t xml:space="preserve"> pesar de los avances reportados, persisten problemas estructurales, como el hacinamiento y la falta de acceso a productos básicos, que afectan de manera desproporcionada a las mujeres y a personas LGBTI, evidenciando la necesidad de fortalecer estas medidas. </w:t>
      </w:r>
      <w:r w:rsidR="006B4F48" w:rsidRPr="00FA506F">
        <w:rPr>
          <w:szCs w:val="20"/>
          <w:lang w:val="es-ES"/>
        </w:rPr>
        <w:t>No</w:t>
      </w:r>
      <w:r w:rsidR="007B7AAF" w:rsidRPr="00FA506F">
        <w:rPr>
          <w:szCs w:val="20"/>
          <w:lang w:val="es-ES"/>
        </w:rPr>
        <w:t xml:space="preserve"> se proporcionó información suficiente sobre cómo se están eliminando las barreras del entorno para las personas con discapacidad privadas de libertad. </w:t>
      </w:r>
      <w:r w:rsidR="00D42451" w:rsidRPr="00FA506F">
        <w:rPr>
          <w:szCs w:val="20"/>
          <w:lang w:val="es-ES"/>
        </w:rPr>
        <w:t>Adicionalmente, durante la Audiencia “</w:t>
      </w:r>
      <w:r w:rsidR="00D42451" w:rsidRPr="00FA506F">
        <w:rPr>
          <w:rFonts w:cs="Segoe UI"/>
          <w:color w:val="0F1419"/>
          <w:szCs w:val="20"/>
          <w:shd w:val="clear" w:color="auto" w:fill="FFFFFF"/>
          <w:lang w:val="es-ES"/>
        </w:rPr>
        <w:t>Situación de las mujeres privadas de libertad en el CEFERESO 16</w:t>
      </w:r>
      <w:r w:rsidR="00D42451" w:rsidRPr="00FA506F">
        <w:rPr>
          <w:rStyle w:val="FootnoteReference"/>
          <w:rFonts w:cs="Segoe UI"/>
          <w:color w:val="0F1419"/>
          <w:szCs w:val="20"/>
          <w:shd w:val="clear" w:color="auto" w:fill="FFFFFF"/>
          <w:lang w:val="es-ES"/>
        </w:rPr>
        <w:footnoteReference w:id="205"/>
      </w:r>
      <w:r w:rsidR="00D42451" w:rsidRPr="00FA506F">
        <w:rPr>
          <w:rFonts w:cs="Segoe UI"/>
          <w:color w:val="0F1419"/>
          <w:szCs w:val="20"/>
          <w:shd w:val="clear" w:color="auto" w:fill="FFFFFF"/>
          <w:lang w:val="es-ES"/>
        </w:rPr>
        <w:t xml:space="preserve">” del 191 Período de Sesiones y la Audiencia “Derechos Humanos de las mujeres con discapacidad, organizaciones de la sociedad civil informaron a la Comisión de desafíos en la garantía de los derechos de mujeres privadas de libertad. Lo cual ha conllevado a muertes en custodia presuntamente por suicidio. Además, las organizaciones señalaron una falta de atención a la salud física y mental, investigaciones adecuadas y de mecanismos de no repetición de los hechos. </w:t>
      </w:r>
      <w:r w:rsidR="007B7AAF" w:rsidRPr="00FA506F">
        <w:rPr>
          <w:szCs w:val="20"/>
          <w:lang w:val="es-ES"/>
        </w:rPr>
        <w:t xml:space="preserve">Por lo tanto, se considera que la recomendación </w:t>
      </w:r>
      <w:r w:rsidR="004F3E06" w:rsidRPr="00FA506F">
        <w:rPr>
          <w:szCs w:val="20"/>
          <w:lang w:val="es-ES"/>
        </w:rPr>
        <w:t>avanza a</w:t>
      </w:r>
      <w:r w:rsidR="007B7AAF" w:rsidRPr="00FA506F">
        <w:rPr>
          <w:szCs w:val="20"/>
          <w:lang w:val="es-ES"/>
        </w:rPr>
        <w:t> </w:t>
      </w:r>
      <w:r w:rsidR="007B7AAF" w:rsidRPr="00FA506F">
        <w:rPr>
          <w:b/>
          <w:bCs/>
          <w:szCs w:val="20"/>
          <w:lang w:val="es-ES"/>
        </w:rPr>
        <w:t>cumplimiento parcial</w:t>
      </w:r>
      <w:r w:rsidR="007B7AAF" w:rsidRPr="00FA506F">
        <w:rPr>
          <w:szCs w:val="20"/>
          <w:lang w:val="es-ES"/>
        </w:rPr>
        <w:t>, con la necesidad de adoptar medidas más integrales y sostenibles para garantizar condiciones adecuadas de detención.</w:t>
      </w:r>
    </w:p>
    <w:p w14:paraId="3A57ADE3" w14:textId="77777777" w:rsidR="007B7AAF" w:rsidRPr="00FA506F" w:rsidRDefault="007B7AAF" w:rsidP="00B80A67">
      <w:pPr>
        <w:pStyle w:val="IAPrrafo"/>
        <w:ind w:left="720"/>
        <w:rPr>
          <w:rFonts w:eastAsia="Cambria" w:cs="Cambria"/>
          <w:i/>
          <w:iCs/>
          <w:color w:val="000000" w:themeColor="text1"/>
          <w:szCs w:val="20"/>
          <w:lang w:val="es-ES"/>
        </w:rPr>
      </w:pPr>
      <w:r w:rsidRPr="00FA506F">
        <w:rPr>
          <w:rFonts w:eastAsia="Cambria" w:cs="Cambria"/>
          <w:i/>
          <w:iCs/>
          <w:color w:val="000000" w:themeColor="text1"/>
          <w:lang w:val="es-ES"/>
        </w:rPr>
        <w:t xml:space="preserve">Medidas e información para avanzar en el cumplimiento de la recomendación </w:t>
      </w:r>
      <w:bookmarkEnd w:id="23"/>
    </w:p>
    <w:p w14:paraId="50B6A3E6" w14:textId="27A1712D" w:rsidR="007B7AAF" w:rsidRPr="00FA506F" w:rsidRDefault="007B7AAF" w:rsidP="00B80A67">
      <w:pPr>
        <w:pStyle w:val="IAPrrafo"/>
        <w:numPr>
          <w:ilvl w:val="0"/>
          <w:numId w:val="4"/>
        </w:numPr>
        <w:tabs>
          <w:tab w:val="num" w:pos="720"/>
        </w:tabs>
        <w:ind w:firstLine="720"/>
        <w:rPr>
          <w:lang w:val="es-ES"/>
        </w:rPr>
      </w:pPr>
      <w:r w:rsidRPr="00FA506F">
        <w:rPr>
          <w:lang w:val="es-ES"/>
        </w:rPr>
        <w:t>El cumplimiento de esta recomendación supone que el Estado aporte información situacional que sirva como línea de base para la CIDH en la valoración de las medidas adoptadas por México para garantizar condiciones adecuadas de detención, con particular énfasis en las medidas específicas de las mujeres privadas de libertad y las personas con discapacidad. Estas medidas pueden consistir en políticas públicas, acciones de fortalecimiento institucional, dotación de recursos, entre otras.</w:t>
      </w:r>
    </w:p>
    <w:p w14:paraId="09BA7E82" w14:textId="11D61CE3" w:rsidR="007B7AAF" w:rsidRPr="001034AA" w:rsidRDefault="007B7AAF" w:rsidP="41F8420D">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1034AA">
        <w:rPr>
          <w:rFonts w:ascii="Cambria" w:eastAsia="Cambria" w:hAnsi="Cambria" w:cstheme="minorBidi"/>
          <w:b/>
          <w:color w:val="000000" w:themeColor="text1"/>
          <w:kern w:val="2"/>
          <w:sz w:val="20"/>
          <w:szCs w:val="20"/>
          <w:shd w:val="clear" w:color="auto" w:fill="D0CECE" w:themeFill="background2" w:themeFillShade="E6"/>
          <w:lang w:val="es-ES"/>
          <w14:ligatures w14:val="standardContextual"/>
        </w:rPr>
        <w:t>Recomendación No. 54</w:t>
      </w:r>
      <w:r w:rsidR="000658DB" w:rsidRPr="001034AA">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w:t>
      </w:r>
      <w:r w:rsidRPr="001034AA">
        <w:rPr>
          <w:rFonts w:ascii="Cambria" w:eastAsia="Cambria" w:hAnsi="Cambria" w:cstheme="minorBidi"/>
          <w:b/>
          <w:color w:val="000000" w:themeColor="text1"/>
          <w:kern w:val="2"/>
          <w:sz w:val="20"/>
          <w:szCs w:val="20"/>
          <w:shd w:val="clear" w:color="auto" w:fill="D0CECE" w:themeFill="background2" w:themeFillShade="E6"/>
          <w:lang w:val="es-ES"/>
          <w14:ligatures w14:val="standardContextual"/>
        </w:rPr>
        <w:t xml:space="preserve"> </w:t>
      </w:r>
      <w:r w:rsidRPr="001034AA">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Adoptar medidas para hacer frente a la prisión preventiva y a los altos niveles de hacinamiento. Las medidas a adoptar pueden consistir, entre otras, en el incremento de jueces de ejecución penal y el establecimiento de brigadas periódicas de revisión de expedientes que permitan identificar casos de duración excesiva de la prisión preventiva </w:t>
      </w:r>
    </w:p>
    <w:p w14:paraId="5293ED6F" w14:textId="77777777" w:rsidR="007B7AAF" w:rsidRPr="00FA506F" w:rsidRDefault="007B7AAF" w:rsidP="00B80A67">
      <w:pPr>
        <w:jc w:val="both"/>
        <w:rPr>
          <w:rFonts w:ascii="Cambria" w:eastAsia="Cambria" w:hAnsi="Cambria" w:cs="Cambria"/>
          <w:i/>
          <w:iCs/>
          <w:color w:val="000000" w:themeColor="text1"/>
          <w:sz w:val="20"/>
          <w:szCs w:val="20"/>
          <w:lang w:val="es-ES"/>
        </w:rPr>
      </w:pPr>
    </w:p>
    <w:p w14:paraId="10089B9C" w14:textId="46EA247E"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En el Capítulo V del Informe Anual de 2023, la CIDH conoció avances de la SCJN en el análisis de la constitucionalidad de la prisión preventiva oficiosa y la colaboración con autoridades federales para gestionar el traslado de personas que requieran medidas especiales de vigilancia. No obstante, las organizaciones de la sociedad civil informaron que la prisión preventiva </w:t>
      </w:r>
      <w:r w:rsidR="0076114E" w:rsidRPr="00FA506F">
        <w:rPr>
          <w:lang w:val="es-ES"/>
        </w:rPr>
        <w:t xml:space="preserve">seguía </w:t>
      </w:r>
      <w:r w:rsidRPr="00FA506F">
        <w:rPr>
          <w:lang w:val="es-ES"/>
        </w:rPr>
        <w:t>afectando la independencia judicial y ha</w:t>
      </w:r>
      <w:r w:rsidR="0076114E" w:rsidRPr="00FA506F">
        <w:rPr>
          <w:lang w:val="es-ES"/>
        </w:rPr>
        <w:t>bía</w:t>
      </w:r>
      <w:r w:rsidRPr="00FA506F">
        <w:rPr>
          <w:lang w:val="es-ES"/>
        </w:rPr>
        <w:t xml:space="preserve"> aumentado significativamente desde la reforma de 2019, con un incremento del 25% en el número de personas en prisión preventiva sin sentencia, afectando aproximadamente al 40% de los delitos. La CIDH observó que, a pesar de los avances jurisdiccionales, la </w:t>
      </w:r>
      <w:r w:rsidR="0076114E" w:rsidRPr="00FA506F">
        <w:rPr>
          <w:lang w:val="es-ES"/>
        </w:rPr>
        <w:t xml:space="preserve">normativa seguía </w:t>
      </w:r>
      <w:r w:rsidRPr="00FA506F">
        <w:rPr>
          <w:lang w:val="es-ES"/>
        </w:rPr>
        <w:t>vigente y el porcentaje de personas en prisión preventiva ha</w:t>
      </w:r>
      <w:r w:rsidR="0076114E" w:rsidRPr="00FA506F">
        <w:rPr>
          <w:lang w:val="es-ES"/>
        </w:rPr>
        <w:t>bía</w:t>
      </w:r>
      <w:r w:rsidRPr="00FA506F">
        <w:rPr>
          <w:lang w:val="es-ES"/>
        </w:rPr>
        <w:t xml:space="preserve"> aumentado. La recomendación se mantuvo con cumplimiento parcial, y la CIDH solicitó información adicional sobre la reducción de la prisión preventiva y el hacinamiento en las cárceles</w:t>
      </w:r>
      <w:r w:rsidRPr="00FA506F">
        <w:rPr>
          <w:rStyle w:val="FootnoteReference"/>
          <w:lang w:val="es-ES"/>
        </w:rPr>
        <w:footnoteReference w:id="206"/>
      </w:r>
      <w:r w:rsidRPr="00FA506F">
        <w:rPr>
          <w:lang w:val="es-ES"/>
        </w:rPr>
        <w:t>.</w:t>
      </w:r>
    </w:p>
    <w:p w14:paraId="354672CF" w14:textId="77777777" w:rsidR="007B7AAF" w:rsidRPr="00FA506F" w:rsidRDefault="007B7AAF" w:rsidP="00254D0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6AAF3F72"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22780043" w14:textId="1359F479" w:rsidR="00022D03" w:rsidRPr="00616692" w:rsidRDefault="007B7AAF" w:rsidP="00022D03">
      <w:pPr>
        <w:pStyle w:val="IAPrrafo"/>
        <w:numPr>
          <w:ilvl w:val="0"/>
          <w:numId w:val="4"/>
        </w:numPr>
        <w:tabs>
          <w:tab w:val="num" w:pos="720"/>
        </w:tabs>
        <w:ind w:firstLine="720"/>
        <w:rPr>
          <w:lang w:val="es-ES"/>
        </w:rPr>
      </w:pPr>
      <w:r w:rsidRPr="00FA506F">
        <w:rPr>
          <w:lang w:val="es-ES"/>
        </w:rPr>
        <w:t xml:space="preserve">En 2024, el Estado reportó la implementación de estrategias para reducir el uso excesivo de la prisión preventiva y mitigar el hacinamiento en los centros penitenciarios. La SCJN </w:t>
      </w:r>
      <w:r w:rsidR="0076114E" w:rsidRPr="00FA506F">
        <w:rPr>
          <w:lang w:val="es-ES"/>
        </w:rPr>
        <w:t xml:space="preserve">llevó </w:t>
      </w:r>
      <w:r w:rsidRPr="00FA506F">
        <w:rPr>
          <w:lang w:val="es-ES"/>
        </w:rPr>
        <w:t xml:space="preserve">a cabo un análisis continuo de la constitucionalidad de la prisión preventiva oficiosa, reafirmando la necesidad de su aplicación en casos excepcionales y subrayando la importancia de garantizar el acceso a un proceso justo. </w:t>
      </w:r>
      <w:r w:rsidR="0076114E" w:rsidRPr="00FA506F">
        <w:rPr>
          <w:lang w:val="es-ES"/>
        </w:rPr>
        <w:t>Asimismo</w:t>
      </w:r>
      <w:r w:rsidR="00D42451" w:rsidRPr="00FA506F">
        <w:rPr>
          <w:lang w:val="es-ES"/>
        </w:rPr>
        <w:t>,</w:t>
      </w:r>
      <w:r w:rsidR="0076114E" w:rsidRPr="00FA506F">
        <w:rPr>
          <w:lang w:val="es-ES"/>
        </w:rPr>
        <w:t xml:space="preserve"> se </w:t>
      </w:r>
      <w:r w:rsidRPr="00FA506F">
        <w:rPr>
          <w:lang w:val="es-ES"/>
        </w:rPr>
        <w:t>implementó un programa de revisión periódica de expedientes, coordinado por la Comisión Nacional de Tribunales Superiores de Justicia y el Órgano Administrativo Desconcentrado de Prevención y Readaptación Social. Este programa incluyó la colaboración con jueces de ejecución penal para evaluar los casos de prisión preventiva prolongada y ofrecer medidas alternativas, como la libertad condicionada y la remisión parcial de la pena. A través de estas iniciativas, se han gestionado 7</w:t>
      </w:r>
      <w:r w:rsidR="00317490" w:rsidRPr="00FA506F">
        <w:rPr>
          <w:lang w:val="es-ES"/>
        </w:rPr>
        <w:t>.</w:t>
      </w:r>
      <w:r w:rsidRPr="00FA506F">
        <w:rPr>
          <w:lang w:val="es-ES"/>
        </w:rPr>
        <w:t xml:space="preserve">315 casos de personas que han superado el tiempo máximo permitido en prisión preventiva. </w:t>
      </w:r>
      <w:r w:rsidR="006B4F48" w:rsidRPr="00FA506F">
        <w:rPr>
          <w:lang w:val="es-ES"/>
        </w:rPr>
        <w:t>El Estado informó</w:t>
      </w:r>
      <w:r w:rsidRPr="00FA506F">
        <w:rPr>
          <w:lang w:val="es-ES"/>
        </w:rPr>
        <w:t xml:space="preserve"> la instalación de brigadas periódicas de revisión de expedientes, compuestas por representantes del Poder Judicial, FGR, CEAV y CNDH. Estas brigadas habrían permitido </w:t>
      </w:r>
      <w:r w:rsidR="00CC72A9" w:rsidRPr="00FA506F">
        <w:rPr>
          <w:lang w:val="es-ES"/>
        </w:rPr>
        <w:t>encontrar casos de</w:t>
      </w:r>
      <w:r w:rsidRPr="00FA506F">
        <w:rPr>
          <w:lang w:val="es-ES"/>
        </w:rPr>
        <w:t xml:space="preserve"> personas detenidas </w:t>
      </w:r>
      <w:r w:rsidRPr="00616692">
        <w:rPr>
          <w:lang w:val="es-ES"/>
        </w:rPr>
        <w:t>injustamente o en condiciones que requieren intervención urgente, facilitando su liberación mediante amparos u otros recursos legales. Hasta marzo de 2024, se reportaron 4</w:t>
      </w:r>
      <w:r w:rsidR="00317490" w:rsidRPr="00616692">
        <w:rPr>
          <w:lang w:val="es-ES"/>
        </w:rPr>
        <w:t>.</w:t>
      </w:r>
      <w:r w:rsidRPr="00616692">
        <w:rPr>
          <w:lang w:val="es-ES"/>
        </w:rPr>
        <w:t>108 casos de personas liberadas a través de estas brigadas de revisión</w:t>
      </w:r>
      <w:r w:rsidR="00902744" w:rsidRPr="00616692">
        <w:rPr>
          <w:rStyle w:val="FootnoteReference"/>
          <w:lang w:val="es-ES"/>
        </w:rPr>
        <w:footnoteReference w:id="207"/>
      </w:r>
      <w:r w:rsidRPr="00616692">
        <w:rPr>
          <w:lang w:val="es-ES"/>
        </w:rPr>
        <w:t>.</w:t>
      </w:r>
      <w:r w:rsidR="00022D03" w:rsidRPr="00616692">
        <w:rPr>
          <w:lang w:val="es-ES"/>
        </w:rPr>
        <w:t xml:space="preserve"> El Estado agregó en sus observaciones al presente </w:t>
      </w:r>
      <w:r w:rsidR="001B2B04" w:rsidRPr="00616692">
        <w:rPr>
          <w:lang w:val="es-ES"/>
        </w:rPr>
        <w:t>I</w:t>
      </w:r>
      <w:r w:rsidR="00022D03" w:rsidRPr="00616692">
        <w:rPr>
          <w:lang w:val="es-ES"/>
        </w:rPr>
        <w:t>nforme que la SCJN ha impulsado iniciativas orientadas a la aplicación de enfoques diferenciados, en particular un Congreso Latinoamericano y la publicación de una obra en la materia</w:t>
      </w:r>
      <w:r w:rsidR="00022D03" w:rsidRPr="00616692">
        <w:rPr>
          <w:rStyle w:val="FootnoteReference"/>
          <w:lang w:val="es-ES"/>
        </w:rPr>
        <w:footnoteReference w:id="208"/>
      </w:r>
      <w:r w:rsidR="00022D03" w:rsidRPr="00616692">
        <w:rPr>
          <w:lang w:val="es-ES"/>
        </w:rPr>
        <w:t>.</w:t>
      </w:r>
    </w:p>
    <w:p w14:paraId="0FA255B9" w14:textId="3E65BBA5" w:rsidR="007B7AAF" w:rsidRPr="00616692" w:rsidRDefault="007B7AAF" w:rsidP="00B80A67">
      <w:pPr>
        <w:pStyle w:val="IAPrrafo"/>
        <w:numPr>
          <w:ilvl w:val="0"/>
          <w:numId w:val="4"/>
        </w:numPr>
        <w:tabs>
          <w:tab w:val="num" w:pos="720"/>
        </w:tabs>
        <w:ind w:firstLine="720"/>
        <w:rPr>
          <w:lang w:val="es-ES"/>
        </w:rPr>
      </w:pPr>
      <w:r w:rsidRPr="00616692">
        <w:rPr>
          <w:lang w:val="es-ES"/>
        </w:rPr>
        <w:t xml:space="preserve">No obstante, las organizaciones de la sociedad civil </w:t>
      </w:r>
      <w:r w:rsidR="00BE6519" w:rsidRPr="00616692">
        <w:rPr>
          <w:lang w:val="es-ES"/>
        </w:rPr>
        <w:t>informaron</w:t>
      </w:r>
      <w:r w:rsidRPr="00616692">
        <w:rPr>
          <w:lang w:val="es-ES"/>
        </w:rPr>
        <w:t xml:space="preserve"> que la prisión preventiva sigue siendo aplicada de manera generalizada y automática, afectando la independencia judicial y contribuyendo al hacinamiento en los centros penitenciarios. Reportaron un incremento del 25% en el número de personas en prisión preventiva desde la reforma de 2019, lo que ha generado una sobrepoblación en varias cárceles del país. El uso extendido de la prisión preventiva sigue afectando de manera desproporcionada a personas de bajos recursos, indígenas y otros grupos vulnerables, exacerbando las condiciones de detención y perpetuando prácticas discriminatorias</w:t>
      </w:r>
      <w:r w:rsidR="00902744" w:rsidRPr="00616692">
        <w:rPr>
          <w:rStyle w:val="FootnoteReference"/>
          <w:lang w:val="es-ES"/>
        </w:rPr>
        <w:footnoteReference w:id="209"/>
      </w:r>
      <w:r w:rsidRPr="00616692">
        <w:rPr>
          <w:lang w:val="es-ES"/>
        </w:rPr>
        <w:t>.</w:t>
      </w:r>
    </w:p>
    <w:p w14:paraId="61BF5ED7" w14:textId="77777777" w:rsidR="007B7AAF" w:rsidRPr="00FA506F" w:rsidRDefault="007B7AAF" w:rsidP="00254D0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05A646A2"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59564781" w14:textId="34DBF958" w:rsidR="00C15897" w:rsidRPr="00FA506F" w:rsidRDefault="007B7AAF" w:rsidP="00B80A67">
      <w:pPr>
        <w:pStyle w:val="IAPrrafo"/>
        <w:numPr>
          <w:ilvl w:val="0"/>
          <w:numId w:val="4"/>
        </w:numPr>
        <w:tabs>
          <w:tab w:val="num" w:pos="720"/>
        </w:tabs>
        <w:ind w:firstLine="720"/>
        <w:rPr>
          <w:lang w:val="es-ES"/>
        </w:rPr>
      </w:pPr>
      <w:r w:rsidRPr="00FA506F">
        <w:rPr>
          <w:lang w:val="es-ES"/>
        </w:rPr>
        <w:t>La CIDH observa con preocupación que el uso excesivo de la prisión preventiva como medida cautelar sigue siendo un problema estructural, especialmente tras la reforma de 2019, que amplió su aplicación a una mayor cantidad de delitos</w:t>
      </w:r>
      <w:r w:rsidR="0076114E" w:rsidRPr="00FA506F">
        <w:rPr>
          <w:lang w:val="es-ES"/>
        </w:rPr>
        <w:t>; y con la iniciativa de reforma constitucional de 2024 que pretende ampliar el catálogo de delitos que permiten prisión preventiva oficiosa</w:t>
      </w:r>
      <w:r w:rsidRPr="00FA506F">
        <w:rPr>
          <w:lang w:val="es-ES"/>
        </w:rPr>
        <w:t>. El incremento del 25% en la población en prisión preventiva indica que las medidas adoptadas hasta ahora no han sido suficientes para revertir esta tendencia. Si bien se ha avanzado en la revisión de casos y en la promoción de alternativas a la prisión preventiva, los datos proporcionados por el Estado muestran que el porcentaje de personas en prisión preventiva sigue siendo alto, y el hacinamiento en las cárceles continúa siendo una problemática significativa. Las acciones implementadas no han logrado mitigar de manera efectiva el impacto de la prisión preventiva sobre los derechos humanos de las personas detenidas, especialmente en relación con grupos vulnerables. Por lo tanto, se considera que esta recomendación permanece en </w:t>
      </w:r>
      <w:r w:rsidRPr="00FA506F">
        <w:rPr>
          <w:b/>
          <w:bCs/>
          <w:lang w:val="es-ES"/>
        </w:rPr>
        <w:t>cumplimiento parcial</w:t>
      </w:r>
      <w:r w:rsidRPr="00FA506F">
        <w:rPr>
          <w:lang w:val="es-ES"/>
        </w:rPr>
        <w:t>, dado que se han adoptado medidas, pero aún se requiere una estrategia más integral y efectiva para reducir el uso de la prisión preventiva y enfrentar el problema del hacinamiento.</w:t>
      </w:r>
    </w:p>
    <w:p w14:paraId="621B3673" w14:textId="77777777" w:rsidR="007B7AAF" w:rsidRPr="00FA506F" w:rsidRDefault="007B7AAF" w:rsidP="00254D0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4904CB12"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57EF3D97" w14:textId="77777777" w:rsidR="007B7AAF" w:rsidRPr="00FA506F" w:rsidRDefault="007B7AAF" w:rsidP="00B80A67">
      <w:pPr>
        <w:pStyle w:val="IAPrrafo"/>
        <w:numPr>
          <w:ilvl w:val="0"/>
          <w:numId w:val="4"/>
        </w:numPr>
        <w:tabs>
          <w:tab w:val="num" w:pos="720"/>
        </w:tabs>
        <w:ind w:firstLine="720"/>
        <w:rPr>
          <w:lang w:val="es-ES"/>
        </w:rPr>
      </w:pPr>
      <w:r w:rsidRPr="00FA506F">
        <w:rPr>
          <w:lang w:val="es-ES"/>
        </w:rPr>
        <w:t>Para orientar el cumplimiento de esta recomendación, la CIDH reitera la importancia de que el Estado adopte medidas de cumplimiento que atiendan la problemática del uso indiscriminado de la prisión preventiva, al tiempo de que estas estén dirigidas a enfrentar el hacinamiento. La evaluación en avances de cumplimiento de la recomendación requiere, por lo tanto, contar con información oficial que demuestre las medidas adoptadas para atender estas problemáticas, indicando qué resultados se han obtenido.</w:t>
      </w:r>
    </w:p>
    <w:p w14:paraId="101AB1B6" w14:textId="75F9657B" w:rsidR="007B7AAF" w:rsidRPr="00FA506F" w:rsidRDefault="0076114E" w:rsidP="00254D0F">
      <w:pPr>
        <w:pStyle w:val="IASubttulo3"/>
        <w:numPr>
          <w:ilvl w:val="0"/>
          <w:numId w:val="5"/>
        </w:numPr>
        <w:ind w:hanging="720"/>
        <w:rPr>
          <w:lang w:val="es-ES"/>
        </w:rPr>
      </w:pPr>
      <w:bookmarkStart w:id="24" w:name="_Toc195618117"/>
      <w:r w:rsidRPr="00FA506F">
        <w:rPr>
          <w:lang w:val="es-ES"/>
        </w:rPr>
        <w:t>Personas m</w:t>
      </w:r>
      <w:r w:rsidR="007B7AAF" w:rsidRPr="00FA506F">
        <w:rPr>
          <w:lang w:val="es-ES"/>
        </w:rPr>
        <w:t xml:space="preserve">igrantes y </w:t>
      </w:r>
      <w:r w:rsidRPr="00FA506F">
        <w:rPr>
          <w:lang w:val="es-ES"/>
        </w:rPr>
        <w:t xml:space="preserve">que enfrentan </w:t>
      </w:r>
      <w:r w:rsidR="007B7AAF" w:rsidRPr="00FA506F">
        <w:rPr>
          <w:lang w:val="es-ES"/>
        </w:rPr>
        <w:t>desplazamiento interno forzado</w:t>
      </w:r>
      <w:bookmarkEnd w:id="24"/>
    </w:p>
    <w:p w14:paraId="6B203D26" w14:textId="77777777" w:rsidR="007B7AAF" w:rsidRPr="00FA506F" w:rsidRDefault="007B7AAF"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57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Elaborar un diagnóstico nacional para “caracterizar” el desplazamiento interno en México y, consecuentemente, adoptar una política nacional y las medidas tendientes a prestar una respuesta conforme a los estándares internacionales en la materia, en particular los Principios Rectores del Desplazamiento Interno. </w:t>
      </w:r>
    </w:p>
    <w:p w14:paraId="4ED6D72F" w14:textId="77777777" w:rsidR="007B7AAF" w:rsidRPr="00FA506F" w:rsidRDefault="007B7AAF" w:rsidP="00B80A67">
      <w:pPr>
        <w:jc w:val="both"/>
        <w:rPr>
          <w:rFonts w:ascii="Cambria" w:eastAsia="Cambria" w:hAnsi="Cambria" w:cs="Cambria"/>
          <w:i/>
          <w:iCs/>
          <w:color w:val="000000" w:themeColor="text1"/>
          <w:sz w:val="20"/>
          <w:szCs w:val="20"/>
          <w:lang w:val="es-ES"/>
        </w:rPr>
      </w:pPr>
    </w:p>
    <w:p w14:paraId="230A13FF" w14:textId="7BB70894" w:rsidR="007B7AAF" w:rsidRPr="00FA506F" w:rsidRDefault="007B7AAF" w:rsidP="00B80A67">
      <w:pPr>
        <w:pStyle w:val="IAPrrafo"/>
        <w:numPr>
          <w:ilvl w:val="0"/>
          <w:numId w:val="4"/>
        </w:numPr>
        <w:tabs>
          <w:tab w:val="num" w:pos="720"/>
        </w:tabs>
        <w:ind w:firstLine="720"/>
        <w:rPr>
          <w:lang w:val="es-ES"/>
        </w:rPr>
      </w:pPr>
      <w:r w:rsidRPr="00FA506F">
        <w:rPr>
          <w:lang w:val="es-ES"/>
        </w:rPr>
        <w:t>En el Capítulo V del Informe Anual de 2023, el Estado reportó avances significativos en la atención al desplazamiento forzado interno en México, incluyendo la elaboración del Diagnóstico nacional y la Encuesta para Caracterizar a la Población en Situación de Desplazamiento Forzado Interno en Chihuahua</w:t>
      </w:r>
      <w:r w:rsidR="0076114E" w:rsidRPr="00FA506F">
        <w:rPr>
          <w:lang w:val="es-ES"/>
        </w:rPr>
        <w:t>;</w:t>
      </w:r>
      <w:r w:rsidRPr="00FA506F">
        <w:rPr>
          <w:lang w:val="es-ES"/>
        </w:rPr>
        <w:t xml:space="preserve"> así como la inclusión del tema en varios programas federales y la promulgación de leyes locales. Sin embargo, las organizaciones de la sociedad civil </w:t>
      </w:r>
      <w:r w:rsidR="00BE6519" w:rsidRPr="00FA506F">
        <w:rPr>
          <w:lang w:val="es-ES"/>
        </w:rPr>
        <w:t>resaltaron</w:t>
      </w:r>
      <w:r w:rsidRPr="00FA506F">
        <w:rPr>
          <w:lang w:val="es-ES"/>
        </w:rPr>
        <w:t xml:space="preserve"> la falta de una política nacional integral y desafíos persistentes en la atención y protección de las personas desplazadas. La CIDH celebró los avances, concluyendo que la recomendación avanzó a un nivel de cumplimiento parcial sustancial, destacando la necesidad de una política nacional armonizada con estándares internacionales y solicitó información adicional sobre su implementación y resultados</w:t>
      </w:r>
      <w:r w:rsidRPr="00FA506F">
        <w:rPr>
          <w:rStyle w:val="FootnoteReference"/>
          <w:lang w:val="es-ES"/>
        </w:rPr>
        <w:footnoteReference w:id="210"/>
      </w:r>
      <w:r w:rsidRPr="00FA506F">
        <w:rPr>
          <w:lang w:val="es-ES"/>
        </w:rPr>
        <w:t>.</w:t>
      </w:r>
    </w:p>
    <w:p w14:paraId="54ADE305" w14:textId="77777777" w:rsidR="007B7AAF" w:rsidRPr="00FA506F" w:rsidRDefault="007B7AAF" w:rsidP="00254D0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2DEB184D"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1416D9A1" w14:textId="7FF7FCBE"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En 2024, el Estado </w:t>
      </w:r>
      <w:r w:rsidR="0076114E" w:rsidRPr="00FA506F">
        <w:rPr>
          <w:lang w:val="es-ES"/>
        </w:rPr>
        <w:t xml:space="preserve">subrayó </w:t>
      </w:r>
      <w:r w:rsidRPr="00FA506F">
        <w:rPr>
          <w:lang w:val="es-ES"/>
        </w:rPr>
        <w:t xml:space="preserve">avances importantes para abordar el desplazamiento forzado interno (DFI) en México. En </w:t>
      </w:r>
      <w:r w:rsidR="0076114E" w:rsidRPr="00FA506F">
        <w:rPr>
          <w:lang w:val="es-ES"/>
        </w:rPr>
        <w:t xml:space="preserve">este sentido, en </w:t>
      </w:r>
      <w:r w:rsidRPr="00FA506F">
        <w:rPr>
          <w:lang w:val="es-ES"/>
        </w:rPr>
        <w:t xml:space="preserve">2022, la SCJN, junto con el ACNUR y el CICR, desarrolló el </w:t>
      </w:r>
      <w:r w:rsidR="0076114E" w:rsidRPr="00FA506F">
        <w:rPr>
          <w:lang w:val="es-ES"/>
        </w:rPr>
        <w:t>“</w:t>
      </w:r>
      <w:r w:rsidRPr="00FA506F">
        <w:rPr>
          <w:lang w:val="es-ES"/>
        </w:rPr>
        <w:t>Manual sobre Desplazamiento Interno</w:t>
      </w:r>
      <w:r w:rsidR="0076114E" w:rsidRPr="00FA506F">
        <w:rPr>
          <w:lang w:val="es-ES"/>
        </w:rPr>
        <w:t>”</w:t>
      </w:r>
      <w:r w:rsidRPr="00FA506F">
        <w:rPr>
          <w:lang w:val="es-ES"/>
        </w:rPr>
        <w:t xml:space="preserve">. Este manual proporcionaría a las y los jueces herramientas para aplicar estándares internacionales de derechos humanos al juzgar casos de personas desplazadas, enfocándose en sus derechos y en las obligaciones del Estado para brindar protección y soluciones duraderas. Adicionalmente, el Estado, elaboró el </w:t>
      </w:r>
      <w:r w:rsidR="0076114E" w:rsidRPr="00FA506F">
        <w:rPr>
          <w:lang w:val="es-ES"/>
        </w:rPr>
        <w:t>“</w:t>
      </w:r>
      <w:r w:rsidRPr="00FA506F">
        <w:rPr>
          <w:lang w:val="es-ES"/>
        </w:rPr>
        <w:t>Informe del Ejercicio de Caracterización del Desplazamiento Interno</w:t>
      </w:r>
      <w:r w:rsidR="0076114E" w:rsidRPr="00FA506F">
        <w:rPr>
          <w:lang w:val="es-ES"/>
        </w:rPr>
        <w:t>”</w:t>
      </w:r>
      <w:r w:rsidRPr="00FA506F">
        <w:rPr>
          <w:lang w:val="es-ES"/>
        </w:rPr>
        <w:t xml:space="preserve"> en Chihuahua. Este informe analiza las condiciones de vida y necesidades de la población desplazada, abarcando temas como vivienda, medios de vida y propiedad de la tierra. El informe representa un esfuerzo significativo para documentar y caracterizar el fenómeno del desplazamiento interno en una región específica del país.</w:t>
      </w:r>
      <w:r w:rsidR="00902744" w:rsidRPr="00FA506F">
        <w:rPr>
          <w:lang w:val="es-ES"/>
        </w:rPr>
        <w:t xml:space="preserve"> </w:t>
      </w:r>
      <w:r w:rsidRPr="00FA506F">
        <w:rPr>
          <w:lang w:val="es-ES"/>
        </w:rPr>
        <w:t xml:space="preserve">En 2023, se llevó a cabo un plan piloto en Tepuche, Sinaloa, para facilitar el retorno seguro de 70 familias desplazadas. El plan incluyó medidas de seguridad, acceso a servicios de salud y educación, así como mejoras en las condiciones de vivienda. Este proyecto es uno de los primeros en implementar una política activa de retorno seguro para víctimas de desplazamiento interno. </w:t>
      </w:r>
      <w:r w:rsidR="0076114E" w:rsidRPr="00FA506F">
        <w:rPr>
          <w:lang w:val="es-ES"/>
        </w:rPr>
        <w:t>Asimismo, l</w:t>
      </w:r>
      <w:r w:rsidR="008C2DA5" w:rsidRPr="00FA506F">
        <w:rPr>
          <w:lang w:val="es-ES"/>
        </w:rPr>
        <w:t>a</w:t>
      </w:r>
      <w:r w:rsidRPr="00FA506F">
        <w:rPr>
          <w:lang w:val="es-ES"/>
        </w:rPr>
        <w:t xml:space="preserve"> Secretaría de Gobernación retomó las mesas de diálogo con autoridades locales y comunidades afectadas, incluyendo a las familias Triquis desplazadas en Oaxaca. Estos diálogos tienen como objetivo cumplir con las medidas cautelares dictadas por la CIDH y promover la pacificación de zonas de conflicto. Por último, </w:t>
      </w:r>
      <w:r w:rsidR="0076114E" w:rsidRPr="00FA506F">
        <w:rPr>
          <w:lang w:val="es-ES"/>
        </w:rPr>
        <w:t xml:space="preserve">el Estado mencionó que </w:t>
      </w:r>
      <w:r w:rsidRPr="00FA506F">
        <w:rPr>
          <w:lang w:val="es-ES"/>
        </w:rPr>
        <w:t>el estudio “Metrópolis de México 2020” y el informe de caracterización en Chihuahua se presentaron como parte de los esfuerzos para recopilar datos sobre desplazamiento interno</w:t>
      </w:r>
      <w:r w:rsidR="005076DB" w:rsidRPr="00FA506F">
        <w:rPr>
          <w:lang w:val="es-ES"/>
        </w:rPr>
        <w:t xml:space="preserve"> y </w:t>
      </w:r>
      <w:r w:rsidRPr="00FA506F">
        <w:rPr>
          <w:lang w:val="es-ES"/>
        </w:rPr>
        <w:t>participó en talleres de capacitación técnica, fortaleciendo la capacidad del Estado para diseñar políticas efectivas de atención al desplazamiento</w:t>
      </w:r>
      <w:r w:rsidR="00902744" w:rsidRPr="00FA506F">
        <w:rPr>
          <w:rStyle w:val="FootnoteReference"/>
          <w:lang w:val="es-ES"/>
        </w:rPr>
        <w:footnoteReference w:id="211"/>
      </w:r>
      <w:r w:rsidRPr="00FA506F">
        <w:rPr>
          <w:lang w:val="es-ES"/>
        </w:rPr>
        <w:t>.</w:t>
      </w:r>
    </w:p>
    <w:p w14:paraId="4BA7C390" w14:textId="1C972E89"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Por su parte, organizaciones de la sociedad civil </w:t>
      </w:r>
      <w:r w:rsidR="00CC72A9" w:rsidRPr="00FA506F">
        <w:rPr>
          <w:lang w:val="es-ES"/>
        </w:rPr>
        <w:t>destacaron</w:t>
      </w:r>
      <w:r w:rsidRPr="00FA506F">
        <w:rPr>
          <w:lang w:val="es-ES"/>
        </w:rPr>
        <w:t xml:space="preserve"> que aún no se ha adoptado una política nacional integral que abarque todo el territorio mexicano y garantice una respuesta coordinada y efectiva para todas las personas afectadas por el desplazamiento interno</w:t>
      </w:r>
      <w:r w:rsidR="006B4F48" w:rsidRPr="00FA506F">
        <w:rPr>
          <w:lang w:val="es-ES"/>
        </w:rPr>
        <w:t>. Los</w:t>
      </w:r>
      <w:r w:rsidRPr="00FA506F">
        <w:rPr>
          <w:lang w:val="es-ES"/>
        </w:rPr>
        <w:t xml:space="preserve"> diagnósticos y estudios realizados hasta ahora se han concentrado en regiones específicas, como Chihuahua, dejando fuera a otras zonas del país donde el desplazamiento interno sigue siendo una problemática crítica</w:t>
      </w:r>
      <w:r w:rsidR="004B3D21" w:rsidRPr="00FA506F">
        <w:rPr>
          <w:rStyle w:val="FootnoteReference"/>
          <w:lang w:val="es-ES"/>
        </w:rPr>
        <w:footnoteReference w:id="212"/>
      </w:r>
      <w:r w:rsidRPr="00FA506F">
        <w:rPr>
          <w:lang w:val="es-ES"/>
        </w:rPr>
        <w:t>.</w:t>
      </w:r>
    </w:p>
    <w:p w14:paraId="7E064F7D" w14:textId="77777777" w:rsidR="007B7AAF" w:rsidRPr="00FA506F" w:rsidRDefault="007B7AAF" w:rsidP="00254D0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532468FE"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36DCB868" w14:textId="2AC97193" w:rsidR="007B7AAF" w:rsidRPr="00FA506F" w:rsidRDefault="006F7A01" w:rsidP="00B80A67">
      <w:pPr>
        <w:pStyle w:val="IAPrrafo"/>
        <w:numPr>
          <w:ilvl w:val="0"/>
          <w:numId w:val="4"/>
        </w:numPr>
        <w:tabs>
          <w:tab w:val="num" w:pos="720"/>
        </w:tabs>
        <w:ind w:firstLine="720"/>
        <w:rPr>
          <w:lang w:val="es-ES"/>
        </w:rPr>
      </w:pPr>
      <w:r w:rsidRPr="00FA506F">
        <w:rPr>
          <w:lang w:val="es-ES"/>
        </w:rPr>
        <w:t>La CIDH observa que no</w:t>
      </w:r>
      <w:r w:rsidR="007B7AAF" w:rsidRPr="00FA506F">
        <w:rPr>
          <w:lang w:val="es-ES"/>
        </w:rPr>
        <w:t xml:space="preserve"> se cuenta con un marco nacional unificado y la limitada implementación de medidas efectivas en otras regiones indican que el avance sigue siendo parcial. Aunque se han realizado esfuerzos para documentar y caracterizar el desplazamiento, se requiere un enfoque más amplio y cohesionado para cumplir con los Principios Rectores del Desplazamiento Interno y brindar protección adecuada a todas las personas afectadas. Por lo tanto, se considera que esta recomendación </w:t>
      </w:r>
      <w:r w:rsidR="004F3E06" w:rsidRPr="00FA506F">
        <w:rPr>
          <w:lang w:val="es-ES"/>
        </w:rPr>
        <w:t>se mantiene en</w:t>
      </w:r>
      <w:r w:rsidR="007B7AAF" w:rsidRPr="00FA506F">
        <w:rPr>
          <w:lang w:val="es-ES"/>
        </w:rPr>
        <w:t xml:space="preserve"> </w:t>
      </w:r>
      <w:r w:rsidR="007B7AAF" w:rsidRPr="00FA506F">
        <w:rPr>
          <w:b/>
          <w:bCs/>
          <w:lang w:val="es-ES"/>
        </w:rPr>
        <w:t>cumplimiento parcial sustancial</w:t>
      </w:r>
      <w:r w:rsidR="007B7AAF" w:rsidRPr="00FA506F">
        <w:rPr>
          <w:lang w:val="es-ES"/>
        </w:rPr>
        <w:t>, reflejando los progresos realizados, pero destacando la necesidad de una política nacional integral y armonizada con los estándares internacionales.</w:t>
      </w:r>
    </w:p>
    <w:p w14:paraId="4C9B4958" w14:textId="77777777" w:rsidR="007B7AAF" w:rsidRPr="00FA506F" w:rsidRDefault="007B7AAF" w:rsidP="00254D0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7C598D75"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1294AF34" w14:textId="7DF59627"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Para avanzar en el cumplimiento total de esta recomendación, el Estado debe implementar una política nacional integral y armonizada que abarque todo el territorio mexicano y se ajuste a los Principios Rectores del Desplazamiento Interno. Esto incluye extender el diagnóstico a nivel nacional, fortalecer la colaboración interinstitucional y con la sociedad civil, y </w:t>
      </w:r>
      <w:r w:rsidR="00CC72A9" w:rsidRPr="00FA506F">
        <w:rPr>
          <w:lang w:val="es-ES"/>
        </w:rPr>
        <w:t xml:space="preserve">prever </w:t>
      </w:r>
      <w:r w:rsidRPr="00FA506F">
        <w:rPr>
          <w:lang w:val="es-ES"/>
        </w:rPr>
        <w:t>mecanismos efectivos de monitoreo y evaluación para ajustar las políticas según las necesidades identificadas</w:t>
      </w:r>
      <w:r w:rsidR="006B4F48" w:rsidRPr="00FA506F">
        <w:rPr>
          <w:lang w:val="es-ES"/>
        </w:rPr>
        <w:t>. Es</w:t>
      </w:r>
      <w:r w:rsidRPr="00FA506F">
        <w:rPr>
          <w:lang w:val="es-ES"/>
        </w:rPr>
        <w:t xml:space="preserve"> crucial capacitar a servidores públicos y autoridades locales en un enfoque basado en derechos humanos, para garantizar una respuesta coordinada y efectiva que priorice la protección y asistencia de las personas desplazadas.</w:t>
      </w:r>
    </w:p>
    <w:p w14:paraId="6D120E5E" w14:textId="77777777" w:rsidR="007B7AAF" w:rsidRPr="00FA506F" w:rsidRDefault="007B7AAF"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58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Adoptar legislación específica a nivel federal y estatal para abordar el desplazamiento interno, de conformidad con los Principios Rectores del Desplazamiento Interno. </w:t>
      </w:r>
    </w:p>
    <w:p w14:paraId="68BE19FE" w14:textId="77777777" w:rsidR="007B7AAF" w:rsidRPr="00FA506F" w:rsidRDefault="007B7AAF" w:rsidP="00B80A67">
      <w:pPr>
        <w:pStyle w:val="IAPrrafo"/>
        <w:spacing w:after="0"/>
        <w:rPr>
          <w:lang w:val="es-ES"/>
        </w:rPr>
      </w:pPr>
    </w:p>
    <w:p w14:paraId="5FF80A33" w14:textId="3441EF37"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En el Capítulo V del Informe Anual de 2023, la CIDH conoció que el Proyecto de Decreto de la Ley General para Prevenir, Atender y Reparar Integralmente el Desplazamiento Forzado Interno estaba pendiente de discusión en el Senado, mientras que varias </w:t>
      </w:r>
      <w:r w:rsidR="0076114E" w:rsidRPr="00FA506F">
        <w:rPr>
          <w:lang w:val="es-ES"/>
        </w:rPr>
        <w:t>e</w:t>
      </w:r>
      <w:r w:rsidRPr="00FA506F">
        <w:rPr>
          <w:lang w:val="es-ES"/>
        </w:rPr>
        <w:t xml:space="preserve">ntidades </w:t>
      </w:r>
      <w:r w:rsidR="0076114E" w:rsidRPr="00FA506F">
        <w:rPr>
          <w:lang w:val="es-ES"/>
        </w:rPr>
        <w:t>f</w:t>
      </w:r>
      <w:r w:rsidRPr="00FA506F">
        <w:rPr>
          <w:lang w:val="es-ES"/>
        </w:rPr>
        <w:t xml:space="preserve">ederativas ya habían aprobado marcos normativos específicos sobre el tema. Las organizaciones de la sociedad civil </w:t>
      </w:r>
      <w:r w:rsidR="00CC72A9" w:rsidRPr="00FA506F">
        <w:rPr>
          <w:lang w:val="es-ES"/>
        </w:rPr>
        <w:t xml:space="preserve">refirieron </w:t>
      </w:r>
      <w:r w:rsidRPr="00FA506F">
        <w:rPr>
          <w:lang w:val="es-ES"/>
        </w:rPr>
        <w:t>que la legislación federal aún no se había aprobado y que la falta de instrumentos específicos seguía siendo un problema. La CIDH valoró los esfuerzos que permitieron alcanzar un cumplimiento parcial, destacando la necesidad de avanzar en la aprobación y publicación de la ley y en la creación de institucionalidad para su implementación</w:t>
      </w:r>
      <w:r w:rsidRPr="00FA506F">
        <w:rPr>
          <w:vertAlign w:val="superscript"/>
          <w:lang w:val="es-ES"/>
        </w:rPr>
        <w:footnoteReference w:id="213"/>
      </w:r>
      <w:r w:rsidRPr="00FA506F">
        <w:rPr>
          <w:lang w:val="es-ES"/>
        </w:rPr>
        <w:t xml:space="preserve">. </w:t>
      </w:r>
    </w:p>
    <w:p w14:paraId="49AC3A11" w14:textId="77777777" w:rsidR="007B7AAF" w:rsidRPr="00FA506F" w:rsidRDefault="007B7AAF" w:rsidP="00254D0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6F3C7B75"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7E593D2C" w14:textId="1AC79CD5" w:rsidR="007B7AAF" w:rsidRPr="00FA506F" w:rsidRDefault="007B7AAF" w:rsidP="00254D0F">
      <w:pPr>
        <w:pStyle w:val="IAPrrafo"/>
        <w:numPr>
          <w:ilvl w:val="0"/>
          <w:numId w:val="4"/>
        </w:numPr>
        <w:tabs>
          <w:tab w:val="num" w:pos="720"/>
        </w:tabs>
        <w:ind w:firstLine="720"/>
        <w:rPr>
          <w:lang w:val="es-ES"/>
        </w:rPr>
      </w:pPr>
      <w:r w:rsidRPr="00FA506F">
        <w:rPr>
          <w:lang w:val="es-ES"/>
        </w:rPr>
        <w:t xml:space="preserve">En 2024, el Estado reportó que actualmente se encuentra en proceso legislativo la propuesta de Ley General para Prevenir, Atender y Reparar Integralmente el Desplazamiento Forzado Interno, la cual ya fue aprobada por la Cámara de Diputados y se </w:t>
      </w:r>
      <w:r w:rsidR="002042BC" w:rsidRPr="00FA506F">
        <w:rPr>
          <w:lang w:val="es-ES"/>
        </w:rPr>
        <w:t>encontraría</w:t>
      </w:r>
      <w:r w:rsidRPr="00FA506F">
        <w:rPr>
          <w:lang w:val="es-ES"/>
        </w:rPr>
        <w:t xml:space="preserve"> pendiente de discusión en el Senado de la República. Este proyecto de ley habría sido elaborado con la participación de múltiples actores y </w:t>
      </w:r>
      <w:r w:rsidR="0076114E" w:rsidRPr="00FA506F">
        <w:rPr>
          <w:lang w:val="es-ES"/>
        </w:rPr>
        <w:t xml:space="preserve">estaría </w:t>
      </w:r>
      <w:r w:rsidRPr="00FA506F">
        <w:rPr>
          <w:lang w:val="es-ES"/>
        </w:rPr>
        <w:t>alineado con los Principios Rectores del Desplazamiento Interno</w:t>
      </w:r>
      <w:r w:rsidR="0076114E" w:rsidRPr="00FA506F">
        <w:rPr>
          <w:lang w:val="es-ES"/>
        </w:rPr>
        <w:t>;</w:t>
      </w:r>
      <w:r w:rsidRPr="00FA506F">
        <w:rPr>
          <w:lang w:val="es-ES"/>
        </w:rPr>
        <w:t xml:space="preserve"> </w:t>
      </w:r>
      <w:r w:rsidR="0076114E" w:rsidRPr="00FA506F">
        <w:rPr>
          <w:lang w:val="es-ES"/>
        </w:rPr>
        <w:t xml:space="preserve">y </w:t>
      </w:r>
      <w:r w:rsidRPr="00FA506F">
        <w:rPr>
          <w:lang w:val="es-ES"/>
        </w:rPr>
        <w:t xml:space="preserve">tiene como objetivo </w:t>
      </w:r>
      <w:r w:rsidR="00CC72A9" w:rsidRPr="00FA506F">
        <w:rPr>
          <w:lang w:val="es-ES"/>
        </w:rPr>
        <w:t>prever</w:t>
      </w:r>
      <w:r w:rsidRPr="00FA506F">
        <w:rPr>
          <w:lang w:val="es-ES"/>
        </w:rPr>
        <w:t xml:space="preserve"> un marco integral para la protección y atención de las personas desplazadas en el país. A nivel estatal, entidades como Chiapas, Guerrero y Michoacán habrían implementado marcos normativos específicos para atender el desplazamiento interno. Por ejemplo, la Ley para la Prevención y Atención del Desplazamiento Interno de Chiapas y la Ley para la Prevención, Acompañamiento, Seguimiento y Atención del Desplazamiento Forzado Interno de Michoacán, que crean programas y consejos estatales para coordinar esfuerzos de prevención y atención integral, priorizando a grupos vulnerables como mujeres, menores, personas indígenas y personas con discapacidades</w:t>
      </w:r>
      <w:r w:rsidR="004B3D21" w:rsidRPr="00FA506F">
        <w:rPr>
          <w:rStyle w:val="FootnoteReference"/>
          <w:lang w:val="es-ES"/>
        </w:rPr>
        <w:footnoteReference w:id="214"/>
      </w:r>
      <w:r w:rsidRPr="00FA506F">
        <w:rPr>
          <w:lang w:val="es-ES"/>
        </w:rPr>
        <w:t>.</w:t>
      </w:r>
    </w:p>
    <w:p w14:paraId="408CC2FC" w14:textId="77777777" w:rsidR="007B7AAF" w:rsidRPr="00FA506F" w:rsidRDefault="007B7AAF" w:rsidP="00254D0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73211D14"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586578CF" w14:textId="76D85AF6" w:rsidR="007B7AAF" w:rsidRPr="00FA506F" w:rsidRDefault="006F7A01" w:rsidP="00254D0F">
      <w:pPr>
        <w:pStyle w:val="IAPrrafo"/>
        <w:numPr>
          <w:ilvl w:val="0"/>
          <w:numId w:val="4"/>
        </w:numPr>
        <w:tabs>
          <w:tab w:val="num" w:pos="720"/>
        </w:tabs>
        <w:ind w:firstLine="720"/>
        <w:rPr>
          <w:rFonts w:eastAsia="Cambria" w:cs="Cambria"/>
          <w:color w:val="000000" w:themeColor="text1"/>
          <w:lang w:val="es-ES"/>
        </w:rPr>
      </w:pPr>
      <w:r w:rsidRPr="00FA506F">
        <w:rPr>
          <w:lang w:val="es-ES"/>
        </w:rPr>
        <w:t>El</w:t>
      </w:r>
      <w:r w:rsidR="007B7AAF" w:rsidRPr="00FA506F">
        <w:rPr>
          <w:lang w:val="es-ES"/>
        </w:rPr>
        <w:t xml:space="preserve"> Estado ha avanzado </w:t>
      </w:r>
      <w:r w:rsidR="007B7AAF" w:rsidRPr="00FA506F">
        <w:rPr>
          <w:rFonts w:eastAsia="Cambria" w:cs="Cambria"/>
          <w:color w:val="000000" w:themeColor="text1"/>
          <w:lang w:val="es-ES"/>
        </w:rPr>
        <w:t xml:space="preserve">en la creación de marcos legislativos tanto a nivel federal como estatal. La propuesta de Ley General para Prevenir, Atender y Reparar Integralmente el Desplazamiento Forzado Interno ha sido aprobada por la Cámara de Diputados y se encuentra en espera de discusión en el Senado, lo que evidencia un compromiso hacia la protección de los derechos de las personas desplazadas internas. </w:t>
      </w:r>
      <w:r w:rsidR="006B4F48" w:rsidRPr="00FA506F">
        <w:rPr>
          <w:rFonts w:eastAsia="Cambria" w:cs="Cambria"/>
          <w:color w:val="000000" w:themeColor="text1"/>
          <w:lang w:val="es-ES"/>
        </w:rPr>
        <w:t>Diversos</w:t>
      </w:r>
      <w:r w:rsidR="007B7AAF" w:rsidRPr="00FA506F">
        <w:rPr>
          <w:rFonts w:eastAsia="Cambria" w:cs="Cambria"/>
          <w:color w:val="000000" w:themeColor="text1"/>
          <w:lang w:val="es-ES"/>
        </w:rPr>
        <w:t xml:space="preserve"> estados, como Chiapas, Guerrero y Michoacán, </w:t>
      </w:r>
      <w:r w:rsidR="006B4F48" w:rsidRPr="00FA506F">
        <w:rPr>
          <w:rFonts w:eastAsia="Cambria" w:cs="Cambria"/>
          <w:color w:val="000000" w:themeColor="text1"/>
          <w:lang w:val="es-ES"/>
        </w:rPr>
        <w:t>implementaron</w:t>
      </w:r>
      <w:r w:rsidR="007B7AAF" w:rsidRPr="00FA506F">
        <w:rPr>
          <w:rFonts w:eastAsia="Cambria" w:cs="Cambria"/>
          <w:color w:val="000000" w:themeColor="text1"/>
          <w:lang w:val="es-ES"/>
        </w:rPr>
        <w:t xml:space="preserve"> marcos normativos específicos para abordar el desplazamiento interno, </w:t>
      </w:r>
      <w:r w:rsidR="006B4F48" w:rsidRPr="00FA506F">
        <w:rPr>
          <w:rFonts w:eastAsia="Cambria" w:cs="Cambria"/>
          <w:color w:val="000000" w:themeColor="text1"/>
          <w:lang w:val="es-ES"/>
        </w:rPr>
        <w:t>tales como</w:t>
      </w:r>
      <w:r w:rsidR="007B7AAF" w:rsidRPr="00FA506F">
        <w:rPr>
          <w:rFonts w:eastAsia="Cambria" w:cs="Cambria"/>
          <w:color w:val="000000" w:themeColor="text1"/>
          <w:lang w:val="es-ES"/>
        </w:rPr>
        <w:t xml:space="preserve"> programas estatales y consejos de atención integral. Sin embargo, la falta de aprobación final de la legislación federal y la necesidad de armonización normativa entre las entidades federativas limitan el impacto y la cobertura de las medidas adoptadas. Aún se requiere fortalecer la institucionalidad y asegurar la implementación efectiva de los marcos legales existentes para atender adecuadamente las necesidades de las personas desplazadas y cumplir con los Principios Rectores del Desplazamiento Interno. </w:t>
      </w:r>
      <w:r w:rsidR="0076114E" w:rsidRPr="00FA506F">
        <w:rPr>
          <w:rFonts w:eastAsia="Cambria" w:cs="Cambria"/>
          <w:color w:val="000000" w:themeColor="text1"/>
          <w:lang w:val="es-ES"/>
        </w:rPr>
        <w:t xml:space="preserve">Por lo </w:t>
      </w:r>
      <w:r w:rsidR="007B7AAF" w:rsidRPr="00FA506F">
        <w:rPr>
          <w:rFonts w:eastAsia="Cambria" w:cs="Cambria"/>
          <w:color w:val="000000" w:themeColor="text1"/>
          <w:lang w:val="es-ES"/>
        </w:rPr>
        <w:t>tanto</w:t>
      </w:r>
      <w:r w:rsidR="0076114E" w:rsidRPr="00FA506F">
        <w:rPr>
          <w:rFonts w:eastAsia="Cambria" w:cs="Cambria"/>
          <w:color w:val="000000" w:themeColor="text1"/>
          <w:lang w:val="es-ES"/>
        </w:rPr>
        <w:t>,</w:t>
      </w:r>
      <w:r w:rsidR="007B7AAF" w:rsidRPr="00FA506F">
        <w:rPr>
          <w:rFonts w:eastAsia="Cambria" w:cs="Cambria"/>
          <w:color w:val="000000" w:themeColor="text1"/>
          <w:lang w:val="es-ES"/>
        </w:rPr>
        <w:t xml:space="preserve"> la recomendación </w:t>
      </w:r>
      <w:r w:rsidR="004F3E06" w:rsidRPr="00FA506F">
        <w:rPr>
          <w:rFonts w:eastAsia="Cambria" w:cs="Cambria"/>
          <w:color w:val="000000" w:themeColor="text1"/>
          <w:lang w:val="es-ES"/>
        </w:rPr>
        <w:t>avanza</w:t>
      </w:r>
      <w:r w:rsidR="007B7AAF" w:rsidRPr="00FA506F">
        <w:rPr>
          <w:rFonts w:eastAsia="Cambria" w:cs="Cambria"/>
          <w:color w:val="000000" w:themeColor="text1"/>
          <w:lang w:val="es-ES"/>
        </w:rPr>
        <w:t xml:space="preserve"> </w:t>
      </w:r>
      <w:r w:rsidR="004F3E06" w:rsidRPr="00FA506F">
        <w:rPr>
          <w:rFonts w:eastAsia="Cambria" w:cs="Cambria"/>
          <w:color w:val="000000" w:themeColor="text1"/>
          <w:lang w:val="es-ES"/>
        </w:rPr>
        <w:t>a</w:t>
      </w:r>
      <w:r w:rsidR="007B7AAF" w:rsidRPr="00FA506F">
        <w:rPr>
          <w:rFonts w:eastAsia="Cambria" w:cs="Cambria"/>
          <w:color w:val="000000" w:themeColor="text1"/>
          <w:lang w:val="es-ES"/>
        </w:rPr>
        <w:t xml:space="preserve"> </w:t>
      </w:r>
      <w:r w:rsidR="007B7AAF" w:rsidRPr="00FA506F">
        <w:rPr>
          <w:rFonts w:eastAsia="Cambria" w:cs="Cambria"/>
          <w:b/>
          <w:bCs/>
          <w:color w:val="000000" w:themeColor="text1"/>
          <w:lang w:val="es-ES"/>
        </w:rPr>
        <w:t>cumplimiento parcial sustancial.</w:t>
      </w:r>
    </w:p>
    <w:p w14:paraId="47D87072" w14:textId="77777777" w:rsidR="007B7AAF" w:rsidRPr="00FA506F" w:rsidRDefault="007B7AAF" w:rsidP="00254D0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555E97AF" w14:textId="77777777" w:rsidR="007B7AAF" w:rsidRPr="00FA506F" w:rsidRDefault="007B7AAF" w:rsidP="00B80A67">
      <w:pPr>
        <w:pStyle w:val="NoSpacing"/>
      </w:pPr>
    </w:p>
    <w:p w14:paraId="28EDFF59" w14:textId="5880BED7" w:rsidR="007B7AAF" w:rsidRPr="00FA506F" w:rsidRDefault="007B7AAF" w:rsidP="00254D0F">
      <w:pPr>
        <w:pStyle w:val="IAPrrafo"/>
        <w:numPr>
          <w:ilvl w:val="0"/>
          <w:numId w:val="4"/>
        </w:numPr>
        <w:tabs>
          <w:tab w:val="num" w:pos="720"/>
        </w:tabs>
        <w:ind w:firstLine="720"/>
        <w:rPr>
          <w:lang w:val="es-ES"/>
        </w:rPr>
      </w:pPr>
      <w:r w:rsidRPr="00FA506F">
        <w:rPr>
          <w:lang w:val="es-ES"/>
        </w:rPr>
        <w:t xml:space="preserve">Para alcanzar un cumplimiento total, es necesario que el Senado apruebe y publique la Ley General para Prevenir, Atender y Reparar Integralmente el Desplazamiento Forzado Interno. El Estado debe asegurar la armonización de las leyes estatales con los principios internacionales y promover la capacitación de los actores involucrados para una implementación efectiva. </w:t>
      </w:r>
      <w:r w:rsidR="006B4F48" w:rsidRPr="00FA506F">
        <w:rPr>
          <w:lang w:val="es-ES"/>
        </w:rPr>
        <w:t>Es</w:t>
      </w:r>
      <w:r w:rsidRPr="00FA506F">
        <w:rPr>
          <w:lang w:val="es-ES"/>
        </w:rPr>
        <w:t xml:space="preserve"> fundamental fortalecer los mecanismos de coordinación interinstitucional y dotar de recursos suficientes a los programas de atención a personas desplazadas, así como</w:t>
      </w:r>
      <w:r w:rsidR="00CC72A9" w:rsidRPr="00FA506F">
        <w:rPr>
          <w:lang w:val="es-ES"/>
        </w:rPr>
        <w:t xml:space="preserve"> desarrollar</w:t>
      </w:r>
      <w:r w:rsidRPr="00FA506F">
        <w:rPr>
          <w:lang w:val="es-ES"/>
        </w:rPr>
        <w:t xml:space="preserve"> un sistema de monitoreo y evaluación para medir el impacto de estas medidas y ajustarlas según las necesidades identificadas de la población afectada.</w:t>
      </w:r>
    </w:p>
    <w:p w14:paraId="4D69CCF4" w14:textId="77777777" w:rsidR="007B7AAF" w:rsidRPr="00FA506F" w:rsidRDefault="007B7AAF"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59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Asegurar que a nivel federal haya una institución a cargo de la protección de las personas contra el desplazamiento forzado. </w:t>
      </w:r>
    </w:p>
    <w:p w14:paraId="6EE87B63" w14:textId="77777777" w:rsidR="007B7AAF" w:rsidRPr="00FA506F" w:rsidRDefault="007B7AAF" w:rsidP="00B80A67">
      <w:pPr>
        <w:jc w:val="both"/>
        <w:rPr>
          <w:rFonts w:ascii="Cambria" w:eastAsia="Cambria" w:hAnsi="Cambria" w:cs="Cambria"/>
          <w:i/>
          <w:iCs/>
          <w:color w:val="000000" w:themeColor="text1"/>
          <w:sz w:val="20"/>
          <w:szCs w:val="20"/>
          <w:lang w:val="es-ES"/>
        </w:rPr>
      </w:pPr>
    </w:p>
    <w:p w14:paraId="67D2817E" w14:textId="1272F065" w:rsidR="007B7AAF" w:rsidRPr="00FA506F" w:rsidRDefault="007B7AAF" w:rsidP="00B80A67">
      <w:pPr>
        <w:pStyle w:val="IAPrrafo"/>
        <w:numPr>
          <w:ilvl w:val="0"/>
          <w:numId w:val="4"/>
        </w:numPr>
        <w:tabs>
          <w:tab w:val="num" w:pos="720"/>
        </w:tabs>
        <w:ind w:firstLine="720"/>
        <w:rPr>
          <w:lang w:val="es-ES"/>
        </w:rPr>
      </w:pPr>
      <w:r w:rsidRPr="00FA506F">
        <w:rPr>
          <w:lang w:val="es-ES"/>
        </w:rPr>
        <w:t xml:space="preserve">En el marco del Capítulo V del Informe Anual de 2023, el Estado informó que la Unidad de Política Migratoria, Registro e Identidad de Personas (UPMRIP) era el punto focal federal para el Desplazamiento Forzado Interno, encargada de coordinar el Grupo de Trabajo sobre el tema y haber realizado 12 sesiones hasta la fecha. La UPMRIP, </w:t>
      </w:r>
      <w:r w:rsidR="0076114E" w:rsidRPr="00FA506F">
        <w:rPr>
          <w:lang w:val="es-ES"/>
        </w:rPr>
        <w:t xml:space="preserve">que forma </w:t>
      </w:r>
      <w:r w:rsidRPr="00FA506F">
        <w:rPr>
          <w:lang w:val="es-ES"/>
        </w:rPr>
        <w:t xml:space="preserve">parte de la Subsecretaría de Derechos Humanos, Población y Migración de la Secretaría de Gobernación, se encarga de proponer la política migratoria a nivel nacional, mientras que el Instituto Nacional de Migración y la Comisión Mexicana de Ayuda a Refugiados gestionan la implementación. Aunque la UPMRIP había desarrollado diagnósticos y colaborado en la promulgación de leyes locales, la CIDH </w:t>
      </w:r>
      <w:r w:rsidR="00CC72A9" w:rsidRPr="00FA506F">
        <w:rPr>
          <w:lang w:val="es-ES"/>
        </w:rPr>
        <w:t xml:space="preserve">concluyó </w:t>
      </w:r>
      <w:r w:rsidRPr="00FA506F">
        <w:rPr>
          <w:lang w:val="es-ES"/>
        </w:rPr>
        <w:t>que se necesitaba más información sobre la suficiencia y coordinación de la UPMRIP y otras entidades para cumplir con la recomendación. En consecuencia, la recomendación avanzó a cumplimiento parcial</w:t>
      </w:r>
      <w:r w:rsidRPr="00FA506F">
        <w:rPr>
          <w:rStyle w:val="FootnoteReference"/>
          <w:lang w:val="es-ES"/>
        </w:rPr>
        <w:footnoteReference w:id="215"/>
      </w:r>
      <w:r w:rsidRPr="00FA506F">
        <w:rPr>
          <w:lang w:val="es-ES"/>
        </w:rPr>
        <w:t>.</w:t>
      </w:r>
    </w:p>
    <w:p w14:paraId="11BEBAC8" w14:textId="77777777" w:rsidR="007B7AAF" w:rsidRPr="00FA506F" w:rsidRDefault="007B7AAF" w:rsidP="00254D0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5D1055BC"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56B5E749" w14:textId="7D42D2B6" w:rsidR="007B7AAF" w:rsidRPr="00FA506F" w:rsidRDefault="007B7AAF" w:rsidP="00B80A67">
      <w:pPr>
        <w:pStyle w:val="IAPrrafo"/>
        <w:numPr>
          <w:ilvl w:val="0"/>
          <w:numId w:val="4"/>
        </w:numPr>
        <w:tabs>
          <w:tab w:val="num" w:pos="720"/>
        </w:tabs>
        <w:ind w:firstLine="720"/>
        <w:rPr>
          <w:lang w:val="es-ES"/>
        </w:rPr>
      </w:pPr>
      <w:r w:rsidRPr="00FA506F">
        <w:rPr>
          <w:lang w:val="es-ES"/>
        </w:rPr>
        <w:t>En 2024, el Estado reportó el desarrollo</w:t>
      </w:r>
      <w:r w:rsidR="53E7D035" w:rsidRPr="00FA506F">
        <w:rPr>
          <w:lang w:val="es-ES"/>
        </w:rPr>
        <w:t xml:space="preserve"> de</w:t>
      </w:r>
      <w:r w:rsidRPr="00FA506F">
        <w:rPr>
          <w:lang w:val="es-ES"/>
        </w:rPr>
        <w:t xml:space="preserve"> un micrositio específico sobre desplazamiento forzado interno, registrando un aumento significativo en visitas, lo que indica una creciente sensibilización y relevancia del tema. Entre los documentos elaborados, destacan la </w:t>
      </w:r>
      <w:r w:rsidR="53E7D035" w:rsidRPr="00FA506F">
        <w:rPr>
          <w:lang w:val="es-ES"/>
        </w:rPr>
        <w:t>“</w:t>
      </w:r>
      <w:r w:rsidRPr="00FA506F">
        <w:rPr>
          <w:lang w:val="es-ES"/>
        </w:rPr>
        <w:t>Guía para la Prevención, Asistencia Humanitaria, Atención Integral y Soluciones Duraderas del Desplazamiento Forzado Interno</w:t>
      </w:r>
      <w:r w:rsidR="53E7D035" w:rsidRPr="00FA506F">
        <w:rPr>
          <w:lang w:val="es-ES"/>
        </w:rPr>
        <w:t>”,</w:t>
      </w:r>
      <w:r w:rsidRPr="00FA506F">
        <w:rPr>
          <w:lang w:val="es-ES"/>
        </w:rPr>
        <w:t xml:space="preserve"> y un análisis sobre leyes locales, en colaboración con la OIM y la GIZ. A nivel judicial, la Suprema Corte de Justicia de la Nación, en colaboración con el ACNUR y el CICR, publicó un manual para sensibilizar a los jueces </w:t>
      </w:r>
      <w:r w:rsidR="53E7D035" w:rsidRPr="00FA506F">
        <w:rPr>
          <w:lang w:val="es-ES"/>
        </w:rPr>
        <w:t xml:space="preserve">y juezas </w:t>
      </w:r>
      <w:r w:rsidRPr="00FA506F">
        <w:rPr>
          <w:lang w:val="es-ES"/>
        </w:rPr>
        <w:t>sobre la protección de personas desplazadas internas</w:t>
      </w:r>
      <w:r w:rsidR="004B3D21" w:rsidRPr="00FA506F">
        <w:rPr>
          <w:rStyle w:val="FootnoteReference"/>
          <w:lang w:val="es-ES"/>
        </w:rPr>
        <w:footnoteReference w:id="216"/>
      </w:r>
      <w:r w:rsidR="04E9A531" w:rsidRPr="2EF70D5B">
        <w:rPr>
          <w:lang w:val="es-ES"/>
        </w:rPr>
        <w:t>.</w:t>
      </w:r>
    </w:p>
    <w:p w14:paraId="1B76BB21" w14:textId="77777777" w:rsidR="007B7AAF" w:rsidRPr="00FA506F" w:rsidRDefault="007B7AAF" w:rsidP="00254D0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34F5B223"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50BFB7B0" w14:textId="0A3575C1" w:rsidR="007B7AAF" w:rsidRPr="00FA506F" w:rsidRDefault="006F7A01" w:rsidP="00B80A67">
      <w:pPr>
        <w:pStyle w:val="IAPrrafo"/>
        <w:numPr>
          <w:ilvl w:val="0"/>
          <w:numId w:val="4"/>
        </w:numPr>
        <w:tabs>
          <w:tab w:val="num" w:pos="720"/>
        </w:tabs>
        <w:ind w:firstLine="720"/>
        <w:rPr>
          <w:b/>
          <w:bCs/>
          <w:lang w:val="es-ES"/>
        </w:rPr>
      </w:pPr>
      <w:r w:rsidRPr="00FA506F">
        <w:rPr>
          <w:lang w:val="es-ES"/>
        </w:rPr>
        <w:t xml:space="preserve">La CIDH </w:t>
      </w:r>
      <w:r w:rsidR="00290A05" w:rsidRPr="00FA506F">
        <w:rPr>
          <w:lang w:val="es-ES"/>
        </w:rPr>
        <w:t>concluye</w:t>
      </w:r>
      <w:r w:rsidRPr="00FA506F">
        <w:rPr>
          <w:lang w:val="es-ES"/>
        </w:rPr>
        <w:t xml:space="preserve"> que </w:t>
      </w:r>
      <w:r w:rsidR="00290A05" w:rsidRPr="00FA506F">
        <w:rPr>
          <w:lang w:val="es-ES"/>
        </w:rPr>
        <w:t>persisten</w:t>
      </w:r>
      <w:r w:rsidR="007B7AAF" w:rsidRPr="00FA506F">
        <w:rPr>
          <w:lang w:val="es-ES"/>
        </w:rPr>
        <w:t xml:space="preserve"> los desafíos en cuanto a la consolidación de una institución robusta y centralizada que garantice una protección integral para las personas desplazadas. Aunque existen avances en la sensibilización judicial y la creación de guías y diagnósticos, aún falta una política nacional integral que armonice las acciones federales y estatales, así como una infraestructura adecuada para la implementación efectiva de estas medidas. En ese sentido, la CIDH concluye que la </w:t>
      </w:r>
      <w:r w:rsidR="00094B2D" w:rsidRPr="00FA506F">
        <w:rPr>
          <w:lang w:val="es-ES"/>
        </w:rPr>
        <w:t>r</w:t>
      </w:r>
      <w:r w:rsidR="007B7AAF" w:rsidRPr="00FA506F">
        <w:rPr>
          <w:lang w:val="es-ES"/>
        </w:rPr>
        <w:t xml:space="preserve">ecomendación se </w:t>
      </w:r>
      <w:r w:rsidR="004F3E06" w:rsidRPr="00FA506F">
        <w:rPr>
          <w:lang w:val="es-ES"/>
        </w:rPr>
        <w:t xml:space="preserve">mantiene </w:t>
      </w:r>
      <w:r w:rsidR="007B7AAF" w:rsidRPr="00FA506F">
        <w:rPr>
          <w:lang w:val="es-ES"/>
        </w:rPr>
        <w:t xml:space="preserve">en </w:t>
      </w:r>
      <w:r w:rsidR="007B7AAF" w:rsidRPr="00FA506F">
        <w:rPr>
          <w:b/>
          <w:bCs/>
          <w:lang w:val="es-ES"/>
        </w:rPr>
        <w:t>cumplimiento parcial.</w:t>
      </w:r>
    </w:p>
    <w:p w14:paraId="65F6C602" w14:textId="77777777" w:rsidR="007B7AAF" w:rsidRPr="00FA506F" w:rsidRDefault="007B7AAF" w:rsidP="00254D0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47172A38" w14:textId="77777777" w:rsidR="007B7AAF" w:rsidRPr="00FA506F" w:rsidRDefault="007B7AAF" w:rsidP="00B80A67">
      <w:pPr>
        <w:ind w:firstLine="360"/>
        <w:jc w:val="both"/>
        <w:rPr>
          <w:rFonts w:ascii="Cambria" w:eastAsia="Cambria" w:hAnsi="Cambria" w:cs="Cambria"/>
          <w:i/>
          <w:iCs/>
          <w:color w:val="000000" w:themeColor="text1"/>
          <w:sz w:val="20"/>
          <w:szCs w:val="20"/>
          <w:lang w:val="es-ES"/>
        </w:rPr>
      </w:pPr>
    </w:p>
    <w:p w14:paraId="5EBB8AF9" w14:textId="27775ED8" w:rsidR="007B7AAF" w:rsidRPr="00FA506F" w:rsidRDefault="007B7AAF" w:rsidP="00B80A67">
      <w:pPr>
        <w:pStyle w:val="IAPrrafo"/>
        <w:numPr>
          <w:ilvl w:val="0"/>
          <w:numId w:val="4"/>
        </w:numPr>
        <w:tabs>
          <w:tab w:val="num" w:pos="720"/>
        </w:tabs>
        <w:ind w:firstLine="720"/>
        <w:rPr>
          <w:lang w:val="es-ES"/>
        </w:rPr>
      </w:pPr>
      <w:r w:rsidRPr="00FA506F">
        <w:rPr>
          <w:lang w:val="es-ES"/>
        </w:rPr>
        <w:t>Para avanzar en el cumplimiento de la recomendación, la Comisión invita al Estado a continuar reportando los avances en el proceso de publicación e implementación de la Ley General en materia de desplazamiento forzado</w:t>
      </w:r>
      <w:r w:rsidR="0076114E" w:rsidRPr="00FA506F">
        <w:rPr>
          <w:lang w:val="es-ES"/>
        </w:rPr>
        <w:t>, y la definición de la autoridad competente en su aplicación, para robustecer la</w:t>
      </w:r>
      <w:r w:rsidRPr="00FA506F">
        <w:rPr>
          <w:lang w:val="es-ES"/>
        </w:rPr>
        <w:t xml:space="preserve"> institucionalidad en la materia. Es necesario avanzar hacia la creación de una política nacional coherente, que integre tanto los esfuerzos federales como estatales y asegure una coordinación efectiva con las autoridades locales.</w:t>
      </w:r>
    </w:p>
    <w:p w14:paraId="5BCF4A1F" w14:textId="77777777" w:rsidR="007B7AAF" w:rsidRPr="00FA506F" w:rsidRDefault="007B7AAF" w:rsidP="00254D0F">
      <w:pPr>
        <w:pStyle w:val="IASubttulo3"/>
        <w:numPr>
          <w:ilvl w:val="0"/>
          <w:numId w:val="5"/>
        </w:numPr>
        <w:ind w:hanging="720"/>
        <w:rPr>
          <w:lang w:val="es-ES"/>
        </w:rPr>
      </w:pPr>
      <w:bookmarkStart w:id="25" w:name="_Toc195618118"/>
      <w:r w:rsidRPr="00FA506F">
        <w:rPr>
          <w:lang w:val="es-ES"/>
        </w:rPr>
        <w:t>Defensores y defensoras de derechos humanos</w:t>
      </w:r>
      <w:bookmarkEnd w:id="25"/>
    </w:p>
    <w:p w14:paraId="3B8EABDE" w14:textId="77777777" w:rsidR="00105530" w:rsidRPr="00FA506F" w:rsidRDefault="00105530"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60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Fortalecer las instancias encargadas de la protección de personas defensoras de derechos humanos y periodistas, para que estas puedan garantizar adecuadamente su vida e integridad. A su vez, se insta al Estado mexicano a incorporar las perspectivas de género y multicultural en el diseño y adopción de medidas de protección para defensoras y periodistas.</w:t>
      </w:r>
    </w:p>
    <w:p w14:paraId="6B6447C0" w14:textId="77777777" w:rsidR="00105530" w:rsidRPr="00FA506F" w:rsidRDefault="00105530" w:rsidP="00B80A67">
      <w:pPr>
        <w:jc w:val="both"/>
        <w:rPr>
          <w:rFonts w:ascii="Cambria" w:eastAsia="Cambria" w:hAnsi="Cambria" w:cs="Cambria"/>
          <w:i/>
          <w:iCs/>
          <w:color w:val="000000" w:themeColor="text1"/>
          <w:sz w:val="20"/>
          <w:szCs w:val="20"/>
          <w:lang w:val="es-ES"/>
        </w:rPr>
      </w:pPr>
    </w:p>
    <w:p w14:paraId="0121845E" w14:textId="297E50BF"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Para el Capítulo V del Informe Anual de 2023, la CIDH fue informada que el Estado estaba trabajando en la creación de un Sistema Nacional de Prevención y Protección para personas defensoras de derechos humanos y periodistas, basado en la Ley General de Prevención y Protección ante Agravios. Este sistema incluiría un Modelo Nacional de Prevención, un Registro Nacional de Agresiones y un Protocolo Nacional de Protección. Para enero de 2023, </w:t>
      </w:r>
      <w:r w:rsidR="009F4244" w:rsidRPr="00FA506F">
        <w:rPr>
          <w:lang w:val="es-ES"/>
        </w:rPr>
        <w:t xml:space="preserve">27 </w:t>
      </w:r>
      <w:r w:rsidRPr="00FA506F">
        <w:rPr>
          <w:lang w:val="es-ES"/>
        </w:rPr>
        <w:t>entidades federativas contaban con instrumentos normativos especializados. El Mecanismo de Protección para Personas Defensoras de Derechos Humanos y Periodistas (Mecanismo de Protección) registraba 2.059 personas protegidas. El Estado refirió que el Grupo de Trabajo para el Fortalecimiento del Mecanismo había dado cumplimiento al 66% de las 75 recomendaciones emitidas por la ONU en el Diagnóstico sobre el Funcionamiento del Mecanismo</w:t>
      </w:r>
      <w:r w:rsidRPr="00FA506F">
        <w:rPr>
          <w:rStyle w:val="FootnoteReference"/>
          <w:lang w:val="es-ES"/>
        </w:rPr>
        <w:footnoteReference w:id="217"/>
      </w:r>
      <w:r w:rsidRPr="00FA506F">
        <w:rPr>
          <w:lang w:val="es-ES"/>
        </w:rPr>
        <w:t>. La CIDH consideró que la recomendación se encontraba en cumplimiento parcial debido a la persistencia de ataques e intimidaciones en contra de personas defensoras de derechos humanos y periodistas, y por la ineficacia de las medidas de protección en casos de desapariciones y asesinatos. Subrayó la necesidad de implementar políticas de prevención más robustas y medidas específicas con enfoque de género y multicultural</w:t>
      </w:r>
      <w:r w:rsidRPr="00FA506F">
        <w:rPr>
          <w:rStyle w:val="FootnoteReference"/>
          <w:lang w:val="es-ES"/>
        </w:rPr>
        <w:footnoteReference w:id="218"/>
      </w:r>
      <w:r w:rsidRPr="00FA506F">
        <w:rPr>
          <w:lang w:val="es-ES"/>
        </w:rPr>
        <w:t>.</w:t>
      </w:r>
    </w:p>
    <w:p w14:paraId="70592AA3" w14:textId="77777777" w:rsidR="000F1F15" w:rsidRDefault="000F1F15" w:rsidP="00254D0F">
      <w:pPr>
        <w:ind w:firstLine="720"/>
        <w:jc w:val="both"/>
        <w:rPr>
          <w:rFonts w:ascii="Cambria" w:eastAsia="Cambria" w:hAnsi="Cambria" w:cs="Cambria"/>
          <w:i/>
          <w:iCs/>
          <w:color w:val="000000" w:themeColor="text1"/>
          <w:sz w:val="20"/>
          <w:szCs w:val="20"/>
          <w:lang w:val="es-ES"/>
        </w:rPr>
      </w:pPr>
    </w:p>
    <w:p w14:paraId="6318CDF3" w14:textId="77777777" w:rsidR="000F1F15" w:rsidRDefault="000F1F15" w:rsidP="00254D0F">
      <w:pPr>
        <w:ind w:firstLine="720"/>
        <w:jc w:val="both"/>
        <w:rPr>
          <w:rFonts w:ascii="Cambria" w:eastAsia="Cambria" w:hAnsi="Cambria" w:cs="Cambria"/>
          <w:i/>
          <w:iCs/>
          <w:color w:val="000000" w:themeColor="text1"/>
          <w:sz w:val="20"/>
          <w:szCs w:val="20"/>
          <w:lang w:val="es-ES"/>
        </w:rPr>
      </w:pPr>
    </w:p>
    <w:p w14:paraId="5D0657E3" w14:textId="77777777" w:rsidR="000F1F15" w:rsidRDefault="000F1F15" w:rsidP="00254D0F">
      <w:pPr>
        <w:ind w:firstLine="720"/>
        <w:jc w:val="both"/>
        <w:rPr>
          <w:rFonts w:ascii="Cambria" w:eastAsia="Cambria" w:hAnsi="Cambria" w:cs="Cambria"/>
          <w:i/>
          <w:iCs/>
          <w:color w:val="000000" w:themeColor="text1"/>
          <w:sz w:val="20"/>
          <w:szCs w:val="20"/>
          <w:lang w:val="es-ES"/>
        </w:rPr>
      </w:pPr>
    </w:p>
    <w:p w14:paraId="7DDFC81C" w14:textId="49A1BE17" w:rsidR="00105530" w:rsidRPr="00FA506F" w:rsidRDefault="00105530" w:rsidP="00254D0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0D0CE2B2"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426183BB" w14:textId="6887F847"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En 2024, el Estado informó que el Mecanismo de Protección se reforzó mediante estrategias diseñadas en coordinación con sociedad civil y organismos internacionales, consistentes en: lineamientos con perspectiva de género; creación de una mesa especializada de atención con perspectiva de género, conocida como </w:t>
      </w:r>
      <w:r w:rsidR="009F4244" w:rsidRPr="00FA506F">
        <w:rPr>
          <w:lang w:val="es-ES"/>
        </w:rPr>
        <w:t>“</w:t>
      </w:r>
      <w:r w:rsidRPr="00FA506F">
        <w:rPr>
          <w:lang w:val="es-ES"/>
        </w:rPr>
        <w:t>La Equipa</w:t>
      </w:r>
      <w:r w:rsidR="009F4244" w:rsidRPr="00FA506F">
        <w:rPr>
          <w:lang w:val="es-ES"/>
        </w:rPr>
        <w:t>”</w:t>
      </w:r>
      <w:r w:rsidRPr="00FA506F">
        <w:rPr>
          <w:lang w:val="es-ES"/>
        </w:rPr>
        <w:t xml:space="preserve">; atención a casos colectivos; y el desarrollo de medidas digitales de protección. </w:t>
      </w:r>
      <w:r w:rsidR="009F4244" w:rsidRPr="00FA506F">
        <w:rPr>
          <w:lang w:val="es-ES"/>
        </w:rPr>
        <w:t>Resaltó</w:t>
      </w:r>
      <w:r w:rsidRPr="00FA506F">
        <w:rPr>
          <w:lang w:val="es-ES"/>
        </w:rPr>
        <w:t xml:space="preserve"> la incorporación de un análisis de riesgo con enfoque diferenciado, que toma en cuenta la perspectiva de género al realizar entrevistas a las personas beneficiarias, lo que permitiría identificar: </w:t>
      </w:r>
      <w:r w:rsidR="00DD413C">
        <w:rPr>
          <w:lang w:val="es-ES"/>
        </w:rPr>
        <w:t>(</w:t>
      </w:r>
      <w:r w:rsidRPr="00FA506F">
        <w:rPr>
          <w:lang w:val="es-ES"/>
        </w:rPr>
        <w:t xml:space="preserve">a) condiciones de vulnerabilidad por género; </w:t>
      </w:r>
      <w:r w:rsidR="00DD413C">
        <w:rPr>
          <w:lang w:val="es-ES"/>
        </w:rPr>
        <w:t>(</w:t>
      </w:r>
      <w:r w:rsidRPr="00FA506F">
        <w:rPr>
          <w:lang w:val="es-ES"/>
        </w:rPr>
        <w:t xml:space="preserve">b) situaciones en las que las personas han sido víctimas de violencia psicológica, institucional, patrimonial, estructural o cultural; y </w:t>
      </w:r>
      <w:r w:rsidR="00DD413C">
        <w:rPr>
          <w:lang w:val="es-ES"/>
        </w:rPr>
        <w:t>(</w:t>
      </w:r>
      <w:r w:rsidRPr="00FA506F">
        <w:rPr>
          <w:lang w:val="es-ES"/>
        </w:rPr>
        <w:t>c)</w:t>
      </w:r>
      <w:r w:rsidR="00A25DCA" w:rsidRPr="00FA506F">
        <w:rPr>
          <w:lang w:val="es-ES"/>
        </w:rPr>
        <w:t xml:space="preserve"> </w:t>
      </w:r>
      <w:r w:rsidRPr="00FA506F">
        <w:rPr>
          <w:lang w:val="es-ES"/>
        </w:rPr>
        <w:t>factores de riesgo adicionales como el desplazamiento forzado, el cuidado de personas, embarazo o migración</w:t>
      </w:r>
      <w:r w:rsidR="00291D61" w:rsidRPr="00FA506F">
        <w:rPr>
          <w:rStyle w:val="FootnoteReference"/>
          <w:lang w:val="es-ES"/>
        </w:rPr>
        <w:footnoteReference w:id="219"/>
      </w:r>
      <w:r w:rsidRPr="00FA506F">
        <w:rPr>
          <w:lang w:val="es-ES"/>
        </w:rPr>
        <w:t>.</w:t>
      </w:r>
    </w:p>
    <w:p w14:paraId="32077833" w14:textId="5AD8264E"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El Estado </w:t>
      </w:r>
      <w:r w:rsidR="009F4244" w:rsidRPr="00FA506F">
        <w:rPr>
          <w:lang w:val="es-ES"/>
        </w:rPr>
        <w:t xml:space="preserve">también </w:t>
      </w:r>
      <w:r w:rsidRPr="00FA506F">
        <w:rPr>
          <w:lang w:val="es-ES"/>
        </w:rPr>
        <w:t>reportó que el presupuesto del Mecanismo se había incrementado en 599 millones para 2024; de 2012 a 2018 hubo un incremento de 780 millones de pesos, y de 2</w:t>
      </w:r>
      <w:r w:rsidR="009F4244" w:rsidRPr="00FA506F">
        <w:rPr>
          <w:lang w:val="es-ES"/>
        </w:rPr>
        <w:t>.</w:t>
      </w:r>
      <w:r w:rsidRPr="00FA506F">
        <w:rPr>
          <w:lang w:val="es-ES"/>
        </w:rPr>
        <w:t xml:space="preserve">606 millones en 2019-2023. Otros avances </w:t>
      </w:r>
      <w:r w:rsidR="009F4244" w:rsidRPr="00FA506F">
        <w:rPr>
          <w:lang w:val="es-ES"/>
        </w:rPr>
        <w:t xml:space="preserve">compartidos </w:t>
      </w:r>
      <w:r w:rsidRPr="00FA506F">
        <w:rPr>
          <w:lang w:val="es-ES"/>
        </w:rPr>
        <w:t xml:space="preserve">en este año fueron: </w:t>
      </w:r>
      <w:r w:rsidR="00254D0F">
        <w:rPr>
          <w:lang w:val="es-ES"/>
        </w:rPr>
        <w:t>(</w:t>
      </w:r>
      <w:r w:rsidRPr="00FA506F">
        <w:rPr>
          <w:lang w:val="es-ES"/>
        </w:rPr>
        <w:t xml:space="preserve">i) el aumento de personal del Mecanismo de 42 a 72 personas; y </w:t>
      </w:r>
      <w:r w:rsidR="00254D0F">
        <w:rPr>
          <w:lang w:val="es-ES"/>
        </w:rPr>
        <w:t>(</w:t>
      </w:r>
      <w:r w:rsidR="009F4244" w:rsidRPr="00FA506F">
        <w:rPr>
          <w:lang w:val="es-ES"/>
        </w:rPr>
        <w:t xml:space="preserve">ii) </w:t>
      </w:r>
      <w:r w:rsidRPr="00FA506F">
        <w:rPr>
          <w:lang w:val="es-ES"/>
        </w:rPr>
        <w:t xml:space="preserve">la implementación de un programa de seguridad social para periodistas independientes. La SEGOB </w:t>
      </w:r>
      <w:r w:rsidR="009F4244" w:rsidRPr="00FA506F">
        <w:rPr>
          <w:lang w:val="es-ES"/>
        </w:rPr>
        <w:t xml:space="preserve">además </w:t>
      </w:r>
      <w:r w:rsidRPr="00FA506F">
        <w:rPr>
          <w:lang w:val="es-ES"/>
        </w:rPr>
        <w:t>informó haber capacitado a 2</w:t>
      </w:r>
      <w:r w:rsidR="00317490" w:rsidRPr="00FA506F">
        <w:rPr>
          <w:lang w:val="es-ES"/>
        </w:rPr>
        <w:t>.</w:t>
      </w:r>
      <w:r w:rsidRPr="00FA506F">
        <w:rPr>
          <w:lang w:val="es-ES"/>
        </w:rPr>
        <w:t xml:space="preserve">672 servidores públicos de los tres niveles de gobierno, en materia de derecho a la libertad de expresión, derecho a la protesta, violencia de género y procuración de justicia. En apoyo a las personas defensoras del medio ambiente, el Estado </w:t>
      </w:r>
      <w:r w:rsidR="009F4244" w:rsidRPr="00FA506F">
        <w:rPr>
          <w:lang w:val="es-ES"/>
        </w:rPr>
        <w:t>destacó</w:t>
      </w:r>
      <w:r w:rsidRPr="00FA506F">
        <w:rPr>
          <w:lang w:val="es-ES"/>
        </w:rPr>
        <w:t xml:space="preserve"> la implementación del Acuerdo de Escazú, ratificado en diciembre de 2020, mediante la celebración de una mesa de trabajo </w:t>
      </w:r>
      <w:r w:rsidR="009F4244" w:rsidRPr="00FA506F">
        <w:rPr>
          <w:lang w:val="es-ES"/>
        </w:rPr>
        <w:t>“</w:t>
      </w:r>
      <w:r w:rsidRPr="00FA506F">
        <w:rPr>
          <w:lang w:val="es-ES"/>
        </w:rPr>
        <w:t>Acción regional por las personas defensoras ambientales</w:t>
      </w:r>
      <w:r w:rsidR="009F4244" w:rsidRPr="00FA506F">
        <w:rPr>
          <w:lang w:val="es-ES"/>
        </w:rPr>
        <w:t>”</w:t>
      </w:r>
      <w:r w:rsidRPr="00FA506F">
        <w:rPr>
          <w:lang w:val="es-ES"/>
        </w:rPr>
        <w:t xml:space="preserve"> en febrero de 2024 para integrar una perspectiva local en el Plan de Acción Regional para Defensores Ambientales, aprobado en abril de 2024</w:t>
      </w:r>
      <w:r w:rsidRPr="00FA506F">
        <w:rPr>
          <w:rStyle w:val="FootnoteReference"/>
          <w:lang w:val="es-ES"/>
        </w:rPr>
        <w:footnoteReference w:id="220"/>
      </w:r>
      <w:r w:rsidRPr="00FA506F">
        <w:rPr>
          <w:lang w:val="es-ES"/>
        </w:rPr>
        <w:t xml:space="preserve">. </w:t>
      </w:r>
      <w:r w:rsidR="009F4244" w:rsidRPr="00FA506F">
        <w:rPr>
          <w:lang w:val="es-ES"/>
        </w:rPr>
        <w:t>Se precisó que, a</w:t>
      </w:r>
      <w:r w:rsidRPr="00FA506F">
        <w:rPr>
          <w:lang w:val="es-ES"/>
        </w:rPr>
        <w:t>l 31 de julio de 2024, el Mecanismo tiene bajo protección a 2</w:t>
      </w:r>
      <w:r w:rsidR="00317490" w:rsidRPr="00FA506F">
        <w:rPr>
          <w:lang w:val="es-ES"/>
        </w:rPr>
        <w:t>.</w:t>
      </w:r>
      <w:r w:rsidRPr="00FA506F">
        <w:rPr>
          <w:lang w:val="es-ES"/>
        </w:rPr>
        <w:t>340.</w:t>
      </w:r>
    </w:p>
    <w:p w14:paraId="639AF924" w14:textId="37DFED88" w:rsidR="00105530" w:rsidRPr="00FA506F" w:rsidRDefault="00290526" w:rsidP="00B80A67">
      <w:pPr>
        <w:pStyle w:val="IAPrrafo"/>
        <w:numPr>
          <w:ilvl w:val="0"/>
          <w:numId w:val="4"/>
        </w:numPr>
        <w:tabs>
          <w:tab w:val="num" w:pos="720"/>
        </w:tabs>
        <w:ind w:firstLine="720"/>
        <w:rPr>
          <w:lang w:val="es-ES"/>
        </w:rPr>
      </w:pPr>
      <w:r w:rsidRPr="00FA506F">
        <w:rPr>
          <w:lang w:val="es-ES"/>
        </w:rPr>
        <w:t>Las</w:t>
      </w:r>
      <w:r w:rsidR="00105530" w:rsidRPr="00FA506F">
        <w:rPr>
          <w:lang w:val="es-ES"/>
        </w:rPr>
        <w:t xml:space="preserve"> organizaciones de la sociedad civil</w:t>
      </w:r>
      <w:r w:rsidR="009F4244" w:rsidRPr="00FA506F">
        <w:rPr>
          <w:lang w:val="es-ES"/>
        </w:rPr>
        <w:t>, por su parte,</w:t>
      </w:r>
      <w:r w:rsidR="00105530" w:rsidRPr="00FA506F">
        <w:rPr>
          <w:lang w:val="es-ES"/>
        </w:rPr>
        <w:t xml:space="preserve"> reportaron la inseguridad que sufren las personas defensoras de derechos humanos y periodistas en el ejercicio de sus funciones, evidenciando la insuficiencia de las medidas de prevención implementadas por el Mecanismo. En relación con las búsquedas de personas desaparecidas, las organizaciones refirieron que siguen realizándose sin las condiciones necesarias para garantizar la seguridad de las personas buscadoras y sin un esquema diferenciado de protección, lo cual dio como resultado en 2024 el asesinato de dos mujeres buscadoras y la desaparición de otra persona. Informaron que, en algunas ocasiones, el Mecanismo niega la protección señalando que no son personas defensoras de derechos humanos</w:t>
      </w:r>
      <w:r w:rsidR="00105530" w:rsidRPr="00FA506F">
        <w:rPr>
          <w:rStyle w:val="FootnoteReference"/>
          <w:lang w:val="es-ES"/>
        </w:rPr>
        <w:footnoteReference w:id="221"/>
      </w:r>
      <w:r w:rsidR="00105530" w:rsidRPr="00FA506F">
        <w:rPr>
          <w:lang w:val="es-ES"/>
        </w:rPr>
        <w:t xml:space="preserve">. </w:t>
      </w:r>
    </w:p>
    <w:p w14:paraId="4B54D842" w14:textId="77777777" w:rsidR="00105530" w:rsidRPr="00FA506F" w:rsidRDefault="00105530" w:rsidP="00254D0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10F93153"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42E5EC5B" w14:textId="7824F22B" w:rsidR="00105530" w:rsidRPr="00FA506F" w:rsidRDefault="00105530" w:rsidP="00B80A67">
      <w:pPr>
        <w:pStyle w:val="IAPrrafo"/>
        <w:numPr>
          <w:ilvl w:val="0"/>
          <w:numId w:val="4"/>
        </w:numPr>
        <w:tabs>
          <w:tab w:val="num" w:pos="720"/>
        </w:tabs>
        <w:ind w:firstLine="720"/>
        <w:rPr>
          <w:lang w:val="es-ES"/>
        </w:rPr>
      </w:pPr>
      <w:r w:rsidRPr="00FA506F">
        <w:rPr>
          <w:lang w:val="es-ES"/>
        </w:rPr>
        <w:t>La Comisión valora las medidas reportadas por el Estado para el fortalecimiento y garantía presupuestal del Mecanismo, así como las medidas encaminadas a garantizar su trabajo con enfoque diferenciado</w:t>
      </w:r>
      <w:r w:rsidRPr="00FA506F">
        <w:rPr>
          <w:vertAlign w:val="superscript"/>
          <w:lang w:val="es-ES"/>
        </w:rPr>
        <w:footnoteReference w:id="222"/>
      </w:r>
      <w:r w:rsidR="00CB0E7A" w:rsidRPr="00FA506F">
        <w:rPr>
          <w:lang w:val="es-ES"/>
        </w:rPr>
        <w:t>.</w:t>
      </w:r>
      <w:r w:rsidRPr="00FA506F">
        <w:rPr>
          <w:lang w:val="es-ES"/>
        </w:rPr>
        <w:t xml:space="preserve"> No </w:t>
      </w:r>
      <w:r w:rsidR="00254D0F" w:rsidRPr="00FA506F">
        <w:rPr>
          <w:lang w:val="es-ES"/>
        </w:rPr>
        <w:t>obstante,</w:t>
      </w:r>
      <w:r w:rsidRPr="00FA506F">
        <w:rPr>
          <w:lang w:val="es-ES"/>
        </w:rPr>
        <w:t xml:space="preserve"> lo anterior, la Comisión observa con preocupación la información sobre asesinatos y desapariciones de personas defensoras y periodistas; 92 asesinatos de diciembre de 2018 al diciembre de 2023</w:t>
      </w:r>
      <w:r w:rsidRPr="00FA506F">
        <w:rPr>
          <w:vertAlign w:val="superscript"/>
          <w:lang w:val="es-ES"/>
        </w:rPr>
        <w:footnoteReference w:id="223"/>
      </w:r>
      <w:r w:rsidRPr="00FA506F">
        <w:rPr>
          <w:lang w:val="es-ES"/>
        </w:rPr>
        <w:t xml:space="preserve"> de los cuales, al menos 13 se habrían cometido en el último año</w:t>
      </w:r>
      <w:r w:rsidRPr="00FA506F">
        <w:rPr>
          <w:vertAlign w:val="superscript"/>
          <w:lang w:val="es-ES"/>
        </w:rPr>
        <w:footnoteReference w:id="224"/>
      </w:r>
      <w:r w:rsidRPr="00FA506F">
        <w:rPr>
          <w:lang w:val="es-ES"/>
        </w:rPr>
        <w:t xml:space="preserve"> y 7 en 2024, de acuerdo con información de la ONU-DH</w:t>
      </w:r>
      <w:r w:rsidRPr="00FA506F">
        <w:rPr>
          <w:vertAlign w:val="superscript"/>
          <w:lang w:val="es-ES"/>
        </w:rPr>
        <w:footnoteReference w:id="225"/>
      </w:r>
      <w:r w:rsidR="00CB0E7A" w:rsidRPr="00FA506F">
        <w:rPr>
          <w:lang w:val="es-ES"/>
        </w:rPr>
        <w:t xml:space="preserve">, </w:t>
      </w:r>
      <w:r w:rsidRPr="00FA506F">
        <w:rPr>
          <w:lang w:val="es-ES"/>
        </w:rPr>
        <w:t>una de las cuales era beneficiaria de Medidas Cautelares ante la CIDH</w:t>
      </w:r>
      <w:r w:rsidRPr="00FA506F">
        <w:rPr>
          <w:vertAlign w:val="superscript"/>
          <w:lang w:val="es-ES"/>
        </w:rPr>
        <w:footnoteReference w:id="226"/>
      </w:r>
      <w:r w:rsidRPr="00FA506F">
        <w:rPr>
          <w:lang w:val="es-ES"/>
        </w:rPr>
        <w:t>. La CIDH destaca la importante labor y liderazgo de las personas buscadoras de personas desaparecidas, las cuales deben ser reconocidas como defensoras de derechos humanos y protegidas por el Estado con perspectiva de género</w:t>
      </w:r>
      <w:r w:rsidRPr="00FA506F">
        <w:rPr>
          <w:vertAlign w:val="superscript"/>
          <w:lang w:val="es-ES"/>
        </w:rPr>
        <w:footnoteReference w:id="227"/>
      </w:r>
      <w:r w:rsidRPr="00FA506F">
        <w:rPr>
          <w:lang w:val="es-ES"/>
        </w:rPr>
        <w:t xml:space="preserve">. </w:t>
      </w:r>
      <w:r w:rsidRPr="00FA506F">
        <w:rPr>
          <w:rFonts w:eastAsia="Cambria"/>
          <w:lang w:val="es-ES"/>
        </w:rPr>
        <w:t xml:space="preserve">La información recibida por la CIDH refleja retos pendientes y áreas de oportunidad para el fortalecimiento del Mecanismo y de las medidas de protección para garantizar la vida e integridad de las personas defensoras y periodistas, reconociendo el rol de los distintos sectores de la población que han asumido tareas en la defensa de los derechos. Sin perjuicio de lo anterior, la Comisión valora los esfuerzos reportados por el Estado en relación </w:t>
      </w:r>
      <w:r w:rsidR="00446046" w:rsidRPr="00FA506F">
        <w:rPr>
          <w:rFonts w:eastAsia="Cambria"/>
          <w:lang w:val="es-ES"/>
        </w:rPr>
        <w:t>con</w:t>
      </w:r>
      <w:r w:rsidRPr="00FA506F">
        <w:rPr>
          <w:rFonts w:eastAsia="Cambria"/>
          <w:lang w:val="es-ES"/>
        </w:rPr>
        <w:t xml:space="preserve"> la necesidad de medidas interseccionales, multiculturales y con enfoque diferenciado, por lo cual la CIDH concluye que la recomendación </w:t>
      </w:r>
      <w:r w:rsidR="00094B2D" w:rsidRPr="00FA506F">
        <w:rPr>
          <w:rFonts w:eastAsia="Cambria"/>
          <w:lang w:val="es-ES"/>
        </w:rPr>
        <w:t>avanza a</w:t>
      </w:r>
      <w:r w:rsidRPr="00FA506F">
        <w:rPr>
          <w:rFonts w:eastAsia="Cambria"/>
          <w:lang w:val="es-ES"/>
        </w:rPr>
        <w:t xml:space="preserve"> </w:t>
      </w:r>
      <w:r w:rsidRPr="00FA506F">
        <w:rPr>
          <w:rFonts w:eastAsia="Cambria"/>
          <w:b/>
          <w:bCs/>
          <w:lang w:val="es-ES"/>
        </w:rPr>
        <w:t>cumplimiento parcial sustancial.</w:t>
      </w:r>
    </w:p>
    <w:p w14:paraId="09A94989" w14:textId="77777777" w:rsidR="00105530" w:rsidRPr="00FA506F" w:rsidRDefault="00105530" w:rsidP="00254D0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3E76C484"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6D5DDB2F" w14:textId="051F9810" w:rsidR="00105530" w:rsidRPr="00FA506F" w:rsidRDefault="00105530" w:rsidP="00B80A67">
      <w:pPr>
        <w:pStyle w:val="IAPrrafo"/>
        <w:numPr>
          <w:ilvl w:val="0"/>
          <w:numId w:val="4"/>
        </w:numPr>
        <w:tabs>
          <w:tab w:val="num" w:pos="720"/>
        </w:tabs>
        <w:ind w:firstLine="720"/>
        <w:rPr>
          <w:rFonts w:eastAsia="Cambria" w:cs="Cambria"/>
          <w:lang w:val="es-ES"/>
        </w:rPr>
      </w:pPr>
      <w:r w:rsidRPr="00FA506F">
        <w:rPr>
          <w:rFonts w:eastAsia="Cambria" w:cs="Cambria"/>
          <w:lang w:val="es-ES"/>
        </w:rPr>
        <w:t xml:space="preserve">La Comisión </w:t>
      </w:r>
      <w:r w:rsidR="00CC72A9" w:rsidRPr="00FA506F">
        <w:rPr>
          <w:rFonts w:eastAsia="Cambria" w:cs="Cambria"/>
          <w:lang w:val="es-ES"/>
        </w:rPr>
        <w:t>saluda la implementación de</w:t>
      </w:r>
      <w:r w:rsidRPr="00FA506F">
        <w:rPr>
          <w:rFonts w:eastAsia="Cambria" w:cs="Cambria"/>
          <w:lang w:val="es-ES"/>
        </w:rPr>
        <w:t xml:space="preserve"> análisis de riesgo con perspectiva de género y solicita al Estado informar </w:t>
      </w:r>
      <w:r w:rsidR="00CC72A9" w:rsidRPr="00FA506F">
        <w:rPr>
          <w:rFonts w:eastAsia="Cambria" w:cs="Cambria"/>
          <w:lang w:val="es-ES"/>
        </w:rPr>
        <w:t xml:space="preserve">sobre </w:t>
      </w:r>
      <w:r w:rsidRPr="00FA506F">
        <w:rPr>
          <w:rFonts w:eastAsia="Cambria" w:cs="Cambria"/>
          <w:lang w:val="es-ES"/>
        </w:rPr>
        <w:t>la adopción de las medidas de protección</w:t>
      </w:r>
      <w:r w:rsidR="00CC72A9" w:rsidRPr="00FA506F">
        <w:rPr>
          <w:rFonts w:eastAsia="Cambria" w:cs="Cambria"/>
          <w:lang w:val="es-ES"/>
        </w:rPr>
        <w:t xml:space="preserve"> </w:t>
      </w:r>
      <w:r w:rsidRPr="00FA506F">
        <w:rPr>
          <w:rFonts w:eastAsia="Cambria" w:cs="Cambria"/>
          <w:lang w:val="es-ES"/>
        </w:rPr>
        <w:t>co</w:t>
      </w:r>
      <w:r w:rsidR="00CC72A9" w:rsidRPr="00FA506F">
        <w:rPr>
          <w:rFonts w:eastAsia="Cambria" w:cs="Cambria"/>
          <w:lang w:val="es-ES"/>
        </w:rPr>
        <w:t>n un</w:t>
      </w:r>
      <w:r w:rsidRPr="00FA506F">
        <w:rPr>
          <w:rFonts w:eastAsia="Cambria" w:cs="Cambria"/>
          <w:lang w:val="es-ES"/>
        </w:rPr>
        <w:t xml:space="preserve"> enfoque diferencial </w:t>
      </w:r>
      <w:r w:rsidR="00CC72A9" w:rsidRPr="00FA506F">
        <w:rPr>
          <w:rFonts w:eastAsia="Cambria" w:cs="Cambria"/>
          <w:lang w:val="es-ES"/>
        </w:rPr>
        <w:t>en casos de</w:t>
      </w:r>
      <w:r w:rsidRPr="00FA506F">
        <w:rPr>
          <w:rFonts w:eastAsia="Cambria" w:cs="Cambria"/>
          <w:lang w:val="es-ES"/>
        </w:rPr>
        <w:t xml:space="preserve"> personas buscadoras</w:t>
      </w:r>
      <w:r w:rsidR="00CC72A9" w:rsidRPr="00FA506F">
        <w:rPr>
          <w:rFonts w:eastAsia="Cambria" w:cs="Cambria"/>
          <w:lang w:val="es-ES"/>
        </w:rPr>
        <w:t xml:space="preserve">, </w:t>
      </w:r>
      <w:r w:rsidRPr="00FA506F">
        <w:rPr>
          <w:rFonts w:eastAsia="Cambria" w:cs="Cambria"/>
          <w:lang w:val="es-ES"/>
        </w:rPr>
        <w:t>como defensoras de los derechos humanos</w:t>
      </w:r>
      <w:r w:rsidR="00CC72A9" w:rsidRPr="00FA506F">
        <w:rPr>
          <w:rFonts w:eastAsia="Cambria" w:cs="Cambria"/>
          <w:lang w:val="es-ES"/>
        </w:rPr>
        <w:t xml:space="preserve"> y sobre las medidas </w:t>
      </w:r>
      <w:r w:rsidR="009C26B8" w:rsidRPr="00FA506F">
        <w:rPr>
          <w:rFonts w:eastAsia="Cambria" w:cs="Cambria"/>
          <w:lang w:val="es-ES"/>
        </w:rPr>
        <w:t xml:space="preserve">adoptadas </w:t>
      </w:r>
      <w:r w:rsidRPr="00FA506F">
        <w:rPr>
          <w:rFonts w:eastAsia="Cambria" w:cs="Cambria"/>
          <w:lang w:val="es-ES"/>
        </w:rPr>
        <w:t xml:space="preserve">frente a la persistencia de amenazas, asesinatos y desapariciones. </w:t>
      </w:r>
      <w:r w:rsidRPr="00FA506F">
        <w:rPr>
          <w:lang w:val="es-ES"/>
        </w:rPr>
        <w:t>El Estado mencionó en el informe 2023 sobre la implementación del Modelo Nacional de Prevención, del Registro Nacional de Agresiones, del Protocolo Nacional de Protección, los lineamientos con perspectiva de género, la mesa especializada de atención con perspectiva de género, y las medidas digitales de protección</w:t>
      </w:r>
      <w:r w:rsidR="009F4244" w:rsidRPr="00FA506F">
        <w:rPr>
          <w:lang w:val="es-ES"/>
        </w:rPr>
        <w:t>. S</w:t>
      </w:r>
      <w:r w:rsidRPr="00FA506F">
        <w:rPr>
          <w:lang w:val="es-ES"/>
        </w:rPr>
        <w:t>in embargo, en 2024, no hubo información que permitiera conocer las acciones específicas para su implementación y sus resultados</w:t>
      </w:r>
      <w:r w:rsidR="009F4244" w:rsidRPr="00FA506F">
        <w:rPr>
          <w:lang w:val="es-ES"/>
        </w:rPr>
        <w:t>, de modo que se invita a compartir esta información</w:t>
      </w:r>
      <w:r w:rsidRPr="00FA506F">
        <w:rPr>
          <w:lang w:val="es-ES"/>
        </w:rPr>
        <w:t>.</w:t>
      </w:r>
    </w:p>
    <w:p w14:paraId="44AE951B" w14:textId="77777777" w:rsidR="00105530" w:rsidRPr="00FA506F" w:rsidRDefault="00105530" w:rsidP="00254D0F">
      <w:pPr>
        <w:pStyle w:val="IASubttulo3"/>
        <w:numPr>
          <w:ilvl w:val="0"/>
          <w:numId w:val="5"/>
        </w:numPr>
        <w:ind w:hanging="720"/>
        <w:rPr>
          <w:lang w:val="es-ES"/>
        </w:rPr>
      </w:pPr>
      <w:bookmarkStart w:id="26" w:name="_Toc146037871"/>
      <w:bookmarkStart w:id="27" w:name="_Toc195618119"/>
      <w:r w:rsidRPr="00FA506F">
        <w:rPr>
          <w:lang w:val="es-ES"/>
        </w:rPr>
        <w:t>Libertad de expresión</w:t>
      </w:r>
      <w:bookmarkEnd w:id="26"/>
      <w:bookmarkEnd w:id="27"/>
    </w:p>
    <w:p w14:paraId="789B1063" w14:textId="77777777" w:rsidR="00105530" w:rsidRPr="00FA506F" w:rsidRDefault="00105530"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61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Reconocer, desde las más altas esferas del Estado, la legitimidad y el valor de la labor periodística y condenar las agresiones cometidas como represalia al ejercicio de la libertad de expresión. </w:t>
      </w:r>
    </w:p>
    <w:p w14:paraId="6FD08F29" w14:textId="77777777" w:rsidR="00105530" w:rsidRPr="00FA506F" w:rsidRDefault="00105530" w:rsidP="00B80A67">
      <w:pPr>
        <w:jc w:val="both"/>
        <w:rPr>
          <w:rFonts w:ascii="Cambria" w:eastAsia="Cambria" w:hAnsi="Cambria" w:cs="Cambria"/>
          <w:i/>
          <w:iCs/>
          <w:color w:val="000000" w:themeColor="text1"/>
          <w:sz w:val="20"/>
          <w:szCs w:val="20"/>
          <w:lang w:val="es-ES"/>
        </w:rPr>
      </w:pPr>
    </w:p>
    <w:p w14:paraId="2F1118FF" w14:textId="3B310DDF"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En el Capítulo V del Informe Anual de 2023, el Estado informó sobre el lanzamiento de la campaña “De Frente a la Libertad” el 2 de mayo de 2023, en colaboración con la Unión Europea y la Oficina en México del Alto Comisionado de las Naciones Unidas para los Derechos Humanos, para reconocer la labor de personas defensoras de derechos humanos y periodistas, y concientizar sobre los riesgos que enfrentan. Para dicho informe, las organizaciones de la sociedad civil reportaron que la campaña fue opacada por casos de espionaje con el </w:t>
      </w:r>
      <w:r w:rsidRPr="00FA506F">
        <w:rPr>
          <w:i/>
          <w:iCs/>
          <w:lang w:val="es-ES"/>
        </w:rPr>
        <w:t>malware</w:t>
      </w:r>
      <w:r w:rsidRPr="00FA506F">
        <w:rPr>
          <w:lang w:val="es-ES"/>
        </w:rPr>
        <w:t xml:space="preserve"> </w:t>
      </w:r>
      <w:r w:rsidRPr="00FA506F">
        <w:rPr>
          <w:i/>
          <w:iCs/>
          <w:lang w:val="es-ES"/>
        </w:rPr>
        <w:t xml:space="preserve">Pegasus </w:t>
      </w:r>
      <w:r w:rsidRPr="00FA506F">
        <w:rPr>
          <w:lang w:val="es-ES"/>
        </w:rPr>
        <w:t xml:space="preserve">y estigmatizaciones contra la prensa. A pesar de los esfuerzos para promover un entorno favorable, la CIDH </w:t>
      </w:r>
      <w:r w:rsidR="00BE6519" w:rsidRPr="00FA506F">
        <w:rPr>
          <w:lang w:val="es-ES"/>
        </w:rPr>
        <w:t>destacó</w:t>
      </w:r>
      <w:r w:rsidRPr="00FA506F">
        <w:rPr>
          <w:lang w:val="es-ES"/>
        </w:rPr>
        <w:t xml:space="preserve"> la persistencia de alegaciones graves sobre espionaje y estigmatización, que afectan negativamente la libertad de expresión y la seguridad de la prensa. La recomendación se consideró pendiente de cumplimiento, con necesidad de mayores esfuerzos para garantizar la protección efectiva y eliminar los mensajes estigmatizantes</w:t>
      </w:r>
      <w:r w:rsidRPr="00FA506F">
        <w:rPr>
          <w:rStyle w:val="FootnoteReference"/>
          <w:lang w:val="es-ES"/>
        </w:rPr>
        <w:footnoteReference w:id="228"/>
      </w:r>
      <w:r w:rsidRPr="00FA506F">
        <w:rPr>
          <w:lang w:val="es-ES"/>
        </w:rPr>
        <w:t>.</w:t>
      </w:r>
    </w:p>
    <w:p w14:paraId="3DF8C747" w14:textId="77777777" w:rsidR="00105530" w:rsidRPr="00FA506F" w:rsidRDefault="00105530" w:rsidP="00254D0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0C01C411"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3556C1EA" w14:textId="4CA66B81" w:rsidR="004B3D21" w:rsidRPr="00FA506F" w:rsidRDefault="00105530" w:rsidP="00B80A67">
      <w:pPr>
        <w:pStyle w:val="IAPrrafo"/>
        <w:numPr>
          <w:ilvl w:val="0"/>
          <w:numId w:val="4"/>
        </w:numPr>
        <w:tabs>
          <w:tab w:val="num" w:pos="720"/>
        </w:tabs>
        <w:ind w:firstLine="720"/>
        <w:rPr>
          <w:lang w:val="es-ES"/>
        </w:rPr>
      </w:pPr>
      <w:r w:rsidRPr="00FA506F">
        <w:rPr>
          <w:lang w:val="es-ES"/>
        </w:rPr>
        <w:t>En 2024, el Estado refirió que las estrategias de protección a la ciudadanía han evolucionado hacia un enfoque centrado en la prevención del delito y la protección integral de las personas, basándose en el uso de la inteligencia como herramienta principal para combatir la delincuencia y desarticular las estructuras criminales</w:t>
      </w:r>
      <w:r w:rsidRPr="00FA506F">
        <w:rPr>
          <w:rStyle w:val="FootnoteReference"/>
          <w:lang w:val="es-ES"/>
        </w:rPr>
        <w:footnoteReference w:id="229"/>
      </w:r>
      <w:r w:rsidRPr="00FA506F">
        <w:rPr>
          <w:lang w:val="es-ES"/>
        </w:rPr>
        <w:t xml:space="preserve">. Por su parte, las organizaciones de la sociedad civil </w:t>
      </w:r>
      <w:r w:rsidR="00BE6519" w:rsidRPr="00FA506F">
        <w:rPr>
          <w:lang w:val="es-ES"/>
        </w:rPr>
        <w:t>resaltaron</w:t>
      </w:r>
      <w:r w:rsidRPr="00FA506F">
        <w:rPr>
          <w:lang w:val="es-ES"/>
        </w:rPr>
        <w:t xml:space="preserve"> que no se habría constatado ningún avance en las investigaciones por espionaje en contra de periodistas y personas defensoras de derechos humanos por medio del uso del </w:t>
      </w:r>
      <w:r w:rsidRPr="00FA506F">
        <w:rPr>
          <w:i/>
          <w:iCs/>
          <w:lang w:val="es-ES"/>
        </w:rPr>
        <w:t>malware Pegasus</w:t>
      </w:r>
      <w:r w:rsidRPr="00FA506F">
        <w:rPr>
          <w:rStyle w:val="FootnoteReference"/>
          <w:i/>
          <w:iCs/>
          <w:lang w:val="es-ES"/>
        </w:rPr>
        <w:footnoteReference w:id="230"/>
      </w:r>
      <w:r w:rsidRPr="00FA506F">
        <w:rPr>
          <w:i/>
          <w:iCs/>
          <w:lang w:val="es-ES"/>
        </w:rPr>
        <w:t>.</w:t>
      </w:r>
      <w:r w:rsidRPr="00FA506F">
        <w:rPr>
          <w:lang w:val="es-ES"/>
        </w:rPr>
        <w:t xml:space="preserve"> </w:t>
      </w:r>
      <w:r w:rsidRPr="00FA506F">
        <w:rPr>
          <w:szCs w:val="20"/>
          <w:lang w:val="es-ES"/>
        </w:rPr>
        <w:t>Igualmente, la Comisión y su Relatoría Especial para la Libertad de Expresión (RELE) toman nota de que la FGR</w:t>
      </w:r>
      <w:r w:rsidR="00CB0E7A" w:rsidRPr="00FA506F">
        <w:rPr>
          <w:szCs w:val="20"/>
          <w:lang w:val="es-ES"/>
        </w:rPr>
        <w:t xml:space="preserve"> </w:t>
      </w:r>
      <w:r w:rsidRPr="00FA506F">
        <w:rPr>
          <w:szCs w:val="20"/>
          <w:lang w:val="es-ES"/>
        </w:rPr>
        <w:t xml:space="preserve">ha reconocido que, entre 2015 y 2016, la periodista Carmen Aristegui fue espiada mediante el </w:t>
      </w:r>
      <w:r w:rsidRPr="00FA506F">
        <w:rPr>
          <w:i/>
          <w:iCs/>
          <w:szCs w:val="20"/>
          <w:lang w:val="es-ES"/>
        </w:rPr>
        <w:t>software</w:t>
      </w:r>
      <w:r w:rsidRPr="00FA506F">
        <w:rPr>
          <w:szCs w:val="20"/>
          <w:lang w:val="es-ES"/>
        </w:rPr>
        <w:t xml:space="preserve"> </w:t>
      </w:r>
      <w:r w:rsidRPr="00FA506F">
        <w:rPr>
          <w:i/>
          <w:iCs/>
          <w:szCs w:val="20"/>
          <w:lang w:val="es-ES"/>
        </w:rPr>
        <w:t>Pegasus</w:t>
      </w:r>
      <w:r w:rsidRPr="00FA506F">
        <w:rPr>
          <w:szCs w:val="20"/>
          <w:lang w:val="es-ES"/>
        </w:rPr>
        <w:t xml:space="preserve"> como represalia por sus investigaciones sobre el entonces presidente y su círculo cercano</w:t>
      </w:r>
      <w:r w:rsidRPr="00FA506F">
        <w:rPr>
          <w:rStyle w:val="FootnoteReference"/>
          <w:lang w:val="es-ES"/>
        </w:rPr>
        <w:footnoteReference w:id="231"/>
      </w:r>
      <w:r w:rsidRPr="00FA506F">
        <w:rPr>
          <w:szCs w:val="20"/>
          <w:lang w:val="es-ES"/>
        </w:rPr>
        <w:t>. Sin embargo, Juan Carlos García Rivera, empleado de una filial de Grupo KBH y procesado por la intervención de las comunicaciones de Aristegui, fue absuelto</w:t>
      </w:r>
      <w:r w:rsidRPr="00FA506F">
        <w:rPr>
          <w:rStyle w:val="FootnoteReference"/>
          <w:lang w:val="es-ES"/>
        </w:rPr>
        <w:footnoteReference w:id="232"/>
      </w:r>
      <w:r w:rsidRPr="00FA506F">
        <w:rPr>
          <w:szCs w:val="20"/>
          <w:lang w:val="es-ES"/>
        </w:rPr>
        <w:t xml:space="preserve">. </w:t>
      </w:r>
      <w:r w:rsidR="006B4F48" w:rsidRPr="00FA506F">
        <w:rPr>
          <w:szCs w:val="20"/>
          <w:lang w:val="es-ES"/>
        </w:rPr>
        <w:t>La</w:t>
      </w:r>
      <w:r w:rsidRPr="00FA506F">
        <w:rPr>
          <w:szCs w:val="20"/>
          <w:lang w:val="es-ES"/>
        </w:rPr>
        <w:t xml:space="preserve"> SCJN ordenó a la Secretaría de Hacienda y Crédito Público (SHCP) que haga públicos los contratos relacionados con la adquisición del </w:t>
      </w:r>
      <w:r w:rsidRPr="00FA506F">
        <w:rPr>
          <w:i/>
          <w:iCs/>
          <w:szCs w:val="20"/>
          <w:lang w:val="es-ES"/>
        </w:rPr>
        <w:t>software Pegasus</w:t>
      </w:r>
      <w:r w:rsidRPr="00FA506F">
        <w:rPr>
          <w:szCs w:val="20"/>
          <w:lang w:val="es-ES"/>
        </w:rPr>
        <w:t>, utilizado presuntamente para espiar a periodistas y defensores de derechos humanos</w:t>
      </w:r>
      <w:r w:rsidRPr="00FA506F">
        <w:rPr>
          <w:rStyle w:val="FootnoteReference"/>
          <w:lang w:val="es-ES"/>
        </w:rPr>
        <w:footnoteReference w:id="233"/>
      </w:r>
      <w:r w:rsidRPr="00FA506F">
        <w:rPr>
          <w:szCs w:val="20"/>
          <w:lang w:val="es-ES"/>
        </w:rPr>
        <w:t>.</w:t>
      </w:r>
    </w:p>
    <w:p w14:paraId="287172BE" w14:textId="5DC0A952" w:rsidR="00105530" w:rsidRPr="00FA506F" w:rsidRDefault="008C2DA5" w:rsidP="00B80A67">
      <w:pPr>
        <w:pStyle w:val="IAPrrafo"/>
        <w:numPr>
          <w:ilvl w:val="0"/>
          <w:numId w:val="4"/>
        </w:numPr>
        <w:tabs>
          <w:tab w:val="num" w:pos="720"/>
        </w:tabs>
        <w:ind w:firstLine="720"/>
        <w:rPr>
          <w:lang w:val="es-ES"/>
        </w:rPr>
      </w:pPr>
      <w:r w:rsidRPr="00FA506F">
        <w:rPr>
          <w:lang w:val="es-ES"/>
        </w:rPr>
        <w:t>Las</w:t>
      </w:r>
      <w:r w:rsidR="00105530" w:rsidRPr="00FA506F">
        <w:rPr>
          <w:lang w:val="es-ES"/>
        </w:rPr>
        <w:t xml:space="preserve"> organizaciones reportaron que continuaron los mensajes estigmatizantes y la deslegitimación de la labor de personas defensoras de derechos humanos y organizaciones de sociedad civil por parte del gobierno. En 2024, la Relatoría Especial conoció sobre la divulgación de datos personales de periodistas, especialmente en el contexto de declaraciones oficiales. </w:t>
      </w:r>
      <w:r w:rsidR="00454AE0" w:rsidRPr="00FA506F">
        <w:rPr>
          <w:lang w:val="es-ES"/>
        </w:rPr>
        <w:t xml:space="preserve">La RELE </w:t>
      </w:r>
      <w:r w:rsidR="00105530" w:rsidRPr="00FA506F">
        <w:rPr>
          <w:lang w:val="es-ES"/>
        </w:rPr>
        <w:t>advirtió que esta práctica tiene el potencial de “acentuar o exacerbar situaciones de hostilidad, intolerancia o animadversión” por parte de sectores de la población hacia los periodistas o los medios de comunicación, particularmente en un país como México que registra altos índices de violencia contra la prensa</w:t>
      </w:r>
      <w:r w:rsidR="00105530" w:rsidRPr="00FA506F">
        <w:rPr>
          <w:rStyle w:val="FootnoteReference"/>
          <w:lang w:val="es-ES"/>
        </w:rPr>
        <w:footnoteReference w:id="234"/>
      </w:r>
      <w:r w:rsidR="00105530" w:rsidRPr="00FA506F">
        <w:rPr>
          <w:lang w:val="es-ES"/>
        </w:rPr>
        <w:t xml:space="preserve">. </w:t>
      </w:r>
      <w:r w:rsidR="006B4F48" w:rsidRPr="00FA506F">
        <w:rPr>
          <w:lang w:val="es-ES"/>
        </w:rPr>
        <w:t>Destacaron</w:t>
      </w:r>
      <w:r w:rsidR="00105530" w:rsidRPr="00FA506F">
        <w:rPr>
          <w:lang w:val="es-ES"/>
        </w:rPr>
        <w:t xml:space="preserve"> que</w:t>
      </w:r>
      <w:r w:rsidR="009F4244" w:rsidRPr="00FA506F">
        <w:rPr>
          <w:lang w:val="es-ES"/>
        </w:rPr>
        <w:t>,</w:t>
      </w:r>
      <w:r w:rsidR="00105530" w:rsidRPr="00FA506F">
        <w:rPr>
          <w:lang w:val="es-ES"/>
        </w:rPr>
        <w:t xml:space="preserve"> aún con la nueva administración de la </w:t>
      </w:r>
      <w:r w:rsidR="00254D0F" w:rsidRPr="00FA506F">
        <w:rPr>
          <w:lang w:val="es-ES"/>
        </w:rPr>
        <w:t>presidenta</w:t>
      </w:r>
      <w:r w:rsidR="00105530" w:rsidRPr="00FA506F">
        <w:rPr>
          <w:lang w:val="es-ES"/>
        </w:rPr>
        <w:t xml:space="preserve"> de la República, quien asumió el cargo el 1 de octubre de 2024, la narrativa frente a los medios y la sociedad civil sería la misma que en la anterior administración</w:t>
      </w:r>
      <w:r w:rsidR="009F4244" w:rsidRPr="00FA506F">
        <w:rPr>
          <w:lang w:val="es-ES"/>
        </w:rPr>
        <w:t>;</w:t>
      </w:r>
      <w:r w:rsidR="00105530" w:rsidRPr="00FA506F">
        <w:rPr>
          <w:lang w:val="es-ES"/>
        </w:rPr>
        <w:t xml:space="preserve"> ya que la Presidenta anunció que una vez a la semana estará incluyendo en su conferencia matutina una sección denominada “Detector de Mentiras”, supliendo la sección “Quién es quién de las mentiras” de la anterior administración</w:t>
      </w:r>
      <w:r w:rsidR="00105530" w:rsidRPr="00FA506F">
        <w:rPr>
          <w:rStyle w:val="FootnoteReference"/>
          <w:lang w:val="es-ES"/>
        </w:rPr>
        <w:footnoteReference w:id="235"/>
      </w:r>
      <w:r w:rsidR="00105530" w:rsidRPr="00FA506F">
        <w:rPr>
          <w:lang w:val="es-ES"/>
        </w:rPr>
        <w:t>.</w:t>
      </w:r>
    </w:p>
    <w:p w14:paraId="234B9A66" w14:textId="77777777" w:rsidR="00105530" w:rsidRPr="00FA506F" w:rsidRDefault="00105530" w:rsidP="00254D0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266EF773"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0A17B9B1" w14:textId="1176936D" w:rsidR="00105530" w:rsidRPr="00FA506F" w:rsidRDefault="00105530" w:rsidP="00B80A67">
      <w:pPr>
        <w:pStyle w:val="IAPrrafo"/>
        <w:numPr>
          <w:ilvl w:val="0"/>
          <w:numId w:val="4"/>
        </w:numPr>
        <w:tabs>
          <w:tab w:val="num" w:pos="720"/>
        </w:tabs>
        <w:ind w:firstLine="720"/>
        <w:rPr>
          <w:rFonts w:eastAsia="Cambria" w:cs="Cambria"/>
          <w:lang w:val="es-ES"/>
        </w:rPr>
      </w:pPr>
      <w:r w:rsidRPr="00FA506F">
        <w:rPr>
          <w:rFonts w:eastAsia="Cambria" w:cs="Cambria"/>
          <w:lang w:val="es-ES"/>
        </w:rPr>
        <w:t xml:space="preserve">La Comisión observa con preocupación la ausencia de información concreta por parte del Estado </w:t>
      </w:r>
      <w:r w:rsidR="00446046" w:rsidRPr="00FA506F">
        <w:rPr>
          <w:rFonts w:eastAsia="Cambria" w:cs="Cambria"/>
          <w:lang w:val="es-ES"/>
        </w:rPr>
        <w:t>en relación con</w:t>
      </w:r>
      <w:r w:rsidRPr="00FA506F">
        <w:rPr>
          <w:rFonts w:eastAsia="Cambria" w:cs="Cambria"/>
          <w:lang w:val="es-ES"/>
        </w:rPr>
        <w:t xml:space="preserve"> de las medidas implementadas para el cumplimiento de esta recomendación. </w:t>
      </w:r>
      <w:r w:rsidR="00446046" w:rsidRPr="00FA506F">
        <w:rPr>
          <w:rFonts w:eastAsia="Cambria" w:cs="Cambria"/>
          <w:lang w:val="es-ES"/>
        </w:rPr>
        <w:t xml:space="preserve">La </w:t>
      </w:r>
      <w:r w:rsidRPr="00FA506F">
        <w:rPr>
          <w:rFonts w:eastAsia="Cambria" w:cs="Cambria"/>
          <w:lang w:val="es-ES"/>
        </w:rPr>
        <w:t xml:space="preserve">CIDH reitera </w:t>
      </w:r>
      <w:r w:rsidR="009C26B8" w:rsidRPr="00FA506F">
        <w:rPr>
          <w:rFonts w:eastAsia="Cambria" w:cs="Cambria"/>
          <w:lang w:val="es-ES"/>
        </w:rPr>
        <w:t>la información de</w:t>
      </w:r>
      <w:r w:rsidRPr="00FA506F">
        <w:rPr>
          <w:rFonts w:eastAsia="Cambria" w:cs="Cambria"/>
          <w:lang w:val="es-ES"/>
        </w:rPr>
        <w:t xml:space="preserve"> 2022</w:t>
      </w:r>
      <w:r w:rsidRPr="00FA506F">
        <w:rPr>
          <w:rStyle w:val="FootnoteReference"/>
          <w:rFonts w:eastAsia="Cambria" w:cs="Cambria"/>
          <w:lang w:val="es-ES"/>
        </w:rPr>
        <w:footnoteReference w:id="236"/>
      </w:r>
      <w:r w:rsidRPr="00FA506F">
        <w:rPr>
          <w:rFonts w:eastAsia="Cambria" w:cs="Cambria"/>
          <w:lang w:val="es-ES"/>
        </w:rPr>
        <w:t xml:space="preserve"> y 2023</w:t>
      </w:r>
      <w:r w:rsidRPr="00FA506F">
        <w:rPr>
          <w:rStyle w:val="FootnoteReference"/>
          <w:rFonts w:eastAsia="Cambria" w:cs="Cambria"/>
          <w:lang w:val="es-ES"/>
        </w:rPr>
        <w:footnoteReference w:id="237"/>
      </w:r>
      <w:r w:rsidRPr="00FA506F">
        <w:rPr>
          <w:rFonts w:eastAsia="Cambria" w:cs="Cambria"/>
          <w:lang w:val="es-ES"/>
        </w:rPr>
        <w:t>, en el sentido de que los mensajes estigmatizantes y lesivos por parte de funcionarios públicos en contra de la prensa no contribuyen al reconocimiento del valor y legitimidad de la labor periodística</w:t>
      </w:r>
      <w:r w:rsidR="009F4244" w:rsidRPr="00FA506F">
        <w:rPr>
          <w:rFonts w:eastAsia="Cambria" w:cs="Cambria"/>
          <w:lang w:val="es-ES"/>
        </w:rPr>
        <w:t>;</w:t>
      </w:r>
      <w:r w:rsidRPr="00FA506F">
        <w:rPr>
          <w:rFonts w:eastAsia="Cambria" w:cs="Cambria"/>
          <w:lang w:val="es-ES"/>
        </w:rPr>
        <w:t xml:space="preserve"> por el contrario, reducen el impacto de medidas adoptadas por el Estado en el cumplimiento de esta recomendación</w:t>
      </w:r>
      <w:r w:rsidRPr="00FA506F">
        <w:rPr>
          <w:rStyle w:val="FootnoteReference"/>
          <w:rFonts w:eastAsia="Cambria" w:cs="Cambria"/>
          <w:lang w:val="es-ES"/>
        </w:rPr>
        <w:footnoteReference w:id="238"/>
      </w:r>
      <w:r w:rsidRPr="00FA506F">
        <w:rPr>
          <w:rFonts w:eastAsia="Cambria" w:cs="Cambria"/>
          <w:lang w:val="es-ES"/>
        </w:rPr>
        <w:t xml:space="preserve">. </w:t>
      </w:r>
      <w:r w:rsidR="002218D8">
        <w:rPr>
          <w:rFonts w:eastAsia="Cambria" w:cs="Cambria"/>
          <w:lang w:val="es-ES"/>
        </w:rPr>
        <w:t xml:space="preserve">Frente a la determinación, de la actual administración, de incluir una sección </w:t>
      </w:r>
      <w:r w:rsidRPr="00FA506F">
        <w:rPr>
          <w:rFonts w:eastAsia="Cambria" w:cs="Cambria"/>
          <w:lang w:val="es-ES"/>
        </w:rPr>
        <w:t>análoga a “Quién es quién en las mentiras”</w:t>
      </w:r>
      <w:r w:rsidR="002218D8">
        <w:rPr>
          <w:rFonts w:eastAsia="Cambria" w:cs="Cambria"/>
          <w:lang w:val="es-ES"/>
        </w:rPr>
        <w:t xml:space="preserve"> en las conferencias matutinas de la ejecutiva federal</w:t>
      </w:r>
      <w:r w:rsidRPr="00FA506F">
        <w:rPr>
          <w:rFonts w:eastAsia="Cambria" w:cs="Cambria"/>
          <w:lang w:val="es-ES"/>
        </w:rPr>
        <w:t xml:space="preserve">, </w:t>
      </w:r>
      <w:r w:rsidR="002218D8">
        <w:rPr>
          <w:rFonts w:eastAsia="Cambria" w:cs="Cambria"/>
          <w:lang w:val="es-ES"/>
        </w:rPr>
        <w:t>la Comisión permanece atenta de información que dé cuenta de cómo dicha sección estaría en cumplimiento de estándares en materia de libertad de expresión.</w:t>
      </w:r>
    </w:p>
    <w:p w14:paraId="4B3B76A5" w14:textId="3403712C" w:rsidR="00105530" w:rsidRPr="00FA506F" w:rsidRDefault="00105530" w:rsidP="00B80A67">
      <w:pPr>
        <w:pStyle w:val="IAPrrafo"/>
        <w:numPr>
          <w:ilvl w:val="0"/>
          <w:numId w:val="4"/>
        </w:numPr>
        <w:tabs>
          <w:tab w:val="num" w:pos="720"/>
        </w:tabs>
        <w:ind w:firstLine="720"/>
        <w:rPr>
          <w:rFonts w:eastAsia="Cambria" w:cs="Cambria"/>
          <w:lang w:val="es-ES"/>
        </w:rPr>
      </w:pPr>
      <w:r w:rsidRPr="00FA506F">
        <w:rPr>
          <w:rFonts w:eastAsia="Cambria" w:cs="Cambria"/>
          <w:lang w:val="es-ES"/>
        </w:rPr>
        <w:t>En relación con las denuncias de espionaje realizadas por organizaciones de la sociedad civil, es esencial una respuesta del Estado, respecto a la investigación, identificación y sanción de los presuntos responsables por los hechos de espionaje contra periodistas y personas defensoras</w:t>
      </w:r>
      <w:r w:rsidRPr="00FA506F">
        <w:rPr>
          <w:rStyle w:val="FootnoteReference"/>
          <w:rFonts w:eastAsia="Cambria" w:cs="Cambria"/>
          <w:lang w:val="es-ES"/>
        </w:rPr>
        <w:footnoteReference w:id="239"/>
      </w:r>
      <w:r w:rsidRPr="00FA506F">
        <w:rPr>
          <w:rFonts w:eastAsia="Cambria" w:cs="Cambria"/>
          <w:lang w:val="es-ES"/>
        </w:rPr>
        <w:t xml:space="preserve">. Considerando estas alegaciones, la CIDH llama al Estado mexicano a redoblar sus esfuerzos para promover un ambiente favorable al derecho a la libertad de expresión y de prensa y para erradicar cualquier tipo de pronunciamiento de parte de las autoridades públicas que puedan legitimar o enviar un mensaje permisivo a las violencias contra la prensa. En ese sentido, y a la espera de información sobre medidas para responder adecuadamente a las alegaciones de la sociedad civil, la CIDH </w:t>
      </w:r>
      <w:r w:rsidR="009C26B8" w:rsidRPr="00FA506F">
        <w:rPr>
          <w:rFonts w:eastAsia="Cambria" w:cs="Cambria"/>
          <w:lang w:val="es-ES"/>
        </w:rPr>
        <w:t>concluye</w:t>
      </w:r>
      <w:r w:rsidRPr="00FA506F">
        <w:rPr>
          <w:rFonts w:eastAsia="Cambria" w:cs="Cambria"/>
          <w:lang w:val="es-ES"/>
        </w:rPr>
        <w:t xml:space="preserve"> que la recomendación permanece </w:t>
      </w:r>
      <w:r w:rsidRPr="00FA506F">
        <w:rPr>
          <w:rFonts w:eastAsia="Cambria" w:cs="Cambria"/>
          <w:b/>
          <w:bCs/>
          <w:lang w:val="es-ES"/>
        </w:rPr>
        <w:t>pendiente de cumplimiento.</w:t>
      </w:r>
    </w:p>
    <w:p w14:paraId="43436C63" w14:textId="77777777" w:rsidR="00105530" w:rsidRPr="00FA506F" w:rsidRDefault="00105530" w:rsidP="00254D0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0CA1E0A5"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3933C2C7" w14:textId="2AFCB4EA" w:rsidR="00105530" w:rsidRPr="00FA506F" w:rsidRDefault="00105530" w:rsidP="00B80A67">
      <w:pPr>
        <w:pStyle w:val="IAPrrafo"/>
        <w:numPr>
          <w:ilvl w:val="0"/>
          <w:numId w:val="4"/>
        </w:numPr>
        <w:tabs>
          <w:tab w:val="num" w:pos="720"/>
        </w:tabs>
        <w:ind w:firstLine="720"/>
        <w:rPr>
          <w:rFonts w:eastAsia="Cambria" w:cs="Cambria"/>
          <w:lang w:val="es-ES"/>
        </w:rPr>
      </w:pPr>
      <w:r w:rsidRPr="00FA506F">
        <w:rPr>
          <w:rFonts w:eastAsia="Cambria" w:cs="Cambria"/>
          <w:lang w:val="es-ES"/>
        </w:rPr>
        <w:t xml:space="preserve">El propósito de esta recomendación parte de la premisa de que en un contexto de violencia ascendente contra la prensa es importante que la institucionalidad en su conjunto contribuya a un ambiente favorable a la libertad de expresión y la deliberación pública. La información recibida para </w:t>
      </w:r>
      <w:r w:rsidR="009C26B8" w:rsidRPr="00FA506F">
        <w:rPr>
          <w:rFonts w:eastAsia="Cambria" w:cs="Cambria"/>
          <w:lang w:val="es-ES"/>
        </w:rPr>
        <w:t>determinar</w:t>
      </w:r>
      <w:r w:rsidRPr="00FA506F">
        <w:rPr>
          <w:rFonts w:eastAsia="Cambria" w:cs="Cambria"/>
          <w:lang w:val="es-ES"/>
        </w:rPr>
        <w:t xml:space="preserve"> si hay avances o no en el cumplimiento de la recomendación contrasta con los registros de hechos de violencia contra la prensa y los reiterados mensajes estigmatizantes desde el poder público hacia la labor periodística. La CIDH solicita información acerca de las acciones reportadas en 2023 y 2024 </w:t>
      </w:r>
      <w:r w:rsidRPr="00FA506F">
        <w:rPr>
          <w:lang w:val="es-ES"/>
        </w:rPr>
        <w:t xml:space="preserve">para crear un entorno seguro para la defensa de derechos humanos y la libertad de expresión. </w:t>
      </w:r>
      <w:r w:rsidR="008C2DA5" w:rsidRPr="00FA506F">
        <w:rPr>
          <w:lang w:val="es-ES"/>
        </w:rPr>
        <w:t>La Comisión invita a presentar</w:t>
      </w:r>
      <w:r w:rsidRPr="00FA506F">
        <w:rPr>
          <w:lang w:val="es-ES"/>
        </w:rPr>
        <w:t xml:space="preserve"> información acerca de cómo se está haciendo el uso de la inteligencia como herramienta principal para combatir la delincuencia y desarticular las estructuras criminales, así como los avances de las investigaciones por el uso del </w:t>
      </w:r>
      <w:r w:rsidRPr="00FA506F">
        <w:rPr>
          <w:i/>
          <w:iCs/>
          <w:lang w:val="es-ES"/>
        </w:rPr>
        <w:t>malware</w:t>
      </w:r>
      <w:r w:rsidRPr="00FA506F">
        <w:rPr>
          <w:lang w:val="es-ES"/>
        </w:rPr>
        <w:t xml:space="preserve"> </w:t>
      </w:r>
      <w:r w:rsidRPr="00FA506F">
        <w:rPr>
          <w:i/>
          <w:iCs/>
          <w:lang w:val="es-ES"/>
        </w:rPr>
        <w:t>Pegasus</w:t>
      </w:r>
      <w:r w:rsidRPr="00FA506F">
        <w:rPr>
          <w:lang w:val="es-ES"/>
        </w:rPr>
        <w:t xml:space="preserve"> para espiar a periodistas y personas defensoras de derechos humanos. </w:t>
      </w:r>
    </w:p>
    <w:p w14:paraId="11C425E9" w14:textId="77777777" w:rsidR="00105530" w:rsidRPr="00FA506F" w:rsidRDefault="00105530"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62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Definir una metodología única para generar y publicar estadísticas detalladas y desagregadas sobre violencia contra periodistas e investigaciones de las agresiones, así como sobre las medidas de protección adoptadas. Definir una autoridad estatal como encargada de capturar la información y publicar las estadísticas e informar a los distintos actores sobre los desafíos que surjan en la aplicación de dicha metodología. </w:t>
      </w:r>
    </w:p>
    <w:p w14:paraId="2CEF186A" w14:textId="77777777" w:rsidR="00105530" w:rsidRPr="00FA506F" w:rsidRDefault="00105530" w:rsidP="00B80A67">
      <w:pPr>
        <w:jc w:val="both"/>
        <w:rPr>
          <w:rFonts w:ascii="Cambria" w:eastAsia="Cambria" w:hAnsi="Cambria" w:cs="Cambria"/>
          <w:i/>
          <w:iCs/>
          <w:color w:val="000000" w:themeColor="text1"/>
          <w:sz w:val="20"/>
          <w:szCs w:val="20"/>
          <w:lang w:val="es-ES"/>
        </w:rPr>
      </w:pPr>
    </w:p>
    <w:p w14:paraId="6B8859E5" w14:textId="0F6DE34B" w:rsidR="00105530" w:rsidRPr="00FA506F" w:rsidRDefault="00105530" w:rsidP="00B80A67">
      <w:pPr>
        <w:pStyle w:val="IAPrrafo"/>
        <w:numPr>
          <w:ilvl w:val="0"/>
          <w:numId w:val="4"/>
        </w:numPr>
        <w:tabs>
          <w:tab w:val="num" w:pos="720"/>
        </w:tabs>
        <w:ind w:firstLine="720"/>
        <w:rPr>
          <w:lang w:val="es-ES"/>
        </w:rPr>
      </w:pPr>
      <w:r w:rsidRPr="00FA506F">
        <w:rPr>
          <w:lang w:val="es-ES"/>
        </w:rPr>
        <w:t>En el Capítulo V del Informe Anual de 2023, el Estado reportó sobre la</w:t>
      </w:r>
      <w:r w:rsidR="004F387F" w:rsidRPr="00FA506F">
        <w:rPr>
          <w:lang w:val="es-ES"/>
        </w:rPr>
        <w:t xml:space="preserve"> Fiscalía Especializada para la Atención de delitos contra la Libertad de Expresión (</w:t>
      </w:r>
      <w:r w:rsidRPr="00FA506F">
        <w:rPr>
          <w:lang w:val="es-ES"/>
        </w:rPr>
        <w:t>FEADLE</w:t>
      </w:r>
      <w:r w:rsidR="004F387F" w:rsidRPr="00FA506F">
        <w:rPr>
          <w:lang w:val="es-ES"/>
        </w:rPr>
        <w:t>)</w:t>
      </w:r>
      <w:r w:rsidRPr="00FA506F">
        <w:rPr>
          <w:rStyle w:val="FootnoteReference"/>
          <w:lang w:val="es-ES"/>
        </w:rPr>
        <w:footnoteReference w:id="240"/>
      </w:r>
      <w:r w:rsidRPr="00FA506F">
        <w:rPr>
          <w:lang w:val="es-ES"/>
        </w:rPr>
        <w:t>, la entidad encargada de investigar y perseguir delitos contra la libertad de prensa y expresión, que había generado indicadores específicos sobre delitos, diferenciados por sexo, y que se publican periódicamente. Las organizaciones de la sociedad civil reportaron que, aunque existen registros de violencia contra la prensa por parte de la FEADLE</w:t>
      </w:r>
      <w:r w:rsidR="009F4244" w:rsidRPr="00FA506F">
        <w:rPr>
          <w:lang w:val="es-ES"/>
        </w:rPr>
        <w:t>,</w:t>
      </w:r>
      <w:r w:rsidRPr="00FA506F">
        <w:rPr>
          <w:lang w:val="es-ES"/>
        </w:rPr>
        <w:t xml:space="preserve"> no hay información nacional, con datos de las Fiscalías estatales, lo cual dificulta el análisis nacional de la violencia contra la prensa. La recomendación se consideró en cumplimiento parcial, y se instó al Estado a avanzar en la sistematización de datos y en la creación de una metodología unificada</w:t>
      </w:r>
      <w:r w:rsidRPr="00FA506F">
        <w:rPr>
          <w:rStyle w:val="FootnoteReference"/>
          <w:lang w:val="es-ES"/>
        </w:rPr>
        <w:footnoteReference w:id="241"/>
      </w:r>
      <w:r w:rsidRPr="00FA506F">
        <w:rPr>
          <w:lang w:val="es-ES"/>
        </w:rPr>
        <w:t>.</w:t>
      </w:r>
    </w:p>
    <w:p w14:paraId="68ED99A7" w14:textId="77777777" w:rsidR="00105530" w:rsidRPr="00FA506F" w:rsidRDefault="00105530" w:rsidP="00254D0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7E2C986C"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395D0514" w14:textId="319C1303" w:rsidR="00022D03" w:rsidRPr="00022D03" w:rsidRDefault="00105530" w:rsidP="00022D03">
      <w:pPr>
        <w:pStyle w:val="IAPrrafo"/>
        <w:numPr>
          <w:ilvl w:val="0"/>
          <w:numId w:val="4"/>
        </w:numPr>
        <w:tabs>
          <w:tab w:val="num" w:pos="720"/>
        </w:tabs>
        <w:ind w:firstLine="720"/>
        <w:rPr>
          <w:lang w:val="es-ES"/>
        </w:rPr>
      </w:pPr>
      <w:r w:rsidRPr="00FA506F">
        <w:rPr>
          <w:lang w:val="es-ES"/>
        </w:rPr>
        <w:t xml:space="preserve">En 2024, el Estado informó que la SEGOB elabora un registro oficial del Mecanismo de Protección a Personas Defensoras de Derechos Humanos y Periodistas, sin mayores especificaciones para conocer las particularidades de dicho registro. Las organizaciones de la </w:t>
      </w:r>
      <w:r w:rsidRPr="00616692">
        <w:rPr>
          <w:lang w:val="es-ES"/>
        </w:rPr>
        <w:t>sociedad civil refirieron que no existiría una sistematización, ni homologación de las cifras existentes con las entidades federativas</w:t>
      </w:r>
      <w:r w:rsidRPr="00616692">
        <w:rPr>
          <w:rStyle w:val="FootnoteReference"/>
          <w:lang w:val="es-ES"/>
        </w:rPr>
        <w:footnoteReference w:id="242"/>
      </w:r>
      <w:r w:rsidRPr="00616692">
        <w:rPr>
          <w:lang w:val="es-ES"/>
        </w:rPr>
        <w:t>.</w:t>
      </w:r>
      <w:r w:rsidR="00022D03" w:rsidRPr="00616692">
        <w:rPr>
          <w:lang w:val="es-ES"/>
        </w:rPr>
        <w:t xml:space="preserve"> El Estado agregó en sus observaciones al presente </w:t>
      </w:r>
      <w:r w:rsidR="00D854ED" w:rsidRPr="00616692">
        <w:rPr>
          <w:lang w:val="es-ES"/>
        </w:rPr>
        <w:t>I</w:t>
      </w:r>
      <w:r w:rsidR="00022D03" w:rsidRPr="00616692">
        <w:rPr>
          <w:lang w:val="es-ES"/>
        </w:rPr>
        <w:t>nform</w:t>
      </w:r>
      <w:r w:rsidR="00D854ED" w:rsidRPr="00616692">
        <w:rPr>
          <w:lang w:val="es-ES"/>
        </w:rPr>
        <w:t>e</w:t>
      </w:r>
      <w:r w:rsidR="00022D03" w:rsidRPr="00616692">
        <w:rPr>
          <w:lang w:val="es-ES"/>
        </w:rPr>
        <w:t xml:space="preserve"> que la FEADLE lleva a cabo la sistematización de información contenida en averiguaciones previas y carpetas de investigación relacionadas con delitos contra la libertad de expresión, emitiendo informes mensuales de estadística sobre las denuncias presentadas</w:t>
      </w:r>
      <w:r w:rsidR="00022D03" w:rsidRPr="00616692">
        <w:rPr>
          <w:rStyle w:val="FootnoteReference"/>
          <w:lang w:val="es-ES"/>
        </w:rPr>
        <w:footnoteReference w:id="243"/>
      </w:r>
      <w:r w:rsidR="00022D03" w:rsidRPr="00616692">
        <w:rPr>
          <w:lang w:val="es-ES"/>
        </w:rPr>
        <w:t>.</w:t>
      </w:r>
    </w:p>
    <w:p w14:paraId="2BA88AFF" w14:textId="77777777" w:rsidR="00105530" w:rsidRPr="00FA506F" w:rsidRDefault="00105530" w:rsidP="00254D0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7BE915A0"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37EF95C9" w14:textId="1E5ED7B3" w:rsidR="00105530" w:rsidRPr="00FA506F" w:rsidRDefault="00105530" w:rsidP="00B80A67">
      <w:pPr>
        <w:pStyle w:val="IAPrrafo"/>
        <w:numPr>
          <w:ilvl w:val="0"/>
          <w:numId w:val="4"/>
        </w:numPr>
        <w:tabs>
          <w:tab w:val="num" w:pos="720"/>
        </w:tabs>
        <w:ind w:firstLine="720"/>
        <w:rPr>
          <w:lang w:val="es-ES"/>
        </w:rPr>
      </w:pPr>
      <w:r w:rsidRPr="00FA506F">
        <w:rPr>
          <w:lang w:val="es-ES"/>
        </w:rPr>
        <w:t>La Comisión observa con preocupación la ausencia de información concreta de acciones implementadas para el cumplimiento de esta recomendación</w:t>
      </w:r>
      <w:r w:rsidR="008C2DA5" w:rsidRPr="00FA506F">
        <w:rPr>
          <w:lang w:val="es-ES"/>
        </w:rPr>
        <w:t xml:space="preserve"> y </w:t>
      </w:r>
      <w:r w:rsidRPr="00FA506F">
        <w:rPr>
          <w:lang w:val="es-ES"/>
        </w:rPr>
        <w:t>destaca que, a diferencia de años anteriores, el Estado no reportó información estadística por parte de la FEADLE</w:t>
      </w:r>
      <w:r w:rsidRPr="00FA506F">
        <w:rPr>
          <w:rStyle w:val="FootnoteReference"/>
          <w:lang w:val="es-ES"/>
        </w:rPr>
        <w:footnoteReference w:id="244"/>
      </w:r>
      <w:r w:rsidRPr="00FA506F">
        <w:rPr>
          <w:lang w:val="es-ES"/>
        </w:rPr>
        <w:t>, ni cifras relacionadas con el registro de la violencia cometida contra periodistas y las eventuales investigaciones</w:t>
      </w:r>
      <w:r w:rsidR="009F4244" w:rsidRPr="00FA506F">
        <w:rPr>
          <w:lang w:val="es-ES"/>
        </w:rPr>
        <w:t xml:space="preserve"> en las entidades federativas</w:t>
      </w:r>
      <w:r w:rsidRPr="00FA506F">
        <w:rPr>
          <w:lang w:val="es-ES"/>
        </w:rPr>
        <w:t xml:space="preserve">. Ante la falta de información, la CIDH concluye que la recomendación permanece en </w:t>
      </w:r>
      <w:r w:rsidRPr="00FA506F">
        <w:rPr>
          <w:b/>
          <w:bCs/>
          <w:lang w:val="es-ES"/>
        </w:rPr>
        <w:t>cumplimiento parcial.</w:t>
      </w:r>
    </w:p>
    <w:p w14:paraId="7D5200D4" w14:textId="77777777" w:rsidR="00105530" w:rsidRPr="00FA506F" w:rsidRDefault="00105530" w:rsidP="00254D0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4DF6C9CA"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0FA81F21" w14:textId="43F3A2AF" w:rsidR="00105530" w:rsidRPr="00FA506F" w:rsidRDefault="00105530" w:rsidP="00B80A67">
      <w:pPr>
        <w:pStyle w:val="IAPrrafo"/>
        <w:numPr>
          <w:ilvl w:val="0"/>
          <w:numId w:val="4"/>
        </w:numPr>
        <w:tabs>
          <w:tab w:val="num" w:pos="720"/>
        </w:tabs>
        <w:ind w:firstLine="720"/>
        <w:rPr>
          <w:rFonts w:eastAsia="Cambria" w:cs="Cambria"/>
          <w:lang w:val="es-ES"/>
        </w:rPr>
      </w:pPr>
      <w:r w:rsidRPr="00FA506F">
        <w:rPr>
          <w:rFonts w:eastAsia="Cambria" w:cs="Cambria"/>
          <w:lang w:val="es-ES"/>
        </w:rPr>
        <w:t>La CIDH in</w:t>
      </w:r>
      <w:r w:rsidR="004B3D21" w:rsidRPr="00FA506F">
        <w:rPr>
          <w:rFonts w:eastAsia="Cambria" w:cs="Cambria"/>
          <w:lang w:val="es-ES"/>
        </w:rPr>
        <w:t>vita</w:t>
      </w:r>
      <w:r w:rsidRPr="00FA506F">
        <w:rPr>
          <w:rFonts w:eastAsia="Cambria" w:cs="Cambria"/>
          <w:lang w:val="es-ES"/>
        </w:rPr>
        <w:t xml:space="preserve"> al Estado mexicano a desarrollar un registro nacional estadístico de la información que puedan aportar las </w:t>
      </w:r>
      <w:r w:rsidR="009F4244" w:rsidRPr="00FA506F">
        <w:rPr>
          <w:rFonts w:eastAsia="Cambria" w:cs="Cambria"/>
          <w:lang w:val="es-ES"/>
        </w:rPr>
        <w:t>f</w:t>
      </w:r>
      <w:r w:rsidRPr="00FA506F">
        <w:rPr>
          <w:rFonts w:eastAsia="Cambria" w:cs="Cambria"/>
          <w:lang w:val="es-ES"/>
        </w:rPr>
        <w:t>iscalías acerca de las investigaciones sobre violencia en contra de periodistas, así como de los mecanismos nacionales de protección a esta población y personas defensoras de derechos humanos.</w:t>
      </w:r>
      <w:r w:rsidRPr="00FA506F">
        <w:rPr>
          <w:lang w:val="es-ES"/>
        </w:rPr>
        <w:t xml:space="preserve"> De manera similar a lo </w:t>
      </w:r>
      <w:r w:rsidR="00454AE0" w:rsidRPr="00FA506F">
        <w:rPr>
          <w:lang w:val="es-ES"/>
        </w:rPr>
        <w:t>referido</w:t>
      </w:r>
      <w:r w:rsidRPr="00FA506F">
        <w:rPr>
          <w:lang w:val="es-ES"/>
        </w:rPr>
        <w:t xml:space="preserve"> en su informe de seguimiento de 2023, la Comisión insta al Estado mexicano a fortalecer la coordinación entre los distintos niveles de gobierno en este ámbito.</w:t>
      </w:r>
    </w:p>
    <w:p w14:paraId="3FBEF92C" w14:textId="31236585" w:rsidR="00105530" w:rsidRPr="00FA506F" w:rsidRDefault="00105530"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63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Remover todos los obstáculos para que</w:t>
      </w:r>
      <w:r w:rsidR="009F4244"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en la práctica</w:t>
      </w:r>
      <w:r w:rsidR="009F4244"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la Fiscalía Especializada para la Atención de delitos contra la Libertad de Expresión (FEADLE) pueda atraer la investigación de los delitos cometidos contra periodistas y contra la libertad de expresión. De esta forma</w:t>
      </w:r>
      <w:r w:rsidR="009F4244"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 hacer efectivo el ejercicio de la jurisdicción federal sobre los delitos de su competencia y garantizar que las violaciones más graves a la libertad de expresión siempre sean investigadas por esa fiscalía. </w:t>
      </w:r>
    </w:p>
    <w:p w14:paraId="1C69F211" w14:textId="77777777" w:rsidR="00105530" w:rsidRPr="00FA506F" w:rsidRDefault="00105530" w:rsidP="00B80A67">
      <w:pPr>
        <w:jc w:val="both"/>
        <w:rPr>
          <w:rFonts w:ascii="Cambria" w:eastAsia="Cambria" w:hAnsi="Cambria" w:cs="Cambria"/>
          <w:i/>
          <w:iCs/>
          <w:color w:val="000000" w:themeColor="text1"/>
          <w:sz w:val="20"/>
          <w:szCs w:val="20"/>
          <w:lang w:val="es-ES"/>
        </w:rPr>
      </w:pPr>
    </w:p>
    <w:p w14:paraId="27782AED" w14:textId="74B4E3BF"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De acuerdo con la información reportada por el Estado para el Informe de Seguimiento de 2023, a partir de las reformas constitucionales y al Código Federal de Procedimientos Penales, la FEADLE obtuvo la facultad de atraer casos del fuero común relacionados con delitos contra la libertad de expresión. Desde mayo de 2013 hasta julio de 2023, la FEADLE asumió 140 casos bajo esta facultad. Sin embargo, las organizaciones de la sociedad civil indicaron que solo </w:t>
      </w:r>
      <w:r w:rsidR="009C26B8" w:rsidRPr="00FA506F">
        <w:rPr>
          <w:lang w:val="es-ES"/>
        </w:rPr>
        <w:t xml:space="preserve">en </w:t>
      </w:r>
      <w:r w:rsidRPr="00FA506F">
        <w:rPr>
          <w:lang w:val="es-ES"/>
        </w:rPr>
        <w:t xml:space="preserve">el 35,30% de los homicidios de periodistas registrados se </w:t>
      </w:r>
      <w:r w:rsidR="009C26B8" w:rsidRPr="00FA506F">
        <w:rPr>
          <w:lang w:val="es-ES"/>
        </w:rPr>
        <w:t>determinó que el hecho se relacionaba</w:t>
      </w:r>
      <w:r w:rsidRPr="00FA506F">
        <w:rPr>
          <w:lang w:val="es-ES"/>
        </w:rPr>
        <w:t xml:space="preserve"> </w:t>
      </w:r>
      <w:r w:rsidR="009C26B8" w:rsidRPr="00FA506F">
        <w:rPr>
          <w:lang w:val="es-ES"/>
        </w:rPr>
        <w:t>con</w:t>
      </w:r>
      <w:r w:rsidRPr="00FA506F">
        <w:rPr>
          <w:lang w:val="es-ES"/>
        </w:rPr>
        <w:t xml:space="preserve"> su labor periodística</w:t>
      </w:r>
      <w:r w:rsidR="006B4F48" w:rsidRPr="00FA506F">
        <w:rPr>
          <w:lang w:val="es-ES"/>
        </w:rPr>
        <w:t xml:space="preserve"> e informaron </w:t>
      </w:r>
      <w:r w:rsidRPr="00FA506F">
        <w:rPr>
          <w:lang w:val="es-ES"/>
        </w:rPr>
        <w:t>que la FEADLE ha mostrado reticencia para atraer investigaciones</w:t>
      </w:r>
      <w:r w:rsidR="009F4244" w:rsidRPr="00FA506F">
        <w:rPr>
          <w:lang w:val="es-ES"/>
        </w:rPr>
        <w:t>;</w:t>
      </w:r>
      <w:r w:rsidRPr="00FA506F">
        <w:rPr>
          <w:lang w:val="es-ES"/>
        </w:rPr>
        <w:t xml:space="preserve"> y que es crucial que esta entidad establezca directrices claras y mejore la coordinación con fiscalías locales para reducir la impunidad. La CIDH concluyó que, a pesar de la facultad legal, </w:t>
      </w:r>
      <w:r w:rsidR="009F4244" w:rsidRPr="00FA506F">
        <w:rPr>
          <w:lang w:val="es-ES"/>
        </w:rPr>
        <w:t xml:space="preserve">persistían </w:t>
      </w:r>
      <w:r w:rsidRPr="00FA506F">
        <w:rPr>
          <w:lang w:val="es-ES"/>
        </w:rPr>
        <w:t>desafíos en su aplicación efectiva,</w:t>
      </w:r>
      <w:r w:rsidR="009C26B8" w:rsidRPr="00FA506F">
        <w:rPr>
          <w:lang w:val="es-ES"/>
        </w:rPr>
        <w:t xml:space="preserve"> concluyendo</w:t>
      </w:r>
      <w:r w:rsidRPr="00FA506F">
        <w:rPr>
          <w:lang w:val="es-ES"/>
        </w:rPr>
        <w:t xml:space="preserve"> un avance a cumplimiento parcial sustancial. Se recomendó al Estado definir y aplicar criterios objetivos y transparentes para la atracción de casos</w:t>
      </w:r>
      <w:r w:rsidRPr="00FA506F">
        <w:rPr>
          <w:rStyle w:val="FootnoteReference"/>
          <w:lang w:val="es-ES"/>
        </w:rPr>
        <w:footnoteReference w:id="245"/>
      </w:r>
      <w:r w:rsidRPr="00FA506F">
        <w:rPr>
          <w:lang w:val="es-ES"/>
        </w:rPr>
        <w:t>.</w:t>
      </w:r>
    </w:p>
    <w:p w14:paraId="48139B24" w14:textId="77777777" w:rsidR="00105530" w:rsidRPr="00FA506F" w:rsidRDefault="00105530" w:rsidP="00254D0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33339423"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5CC6D74F" w14:textId="5A91FDDD"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En 2024, el Estado refirió que la Fiscalía Especial para la Atención de Delitos Cometidos contra la Libertad de Expresión de la FGR contaría con criterios definidos, objetivos y transparentes para garantizar procesos imparciales en el marco de las solicitudes de atracción de casos y la coordinación con las fiscalías locales en delitos que afectan la libertad de expresión. </w:t>
      </w:r>
      <w:r w:rsidR="008C2DA5" w:rsidRPr="00FA506F">
        <w:rPr>
          <w:lang w:val="es-ES"/>
        </w:rPr>
        <w:t>El</w:t>
      </w:r>
      <w:r w:rsidRPr="00FA506F">
        <w:rPr>
          <w:lang w:val="es-ES"/>
        </w:rPr>
        <w:t xml:space="preserve"> artículo 21 del Código Nacional de Procedimientos Penales establece los supuestos en los que la FGR puede ejercer su facultad de atracción en casos relacionados con delitos que afectan la libertad de expresión</w:t>
      </w:r>
      <w:r w:rsidRPr="00FA506F">
        <w:rPr>
          <w:rStyle w:val="FootnoteReference"/>
          <w:lang w:val="es-ES"/>
        </w:rPr>
        <w:footnoteReference w:id="246"/>
      </w:r>
      <w:r w:rsidRPr="00FA506F">
        <w:rPr>
          <w:lang w:val="es-ES"/>
        </w:rPr>
        <w:t xml:space="preserve">. </w:t>
      </w:r>
      <w:r w:rsidR="00446046" w:rsidRPr="00FA506F">
        <w:rPr>
          <w:lang w:val="es-ES"/>
        </w:rPr>
        <w:t xml:space="preserve">Las </w:t>
      </w:r>
      <w:r w:rsidRPr="00FA506F">
        <w:rPr>
          <w:lang w:val="es-ES"/>
        </w:rPr>
        <w:t>organizaciones de la sociedad civil refirieron que, de acuerdo con el Informe Estadístico de FEADLE de septiembre de 2024, de 2013 a 2024 la FEADLE solo se habría ejercido la facultad de atracción en 129 casos</w:t>
      </w:r>
      <w:r w:rsidRPr="00FA506F">
        <w:rPr>
          <w:rStyle w:val="FootnoteReference"/>
          <w:lang w:val="es-ES"/>
        </w:rPr>
        <w:footnoteReference w:id="247"/>
      </w:r>
      <w:r w:rsidRPr="00FA506F">
        <w:rPr>
          <w:lang w:val="es-ES"/>
        </w:rPr>
        <w:t>; 9 en 2013, 21 en 2014, 14 en 2015, 4 en 2016, 1 en 2017, 8 en 2018, 5 en 2019, 7 en 2020, 25 en 2021, 30 en 2022, 28 en 2023</w:t>
      </w:r>
      <w:r w:rsidR="009F4244" w:rsidRPr="00FA506F">
        <w:rPr>
          <w:lang w:val="es-ES"/>
        </w:rPr>
        <w:t>,</w:t>
      </w:r>
      <w:r w:rsidRPr="00FA506F">
        <w:rPr>
          <w:lang w:val="es-ES"/>
        </w:rPr>
        <w:t xml:space="preserve"> y 29 en 2024. Las organizaciones manifiestan una resistencia constante de la FEADLE en el ejercicio de la facultad de atracción y una falta de colaboración efectiva entre las investigaciones del fuero local con la FGR para impulsar el avance de las investigaciones en materia de delitos contra la libertad de expresión.</w:t>
      </w:r>
    </w:p>
    <w:p w14:paraId="39005265" w14:textId="5F050664" w:rsidR="00290526" w:rsidRPr="00FA506F" w:rsidRDefault="00105530" w:rsidP="00254D0F">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bookmarkStart w:id="28" w:name="OLE_LINK5"/>
      <w:bookmarkStart w:id="29" w:name="OLE_LINK6"/>
    </w:p>
    <w:p w14:paraId="629B3D0A" w14:textId="77777777" w:rsidR="00290526" w:rsidRPr="00FA506F" w:rsidRDefault="00290526" w:rsidP="00290526">
      <w:pPr>
        <w:ind w:firstLine="360"/>
        <w:jc w:val="both"/>
        <w:rPr>
          <w:rFonts w:ascii="Cambria" w:eastAsia="Cambria" w:hAnsi="Cambria" w:cs="Cambria"/>
          <w:i/>
          <w:iCs/>
          <w:color w:val="000000" w:themeColor="text1"/>
          <w:sz w:val="20"/>
          <w:szCs w:val="20"/>
          <w:lang w:val="es-ES"/>
        </w:rPr>
      </w:pPr>
    </w:p>
    <w:p w14:paraId="3A309CCC" w14:textId="2F8E49C9" w:rsidR="00105530" w:rsidRPr="00FA506F" w:rsidRDefault="00290526" w:rsidP="00290526">
      <w:pPr>
        <w:pStyle w:val="IAPrrafo"/>
        <w:numPr>
          <w:ilvl w:val="0"/>
          <w:numId w:val="4"/>
        </w:numPr>
        <w:tabs>
          <w:tab w:val="num" w:pos="720"/>
        </w:tabs>
        <w:ind w:firstLine="720"/>
        <w:rPr>
          <w:lang w:val="es-ES"/>
        </w:rPr>
      </w:pPr>
      <w:r w:rsidRPr="00FA506F">
        <w:rPr>
          <w:lang w:val="es-ES"/>
        </w:rPr>
        <w:t>L</w:t>
      </w:r>
      <w:r w:rsidR="00105530" w:rsidRPr="00FA506F">
        <w:rPr>
          <w:lang w:val="es-ES"/>
        </w:rPr>
        <w:t>a Comisión</w:t>
      </w:r>
      <w:r w:rsidR="009C26B8" w:rsidRPr="00FA506F">
        <w:rPr>
          <w:lang w:val="es-ES"/>
        </w:rPr>
        <w:t xml:space="preserve"> </w:t>
      </w:r>
      <w:r w:rsidRPr="00FA506F">
        <w:rPr>
          <w:lang w:val="es-ES"/>
        </w:rPr>
        <w:t>resalta que</w:t>
      </w:r>
      <w:r w:rsidR="00105530" w:rsidRPr="00FA506F">
        <w:rPr>
          <w:lang w:val="es-ES"/>
        </w:rPr>
        <w:t xml:space="preserve"> deben transparentarse los criterios utilizados para acreditar los incisos </w:t>
      </w:r>
      <w:r w:rsidR="00A57671">
        <w:rPr>
          <w:lang w:val="es-ES"/>
        </w:rPr>
        <w:t>(</w:t>
      </w:r>
      <w:r w:rsidR="00105530" w:rsidRPr="00FA506F">
        <w:rPr>
          <w:lang w:val="es-ES"/>
        </w:rPr>
        <w:t>iv</w:t>
      </w:r>
      <w:r w:rsidR="00A57671">
        <w:rPr>
          <w:lang w:val="es-ES"/>
        </w:rPr>
        <w:t>)</w:t>
      </w:r>
      <w:r w:rsidR="00105530" w:rsidRPr="00FA506F">
        <w:rPr>
          <w:vertAlign w:val="superscript"/>
          <w:lang w:val="es-ES"/>
        </w:rPr>
        <w:footnoteReference w:id="248"/>
      </w:r>
      <w:r w:rsidR="00105530" w:rsidRPr="00FA506F">
        <w:rPr>
          <w:lang w:val="es-ES"/>
        </w:rPr>
        <w:t xml:space="preserve"> y </w:t>
      </w:r>
      <w:r w:rsidR="00A57671">
        <w:rPr>
          <w:lang w:val="es-ES"/>
        </w:rPr>
        <w:t>(</w:t>
      </w:r>
      <w:r w:rsidR="00105530" w:rsidRPr="00FA506F">
        <w:rPr>
          <w:lang w:val="es-ES"/>
        </w:rPr>
        <w:t>vi</w:t>
      </w:r>
      <w:r w:rsidR="00A57671">
        <w:rPr>
          <w:lang w:val="es-ES"/>
        </w:rPr>
        <w:t>)</w:t>
      </w:r>
      <w:r w:rsidR="00105530" w:rsidRPr="00FA506F">
        <w:rPr>
          <w:vertAlign w:val="superscript"/>
          <w:lang w:val="es-ES"/>
        </w:rPr>
        <w:footnoteReference w:id="249"/>
      </w:r>
      <w:r w:rsidRPr="00FA506F">
        <w:rPr>
          <w:lang w:val="es-ES"/>
        </w:rPr>
        <w:t xml:space="preserve"> del artículo 21 del Código Nacional de Procedimientos Penales (CNPP)</w:t>
      </w:r>
      <w:r w:rsidR="009F4244" w:rsidRPr="00FA506F">
        <w:rPr>
          <w:lang w:val="es-ES"/>
        </w:rPr>
        <w:t>, y fortalecerse la articulación entre las fiscalías locales y la FGR para la investigación de todos los casos que involucran a periodistas y comunicadores sociales.</w:t>
      </w:r>
      <w:r w:rsidRPr="00FA506F">
        <w:rPr>
          <w:lang w:val="es-ES"/>
        </w:rPr>
        <w:t xml:space="preserve"> </w:t>
      </w:r>
      <w:r w:rsidR="00105530" w:rsidRPr="00FA506F">
        <w:rPr>
          <w:lang w:val="es-ES"/>
        </w:rPr>
        <w:t>Sin perjuicio de lo anterior</w:t>
      </w:r>
      <w:r w:rsidRPr="00FA506F">
        <w:rPr>
          <w:lang w:val="es-ES"/>
        </w:rPr>
        <w:t>, reconociendo</w:t>
      </w:r>
      <w:r w:rsidR="00105530" w:rsidRPr="00FA506F">
        <w:rPr>
          <w:lang w:val="es-ES"/>
        </w:rPr>
        <w:t xml:space="preserve"> </w:t>
      </w:r>
      <w:r w:rsidRPr="00FA506F">
        <w:rPr>
          <w:lang w:val="es-ES"/>
        </w:rPr>
        <w:t xml:space="preserve">el contenido </w:t>
      </w:r>
      <w:r w:rsidR="00105530" w:rsidRPr="00FA506F">
        <w:rPr>
          <w:lang w:val="es-ES"/>
        </w:rPr>
        <w:t xml:space="preserve">de los criterios para determinar el ejercicio de la facultad de atracción de la FEADLE, </w:t>
      </w:r>
      <w:r w:rsidR="009F4244" w:rsidRPr="00FA506F">
        <w:rPr>
          <w:lang w:val="es-ES"/>
        </w:rPr>
        <w:t xml:space="preserve">y la práctica sostenida a lo largo de los años, </w:t>
      </w:r>
      <w:r w:rsidRPr="00FA506F">
        <w:rPr>
          <w:lang w:val="es-ES"/>
        </w:rPr>
        <w:t xml:space="preserve">la CIDH determina que </w:t>
      </w:r>
      <w:r w:rsidR="00105530" w:rsidRPr="00FA506F">
        <w:rPr>
          <w:lang w:val="es-ES"/>
        </w:rPr>
        <w:t xml:space="preserve">la recomendación se encuentra en </w:t>
      </w:r>
      <w:r w:rsidR="00105530" w:rsidRPr="00FA506F">
        <w:rPr>
          <w:b/>
          <w:bCs/>
          <w:lang w:val="es-ES"/>
        </w:rPr>
        <w:t>cumplimiento total.</w:t>
      </w:r>
      <w:bookmarkEnd w:id="28"/>
      <w:bookmarkEnd w:id="29"/>
      <w:r w:rsidR="00A25DCA" w:rsidRPr="00FA506F">
        <w:rPr>
          <w:lang w:val="es-ES"/>
        </w:rPr>
        <w:t xml:space="preserve"> </w:t>
      </w:r>
    </w:p>
    <w:p w14:paraId="75FC2103" w14:textId="77777777" w:rsidR="00105530" w:rsidRPr="00FA506F" w:rsidRDefault="00105530"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64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Mantener el carácter de fiscalía especializada de la FEADLE y dotarla de recursos económicos y humanos suficientes para que pueda cumplir con su labor. </w:t>
      </w:r>
    </w:p>
    <w:p w14:paraId="648B674D" w14:textId="77777777" w:rsidR="00105530" w:rsidRPr="00FA506F" w:rsidRDefault="00105530" w:rsidP="00B80A67">
      <w:pPr>
        <w:jc w:val="both"/>
        <w:rPr>
          <w:rFonts w:ascii="Cambria" w:eastAsia="Cambria" w:hAnsi="Cambria" w:cs="Cambria"/>
          <w:i/>
          <w:iCs/>
          <w:color w:val="000000" w:themeColor="text1"/>
          <w:sz w:val="20"/>
          <w:szCs w:val="20"/>
          <w:lang w:val="es-ES"/>
        </w:rPr>
      </w:pPr>
    </w:p>
    <w:p w14:paraId="5306CE83" w14:textId="6CFE823B" w:rsidR="00105530" w:rsidRPr="00FA506F" w:rsidRDefault="00105530" w:rsidP="00B80A67">
      <w:pPr>
        <w:pStyle w:val="IAPrrafo"/>
        <w:numPr>
          <w:ilvl w:val="0"/>
          <w:numId w:val="4"/>
        </w:numPr>
        <w:tabs>
          <w:tab w:val="num" w:pos="720"/>
        </w:tabs>
        <w:ind w:firstLine="720"/>
        <w:rPr>
          <w:lang w:val="es-ES"/>
        </w:rPr>
      </w:pPr>
      <w:r w:rsidRPr="00FA506F">
        <w:rPr>
          <w:lang w:val="es-ES"/>
        </w:rPr>
        <w:t>De acuerdo con la información reportada por el Estado para el Informe Anual de 2023, la FEADLE</w:t>
      </w:r>
      <w:r w:rsidR="004B3D21" w:rsidRPr="00FA506F">
        <w:rPr>
          <w:lang w:val="es-ES"/>
        </w:rPr>
        <w:t xml:space="preserve"> </w:t>
      </w:r>
      <w:r w:rsidRPr="00FA506F">
        <w:rPr>
          <w:lang w:val="es-ES"/>
        </w:rPr>
        <w:t xml:space="preserve">aumentó el número de agentes del Ministerio Público de la Federación. Sin embargo, las organizaciones de la sociedad civil informaron que el presupuesto de la FEADLE fue reducido a menos de la mitad del presupuesto que tenía en 2014. </w:t>
      </w:r>
      <w:r w:rsidR="006B4F48" w:rsidRPr="00FA506F">
        <w:rPr>
          <w:lang w:val="es-ES"/>
        </w:rPr>
        <w:t>Las organizaciones</w:t>
      </w:r>
      <w:r w:rsidRPr="00FA506F">
        <w:rPr>
          <w:lang w:val="es-ES"/>
        </w:rPr>
        <w:t xml:space="preserve"> destacaron que su proyecto presupuestario actual sería uno de los más bajos entre las fiscalías especiales de la FGR. La CIDH expresó preocupación por la reducción presupuestaria y </w:t>
      </w:r>
      <w:r w:rsidR="009C26B8" w:rsidRPr="00FA506F">
        <w:rPr>
          <w:lang w:val="es-ES"/>
        </w:rPr>
        <w:t xml:space="preserve">determinó </w:t>
      </w:r>
      <w:r w:rsidRPr="00FA506F">
        <w:rPr>
          <w:lang w:val="es-ES"/>
        </w:rPr>
        <w:t>que la recomendación permanec</w:t>
      </w:r>
      <w:r w:rsidR="00376600" w:rsidRPr="00FA506F">
        <w:rPr>
          <w:lang w:val="es-ES"/>
        </w:rPr>
        <w:t>ía</w:t>
      </w:r>
      <w:r w:rsidRPr="00FA506F">
        <w:rPr>
          <w:lang w:val="es-ES"/>
        </w:rPr>
        <w:t xml:space="preserve"> pendiente de cumplimiento. Se instó al Estado garantizar la suficiencia presupuestaria y el fortalecimiento de los recursos humanos para la FEADLE</w:t>
      </w:r>
      <w:r w:rsidRPr="00FA506F">
        <w:rPr>
          <w:rStyle w:val="FootnoteReference"/>
          <w:lang w:val="es-ES"/>
        </w:rPr>
        <w:footnoteReference w:id="250"/>
      </w:r>
      <w:r w:rsidRPr="00FA506F">
        <w:rPr>
          <w:lang w:val="es-ES"/>
        </w:rPr>
        <w:t>.</w:t>
      </w:r>
    </w:p>
    <w:p w14:paraId="472D53C0" w14:textId="77777777" w:rsidR="00105530" w:rsidRPr="00FA506F" w:rsidRDefault="00105530" w:rsidP="00A5767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30F2D6A0"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6F2084D9" w14:textId="326D928D" w:rsidR="00105530" w:rsidRPr="00FA506F" w:rsidRDefault="00105530" w:rsidP="00B80A67">
      <w:pPr>
        <w:pStyle w:val="IAPrrafo"/>
        <w:numPr>
          <w:ilvl w:val="0"/>
          <w:numId w:val="4"/>
        </w:numPr>
        <w:tabs>
          <w:tab w:val="num" w:pos="720"/>
        </w:tabs>
        <w:ind w:firstLine="720"/>
        <w:rPr>
          <w:lang w:val="es-ES"/>
        </w:rPr>
      </w:pPr>
      <w:r w:rsidRPr="00FA506F">
        <w:rPr>
          <w:lang w:val="es-ES"/>
        </w:rPr>
        <w:t>En 2024, el Estado informó que, desde 2019, el presupuesto pasó de 12</w:t>
      </w:r>
      <w:r w:rsidR="00317490" w:rsidRPr="00FA506F">
        <w:rPr>
          <w:lang w:val="es-ES"/>
        </w:rPr>
        <w:t>.</w:t>
      </w:r>
      <w:r w:rsidRPr="00FA506F">
        <w:rPr>
          <w:lang w:val="es-ES"/>
        </w:rPr>
        <w:t>889</w:t>
      </w:r>
      <w:r w:rsidR="00317490" w:rsidRPr="00FA506F">
        <w:rPr>
          <w:lang w:val="es-ES"/>
        </w:rPr>
        <w:t>.</w:t>
      </w:r>
      <w:r w:rsidRPr="00FA506F">
        <w:rPr>
          <w:lang w:val="es-ES"/>
        </w:rPr>
        <w:t>904</w:t>
      </w:r>
      <w:r w:rsidR="00317490" w:rsidRPr="00FA506F">
        <w:rPr>
          <w:lang w:val="es-ES"/>
        </w:rPr>
        <w:t>,</w:t>
      </w:r>
      <w:r w:rsidRPr="00FA506F">
        <w:rPr>
          <w:lang w:val="es-ES"/>
        </w:rPr>
        <w:t xml:space="preserve"> millones de pesos a 18</w:t>
      </w:r>
      <w:r w:rsidR="00317490" w:rsidRPr="00FA506F">
        <w:rPr>
          <w:lang w:val="es-ES"/>
        </w:rPr>
        <w:t>.</w:t>
      </w:r>
      <w:r w:rsidRPr="00FA506F">
        <w:rPr>
          <w:lang w:val="es-ES"/>
        </w:rPr>
        <w:t>688</w:t>
      </w:r>
      <w:r w:rsidR="00317490" w:rsidRPr="00FA506F">
        <w:rPr>
          <w:lang w:val="es-ES"/>
        </w:rPr>
        <w:t>.</w:t>
      </w:r>
      <w:r w:rsidRPr="00FA506F">
        <w:rPr>
          <w:lang w:val="es-ES"/>
        </w:rPr>
        <w:t>427</w:t>
      </w:r>
      <w:r w:rsidR="00317490" w:rsidRPr="00FA506F">
        <w:rPr>
          <w:lang w:val="es-ES"/>
        </w:rPr>
        <w:t>,</w:t>
      </w:r>
      <w:r w:rsidRPr="00FA506F">
        <w:rPr>
          <w:lang w:val="es-ES"/>
        </w:rPr>
        <w:t xml:space="preserve"> millones de pesos para 2024, lo que representaría un aumento del 44</w:t>
      </w:r>
      <w:r w:rsidR="00317490" w:rsidRPr="00FA506F">
        <w:rPr>
          <w:lang w:val="es-ES"/>
        </w:rPr>
        <w:t>,</w:t>
      </w:r>
      <w:r w:rsidRPr="00FA506F">
        <w:rPr>
          <w:lang w:val="es-ES"/>
        </w:rPr>
        <w:t xml:space="preserve">98%. </w:t>
      </w:r>
      <w:r w:rsidR="008C2DA5" w:rsidRPr="00FA506F">
        <w:rPr>
          <w:lang w:val="es-ES"/>
        </w:rPr>
        <w:t>El</w:t>
      </w:r>
      <w:r w:rsidRPr="00FA506F">
        <w:rPr>
          <w:lang w:val="es-ES"/>
        </w:rPr>
        <w:t xml:space="preserve"> Estado refirió que se han programado cursos, conferencias, seminarios y talleres para crear una cultura de prevención del delito y respeto a la libertad de expresión y el derecho a la información</w:t>
      </w:r>
      <w:r w:rsidRPr="00FA506F">
        <w:rPr>
          <w:rStyle w:val="FootnoteReference"/>
          <w:lang w:val="es-ES"/>
        </w:rPr>
        <w:footnoteReference w:id="251"/>
      </w:r>
      <w:r w:rsidRPr="00FA506F">
        <w:rPr>
          <w:lang w:val="es-ES"/>
        </w:rPr>
        <w:t xml:space="preserve">. </w:t>
      </w:r>
      <w:r w:rsidR="00446046" w:rsidRPr="00FA506F">
        <w:rPr>
          <w:lang w:val="es-ES"/>
        </w:rPr>
        <w:t>Las</w:t>
      </w:r>
      <w:r w:rsidRPr="00FA506F">
        <w:rPr>
          <w:lang w:val="es-ES"/>
        </w:rPr>
        <w:t xml:space="preserve"> organizaciones de la sociedad civil destacaron que, si bien se puede</w:t>
      </w:r>
      <w:r w:rsidR="009C26B8" w:rsidRPr="00FA506F">
        <w:rPr>
          <w:lang w:val="es-ES"/>
        </w:rPr>
        <w:t xml:space="preserve"> visualizar</w:t>
      </w:r>
      <w:r w:rsidRPr="00FA506F">
        <w:rPr>
          <w:lang w:val="es-ES"/>
        </w:rPr>
        <w:t xml:space="preserve"> un aumento en el presupuesto de FEADLE en los últimos años, este se da luego de un recorte presupuestal de más del 50% en comparación con el presupuesto otorgado a la institución en 2013 que ascendía a los 38</w:t>
      </w:r>
      <w:r w:rsidR="00317490" w:rsidRPr="00FA506F">
        <w:rPr>
          <w:lang w:val="es-ES"/>
        </w:rPr>
        <w:t>.</w:t>
      </w:r>
      <w:r w:rsidRPr="00FA506F">
        <w:rPr>
          <w:lang w:val="es-ES"/>
        </w:rPr>
        <w:t>084</w:t>
      </w:r>
      <w:r w:rsidR="00317490" w:rsidRPr="00FA506F">
        <w:rPr>
          <w:lang w:val="es-ES"/>
        </w:rPr>
        <w:t>.</w:t>
      </w:r>
      <w:r w:rsidRPr="00FA506F">
        <w:rPr>
          <w:lang w:val="es-ES"/>
        </w:rPr>
        <w:t>788</w:t>
      </w:r>
      <w:r w:rsidR="00317490" w:rsidRPr="00FA506F">
        <w:rPr>
          <w:lang w:val="es-ES"/>
        </w:rPr>
        <w:t>,</w:t>
      </w:r>
      <w:r w:rsidRPr="00FA506F">
        <w:rPr>
          <w:lang w:val="es-ES"/>
        </w:rPr>
        <w:t xml:space="preserve"> millones de pesos</w:t>
      </w:r>
      <w:r w:rsidRPr="00FA506F">
        <w:rPr>
          <w:rStyle w:val="FootnoteReference"/>
          <w:lang w:val="es-ES"/>
        </w:rPr>
        <w:footnoteReference w:id="252"/>
      </w:r>
      <w:r w:rsidRPr="00FA506F">
        <w:rPr>
          <w:lang w:val="es-ES"/>
        </w:rPr>
        <w:t>.</w:t>
      </w:r>
    </w:p>
    <w:p w14:paraId="4D957909" w14:textId="77777777" w:rsidR="00105530" w:rsidRPr="00FA506F" w:rsidRDefault="00105530" w:rsidP="00A5767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7A512003"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154619D0" w14:textId="777C6226" w:rsidR="00105530" w:rsidRPr="00FA506F" w:rsidRDefault="00105530" w:rsidP="00B80A67">
      <w:pPr>
        <w:pStyle w:val="IAPrrafo"/>
        <w:numPr>
          <w:ilvl w:val="0"/>
          <w:numId w:val="4"/>
        </w:numPr>
        <w:tabs>
          <w:tab w:val="num" w:pos="720"/>
        </w:tabs>
        <w:ind w:firstLine="720"/>
        <w:rPr>
          <w:b/>
          <w:bCs/>
          <w:lang w:val="es-ES"/>
        </w:rPr>
      </w:pPr>
      <w:r w:rsidRPr="00FA506F">
        <w:rPr>
          <w:lang w:val="es-ES"/>
        </w:rPr>
        <w:t xml:space="preserve"> La CIDH observa con preocupación que no existe un presupuesto mínimo garantizado y constante destinado a la FEADLE en el Presupuesto de Egresos de la Federación de los últimos años. De esta forma, si bien, el Estado reporta un aumento en el presupuesto de 2019 a 2024, de acuerdo con información pública</w:t>
      </w:r>
      <w:r w:rsidR="009C26B8" w:rsidRPr="00FA506F">
        <w:rPr>
          <w:lang w:val="es-ES"/>
        </w:rPr>
        <w:t>,</w:t>
      </w:r>
      <w:r w:rsidRPr="00FA506F">
        <w:rPr>
          <w:lang w:val="es-ES"/>
        </w:rPr>
        <w:t xml:space="preserve"> el presupuesto de la FEADLE para 2015 era de </w:t>
      </w:r>
      <w:r w:rsidR="009C26B8" w:rsidRPr="00FA506F">
        <w:rPr>
          <w:lang w:val="es-ES"/>
        </w:rPr>
        <w:t>28.891.583;</w:t>
      </w:r>
      <w:r w:rsidRPr="00FA506F">
        <w:rPr>
          <w:lang w:val="es-ES"/>
        </w:rPr>
        <w:t xml:space="preserve"> 25</w:t>
      </w:r>
      <w:r w:rsidR="00317490" w:rsidRPr="00FA506F">
        <w:rPr>
          <w:lang w:val="es-ES"/>
        </w:rPr>
        <w:t>.</w:t>
      </w:r>
      <w:r w:rsidRPr="00FA506F">
        <w:rPr>
          <w:lang w:val="es-ES"/>
        </w:rPr>
        <w:t>121</w:t>
      </w:r>
      <w:r w:rsidR="00317490" w:rsidRPr="00FA506F">
        <w:rPr>
          <w:lang w:val="es-ES"/>
        </w:rPr>
        <w:t>.</w:t>
      </w:r>
      <w:r w:rsidRPr="00FA506F">
        <w:rPr>
          <w:lang w:val="es-ES"/>
        </w:rPr>
        <w:t>369</w:t>
      </w:r>
      <w:r w:rsidR="00317490" w:rsidRPr="00FA506F">
        <w:rPr>
          <w:lang w:val="es-ES"/>
        </w:rPr>
        <w:t>,</w:t>
      </w:r>
      <w:r w:rsidRPr="00FA506F">
        <w:rPr>
          <w:lang w:val="es-ES"/>
        </w:rPr>
        <w:t xml:space="preserve"> en 2016; 18</w:t>
      </w:r>
      <w:r w:rsidR="00317490" w:rsidRPr="00FA506F">
        <w:rPr>
          <w:lang w:val="es-ES"/>
        </w:rPr>
        <w:t>.</w:t>
      </w:r>
      <w:r w:rsidRPr="00FA506F">
        <w:rPr>
          <w:lang w:val="es-ES"/>
        </w:rPr>
        <w:t>433</w:t>
      </w:r>
      <w:r w:rsidR="00317490" w:rsidRPr="00FA506F">
        <w:rPr>
          <w:lang w:val="es-ES"/>
        </w:rPr>
        <w:t>.</w:t>
      </w:r>
      <w:r w:rsidRPr="00FA506F">
        <w:rPr>
          <w:lang w:val="es-ES"/>
        </w:rPr>
        <w:t>763 en 2017; 17</w:t>
      </w:r>
      <w:r w:rsidR="00317490" w:rsidRPr="00FA506F">
        <w:rPr>
          <w:lang w:val="es-ES"/>
        </w:rPr>
        <w:t>.</w:t>
      </w:r>
      <w:r w:rsidRPr="00FA506F">
        <w:rPr>
          <w:lang w:val="es-ES"/>
        </w:rPr>
        <w:t>989</w:t>
      </w:r>
      <w:r w:rsidR="00317490" w:rsidRPr="00FA506F">
        <w:rPr>
          <w:lang w:val="es-ES"/>
        </w:rPr>
        <w:t>.</w:t>
      </w:r>
      <w:r w:rsidRPr="00FA506F">
        <w:rPr>
          <w:lang w:val="es-ES"/>
        </w:rPr>
        <w:t>600 en 2018; 12</w:t>
      </w:r>
      <w:r w:rsidR="00317490" w:rsidRPr="00FA506F">
        <w:rPr>
          <w:lang w:val="es-ES"/>
        </w:rPr>
        <w:t>.</w:t>
      </w:r>
      <w:r w:rsidRPr="00FA506F">
        <w:rPr>
          <w:lang w:val="es-ES"/>
        </w:rPr>
        <w:t>889</w:t>
      </w:r>
      <w:r w:rsidR="00317490" w:rsidRPr="00FA506F">
        <w:rPr>
          <w:lang w:val="es-ES"/>
        </w:rPr>
        <w:t>.</w:t>
      </w:r>
      <w:r w:rsidRPr="00FA506F">
        <w:rPr>
          <w:lang w:val="es-ES"/>
        </w:rPr>
        <w:t>904 en 2019; 14</w:t>
      </w:r>
      <w:r w:rsidR="00317490" w:rsidRPr="00FA506F">
        <w:rPr>
          <w:lang w:val="es-ES"/>
        </w:rPr>
        <w:t>.</w:t>
      </w:r>
      <w:r w:rsidRPr="00FA506F">
        <w:rPr>
          <w:lang w:val="es-ES"/>
        </w:rPr>
        <w:t>491</w:t>
      </w:r>
      <w:r w:rsidR="00317490" w:rsidRPr="00FA506F">
        <w:rPr>
          <w:lang w:val="es-ES"/>
        </w:rPr>
        <w:t>.</w:t>
      </w:r>
      <w:r w:rsidRPr="00FA506F">
        <w:rPr>
          <w:lang w:val="es-ES"/>
        </w:rPr>
        <w:t>400 en 2020; 15</w:t>
      </w:r>
      <w:r w:rsidR="00317490" w:rsidRPr="00FA506F">
        <w:rPr>
          <w:lang w:val="es-ES"/>
        </w:rPr>
        <w:t>.</w:t>
      </w:r>
      <w:r w:rsidRPr="00FA506F">
        <w:rPr>
          <w:lang w:val="es-ES"/>
        </w:rPr>
        <w:t>033</w:t>
      </w:r>
      <w:r w:rsidR="00317490" w:rsidRPr="00FA506F">
        <w:rPr>
          <w:lang w:val="es-ES"/>
        </w:rPr>
        <w:t>.</w:t>
      </w:r>
      <w:r w:rsidRPr="00FA506F">
        <w:rPr>
          <w:lang w:val="es-ES"/>
        </w:rPr>
        <w:t>230 en 2021; 14</w:t>
      </w:r>
      <w:r w:rsidR="00317490" w:rsidRPr="00FA506F">
        <w:rPr>
          <w:lang w:val="es-ES"/>
        </w:rPr>
        <w:t>.</w:t>
      </w:r>
      <w:r w:rsidRPr="00FA506F">
        <w:rPr>
          <w:lang w:val="es-ES"/>
        </w:rPr>
        <w:t>813</w:t>
      </w:r>
      <w:r w:rsidR="00317490" w:rsidRPr="00FA506F">
        <w:rPr>
          <w:lang w:val="es-ES"/>
        </w:rPr>
        <w:t>.</w:t>
      </w:r>
      <w:r w:rsidRPr="00FA506F">
        <w:rPr>
          <w:lang w:val="es-ES"/>
        </w:rPr>
        <w:t>521 en 2022; 16</w:t>
      </w:r>
      <w:r w:rsidR="00317490" w:rsidRPr="00FA506F">
        <w:rPr>
          <w:lang w:val="es-ES"/>
        </w:rPr>
        <w:t>.</w:t>
      </w:r>
      <w:r w:rsidRPr="00FA506F">
        <w:rPr>
          <w:lang w:val="es-ES"/>
        </w:rPr>
        <w:t>272</w:t>
      </w:r>
      <w:r w:rsidR="00317490" w:rsidRPr="00FA506F">
        <w:rPr>
          <w:lang w:val="es-ES"/>
        </w:rPr>
        <w:t>.</w:t>
      </w:r>
      <w:r w:rsidRPr="00FA506F">
        <w:rPr>
          <w:lang w:val="es-ES"/>
        </w:rPr>
        <w:t>944 en 2023 y; 18</w:t>
      </w:r>
      <w:r w:rsidR="00317490" w:rsidRPr="00FA506F">
        <w:rPr>
          <w:lang w:val="es-ES"/>
        </w:rPr>
        <w:t>.</w:t>
      </w:r>
      <w:r w:rsidRPr="00FA506F">
        <w:rPr>
          <w:lang w:val="es-ES"/>
        </w:rPr>
        <w:t>688</w:t>
      </w:r>
      <w:r w:rsidR="00317490" w:rsidRPr="00FA506F">
        <w:rPr>
          <w:lang w:val="es-ES"/>
        </w:rPr>
        <w:t>.</w:t>
      </w:r>
      <w:r w:rsidRPr="00FA506F">
        <w:rPr>
          <w:lang w:val="es-ES"/>
        </w:rPr>
        <w:t>427 en 2024</w:t>
      </w:r>
      <w:r w:rsidRPr="00FA506F">
        <w:rPr>
          <w:rStyle w:val="FootnoteReference"/>
          <w:lang w:val="es-ES"/>
        </w:rPr>
        <w:footnoteReference w:id="253"/>
      </w:r>
      <w:r w:rsidRPr="00FA506F">
        <w:rPr>
          <w:lang w:val="es-ES"/>
        </w:rPr>
        <w:t xml:space="preserve">. Lo anterior evidencia una inconstancia en la partida presupuestal asignada a la FEADLE. </w:t>
      </w:r>
      <w:r w:rsidR="009C26B8" w:rsidRPr="00FA506F">
        <w:rPr>
          <w:lang w:val="es-ES"/>
        </w:rPr>
        <w:t>Así, de</w:t>
      </w:r>
      <w:r w:rsidRPr="00FA506F">
        <w:rPr>
          <w:lang w:val="es-ES"/>
        </w:rPr>
        <w:t xml:space="preserve"> 2015 a 2018 hubo una tendencia a la reducción del presupuesto de la institución. Posteriormente, si bien de 2019 a 2021 hubo un aumento, en 2022 el presupuesto volvió a tener una reducción. En ese sentido, en términos de lo establecido en la recomendación, en contraste con el presupuesto otorgado desde la publicación del Informe de Situación de derechos humanos en México en 2015 a la fecha, se registra una reducción del presupuesto, por tanto</w:t>
      </w:r>
      <w:r w:rsidRPr="00FA506F">
        <w:rPr>
          <w:b/>
          <w:bCs/>
          <w:lang w:val="es-ES"/>
        </w:rPr>
        <w:t xml:space="preserve">, </w:t>
      </w:r>
      <w:r w:rsidRPr="00FA506F">
        <w:rPr>
          <w:lang w:val="es-ES"/>
        </w:rPr>
        <w:t xml:space="preserve">la CIDH concluye que esta recomendación permanece </w:t>
      </w:r>
      <w:r w:rsidRPr="00FA506F">
        <w:rPr>
          <w:b/>
          <w:bCs/>
          <w:lang w:val="es-ES"/>
        </w:rPr>
        <w:t>pendiente de cumplimiento.</w:t>
      </w:r>
    </w:p>
    <w:p w14:paraId="3D590AAB" w14:textId="77777777" w:rsidR="00105530" w:rsidRPr="00FA506F" w:rsidRDefault="00105530" w:rsidP="00A5767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1BFB0E40"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095E75B6" w14:textId="334FFB68" w:rsidR="00105530" w:rsidRPr="00FA506F" w:rsidRDefault="00105530" w:rsidP="00B80A67">
      <w:pPr>
        <w:pStyle w:val="IAPrrafo"/>
        <w:numPr>
          <w:ilvl w:val="0"/>
          <w:numId w:val="4"/>
        </w:numPr>
        <w:tabs>
          <w:tab w:val="num" w:pos="720"/>
        </w:tabs>
        <w:ind w:firstLine="720"/>
        <w:rPr>
          <w:lang w:val="es-ES"/>
        </w:rPr>
      </w:pPr>
      <w:r w:rsidRPr="00FA506F">
        <w:rPr>
          <w:lang w:val="es-ES"/>
        </w:rPr>
        <w:t>Para avanzar con el cumplimiento de la recomendación es necesario garantizar la suficiencia presupuestaria de manera constante en el marco del Presupuesto de Egresos de la Federación de cada año</w:t>
      </w:r>
      <w:r w:rsidR="00376600" w:rsidRPr="00FA506F">
        <w:rPr>
          <w:lang w:val="es-ES"/>
        </w:rPr>
        <w:t xml:space="preserve"> y que asegure los </w:t>
      </w:r>
      <w:r w:rsidRPr="00FA506F">
        <w:rPr>
          <w:lang w:val="es-ES"/>
        </w:rPr>
        <w:t>recursos humanos de la institución.</w:t>
      </w:r>
      <w:r w:rsidR="00A25DCA" w:rsidRPr="00FA506F">
        <w:rPr>
          <w:lang w:val="es-ES"/>
        </w:rPr>
        <w:t xml:space="preserve"> </w:t>
      </w:r>
      <w:r w:rsidRPr="00FA506F">
        <w:rPr>
          <w:lang w:val="es-ES"/>
        </w:rPr>
        <w:t>En ese sentido, la CIDH invita al Estado a proporcionar información sobre cómo se estaría trabajando para garantizar una continuidad y suficiencia presupuestaria</w:t>
      </w:r>
      <w:r w:rsidR="00376600" w:rsidRPr="00FA506F">
        <w:rPr>
          <w:lang w:val="es-ES"/>
        </w:rPr>
        <w:t xml:space="preserve">; y </w:t>
      </w:r>
      <w:r w:rsidRPr="00FA506F">
        <w:rPr>
          <w:lang w:val="es-ES"/>
        </w:rPr>
        <w:t>a reportar información sobre cómo se estaría garantizando que la FEADLE cuente con los recursos humanos suficientes para el desempeño de sus funciones.</w:t>
      </w:r>
    </w:p>
    <w:p w14:paraId="07D66D09" w14:textId="77777777" w:rsidR="00105530" w:rsidRPr="00FA506F" w:rsidRDefault="00105530"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65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Adoptar protocolos especiales de investigación en virtud de los cuales se deba agotar completa y suficientemente la hipótesis de la relación del homicidio u agresión con el oficio periodístico. </w:t>
      </w:r>
    </w:p>
    <w:p w14:paraId="4821A24C" w14:textId="77777777" w:rsidR="00105530" w:rsidRPr="00FA506F" w:rsidRDefault="00105530" w:rsidP="00B80A67">
      <w:pPr>
        <w:jc w:val="both"/>
        <w:rPr>
          <w:rFonts w:ascii="Cambria" w:eastAsia="Cambria" w:hAnsi="Cambria" w:cs="Cambria"/>
          <w:i/>
          <w:iCs/>
          <w:color w:val="000000" w:themeColor="text1"/>
          <w:sz w:val="20"/>
          <w:szCs w:val="20"/>
          <w:lang w:val="es-ES"/>
        </w:rPr>
      </w:pPr>
    </w:p>
    <w:p w14:paraId="4D5C2802" w14:textId="46A99B78"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En el Capítulo V del Informe Anual de 2023, el Estado no proporcionó información sobre el cumplimiento de la recomendación. Sin embargo, el Informe Estadístico 2023 de la FEADLE destacó la creación en 2017 de un grupo multidisciplinario de analistas para fortalecer la investigación de delitos contra la libertad de expresión, siguiendo el Protocolo Homologado de Investigación. Las organizaciones de la sociedad civil informaron que, a pesar del protocolo, su aplicación ha sido deficiente por parte de las </w:t>
      </w:r>
      <w:r w:rsidR="00376600" w:rsidRPr="00FA506F">
        <w:rPr>
          <w:lang w:val="es-ES"/>
        </w:rPr>
        <w:t>f</w:t>
      </w:r>
      <w:r w:rsidRPr="00FA506F">
        <w:rPr>
          <w:lang w:val="es-ES"/>
        </w:rPr>
        <w:t>iscalías estatales y que la FEADLE enfrenta problemas estructurales que limitan la efectividad de sus investigaciones, lo que ha resultado en una tasa de impunidad del 98</w:t>
      </w:r>
      <w:r w:rsidR="00A25602" w:rsidRPr="00FA506F">
        <w:rPr>
          <w:lang w:val="es-ES"/>
        </w:rPr>
        <w:t>,</w:t>
      </w:r>
      <w:r w:rsidRPr="00FA506F">
        <w:rPr>
          <w:lang w:val="es-ES"/>
        </w:rPr>
        <w:t xml:space="preserve">26% en los casos de delitos o violaciones de derechos humanos contra la prensa. El Estado </w:t>
      </w:r>
      <w:r w:rsidR="00BE6519" w:rsidRPr="00FA506F">
        <w:rPr>
          <w:lang w:val="es-ES"/>
        </w:rPr>
        <w:t>destacó</w:t>
      </w:r>
      <w:r w:rsidRPr="00FA506F">
        <w:rPr>
          <w:lang w:val="es-ES"/>
        </w:rPr>
        <w:t xml:space="preserve"> que no todas las denuncias tienen elementos suficientes para ser judicializadas y destacó los avances en </w:t>
      </w:r>
      <w:r w:rsidR="00376600" w:rsidRPr="00FA506F">
        <w:rPr>
          <w:lang w:val="es-ES"/>
        </w:rPr>
        <w:t xml:space="preserve">la </w:t>
      </w:r>
      <w:r w:rsidRPr="00FA506F">
        <w:rPr>
          <w:lang w:val="es-ES"/>
        </w:rPr>
        <w:t xml:space="preserve">acción penal contra servidores públicos. La CIDH observó que la recomendación </w:t>
      </w:r>
      <w:r w:rsidR="00376600" w:rsidRPr="00FA506F">
        <w:rPr>
          <w:lang w:val="es-ES"/>
        </w:rPr>
        <w:t xml:space="preserve">seguía </w:t>
      </w:r>
      <w:r w:rsidRPr="00FA506F">
        <w:rPr>
          <w:lang w:val="es-ES"/>
        </w:rPr>
        <w:t>parcialmente cumplida debido a problemas en la implementación de protocolos y la administración de justicia. Se instó al Estado fortalecer y aplicar efectivamente los protocolos de investigación y proporcionar información sobre estas acciones</w:t>
      </w:r>
      <w:r w:rsidRPr="00FA506F">
        <w:rPr>
          <w:rStyle w:val="FootnoteReference"/>
          <w:lang w:val="es-ES"/>
        </w:rPr>
        <w:footnoteReference w:id="254"/>
      </w:r>
      <w:r w:rsidRPr="00FA506F">
        <w:rPr>
          <w:lang w:val="es-ES"/>
        </w:rPr>
        <w:t xml:space="preserve">. </w:t>
      </w:r>
    </w:p>
    <w:p w14:paraId="6377ABDE" w14:textId="77777777" w:rsidR="00105530" w:rsidRPr="00FA506F" w:rsidRDefault="00105530" w:rsidP="00A5767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01094702"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325C2296" w14:textId="414C953D" w:rsidR="00022D03" w:rsidRPr="00022D03" w:rsidRDefault="00105530" w:rsidP="00022D03">
      <w:pPr>
        <w:pStyle w:val="IAPrrafo"/>
        <w:numPr>
          <w:ilvl w:val="0"/>
          <w:numId w:val="4"/>
        </w:numPr>
        <w:tabs>
          <w:tab w:val="num" w:pos="720"/>
        </w:tabs>
        <w:ind w:firstLine="720"/>
        <w:rPr>
          <w:lang w:val="es-ES"/>
        </w:rPr>
      </w:pPr>
      <w:r w:rsidRPr="00FA506F">
        <w:rPr>
          <w:lang w:val="es-ES"/>
        </w:rPr>
        <w:t xml:space="preserve">En 2024, el Estado reportó que la FEADLE se encarga de investigar y perseguir delitos que afecten, limiten o vulneren la libertad de expresión de periodistas y que esta mantiene una comunicación constante con el Mecanismo de Protección a Personas Defensoras de Derechos Humanos y Periodistas. </w:t>
      </w:r>
      <w:r w:rsidR="006B4F48" w:rsidRPr="00FA506F">
        <w:rPr>
          <w:lang w:val="es-ES"/>
        </w:rPr>
        <w:t>E</w:t>
      </w:r>
      <w:r w:rsidRPr="00FA506F">
        <w:rPr>
          <w:lang w:val="es-ES"/>
        </w:rPr>
        <w:t>l Estado refirió que</w:t>
      </w:r>
      <w:r w:rsidR="00376600" w:rsidRPr="00FA506F">
        <w:rPr>
          <w:lang w:val="es-ES"/>
        </w:rPr>
        <w:t>,</w:t>
      </w:r>
      <w:r w:rsidRPr="00FA506F">
        <w:rPr>
          <w:lang w:val="es-ES"/>
        </w:rPr>
        <w:t xml:space="preserve"> desde 2020, colabora con la Unidad Especial de Género y Violencia contra las Mujeres de la FGR para identificar si existen factores de género en los casos que investiga. Entre 2018 y 2024, se abrieron 138 expedientes </w:t>
      </w:r>
      <w:r w:rsidRPr="00616692">
        <w:rPr>
          <w:lang w:val="es-ES"/>
        </w:rPr>
        <w:t xml:space="preserve">por delitos cometidos contra mujeres periodistas. El Estado reportó que se cuenta con un Protocolo Homologado de Investigación de Delitos Cometidos Contra la Libertad de Expresión, que incluye directrices especializadas con perspectiva de género. </w:t>
      </w:r>
      <w:r w:rsidR="006B4F48" w:rsidRPr="00616692">
        <w:rPr>
          <w:lang w:val="es-ES"/>
        </w:rPr>
        <w:t>El Estado</w:t>
      </w:r>
      <w:r w:rsidRPr="00616692">
        <w:rPr>
          <w:lang w:val="es-ES"/>
        </w:rPr>
        <w:t xml:space="preserve"> informó que, con el objetivo de impulsar los temas prioritarios en derechos humanos a nivel local, el 29 de febrero de 2024 se celebró la primera sesión de la Agenda Nacional de Coordinación en Derechos Humanos, que abordó la protección de personas defensoras de derechos humanos y periodistas, entre otros</w:t>
      </w:r>
      <w:r w:rsidRPr="00616692">
        <w:rPr>
          <w:rStyle w:val="FootnoteReference"/>
          <w:lang w:val="es-ES"/>
        </w:rPr>
        <w:footnoteReference w:id="255"/>
      </w:r>
      <w:r w:rsidRPr="00616692">
        <w:rPr>
          <w:lang w:val="es-ES"/>
        </w:rPr>
        <w:t>.</w:t>
      </w:r>
      <w:r w:rsidR="00022D03" w:rsidRPr="00616692">
        <w:rPr>
          <w:lang w:val="es-ES"/>
        </w:rPr>
        <w:t xml:space="preserve"> El Estado agregó en sus observaciones al presente </w:t>
      </w:r>
      <w:r w:rsidR="00D854ED" w:rsidRPr="00616692">
        <w:rPr>
          <w:lang w:val="es-ES"/>
        </w:rPr>
        <w:t>I</w:t>
      </w:r>
      <w:r w:rsidR="00022D03" w:rsidRPr="00616692">
        <w:rPr>
          <w:lang w:val="es-ES"/>
        </w:rPr>
        <w:t>nform</w:t>
      </w:r>
      <w:r w:rsidR="00D854ED" w:rsidRPr="00616692">
        <w:rPr>
          <w:lang w:val="es-ES"/>
        </w:rPr>
        <w:t>e</w:t>
      </w:r>
      <w:r w:rsidR="00022D03" w:rsidRPr="00616692">
        <w:rPr>
          <w:lang w:val="es-ES"/>
        </w:rPr>
        <w:t xml:space="preserve"> que se desarrolló el Estándar de Competencia EC1103 para certificar a agentes del Ministerio Público en la investigación de estos delitos con un enfoque especializado</w:t>
      </w:r>
      <w:r w:rsidR="00303938" w:rsidRPr="00616692">
        <w:rPr>
          <w:lang w:val="es-ES"/>
        </w:rPr>
        <w:t>;</w:t>
      </w:r>
      <w:r w:rsidR="00022D03" w:rsidRPr="00616692">
        <w:rPr>
          <w:lang w:val="es-ES"/>
        </w:rPr>
        <w:t xml:space="preserve"> y </w:t>
      </w:r>
      <w:r w:rsidR="00303938" w:rsidRPr="00616692">
        <w:rPr>
          <w:lang w:val="es-ES"/>
        </w:rPr>
        <w:t xml:space="preserve">que </w:t>
      </w:r>
      <w:r w:rsidR="00022D03" w:rsidRPr="00616692">
        <w:rPr>
          <w:lang w:val="es-ES"/>
        </w:rPr>
        <w:t>además se impartieron cursos en la materia</w:t>
      </w:r>
      <w:r w:rsidR="00022D03" w:rsidRPr="00616692">
        <w:rPr>
          <w:rStyle w:val="FootnoteReference"/>
          <w:lang w:val="es-ES"/>
        </w:rPr>
        <w:footnoteReference w:id="256"/>
      </w:r>
      <w:r w:rsidR="00022D03" w:rsidRPr="00616692">
        <w:rPr>
          <w:lang w:val="es-ES"/>
        </w:rPr>
        <w:t>.</w:t>
      </w:r>
    </w:p>
    <w:p w14:paraId="7EACA521" w14:textId="77777777" w:rsidR="00105530" w:rsidRPr="00FA506F" w:rsidRDefault="00105530" w:rsidP="00A5767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4047EC42"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223F70D4" w14:textId="73BE3045" w:rsidR="00105530" w:rsidRPr="00FA506F" w:rsidRDefault="00105530" w:rsidP="00B80A67">
      <w:pPr>
        <w:pStyle w:val="IAPrrafo"/>
        <w:numPr>
          <w:ilvl w:val="0"/>
          <w:numId w:val="4"/>
        </w:numPr>
        <w:tabs>
          <w:tab w:val="num" w:pos="720"/>
        </w:tabs>
        <w:ind w:firstLine="720"/>
        <w:rPr>
          <w:lang w:val="es-ES"/>
        </w:rPr>
      </w:pPr>
      <w:r w:rsidRPr="00FA506F">
        <w:rPr>
          <w:lang w:val="es-ES"/>
        </w:rPr>
        <w:t>La Comisión saluda el desarrollo de protocolos especializados que garanticen una investigación con enfoques diferenciados en delitos contra la libertad de expresión. En ese sentido, la primera sección de la recomendación se encontraría atendida</w:t>
      </w:r>
      <w:r w:rsidR="00376600" w:rsidRPr="00FA506F">
        <w:rPr>
          <w:lang w:val="es-ES"/>
        </w:rPr>
        <w:t>. S</w:t>
      </w:r>
      <w:r w:rsidRPr="00FA506F">
        <w:rPr>
          <w:lang w:val="es-ES"/>
        </w:rPr>
        <w:t xml:space="preserve">in embargo, el Estado no reportó información sobre cómo estos protocolos garantizarían el agotamiento de hipótesis de la relación del homicidio u agresión con el oficio periodístico, por lo cual, la CIDH concluye que la recomendación permanece </w:t>
      </w:r>
      <w:r w:rsidRPr="00FA506F">
        <w:rPr>
          <w:b/>
          <w:bCs/>
          <w:lang w:val="es-ES"/>
        </w:rPr>
        <w:t>parcialmente cumplida.</w:t>
      </w:r>
    </w:p>
    <w:p w14:paraId="76D8281D" w14:textId="77777777" w:rsidR="00105530" w:rsidRPr="00FA506F" w:rsidRDefault="00105530" w:rsidP="00A5767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5D87DC17"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40134C6D" w14:textId="7CF906A8"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Para el cumplimiento de esta recomendación, la CIDH invita al Estado a reportar información sobre cómo </w:t>
      </w:r>
      <w:r w:rsidR="00376600" w:rsidRPr="00FA506F">
        <w:rPr>
          <w:lang w:val="es-ES"/>
        </w:rPr>
        <w:t xml:space="preserve">el </w:t>
      </w:r>
      <w:r w:rsidRPr="00FA506F">
        <w:rPr>
          <w:lang w:val="es-ES"/>
        </w:rPr>
        <w:t xml:space="preserve">protocolo </w:t>
      </w:r>
      <w:r w:rsidR="00376600" w:rsidRPr="00FA506F">
        <w:rPr>
          <w:lang w:val="es-ES"/>
        </w:rPr>
        <w:t xml:space="preserve">de 2019 </w:t>
      </w:r>
      <w:r w:rsidRPr="00FA506F">
        <w:rPr>
          <w:lang w:val="es-ES"/>
        </w:rPr>
        <w:t xml:space="preserve">enunciado estaría garantizando que </w:t>
      </w:r>
      <w:r w:rsidR="009D3643" w:rsidRPr="00FA506F">
        <w:rPr>
          <w:lang w:val="es-ES"/>
        </w:rPr>
        <w:t>las investigaciones en delitos contra periodistas determinan</w:t>
      </w:r>
      <w:r w:rsidRPr="00FA506F">
        <w:rPr>
          <w:lang w:val="es-ES"/>
        </w:rPr>
        <w:t xml:space="preserve"> la hipótesis de la relación del homicidio u agresión con el oficio periodístico.</w:t>
      </w:r>
    </w:p>
    <w:p w14:paraId="3F67C4EB" w14:textId="77777777" w:rsidR="00105530" w:rsidRPr="00FA506F" w:rsidRDefault="00105530"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66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Mejorar la relación existente entre la jurisdicción federal y la jurisdicción estatal a fin de evitar que conflictos de competencia entorpezcan o retarden las investigaciones. </w:t>
      </w:r>
    </w:p>
    <w:p w14:paraId="0AFA449D" w14:textId="77777777" w:rsidR="00105530" w:rsidRPr="00FA506F" w:rsidRDefault="00105530" w:rsidP="00B80A67">
      <w:pPr>
        <w:jc w:val="both"/>
        <w:rPr>
          <w:lang w:val="es-ES"/>
        </w:rPr>
      </w:pPr>
    </w:p>
    <w:p w14:paraId="3E26FB53" w14:textId="321338FC" w:rsidR="00105530" w:rsidRPr="00FA506F" w:rsidRDefault="00105530" w:rsidP="00B80A67">
      <w:pPr>
        <w:pStyle w:val="IAPrrafo"/>
        <w:numPr>
          <w:ilvl w:val="0"/>
          <w:numId w:val="4"/>
        </w:numPr>
        <w:tabs>
          <w:tab w:val="num" w:pos="720"/>
        </w:tabs>
        <w:ind w:firstLine="720"/>
        <w:rPr>
          <w:lang w:val="es-ES"/>
        </w:rPr>
      </w:pPr>
      <w:r w:rsidRPr="00FA506F">
        <w:rPr>
          <w:lang w:val="es-ES"/>
        </w:rPr>
        <w:t>De acuerdo con la información reportada por el Estado para el Informe de Seguimiento de 2023, la CIDH conoció sobre la cooperación entre ambas jurisdicciones y sobre los requisitos que ha</w:t>
      </w:r>
      <w:r w:rsidR="009C26B8" w:rsidRPr="00FA506F">
        <w:rPr>
          <w:lang w:val="es-ES"/>
        </w:rPr>
        <w:t xml:space="preserve"> desarrollado </w:t>
      </w:r>
      <w:r w:rsidRPr="00FA506F">
        <w:rPr>
          <w:lang w:val="es-ES"/>
        </w:rPr>
        <w:t xml:space="preserve">la SCJN para posibilitar la facultad de atracción en casos importantes y trascendentes. Las organizaciones de la sociedad civil </w:t>
      </w:r>
      <w:r w:rsidR="00BE6519" w:rsidRPr="00FA506F">
        <w:rPr>
          <w:lang w:val="es-ES"/>
        </w:rPr>
        <w:t>resaltaron</w:t>
      </w:r>
      <w:r w:rsidRPr="00FA506F">
        <w:rPr>
          <w:lang w:val="es-ES"/>
        </w:rPr>
        <w:t xml:space="preserve"> que aún falta una política pública integral y que la FEADLE sigue teniendo discreción en la aplicación de la facultad de atracción, sin una capacidad estructural adecuada para análisis de contexto. La CIDH observó que, aunque existe un marco normativo y una reciente decisión de la SCJN, se necesita información adicional sobre conflictos de competencia y la efectividad en el ejercicio de la facultad de atracción. La recomendación avanzó a cumplimiento parcial sustancial y se instó al Estado a proporcionar detalles sobre el fortalecimiento de criterios objetivos para asegurar investigaciones justas y reducir conflictos de competencia</w:t>
      </w:r>
      <w:r w:rsidRPr="00FA506F">
        <w:rPr>
          <w:rStyle w:val="FootnoteReference"/>
          <w:lang w:val="es-ES"/>
        </w:rPr>
        <w:footnoteReference w:id="257"/>
      </w:r>
      <w:r w:rsidRPr="00FA506F">
        <w:rPr>
          <w:lang w:val="es-ES"/>
        </w:rPr>
        <w:t>.</w:t>
      </w:r>
    </w:p>
    <w:p w14:paraId="78847325" w14:textId="77777777" w:rsidR="00105530" w:rsidRPr="00FA506F" w:rsidRDefault="00105530" w:rsidP="00A5767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0C424409"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6538CED4" w14:textId="5CB6562D" w:rsidR="00105530" w:rsidRDefault="00105530" w:rsidP="00B80A67">
      <w:pPr>
        <w:pStyle w:val="IAPrrafo"/>
        <w:numPr>
          <w:ilvl w:val="0"/>
          <w:numId w:val="4"/>
        </w:numPr>
        <w:tabs>
          <w:tab w:val="num" w:pos="720"/>
        </w:tabs>
        <w:ind w:firstLine="720"/>
        <w:rPr>
          <w:lang w:val="es-ES"/>
        </w:rPr>
      </w:pPr>
      <w:r w:rsidRPr="00FA506F">
        <w:rPr>
          <w:lang w:val="es-ES"/>
        </w:rPr>
        <w:t xml:space="preserve">En 2024, el Estado reportó que estaría implementando medidas concretas para utilizar criterios objetivos en el ejercicio de la facultad de atracción, con el objetivo de asegurar investigaciones eficaces y justicia expedita en casos de delitos cometidos contra la libertad de expresión. Reiteró que el artículo 21 del Código Nacional de Procedimientos Penales </w:t>
      </w:r>
      <w:r w:rsidR="009C26B8" w:rsidRPr="00FA506F">
        <w:rPr>
          <w:lang w:val="es-ES"/>
        </w:rPr>
        <w:t>prevé</w:t>
      </w:r>
      <w:r w:rsidRPr="00FA506F">
        <w:rPr>
          <w:lang w:val="es-ES"/>
        </w:rPr>
        <w:t xml:space="preserve"> los casos en los que la FGR puede ejercer su facultad de atracción en estos delitos</w:t>
      </w:r>
      <w:r w:rsidRPr="00FA506F">
        <w:rPr>
          <w:rStyle w:val="FootnoteReference"/>
          <w:lang w:val="es-ES"/>
        </w:rPr>
        <w:footnoteReference w:id="258"/>
      </w:r>
      <w:r w:rsidRPr="00FA506F">
        <w:rPr>
          <w:lang w:val="es-ES"/>
        </w:rPr>
        <w:t>.</w:t>
      </w:r>
      <w:r w:rsidR="00446046" w:rsidRPr="00FA506F">
        <w:rPr>
          <w:lang w:val="es-ES"/>
        </w:rPr>
        <w:t xml:space="preserve"> O</w:t>
      </w:r>
      <w:r w:rsidRPr="00FA506F">
        <w:rPr>
          <w:lang w:val="es-ES"/>
        </w:rPr>
        <w:t>rganizaciones de la sociedad civil expresaron que, aun con criterios determinados para ejercer la facultad de atracción, estaría a discrecionalidad de la FEADLE determinar si se concreta alguna hipótesis normativa para ejercer dicha facultad. Para ello, acorde con el marco normativo, indicaron que sería necesaria la aplicación de análisis de contexto. Sin embargo, afirmaron que, de la información que han podido recoger, las fiscalías no tienen la capacidad estructural para la creación de unidades especiales que cumplan este aspecto</w:t>
      </w:r>
      <w:r w:rsidRPr="00FA506F">
        <w:rPr>
          <w:rStyle w:val="FootnoteReference"/>
          <w:lang w:val="es-ES"/>
        </w:rPr>
        <w:footnoteReference w:id="259"/>
      </w:r>
      <w:r w:rsidRPr="00FA506F">
        <w:rPr>
          <w:lang w:val="es-ES"/>
        </w:rPr>
        <w:t>.</w:t>
      </w:r>
    </w:p>
    <w:p w14:paraId="4601AE82" w14:textId="264B59CB" w:rsidR="00022D03" w:rsidRPr="00616692" w:rsidRDefault="00022D03" w:rsidP="00022D03">
      <w:pPr>
        <w:pStyle w:val="IAPrrafo"/>
        <w:numPr>
          <w:ilvl w:val="0"/>
          <w:numId w:val="4"/>
        </w:numPr>
        <w:tabs>
          <w:tab w:val="num" w:pos="720"/>
        </w:tabs>
        <w:ind w:firstLine="720"/>
        <w:rPr>
          <w:lang w:val="es-ES"/>
        </w:rPr>
      </w:pPr>
      <w:r w:rsidRPr="00616692">
        <w:rPr>
          <w:lang w:val="es-ES"/>
        </w:rPr>
        <w:t xml:space="preserve">El Estado agregó en sus observaciones al presente </w:t>
      </w:r>
      <w:r w:rsidR="00303938" w:rsidRPr="00616692">
        <w:rPr>
          <w:lang w:val="es-ES"/>
        </w:rPr>
        <w:t>I</w:t>
      </w:r>
      <w:r w:rsidRPr="00616692">
        <w:rPr>
          <w:lang w:val="es-ES"/>
        </w:rPr>
        <w:t>nform</w:t>
      </w:r>
      <w:r w:rsidR="00303938" w:rsidRPr="00616692">
        <w:rPr>
          <w:lang w:val="es-ES"/>
        </w:rPr>
        <w:t>e</w:t>
      </w:r>
      <w:r w:rsidRPr="00616692">
        <w:rPr>
          <w:lang w:val="es-ES"/>
        </w:rPr>
        <w:t xml:space="preserve"> </w:t>
      </w:r>
      <w:r w:rsidR="00A57671" w:rsidRPr="00616692">
        <w:rPr>
          <w:lang w:val="es-ES"/>
        </w:rPr>
        <w:t>que,</w:t>
      </w:r>
      <w:r w:rsidRPr="00616692">
        <w:rPr>
          <w:lang w:val="es-ES"/>
        </w:rPr>
        <w:t xml:space="preserve"> desde mayo de 2013 hasta enero de 2025, la FEADLE ha ejercido su facultad de atracción en 195 casos, garantizando un marco legal sólido para la protección del derecho a la información y la libertad de prensa</w:t>
      </w:r>
      <w:r w:rsidRPr="00616692">
        <w:rPr>
          <w:rStyle w:val="FootnoteReference"/>
          <w:lang w:val="es-ES"/>
        </w:rPr>
        <w:footnoteReference w:id="260"/>
      </w:r>
      <w:r w:rsidRPr="00616692">
        <w:rPr>
          <w:lang w:val="es-ES"/>
        </w:rPr>
        <w:t>.</w:t>
      </w:r>
    </w:p>
    <w:p w14:paraId="4F6398BF" w14:textId="77777777" w:rsidR="00105530" w:rsidRPr="00FA506F" w:rsidRDefault="00105530" w:rsidP="00A5767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3AE7A949"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64561D73" w14:textId="616205A7" w:rsidR="00105530" w:rsidRPr="00FA506F" w:rsidRDefault="00105530" w:rsidP="00B80A67">
      <w:pPr>
        <w:pStyle w:val="IAPrrafo"/>
        <w:numPr>
          <w:ilvl w:val="0"/>
          <w:numId w:val="4"/>
        </w:numPr>
        <w:tabs>
          <w:tab w:val="num" w:pos="720"/>
        </w:tabs>
        <w:ind w:firstLine="720"/>
        <w:rPr>
          <w:rFonts w:eastAsia="Cambria" w:cs="Cambria"/>
          <w:lang w:val="es-ES"/>
        </w:rPr>
      </w:pPr>
      <w:r w:rsidRPr="00FA506F">
        <w:rPr>
          <w:rFonts w:eastAsia="Cambria" w:cs="Cambria"/>
          <w:lang w:val="es-ES"/>
        </w:rPr>
        <w:t>La CIDH reitera la necesidad de información adicional que indique cuáles son las cifras actualizadas de conflictos de competencia en torno a estas investigaciones, es decir la estadística de las solicitudes de atracción contrastadas con la cifra de atracciones procedentes, especificando cómo opera la aplicación de los criterios para la determinación de procedencia o improcedencia de esa facultad de atracción y el avance de las investigaciones</w:t>
      </w:r>
      <w:r w:rsidRPr="00FA506F">
        <w:rPr>
          <w:rStyle w:val="FootnoteReference"/>
          <w:rFonts w:eastAsia="Cambria" w:cs="Cambria"/>
          <w:lang w:val="es-ES"/>
        </w:rPr>
        <w:footnoteReference w:id="261"/>
      </w:r>
      <w:r w:rsidRPr="00FA506F">
        <w:rPr>
          <w:rFonts w:eastAsia="Cambria" w:cs="Cambria"/>
          <w:lang w:val="es-ES"/>
        </w:rPr>
        <w:t xml:space="preserve">, por lo cual, concluye que la recomendación mantiene un </w:t>
      </w:r>
      <w:r w:rsidRPr="00FA506F">
        <w:rPr>
          <w:rFonts w:eastAsia="Cambria" w:cs="Cambria"/>
          <w:b/>
          <w:bCs/>
          <w:lang w:val="es-ES"/>
        </w:rPr>
        <w:t>cumplimiento parcial sustancial.</w:t>
      </w:r>
    </w:p>
    <w:p w14:paraId="56B4AD00" w14:textId="77777777" w:rsidR="00105530" w:rsidRPr="00FA506F" w:rsidRDefault="00105530" w:rsidP="00A5767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6C5DCC3D"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657127EF" w14:textId="77777777" w:rsidR="00105530" w:rsidRPr="00FA506F" w:rsidRDefault="00105530" w:rsidP="00B80A67">
      <w:pPr>
        <w:pStyle w:val="IAPrrafo"/>
        <w:numPr>
          <w:ilvl w:val="0"/>
          <w:numId w:val="4"/>
        </w:numPr>
        <w:tabs>
          <w:tab w:val="num" w:pos="720"/>
        </w:tabs>
        <w:ind w:firstLine="720"/>
        <w:rPr>
          <w:rFonts w:eastAsia="Cambria" w:cs="Cambria"/>
          <w:lang w:val="es-ES"/>
        </w:rPr>
      </w:pPr>
      <w:r w:rsidRPr="00FA506F">
        <w:rPr>
          <w:rFonts w:eastAsia="Cambria" w:cs="Cambria"/>
          <w:lang w:val="es-ES"/>
        </w:rPr>
        <w:t>Para orientar la implementación de esta recomendación, la CIDH reitera la invitación al Estado a proporcionar información sobre cómo se ha fortalecido el establecimiento y uso de criterios objetivos para el ejercicio de la facultad de atracción que asegure investigaciones y justicia expeditas, así como la reducción de los conflictos en materia de competencia.</w:t>
      </w:r>
    </w:p>
    <w:p w14:paraId="4115EBB1" w14:textId="77777777" w:rsidR="00105530" w:rsidRPr="00FA506F" w:rsidRDefault="00105530"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67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Permitir que las víctimas, sus familias y, cuando haya lugar, sus coadyuvantes puedan participar en los procesos penales con plenas garantías, tanto para la búsqueda de la verdad y el esclarecimiento de los hechos como al momento de exigir una reparación. </w:t>
      </w:r>
    </w:p>
    <w:p w14:paraId="00FFC669" w14:textId="77777777" w:rsidR="00105530" w:rsidRPr="00FA506F" w:rsidRDefault="00105530" w:rsidP="00B80A67">
      <w:pPr>
        <w:jc w:val="both"/>
        <w:rPr>
          <w:rFonts w:ascii="Cambria" w:eastAsia="Cambria" w:hAnsi="Cambria" w:cs="Cambria"/>
          <w:i/>
          <w:iCs/>
          <w:color w:val="000000" w:themeColor="text1"/>
          <w:sz w:val="20"/>
          <w:szCs w:val="20"/>
          <w:lang w:val="es-ES"/>
        </w:rPr>
      </w:pPr>
    </w:p>
    <w:p w14:paraId="6F6B6D34" w14:textId="51A046A9"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De acuerdo con la información reportada por el Estado para el Informe de Seguimiento de 2023, la Comisión tomó conocimiento sobre la creación del Protocolo Homologado de Investigación de Delitos Cometidos Contra la Libertad de Expresión, destacando la certificación y capacitación del personal de la FGR y el fortalecimiento de las Comisiones Ejecutivas de Atención a Víctimas. No obstante, las organizaciones de la sociedad civil reportaron una participación limitada de las víctimas en los procesos penales y problemas con las comisiones de atención, como revictimización y falta de reparación adecuada. La CIDH valoró los avances informados, pero consideró que </w:t>
      </w:r>
      <w:r w:rsidR="00376600" w:rsidRPr="00FA506F">
        <w:rPr>
          <w:lang w:val="es-ES"/>
        </w:rPr>
        <w:t xml:space="preserve">persistían </w:t>
      </w:r>
      <w:r w:rsidRPr="00FA506F">
        <w:rPr>
          <w:lang w:val="es-ES"/>
        </w:rPr>
        <w:t xml:space="preserve">problemas significativos en la participación efectiva de las víctimas, manteniendo la recomendación como parcialmente cumplida. Se solicitó al Estado asegurar una participación real de las víctimas y abordar las deficiencias </w:t>
      </w:r>
      <w:r w:rsidR="009C26B8" w:rsidRPr="00FA506F">
        <w:rPr>
          <w:lang w:val="es-ES"/>
        </w:rPr>
        <w:t>referidas</w:t>
      </w:r>
      <w:r w:rsidRPr="00FA506F">
        <w:rPr>
          <w:lang w:val="es-ES"/>
        </w:rPr>
        <w:t xml:space="preserve"> por la sociedad civil</w:t>
      </w:r>
      <w:r w:rsidRPr="00FA506F">
        <w:rPr>
          <w:rStyle w:val="FootnoteReference"/>
          <w:lang w:val="es-ES"/>
        </w:rPr>
        <w:footnoteReference w:id="262"/>
      </w:r>
      <w:r w:rsidRPr="00FA506F">
        <w:rPr>
          <w:lang w:val="es-ES"/>
        </w:rPr>
        <w:t>.</w:t>
      </w:r>
    </w:p>
    <w:p w14:paraId="0749538A" w14:textId="77777777" w:rsidR="00105530" w:rsidRPr="00FA506F" w:rsidRDefault="00105530" w:rsidP="00A5767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23168683"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6449077D" w14:textId="53B03970" w:rsidR="00022D03" w:rsidRPr="00616692" w:rsidRDefault="00105530" w:rsidP="00022D03">
      <w:pPr>
        <w:pStyle w:val="IAPrrafo"/>
        <w:numPr>
          <w:ilvl w:val="0"/>
          <w:numId w:val="4"/>
        </w:numPr>
        <w:tabs>
          <w:tab w:val="num" w:pos="720"/>
        </w:tabs>
        <w:ind w:firstLine="720"/>
        <w:rPr>
          <w:lang w:val="es-ES"/>
        </w:rPr>
      </w:pPr>
      <w:r w:rsidRPr="00FA506F">
        <w:rPr>
          <w:lang w:val="es-ES"/>
        </w:rPr>
        <w:t>En 2024, el Estado informó que la</w:t>
      </w:r>
      <w:r w:rsidR="00BB4DC8" w:rsidRPr="00FA506F">
        <w:rPr>
          <w:lang w:val="es-ES"/>
        </w:rPr>
        <w:t xml:space="preserve"> </w:t>
      </w:r>
      <w:r w:rsidRPr="00FA506F">
        <w:rPr>
          <w:lang w:val="es-ES"/>
        </w:rPr>
        <w:t xml:space="preserve">CEAV promueve activamente la participación de las víctimas directas e indirectas en los procesos de acceso a la justicia y reparación. </w:t>
      </w:r>
      <w:r w:rsidR="00446046" w:rsidRPr="00FA506F">
        <w:rPr>
          <w:lang w:val="es-ES"/>
        </w:rPr>
        <w:t>El Estado</w:t>
      </w:r>
      <w:r w:rsidRPr="00FA506F">
        <w:rPr>
          <w:lang w:val="es-ES"/>
        </w:rPr>
        <w:t xml:space="preserve"> refirió que las víctimas tendrían un rol crucial en la formulación de soluciones y en la implementación de mecanismos que aseguren sus derechos</w:t>
      </w:r>
      <w:r w:rsidR="00376600" w:rsidRPr="00FA506F">
        <w:rPr>
          <w:lang w:val="es-ES"/>
        </w:rPr>
        <w:t>;</w:t>
      </w:r>
      <w:r w:rsidR="006B4F48" w:rsidRPr="00FA506F">
        <w:rPr>
          <w:lang w:val="es-ES"/>
        </w:rPr>
        <w:t xml:space="preserve"> </w:t>
      </w:r>
      <w:r w:rsidR="00376600" w:rsidRPr="00FA506F">
        <w:rPr>
          <w:lang w:val="es-ES"/>
        </w:rPr>
        <w:t>y resaltó</w:t>
      </w:r>
      <w:r w:rsidRPr="00FA506F">
        <w:rPr>
          <w:lang w:val="es-ES"/>
        </w:rPr>
        <w:t xml:space="preserve"> que los familiares tendrían el derecho a participar activamente en el diseño, la implementación y el monitoreo de las acciones de búsqueda, así como a recibir información y aportar evidencias clave. El Estado reportó que la Fiscalía Especializada en Delitos de Desaparición (FEIDDF) facilitaría la participación activa de las familias en los procesos de investigación y en mantenerlas informadas sobre el avance de los casos</w:t>
      </w:r>
      <w:r w:rsidRPr="00FA506F">
        <w:rPr>
          <w:rStyle w:val="FootnoteReference"/>
          <w:lang w:val="es-ES"/>
        </w:rPr>
        <w:footnoteReference w:id="263"/>
      </w:r>
      <w:r w:rsidRPr="00FA506F">
        <w:rPr>
          <w:lang w:val="es-ES"/>
        </w:rPr>
        <w:t xml:space="preserve">. Por su parte, organizaciones de la sociedad civil </w:t>
      </w:r>
      <w:r w:rsidR="00376600" w:rsidRPr="00FA506F">
        <w:rPr>
          <w:lang w:val="es-ES"/>
        </w:rPr>
        <w:t xml:space="preserve">expusieron </w:t>
      </w:r>
      <w:r w:rsidRPr="00FA506F">
        <w:rPr>
          <w:lang w:val="es-ES"/>
        </w:rPr>
        <w:t xml:space="preserve">que la participación de las familias y de las víctimas </w:t>
      </w:r>
      <w:r w:rsidRPr="00616692">
        <w:rPr>
          <w:lang w:val="es-ES"/>
        </w:rPr>
        <w:t>en procesos de investigación no solo es limitada, sino que se ha visto mermada por la rotación de personal al interior de las instituciones del Estado, lo que imposibilita la continuidad de los procesos y genera retrasos en las investigaciones</w:t>
      </w:r>
      <w:r w:rsidRPr="00616692">
        <w:rPr>
          <w:rStyle w:val="FootnoteReference"/>
          <w:lang w:val="es-ES"/>
        </w:rPr>
        <w:footnoteReference w:id="264"/>
      </w:r>
      <w:r w:rsidRPr="00616692">
        <w:rPr>
          <w:lang w:val="es-ES"/>
        </w:rPr>
        <w:t xml:space="preserve">. </w:t>
      </w:r>
      <w:r w:rsidR="00022D03" w:rsidRPr="00616692">
        <w:rPr>
          <w:lang w:val="es-ES"/>
        </w:rPr>
        <w:t xml:space="preserve"> El Estado agregó en sus observaciones al presente </w:t>
      </w:r>
      <w:r w:rsidR="00D371E8" w:rsidRPr="00616692">
        <w:rPr>
          <w:lang w:val="es-ES"/>
        </w:rPr>
        <w:t>I</w:t>
      </w:r>
      <w:r w:rsidR="00022D03" w:rsidRPr="00616692">
        <w:rPr>
          <w:lang w:val="es-ES"/>
        </w:rPr>
        <w:t>nform</w:t>
      </w:r>
      <w:r w:rsidR="00D371E8" w:rsidRPr="00616692">
        <w:rPr>
          <w:lang w:val="es-ES"/>
        </w:rPr>
        <w:t>e</w:t>
      </w:r>
      <w:r w:rsidR="00022D03" w:rsidRPr="00616692">
        <w:rPr>
          <w:lang w:val="es-ES"/>
        </w:rPr>
        <w:t xml:space="preserve"> que la FEADLE implementa el Protocolo Homologado de Investigación de Delitos Cometidos Contra la Libertad de Expresión, con el objetivo de garantizar la protección, orientación jurídica y seguridad de periodistas en situación de riesgo, así como de sus familiares directos</w:t>
      </w:r>
      <w:r w:rsidR="00022D03" w:rsidRPr="00616692">
        <w:rPr>
          <w:rStyle w:val="FootnoteReference"/>
          <w:lang w:val="es-ES"/>
        </w:rPr>
        <w:footnoteReference w:id="265"/>
      </w:r>
      <w:r w:rsidR="00022D03" w:rsidRPr="00616692">
        <w:rPr>
          <w:lang w:val="es-ES"/>
        </w:rPr>
        <w:t>.</w:t>
      </w:r>
    </w:p>
    <w:p w14:paraId="6E11666B" w14:textId="77777777" w:rsidR="00105530" w:rsidRPr="00FA506F" w:rsidRDefault="00105530" w:rsidP="00A57671">
      <w:pPr>
        <w:ind w:firstLine="720"/>
        <w:jc w:val="both"/>
        <w:rPr>
          <w:rFonts w:ascii="Cambria" w:eastAsia="Cambria" w:hAnsi="Cambria" w:cs="Cambria"/>
          <w:i/>
          <w:iCs/>
          <w:color w:val="000000" w:themeColor="text1"/>
          <w:sz w:val="20"/>
          <w:szCs w:val="20"/>
          <w:lang w:val="es-ES"/>
        </w:rPr>
      </w:pPr>
      <w:r w:rsidRPr="00616692">
        <w:rPr>
          <w:rFonts w:ascii="Cambria" w:eastAsia="Cambria" w:hAnsi="Cambria" w:cs="Cambria"/>
          <w:i/>
          <w:iCs/>
          <w:color w:val="000000" w:themeColor="text1"/>
          <w:sz w:val="20"/>
          <w:szCs w:val="20"/>
          <w:lang w:val="es-ES"/>
        </w:rPr>
        <w:t>Análisis y nivel de cumplimiento de la recomendación</w:t>
      </w:r>
    </w:p>
    <w:p w14:paraId="2C9300F9"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1E990BBA" w14:textId="23E1322E" w:rsidR="00105530" w:rsidRPr="00FA506F" w:rsidRDefault="00105530" w:rsidP="00B80A67">
      <w:pPr>
        <w:pStyle w:val="IAPrrafo"/>
        <w:numPr>
          <w:ilvl w:val="0"/>
          <w:numId w:val="4"/>
        </w:numPr>
        <w:tabs>
          <w:tab w:val="num" w:pos="720"/>
        </w:tabs>
        <w:ind w:firstLine="720"/>
        <w:rPr>
          <w:lang w:val="es-ES"/>
        </w:rPr>
      </w:pPr>
      <w:r w:rsidRPr="00FA506F">
        <w:rPr>
          <w:lang w:val="es-ES"/>
        </w:rPr>
        <w:t>La</w:t>
      </w:r>
      <w:r w:rsidR="006F7A01" w:rsidRPr="00FA506F">
        <w:rPr>
          <w:lang w:val="es-ES"/>
        </w:rPr>
        <w:t xml:space="preserve">s </w:t>
      </w:r>
      <w:r w:rsidRPr="00FA506F">
        <w:rPr>
          <w:lang w:val="es-ES"/>
        </w:rPr>
        <w:t>organizaciones siguen reportando una facultad limitada de participación de víctimas en procesos penales y en acciones de reparación, por lo cual es necesario que el Estado dé una respuesta adecuada</w:t>
      </w:r>
      <w:r w:rsidR="00376600" w:rsidRPr="00FA506F">
        <w:rPr>
          <w:lang w:val="es-ES"/>
        </w:rPr>
        <w:t xml:space="preserve"> y brinde información precisa sobre cómo se</w:t>
      </w:r>
      <w:r w:rsidRPr="00FA506F">
        <w:rPr>
          <w:lang w:val="es-ES"/>
        </w:rPr>
        <w:t xml:space="preserve"> garanti</w:t>
      </w:r>
      <w:r w:rsidR="00376600" w:rsidRPr="00FA506F">
        <w:rPr>
          <w:lang w:val="es-ES"/>
        </w:rPr>
        <w:t>za</w:t>
      </w:r>
      <w:r w:rsidRPr="00FA506F">
        <w:rPr>
          <w:lang w:val="es-ES"/>
        </w:rPr>
        <w:t xml:space="preserve"> esta participación. Por lo anterior, la Comisión considera que la recomendación continúa </w:t>
      </w:r>
      <w:r w:rsidRPr="00FA506F">
        <w:rPr>
          <w:b/>
          <w:bCs/>
          <w:lang w:val="es-ES"/>
        </w:rPr>
        <w:t>parcialmente cumplida.</w:t>
      </w:r>
    </w:p>
    <w:p w14:paraId="7063AC0B" w14:textId="77777777" w:rsidR="00105530" w:rsidRPr="00FA506F" w:rsidRDefault="00105530" w:rsidP="00A5767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3ACC1B28"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433A9C6E" w14:textId="18791AB6" w:rsidR="00105530" w:rsidRPr="00FA506F" w:rsidRDefault="00105530" w:rsidP="00B80A67">
      <w:pPr>
        <w:pStyle w:val="IAPrrafo"/>
        <w:numPr>
          <w:ilvl w:val="0"/>
          <w:numId w:val="4"/>
        </w:numPr>
        <w:tabs>
          <w:tab w:val="num" w:pos="720"/>
        </w:tabs>
        <w:ind w:firstLine="720"/>
        <w:rPr>
          <w:rFonts w:eastAsia="Cambria" w:cs="Cambria"/>
          <w:lang w:val="es-ES"/>
        </w:rPr>
      </w:pPr>
      <w:r w:rsidRPr="00FA506F">
        <w:rPr>
          <w:rFonts w:eastAsia="Cambria" w:cs="Cambria"/>
          <w:lang w:val="es-ES"/>
        </w:rPr>
        <w:t xml:space="preserve">Para orientar el cumplimiento de esta recomendación, la CIDH invita al Estado a garantizar, en la práctica, la participación de las víctimas y sus familias en los procesos penales y en trámites de reparación. En este sentido, invita a identificar la causa de las alegaciones </w:t>
      </w:r>
      <w:r w:rsidR="009C26B8" w:rsidRPr="00FA506F">
        <w:rPr>
          <w:rFonts w:eastAsia="Cambria" w:cs="Cambria"/>
          <w:lang w:val="es-ES"/>
        </w:rPr>
        <w:t>reportadas</w:t>
      </w:r>
      <w:r w:rsidRPr="00FA506F">
        <w:rPr>
          <w:rFonts w:eastAsia="Cambria" w:cs="Cambria"/>
          <w:lang w:val="es-ES"/>
        </w:rPr>
        <w:t xml:space="preserve"> por la sociedad civil y a plantear medidas que den una respuesta adecuada. </w:t>
      </w:r>
      <w:r w:rsidR="008C2DA5" w:rsidRPr="00FA506F">
        <w:rPr>
          <w:rFonts w:eastAsia="Cambria" w:cs="Cambria"/>
          <w:lang w:val="es-ES"/>
        </w:rPr>
        <w:t>La Comisión</w:t>
      </w:r>
      <w:r w:rsidRPr="00FA506F">
        <w:rPr>
          <w:rFonts w:eastAsia="Cambria" w:cs="Cambria"/>
          <w:lang w:val="es-ES"/>
        </w:rPr>
        <w:t xml:space="preserve"> solicita información sobre la participación de víctimas por autoridades de procuración de justicia e instancias de atención a víctimas. </w:t>
      </w:r>
      <w:r w:rsidR="006B4F48" w:rsidRPr="00FA506F">
        <w:rPr>
          <w:rFonts w:eastAsia="Cambria" w:cs="Cambria"/>
          <w:lang w:val="es-ES"/>
        </w:rPr>
        <w:t>Frente</w:t>
      </w:r>
      <w:r w:rsidRPr="00FA506F">
        <w:rPr>
          <w:rFonts w:eastAsia="Cambria" w:cs="Cambria"/>
          <w:lang w:val="es-ES"/>
        </w:rPr>
        <w:t xml:space="preserve"> a la alegación de que las comisiones de víctimas no garantizan la participación de las víctimas, la CIDH invita a la adopción de medidas para que la representación ante esta entidad no impida </w:t>
      </w:r>
      <w:r w:rsidR="00376600" w:rsidRPr="00FA506F">
        <w:rPr>
          <w:rFonts w:eastAsia="Cambria" w:cs="Cambria"/>
          <w:lang w:val="es-ES"/>
        </w:rPr>
        <w:t xml:space="preserve">el </w:t>
      </w:r>
      <w:r w:rsidRPr="00FA506F">
        <w:rPr>
          <w:rFonts w:eastAsia="Cambria" w:cs="Cambria"/>
          <w:lang w:val="es-ES"/>
        </w:rPr>
        <w:t xml:space="preserve">acceso de las víctimas en las investigaciones. </w:t>
      </w:r>
    </w:p>
    <w:p w14:paraId="3A900C11" w14:textId="77777777" w:rsidR="00105530" w:rsidRPr="00FA506F" w:rsidRDefault="00105530" w:rsidP="00A57671">
      <w:pPr>
        <w:pStyle w:val="IASubttulo3"/>
        <w:numPr>
          <w:ilvl w:val="0"/>
          <w:numId w:val="5"/>
        </w:numPr>
        <w:ind w:hanging="720"/>
        <w:rPr>
          <w:lang w:val="es-ES"/>
        </w:rPr>
      </w:pPr>
      <w:bookmarkStart w:id="30" w:name="_Toc195618120"/>
      <w:r w:rsidRPr="00FA506F">
        <w:rPr>
          <w:lang w:val="es-ES"/>
        </w:rPr>
        <w:t>Acceso a la información</w:t>
      </w:r>
      <w:bookmarkEnd w:id="30"/>
    </w:p>
    <w:p w14:paraId="432BB56D" w14:textId="6F47DC79" w:rsidR="00105530" w:rsidRPr="00FA506F" w:rsidRDefault="00105530"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68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En cuanto a la atribución que le confiere la </w:t>
      </w:r>
      <w:r w:rsidR="002A1586"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L</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ey de Acceso a la Información a la Consejería Jurídica de la </w:t>
      </w:r>
      <w:r w:rsidR="00E146ED"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P</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residencia, se recomienda reglamentar dicha facultad de acuerdo con los principios internacionales referidos a acceso a la información pública y seguridad nacional. </w:t>
      </w:r>
    </w:p>
    <w:p w14:paraId="7EDBFAD9" w14:textId="77777777" w:rsidR="00105530" w:rsidRPr="00FA506F" w:rsidRDefault="00105530" w:rsidP="00B80A67">
      <w:pPr>
        <w:jc w:val="both"/>
        <w:rPr>
          <w:rFonts w:ascii="Cambria" w:eastAsia="Cambria" w:hAnsi="Cambria" w:cs="Cambria"/>
          <w:i/>
          <w:iCs/>
          <w:color w:val="000000" w:themeColor="text1"/>
          <w:sz w:val="20"/>
          <w:szCs w:val="20"/>
          <w:lang w:val="es-ES"/>
        </w:rPr>
      </w:pPr>
    </w:p>
    <w:p w14:paraId="58335862" w14:textId="20C280A2"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En el Capítulo V del Informe Anual de 2023, la CIDH tomó nota </w:t>
      </w:r>
      <w:r w:rsidR="00446046" w:rsidRPr="00FA506F">
        <w:rPr>
          <w:lang w:val="es-ES"/>
        </w:rPr>
        <w:t xml:space="preserve">de </w:t>
      </w:r>
      <w:r w:rsidRPr="00FA506F">
        <w:rPr>
          <w:lang w:val="es-ES"/>
        </w:rPr>
        <w:t xml:space="preserve">la resolución de la SCJN </w:t>
      </w:r>
      <w:r w:rsidR="00446046" w:rsidRPr="00FA506F">
        <w:rPr>
          <w:lang w:val="es-ES"/>
        </w:rPr>
        <w:t>sobre la</w:t>
      </w:r>
      <w:r w:rsidRPr="00FA506F">
        <w:rPr>
          <w:lang w:val="es-ES"/>
        </w:rPr>
        <w:t xml:space="preserve"> inconstitucionalidad del Acuerdo que limitaba el acceso a información sobre proyectos y obras del Gobierno de México, y la posterior decisión que no encontró violación en un nuevo </w:t>
      </w:r>
      <w:r w:rsidR="002A1586" w:rsidRPr="00FA506F">
        <w:rPr>
          <w:lang w:val="es-ES"/>
        </w:rPr>
        <w:t>d</w:t>
      </w:r>
      <w:r w:rsidRPr="00FA506F">
        <w:rPr>
          <w:lang w:val="es-ES"/>
        </w:rPr>
        <w:t xml:space="preserve">ecreto similar. Sin embargo, las organizaciones de la sociedad civil expresaron que esta decisión no resolverá la opacidad en torno a dichos proyectos y la continua denegación de acceso a la información. La CIDH destacó que, a pesar de las resoluciones de la SCJN, persisten preocupaciones sobre la aplicación e interpretación del artículo 157 de la Ley General de Transparencia y Acceso a la Información Pública (LGTAIP) para restringir el acceso a información de interés público y se sigue solicitando información adicional para la aplicación de esta norma. Por lo tanto, la recomendación se consideró que </w:t>
      </w:r>
      <w:r w:rsidR="00B95156" w:rsidRPr="00FA506F">
        <w:rPr>
          <w:lang w:val="es-ES"/>
        </w:rPr>
        <w:t>había avanzado</w:t>
      </w:r>
      <w:r w:rsidRPr="00FA506F">
        <w:rPr>
          <w:lang w:val="es-ES"/>
        </w:rPr>
        <w:t xml:space="preserve"> a cumplimiento parcial sustancial y se invitó al Estado a proporcionar detalles adicionales sobre cómo asegurar que esta atribución no se use para limitar el acceso a información pública</w:t>
      </w:r>
      <w:r w:rsidRPr="00FA506F">
        <w:rPr>
          <w:rStyle w:val="FootnoteReference"/>
          <w:lang w:val="es-ES"/>
        </w:rPr>
        <w:footnoteReference w:id="266"/>
      </w:r>
      <w:r w:rsidRPr="00FA506F">
        <w:rPr>
          <w:lang w:val="es-ES"/>
        </w:rPr>
        <w:t>.</w:t>
      </w:r>
    </w:p>
    <w:p w14:paraId="44D283B0" w14:textId="77777777" w:rsidR="00105530" w:rsidRPr="00FA506F" w:rsidRDefault="00105530" w:rsidP="00A5767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5B12D9D7"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7D3C0450" w14:textId="77777777" w:rsidR="00105530" w:rsidRPr="00FA506F" w:rsidRDefault="00105530" w:rsidP="00B80A67">
      <w:pPr>
        <w:pStyle w:val="IAPrrafo"/>
        <w:numPr>
          <w:ilvl w:val="0"/>
          <w:numId w:val="4"/>
        </w:numPr>
        <w:tabs>
          <w:tab w:val="num" w:pos="720"/>
        </w:tabs>
        <w:ind w:firstLine="720"/>
        <w:rPr>
          <w:lang w:val="es-ES"/>
        </w:rPr>
      </w:pPr>
      <w:r w:rsidRPr="00FA506F">
        <w:rPr>
          <w:lang w:val="es-ES"/>
        </w:rPr>
        <w:t>Para 2024, ni el Estado, ni organizaciones de la sociedad civil aportaron información relacionada con esta recomendación.</w:t>
      </w:r>
    </w:p>
    <w:p w14:paraId="3FEE0A07" w14:textId="77777777" w:rsidR="007F3419" w:rsidRDefault="007F3419" w:rsidP="00A57671">
      <w:pPr>
        <w:ind w:firstLine="720"/>
        <w:jc w:val="both"/>
        <w:rPr>
          <w:rFonts w:ascii="Cambria" w:eastAsia="Cambria" w:hAnsi="Cambria" w:cs="Cambria"/>
          <w:i/>
          <w:iCs/>
          <w:color w:val="000000" w:themeColor="text1"/>
          <w:sz w:val="20"/>
          <w:szCs w:val="20"/>
          <w:lang w:val="es-ES"/>
        </w:rPr>
      </w:pPr>
    </w:p>
    <w:p w14:paraId="6529628C" w14:textId="77777777" w:rsidR="007F3419" w:rsidRDefault="007F3419" w:rsidP="00A57671">
      <w:pPr>
        <w:ind w:firstLine="720"/>
        <w:jc w:val="both"/>
        <w:rPr>
          <w:rFonts w:ascii="Cambria" w:eastAsia="Cambria" w:hAnsi="Cambria" w:cs="Cambria"/>
          <w:i/>
          <w:iCs/>
          <w:color w:val="000000" w:themeColor="text1"/>
          <w:sz w:val="20"/>
          <w:szCs w:val="20"/>
          <w:lang w:val="es-ES"/>
        </w:rPr>
      </w:pPr>
    </w:p>
    <w:p w14:paraId="027E70E5" w14:textId="2A038C48" w:rsidR="00105530" w:rsidRPr="00FA506F" w:rsidRDefault="00105530" w:rsidP="00A5767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47BDB005"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3B186A4F" w14:textId="4A7EC4A6" w:rsidR="004F3E06" w:rsidRPr="00FA506F" w:rsidRDefault="004F3E06" w:rsidP="00B80A67">
      <w:pPr>
        <w:pStyle w:val="IAPrrafo"/>
        <w:numPr>
          <w:ilvl w:val="0"/>
          <w:numId w:val="4"/>
        </w:numPr>
        <w:tabs>
          <w:tab w:val="num" w:pos="720"/>
        </w:tabs>
        <w:ind w:firstLine="720"/>
        <w:rPr>
          <w:lang w:val="es-ES"/>
        </w:rPr>
      </w:pPr>
      <w:r w:rsidRPr="00FA506F">
        <w:rPr>
          <w:lang w:val="es-ES"/>
        </w:rPr>
        <w:t>La CIDH observa con preocupación la falta de información por parte de Estado y sociedad civil en relación con esta recomendación. Sin embargo, de acuerdo con información pública, la CIDH tomó conocimiento que el 29 de noviembre de 2024, se aprobó una reforma constitucional en el Senado de la República mediante la cual se extingu</w:t>
      </w:r>
      <w:r w:rsidR="00DC11EA" w:rsidRPr="00FA506F">
        <w:rPr>
          <w:lang w:val="es-ES"/>
        </w:rPr>
        <w:t>irá</w:t>
      </w:r>
      <w:r w:rsidRPr="00FA506F">
        <w:rPr>
          <w:lang w:val="es-ES"/>
        </w:rPr>
        <w:t xml:space="preserve">n </w:t>
      </w:r>
      <w:r w:rsidR="0071075E" w:rsidRPr="00FA506F">
        <w:rPr>
          <w:lang w:val="es-ES"/>
        </w:rPr>
        <w:t xml:space="preserve">varios </w:t>
      </w:r>
      <w:r w:rsidRPr="00FA506F">
        <w:rPr>
          <w:lang w:val="es-ES"/>
        </w:rPr>
        <w:t xml:space="preserve">organismos constitucionales autónomos, entre ellos el Instituto Nacional de Transparencia, Acceso a la Información y Protección de Datos Personales (INAI). </w:t>
      </w:r>
      <w:r w:rsidR="0071075E" w:rsidRPr="00FA506F">
        <w:rPr>
          <w:lang w:val="es-ES"/>
        </w:rPr>
        <w:t>En tanto l</w:t>
      </w:r>
      <w:r w:rsidR="00446046" w:rsidRPr="00FA506F">
        <w:rPr>
          <w:lang w:val="es-ES"/>
        </w:rPr>
        <w:t>a</w:t>
      </w:r>
      <w:r w:rsidRPr="00FA506F">
        <w:rPr>
          <w:lang w:val="es-ES"/>
        </w:rPr>
        <w:t xml:space="preserve"> </w:t>
      </w:r>
      <w:r w:rsidR="0071075E" w:rsidRPr="00FA506F">
        <w:rPr>
          <w:lang w:val="es-ES"/>
        </w:rPr>
        <w:t>r</w:t>
      </w:r>
      <w:r w:rsidRPr="00FA506F">
        <w:rPr>
          <w:lang w:val="es-ES"/>
        </w:rPr>
        <w:t xml:space="preserve">ecomendación </w:t>
      </w:r>
      <w:r w:rsidR="0071075E" w:rsidRPr="00FA506F">
        <w:rPr>
          <w:lang w:val="es-ES"/>
        </w:rPr>
        <w:t xml:space="preserve">bajo análisis </w:t>
      </w:r>
      <w:r w:rsidRPr="00FA506F">
        <w:rPr>
          <w:lang w:val="es-ES"/>
        </w:rPr>
        <w:t>resalta la necesidad de reglamentar las facultades de la Consejería Jurídica de la Presidencia en materia de acceso a la información, alineándolas con los principios internacionales de transparencia y acceso a la información pública</w:t>
      </w:r>
      <w:r w:rsidR="0028379E" w:rsidRPr="00FA506F">
        <w:rPr>
          <w:lang w:val="es-ES"/>
        </w:rPr>
        <w:t xml:space="preserve">; </w:t>
      </w:r>
      <w:r w:rsidRPr="00FA506F">
        <w:rPr>
          <w:lang w:val="es-ES"/>
        </w:rPr>
        <w:t xml:space="preserve">la reciente desaparición del INAI, </w:t>
      </w:r>
      <w:r w:rsidR="008E0052" w:rsidRPr="00FA506F">
        <w:rPr>
          <w:lang w:val="es-ES"/>
        </w:rPr>
        <w:t>la institución responsable de</w:t>
      </w:r>
      <w:r w:rsidRPr="00FA506F">
        <w:rPr>
          <w:lang w:val="es-ES"/>
        </w:rPr>
        <w:t xml:space="preserve"> garantizar la transparencia, rendición de cuentas y protección de los derechos de acceso a la información</w:t>
      </w:r>
      <w:r w:rsidR="00C65EE0" w:rsidRPr="00FA506F">
        <w:rPr>
          <w:lang w:val="es-ES"/>
        </w:rPr>
        <w:t xml:space="preserve"> pone en riesgo el cumplimiento de esta recomendación</w:t>
      </w:r>
      <w:r w:rsidRPr="00FA506F">
        <w:rPr>
          <w:lang w:val="es-ES"/>
        </w:rPr>
        <w:t>.</w:t>
      </w:r>
      <w:r w:rsidRPr="00FA506F">
        <w:rPr>
          <w:rFonts w:ascii="-webkit-standard" w:eastAsia="Times New Roman" w:hAnsi="-webkit-standard" w:cs="Times New Roman"/>
          <w:sz w:val="27"/>
          <w:szCs w:val="27"/>
          <w:lang w:val="es-ES"/>
        </w:rPr>
        <w:t xml:space="preserve"> </w:t>
      </w:r>
      <w:r w:rsidRPr="00FA506F">
        <w:rPr>
          <w:lang w:val="es-ES"/>
        </w:rPr>
        <w:t>La eliminación del INAI concentra</w:t>
      </w:r>
      <w:r w:rsidR="00C65EE0" w:rsidRPr="00FA506F">
        <w:rPr>
          <w:lang w:val="es-ES"/>
        </w:rPr>
        <w:t>rá</w:t>
      </w:r>
      <w:r w:rsidRPr="00FA506F">
        <w:rPr>
          <w:lang w:val="es-ES"/>
        </w:rPr>
        <w:t xml:space="preserve"> aún más las facultades en el Ejecutivo, debilitando los mecanismos de supervisión independientes sobre el uso de las atribuciones de la Consejería Jurídica en relación con la clasificación y reserva de información pública. Según los principios internacionales establecidos en </w:t>
      </w:r>
      <w:r w:rsidR="00131BBA" w:rsidRPr="00FA506F">
        <w:rPr>
          <w:lang w:val="es-ES"/>
        </w:rPr>
        <w:t>los</w:t>
      </w:r>
      <w:r w:rsidRPr="00FA506F">
        <w:rPr>
          <w:lang w:val="es-ES"/>
        </w:rPr>
        <w:t> Principio</w:t>
      </w:r>
      <w:r w:rsidR="00131BBA" w:rsidRPr="00FA506F">
        <w:rPr>
          <w:lang w:val="es-ES"/>
        </w:rPr>
        <w:t>s</w:t>
      </w:r>
      <w:r w:rsidRPr="00FA506F">
        <w:rPr>
          <w:lang w:val="es-ES"/>
        </w:rPr>
        <w:t xml:space="preserve"> de Lima sobre Acceso a la Información Pública</w:t>
      </w:r>
      <w:r w:rsidRPr="00FA506F">
        <w:rPr>
          <w:rStyle w:val="FootnoteReference"/>
          <w:lang w:val="es-ES"/>
        </w:rPr>
        <w:footnoteReference w:id="267"/>
      </w:r>
      <w:r w:rsidR="00131BBA" w:rsidRPr="00FA506F">
        <w:rPr>
          <w:lang w:val="es-ES"/>
        </w:rPr>
        <w:t xml:space="preserve">, </w:t>
      </w:r>
      <w:r w:rsidRPr="00FA506F">
        <w:rPr>
          <w:lang w:val="es-ES"/>
        </w:rPr>
        <w:t xml:space="preserve">la supervisión externa e independiente es indispensable para garantizar la transparencia y la rendición de cuentas. </w:t>
      </w:r>
    </w:p>
    <w:p w14:paraId="4BF6188B" w14:textId="683364DF" w:rsidR="004F3E06" w:rsidRPr="00FA506F" w:rsidRDefault="008C2DA5" w:rsidP="00B80A67">
      <w:pPr>
        <w:pStyle w:val="IAPrrafo"/>
        <w:numPr>
          <w:ilvl w:val="0"/>
          <w:numId w:val="4"/>
        </w:numPr>
        <w:tabs>
          <w:tab w:val="num" w:pos="720"/>
        </w:tabs>
        <w:ind w:firstLine="720"/>
        <w:rPr>
          <w:b/>
          <w:bCs/>
          <w:lang w:val="es-ES"/>
        </w:rPr>
      </w:pPr>
      <w:r w:rsidRPr="00FA506F">
        <w:rPr>
          <w:lang w:val="es-ES"/>
        </w:rPr>
        <w:t>La</w:t>
      </w:r>
      <w:r w:rsidR="008E0052" w:rsidRPr="00FA506F">
        <w:rPr>
          <w:lang w:val="es-ES"/>
        </w:rPr>
        <w:t xml:space="preserve"> CIDH no cuenta con información que dé cuenta de qué institución será la responsable de asumir las funciones del INAI, </w:t>
      </w:r>
      <w:r w:rsidR="00550B4C" w:rsidRPr="00FA506F">
        <w:rPr>
          <w:lang w:val="es-ES"/>
        </w:rPr>
        <w:t xml:space="preserve">y advierte que ello podría generar </w:t>
      </w:r>
      <w:r w:rsidR="004F3E06" w:rsidRPr="00FA506F">
        <w:rPr>
          <w:lang w:val="es-ES"/>
        </w:rPr>
        <w:t>un vacío institucional que dificult</w:t>
      </w:r>
      <w:r w:rsidR="00550B4C" w:rsidRPr="00FA506F">
        <w:rPr>
          <w:lang w:val="es-ES"/>
        </w:rPr>
        <w:t>e</w:t>
      </w:r>
      <w:r w:rsidR="004F3E06" w:rsidRPr="00FA506F">
        <w:rPr>
          <w:lang w:val="es-ES"/>
        </w:rPr>
        <w:t xml:space="preserve"> la fiscalización de las decisiones de la Consejería Jurídica</w:t>
      </w:r>
      <w:r w:rsidR="00550B4C" w:rsidRPr="00FA506F">
        <w:rPr>
          <w:lang w:val="es-ES"/>
        </w:rPr>
        <w:t xml:space="preserve"> de Presidencia</w:t>
      </w:r>
      <w:r w:rsidR="004F3E06" w:rsidRPr="00FA506F">
        <w:rPr>
          <w:lang w:val="es-ES"/>
        </w:rPr>
        <w:t>. La eliminación del INAI representa un retroceso significativo en materia de transparencia y acceso a la información</w:t>
      </w:r>
      <w:r w:rsidR="0045263E" w:rsidRPr="00FA506F">
        <w:rPr>
          <w:lang w:val="es-ES"/>
        </w:rPr>
        <w:t>. En consecuencia</w:t>
      </w:r>
      <w:r w:rsidR="004F3E06" w:rsidRPr="00FA506F">
        <w:rPr>
          <w:lang w:val="es-ES"/>
        </w:rPr>
        <w:t xml:space="preserve">, en tanto no se defina cómo otro organismo garantizará el acceso a la información pública y regulara las facultades de órganos como la Consejería Jurídica, esta recomendación retrocede a </w:t>
      </w:r>
      <w:r w:rsidR="008E0052" w:rsidRPr="00FA506F">
        <w:rPr>
          <w:b/>
          <w:bCs/>
          <w:lang w:val="es-ES"/>
        </w:rPr>
        <w:t>pendiente de cumplimiento</w:t>
      </w:r>
      <w:r w:rsidR="004F3E06" w:rsidRPr="00FA506F">
        <w:rPr>
          <w:b/>
          <w:bCs/>
          <w:lang w:val="es-ES"/>
        </w:rPr>
        <w:t xml:space="preserve">. </w:t>
      </w:r>
    </w:p>
    <w:p w14:paraId="15EF66AB" w14:textId="77777777" w:rsidR="00105530" w:rsidRPr="00FA506F" w:rsidRDefault="00105530" w:rsidP="00A5767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1C426EDD"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0B0E82D7" w14:textId="77DAAB31" w:rsidR="004F3E06" w:rsidRPr="00FA506F" w:rsidRDefault="004F3E06" w:rsidP="00B80A67">
      <w:pPr>
        <w:pStyle w:val="IAPrrafo"/>
        <w:numPr>
          <w:ilvl w:val="0"/>
          <w:numId w:val="4"/>
        </w:numPr>
        <w:tabs>
          <w:tab w:val="num" w:pos="720"/>
        </w:tabs>
        <w:ind w:firstLine="720"/>
        <w:rPr>
          <w:rFonts w:eastAsia="Cambria" w:cs="Cambria"/>
          <w:lang w:val="es-ES"/>
        </w:rPr>
      </w:pPr>
      <w:r w:rsidRPr="00FA506F">
        <w:rPr>
          <w:rFonts w:eastAsia="Cambria" w:cs="Cambria"/>
          <w:lang w:val="es-ES"/>
        </w:rPr>
        <w:t xml:space="preserve">Para el cumplimiento de esta recomendación es necesario </w:t>
      </w:r>
      <w:r w:rsidR="008E0052" w:rsidRPr="00FA506F">
        <w:rPr>
          <w:rFonts w:eastAsia="Cambria" w:cs="Cambria"/>
          <w:lang w:val="es-ES"/>
        </w:rPr>
        <w:t xml:space="preserve">instaurar </w:t>
      </w:r>
      <w:r w:rsidRPr="00FA506F">
        <w:rPr>
          <w:lang w:val="es-ES"/>
        </w:rPr>
        <w:t xml:space="preserve">un órgano que garantice el acceso a la información pública y la protección de datos personales, asegurando su independencia del Ejecutivo. Este organismo debe contar con autonomía técnica y operativa para supervisar las decisiones de clasificación de información por parte de la Consejería Jurídica, asegurando su alineación con los principios de máxima publicidad, necesidad y proporcionalidad. </w:t>
      </w:r>
      <w:r w:rsidR="008C2DA5" w:rsidRPr="00FA506F">
        <w:rPr>
          <w:lang w:val="es-ES"/>
        </w:rPr>
        <w:t>Es</w:t>
      </w:r>
      <w:r w:rsidRPr="00FA506F">
        <w:rPr>
          <w:lang w:val="es-ES"/>
        </w:rPr>
        <w:t xml:space="preserve"> necesario </w:t>
      </w:r>
      <w:r w:rsidRPr="00FA506F">
        <w:rPr>
          <w:rFonts w:eastAsia="Cambria" w:cs="Cambria"/>
          <w:lang w:val="es-ES"/>
        </w:rPr>
        <w:t>elaborar y aprobar un reglamento específico que delimite las atribuciones de la Consejería Jurídica en la clasificación de información como reservada o confidencial, basado en estándares internacionales como los establecidos en el Principio de Lima sobre Acceso a la Información Pública.</w:t>
      </w:r>
    </w:p>
    <w:p w14:paraId="14D759A7" w14:textId="77777777" w:rsidR="00105530" w:rsidRPr="00FA506F" w:rsidRDefault="00105530"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69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Fortalecer las leyes, políticas y prácticas para asegurar que las autoridades judiciales tengan pleno acceso a la información relevante cuando investigan y procesan casos de violaciones a los derechos humanos atribuidas a miembros de las fuerzas de seguridad. </w:t>
      </w:r>
    </w:p>
    <w:p w14:paraId="24971F7B" w14:textId="77777777" w:rsidR="00105530" w:rsidRPr="00FA506F" w:rsidRDefault="00105530" w:rsidP="00B80A67">
      <w:pPr>
        <w:jc w:val="both"/>
        <w:rPr>
          <w:rFonts w:ascii="Cambria" w:eastAsia="Cambria" w:hAnsi="Cambria" w:cs="Cambria"/>
          <w:i/>
          <w:iCs/>
          <w:color w:val="000000" w:themeColor="text1"/>
          <w:sz w:val="20"/>
          <w:szCs w:val="20"/>
          <w:lang w:val="es-ES"/>
        </w:rPr>
      </w:pPr>
    </w:p>
    <w:p w14:paraId="549F73EB" w14:textId="5CCDE109"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De acuerdo con la información reportada por el Estado para el Informe de Seguimiento de 2023, la Comisión tomó nota sobre la promulgación de la Ley Federal de Transparencia y Acceso a la Información Pública, que sustituyó a la </w:t>
      </w:r>
      <w:r w:rsidR="00BE1144" w:rsidRPr="00FA506F">
        <w:rPr>
          <w:lang w:val="es-ES"/>
        </w:rPr>
        <w:t>l</w:t>
      </w:r>
      <w:r w:rsidRPr="00FA506F">
        <w:rPr>
          <w:lang w:val="es-ES"/>
        </w:rPr>
        <w:t xml:space="preserve">ey anterior y ha sido objeto de reformas para fortalecer el derecho de acceso a la información, así como sobre la publicación de un </w:t>
      </w:r>
      <w:r w:rsidR="00BE1144" w:rsidRPr="00FA506F">
        <w:rPr>
          <w:lang w:val="es-ES"/>
        </w:rPr>
        <w:t>d</w:t>
      </w:r>
      <w:r w:rsidRPr="00FA506F">
        <w:rPr>
          <w:lang w:val="es-ES"/>
        </w:rPr>
        <w:t xml:space="preserve">ecreto que destaca la transparencia en la Ley Orgánica de la </w:t>
      </w:r>
      <w:r w:rsidR="004B3D21" w:rsidRPr="00FA506F">
        <w:rPr>
          <w:lang w:val="es-ES"/>
        </w:rPr>
        <w:t>FGR</w:t>
      </w:r>
      <w:r w:rsidRPr="00FA506F">
        <w:rPr>
          <w:lang w:val="es-ES"/>
        </w:rPr>
        <w:t xml:space="preserve">. Sin embargo, la CIDH consideró que esta información </w:t>
      </w:r>
      <w:r w:rsidR="002815C4" w:rsidRPr="00FA506F">
        <w:rPr>
          <w:lang w:val="es-ES"/>
        </w:rPr>
        <w:t xml:space="preserve">era </w:t>
      </w:r>
      <w:r w:rsidRPr="00FA506F">
        <w:rPr>
          <w:lang w:val="es-ES"/>
        </w:rPr>
        <w:t>insuficiente para cumplir completamente con la recomendación, dado que persist</w:t>
      </w:r>
      <w:r w:rsidR="002815C4" w:rsidRPr="00FA506F">
        <w:rPr>
          <w:lang w:val="es-ES"/>
        </w:rPr>
        <w:t>ía</w:t>
      </w:r>
      <w:r w:rsidRPr="00FA506F">
        <w:rPr>
          <w:lang w:val="es-ES"/>
        </w:rPr>
        <w:t xml:space="preserve"> la falta de transparencia y acceso a la información sobre las violaciones graves de derechos humanos en investigaciones y procesos judiciales. La recomendación se mantuvo en cumplimiento parcial, y la CIDH reiteró la necesidad de adoptar medidas para asegurar que las autoridades judiciales tengan acceso adecuado a la información en el marco de los procesos de investigación</w:t>
      </w:r>
      <w:r w:rsidRPr="00FA506F">
        <w:rPr>
          <w:rStyle w:val="FootnoteReference"/>
          <w:lang w:val="es-ES"/>
        </w:rPr>
        <w:footnoteReference w:id="268"/>
      </w:r>
      <w:r w:rsidRPr="00FA506F">
        <w:rPr>
          <w:lang w:val="es-ES"/>
        </w:rPr>
        <w:t xml:space="preserve">. </w:t>
      </w:r>
    </w:p>
    <w:p w14:paraId="769F0774" w14:textId="77777777" w:rsidR="00960EC8" w:rsidRDefault="00960EC8" w:rsidP="00A57671">
      <w:pPr>
        <w:ind w:firstLine="720"/>
        <w:jc w:val="both"/>
        <w:rPr>
          <w:rFonts w:ascii="Cambria" w:eastAsia="Cambria" w:hAnsi="Cambria" w:cs="Cambria"/>
          <w:i/>
          <w:iCs/>
          <w:color w:val="000000" w:themeColor="text1"/>
          <w:sz w:val="20"/>
          <w:szCs w:val="20"/>
          <w:lang w:val="es-ES"/>
        </w:rPr>
      </w:pPr>
    </w:p>
    <w:p w14:paraId="042EEE18" w14:textId="3DEADFF8" w:rsidR="00105530" w:rsidRPr="00FA506F" w:rsidRDefault="00105530" w:rsidP="00A5767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1770BB87"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7BB25011" w14:textId="613F0CBB" w:rsidR="009C26B8" w:rsidRPr="00FA506F" w:rsidRDefault="00105530" w:rsidP="00B80A67">
      <w:pPr>
        <w:pStyle w:val="IAPrrafo"/>
        <w:numPr>
          <w:ilvl w:val="0"/>
          <w:numId w:val="4"/>
        </w:numPr>
        <w:tabs>
          <w:tab w:val="num" w:pos="720"/>
        </w:tabs>
        <w:ind w:firstLine="720"/>
        <w:rPr>
          <w:lang w:val="es-ES"/>
        </w:rPr>
      </w:pPr>
      <w:r w:rsidRPr="00FA506F">
        <w:rPr>
          <w:lang w:val="es-ES"/>
        </w:rPr>
        <w:t>En 2024, el Estado refirió que ha implementado un conjunto de herramientas tecnológicas que garantizan el acceso de las autoridades judiciales a información precisa y oportuna en el marco de los procesos de investigación. Entre estas herramientas destaca el Informe Policial Homologado (IPH), una plataforma que permite a las instituciones policiales documentar detalladamente las intervenciones y puestas a disposición, apoyando el debido proceso y fomentando el uso eficiente de la información en acciones de inteligencia que benefician los procedimientos ministeriales y judiciales. Adicionalmente, el Estado informó que el Registro Nacional de Mandamientos Judiciales (RNMJ) es un instrumento fundamental en el fortalecimiento de la justicia en México. Este registro incluye información detallada sobre las órdenes de aprehensión libradas por órganos jurisdiccionales federales y estatales, proporcionando a las autoridades judiciales acceso a datos como el tipo y modalidad del delito, la fecha de emisión de las órdenes, entre otros aspectos cruciales para el seguimiento de los casos. El RNMJ aseguraría la captura permanente de datos a través de unidades cibernéticas de las 32 entidades federativas, basadas en un catálogo homologado de incidentes</w:t>
      </w:r>
      <w:r w:rsidRPr="00FA506F">
        <w:rPr>
          <w:rStyle w:val="FootnoteReference"/>
          <w:lang w:val="es-ES"/>
        </w:rPr>
        <w:footnoteReference w:id="269"/>
      </w:r>
      <w:r w:rsidRPr="00FA506F">
        <w:rPr>
          <w:lang w:val="es-ES"/>
        </w:rPr>
        <w:t xml:space="preserve">. </w:t>
      </w:r>
    </w:p>
    <w:p w14:paraId="038F1FDE" w14:textId="2289C100" w:rsidR="00105530" w:rsidRPr="00FA506F" w:rsidRDefault="00FA71D5" w:rsidP="00B80A67">
      <w:pPr>
        <w:pStyle w:val="IAPrrafo"/>
        <w:numPr>
          <w:ilvl w:val="0"/>
          <w:numId w:val="4"/>
        </w:numPr>
        <w:tabs>
          <w:tab w:val="num" w:pos="720"/>
        </w:tabs>
        <w:ind w:firstLine="720"/>
        <w:rPr>
          <w:lang w:val="es-ES"/>
        </w:rPr>
      </w:pPr>
      <w:r w:rsidRPr="00FA506F">
        <w:rPr>
          <w:szCs w:val="20"/>
          <w:lang w:val="es-ES"/>
        </w:rPr>
        <w:t>Por su parte, como ya se expuso, l</w:t>
      </w:r>
      <w:r w:rsidR="009C26B8" w:rsidRPr="00FA506F">
        <w:rPr>
          <w:szCs w:val="20"/>
          <w:lang w:val="es-ES"/>
        </w:rPr>
        <w:t>a</w:t>
      </w:r>
      <w:r w:rsidR="00105530" w:rsidRPr="00FA506F">
        <w:rPr>
          <w:szCs w:val="20"/>
          <w:lang w:val="es-ES"/>
        </w:rPr>
        <w:t xml:space="preserve"> Comisión y su Relatoría Especial para la Libertad de Expresión conocieron sobre la </w:t>
      </w:r>
      <w:r w:rsidR="005D6690" w:rsidRPr="00FA506F">
        <w:rPr>
          <w:szCs w:val="20"/>
          <w:lang w:val="es-ES"/>
        </w:rPr>
        <w:t xml:space="preserve">aprobación </w:t>
      </w:r>
      <w:r w:rsidR="00105530" w:rsidRPr="00FA506F">
        <w:rPr>
          <w:szCs w:val="20"/>
          <w:lang w:val="es-ES"/>
        </w:rPr>
        <w:t xml:space="preserve">de </w:t>
      </w:r>
      <w:r w:rsidR="005D6690" w:rsidRPr="00FA506F">
        <w:rPr>
          <w:szCs w:val="20"/>
          <w:lang w:val="es-ES"/>
        </w:rPr>
        <w:t xml:space="preserve">la </w:t>
      </w:r>
      <w:r w:rsidR="00105530" w:rsidRPr="00FA506F">
        <w:rPr>
          <w:szCs w:val="20"/>
          <w:lang w:val="es-ES"/>
        </w:rPr>
        <w:t xml:space="preserve">reforma constitucional que </w:t>
      </w:r>
      <w:r w:rsidR="005D6690" w:rsidRPr="00FA506F">
        <w:rPr>
          <w:szCs w:val="20"/>
          <w:lang w:val="es-ES"/>
        </w:rPr>
        <w:t xml:space="preserve">dispone </w:t>
      </w:r>
      <w:r w:rsidR="00105530" w:rsidRPr="00FA506F">
        <w:rPr>
          <w:szCs w:val="20"/>
          <w:lang w:val="es-ES"/>
        </w:rPr>
        <w:t xml:space="preserve">eliminar el Instituto Nacional de Transparencia, Acceso a la Información y Protección de Datos Personales (INAI). </w:t>
      </w:r>
      <w:r w:rsidR="00BE0859" w:rsidRPr="00FA506F">
        <w:rPr>
          <w:szCs w:val="20"/>
          <w:lang w:val="es-ES"/>
        </w:rPr>
        <w:t xml:space="preserve">Una vez implementada la reforma, </w:t>
      </w:r>
      <w:r w:rsidR="00105530" w:rsidRPr="00FA506F">
        <w:rPr>
          <w:szCs w:val="20"/>
          <w:lang w:val="es-ES"/>
        </w:rPr>
        <w:t>se fragmentaría la función de revisar las quejas por la negativa de acceso a la información y desaparecería la entidad encargada de presentar acciones legales contra leyes que vulneren el derecho a la información y la privacidad. Esto podría generar inconsistencias en la normativa de transparencia</w:t>
      </w:r>
      <w:r w:rsidR="00105530" w:rsidRPr="00FA506F">
        <w:rPr>
          <w:rStyle w:val="FootnoteReference"/>
          <w:lang w:val="es-ES"/>
        </w:rPr>
        <w:footnoteReference w:id="270"/>
      </w:r>
      <w:r w:rsidR="00F57FA3" w:rsidRPr="00FA506F">
        <w:rPr>
          <w:szCs w:val="20"/>
          <w:lang w:val="es-ES"/>
        </w:rPr>
        <w:t xml:space="preserve"> y debilitar </w:t>
      </w:r>
      <w:r w:rsidR="00CF56A9" w:rsidRPr="00FA506F">
        <w:rPr>
          <w:szCs w:val="20"/>
          <w:lang w:val="es-ES"/>
        </w:rPr>
        <w:t>aún</w:t>
      </w:r>
      <w:r w:rsidR="00F57FA3" w:rsidRPr="00FA506F">
        <w:rPr>
          <w:szCs w:val="20"/>
          <w:lang w:val="es-ES"/>
        </w:rPr>
        <w:t xml:space="preserve"> más las facultades de las autoridades judiciales </w:t>
      </w:r>
      <w:r w:rsidR="00357C83" w:rsidRPr="00FA506F">
        <w:rPr>
          <w:szCs w:val="20"/>
          <w:lang w:val="es-ES"/>
        </w:rPr>
        <w:t>que investigan casos de violaciones de derechos humanos para acceder a información de las fuerzas de seguridad</w:t>
      </w:r>
      <w:r w:rsidR="00105530" w:rsidRPr="00FA506F">
        <w:rPr>
          <w:rStyle w:val="FootnoteReference"/>
          <w:lang w:val="es-ES"/>
        </w:rPr>
        <w:footnoteReference w:id="271"/>
      </w:r>
      <w:r w:rsidR="00105530" w:rsidRPr="00FA506F">
        <w:rPr>
          <w:szCs w:val="20"/>
          <w:lang w:val="es-ES"/>
        </w:rPr>
        <w:t xml:space="preserve">. </w:t>
      </w:r>
    </w:p>
    <w:p w14:paraId="24C63488" w14:textId="77777777" w:rsidR="00105530" w:rsidRPr="00FA506F" w:rsidRDefault="00105530" w:rsidP="00A5767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62DA17AD"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63CB329E" w14:textId="0591F5FD"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La Comisión </w:t>
      </w:r>
      <w:r w:rsidR="009C26B8" w:rsidRPr="00FA506F">
        <w:rPr>
          <w:lang w:val="es-ES"/>
        </w:rPr>
        <w:t>concluye que</w:t>
      </w:r>
      <w:r w:rsidRPr="00FA506F">
        <w:rPr>
          <w:lang w:val="es-ES"/>
        </w:rPr>
        <w:t xml:space="preserve"> la información reportada por el Estado no da cuenta del proceso e implementación de los registros e informes a los que hace mención</w:t>
      </w:r>
      <w:r w:rsidR="00767DCF" w:rsidRPr="00FA506F">
        <w:rPr>
          <w:lang w:val="es-ES"/>
        </w:rPr>
        <w:t>. C</w:t>
      </w:r>
      <w:r w:rsidRPr="00FA506F">
        <w:rPr>
          <w:lang w:val="es-ES"/>
        </w:rPr>
        <w:t xml:space="preserve">onocer del proceso resulta relevante para que la Comisión evalúe si se garantiza de manera efectiva el pleno acceso a la información relevante cuando </w:t>
      </w:r>
      <w:r w:rsidR="00767DCF" w:rsidRPr="00FA506F">
        <w:rPr>
          <w:lang w:val="es-ES"/>
        </w:rPr>
        <w:t xml:space="preserve">las autoridades judiciales </w:t>
      </w:r>
      <w:r w:rsidRPr="00FA506F">
        <w:rPr>
          <w:lang w:val="es-ES"/>
        </w:rPr>
        <w:t xml:space="preserve">investigan y procesan casos de violaciones a los derechos humanos atribuidas a miembros de las fuerzas de seguridad. A la espera de información detallada sobre dicho proceso, la CIDH estima que la recomendación continúa en </w:t>
      </w:r>
      <w:r w:rsidRPr="00FA506F">
        <w:rPr>
          <w:b/>
          <w:bCs/>
          <w:lang w:val="es-ES"/>
        </w:rPr>
        <w:t>cumplimiento parcial.</w:t>
      </w:r>
    </w:p>
    <w:p w14:paraId="0561D163" w14:textId="77777777" w:rsidR="00105530" w:rsidRPr="00FA506F" w:rsidRDefault="00105530" w:rsidP="00A5767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14AA6B5B"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68E531DC" w14:textId="36402B38" w:rsidR="00105530" w:rsidRPr="00FA506F" w:rsidRDefault="00105530" w:rsidP="00B80A67">
      <w:pPr>
        <w:pStyle w:val="IAPrrafo"/>
        <w:numPr>
          <w:ilvl w:val="0"/>
          <w:numId w:val="4"/>
        </w:numPr>
        <w:tabs>
          <w:tab w:val="num" w:pos="720"/>
        </w:tabs>
        <w:ind w:firstLine="720"/>
        <w:rPr>
          <w:lang w:val="es-ES"/>
        </w:rPr>
      </w:pPr>
      <w:r w:rsidRPr="00FA506F">
        <w:rPr>
          <w:lang w:val="es-ES"/>
        </w:rPr>
        <w:t>Para el cumplimiento de esta recomendación, la CIDH invita al Estado a trabajar en coordinación con las Procuradurías Generales de Justicia, con la finalidad de atender los desafíos y áreas de oportunidad en el acceso a la información en los procesos e investigaciones a su cargo</w:t>
      </w:r>
      <w:r w:rsidR="00DB4A17" w:rsidRPr="00FA506F">
        <w:rPr>
          <w:lang w:val="es-ES"/>
        </w:rPr>
        <w:t>.</w:t>
      </w:r>
      <w:r w:rsidR="00936F5C" w:rsidRPr="00FA506F">
        <w:rPr>
          <w:lang w:val="es-ES"/>
        </w:rPr>
        <w:t xml:space="preserve"> Asimismo, la Comisión </w:t>
      </w:r>
      <w:r w:rsidR="00BA13D7" w:rsidRPr="00FA506F">
        <w:rPr>
          <w:lang w:val="es-ES"/>
        </w:rPr>
        <w:t>respetuosamente solicita</w:t>
      </w:r>
      <w:r w:rsidR="00936F5C" w:rsidRPr="00FA506F">
        <w:rPr>
          <w:lang w:val="es-ES"/>
        </w:rPr>
        <w:t xml:space="preserve"> a</w:t>
      </w:r>
      <w:r w:rsidR="00BA13D7" w:rsidRPr="00FA506F">
        <w:rPr>
          <w:lang w:val="es-ES"/>
        </w:rPr>
        <w:t xml:space="preserve"> México</w:t>
      </w:r>
      <w:r w:rsidR="00936F5C" w:rsidRPr="00FA506F">
        <w:rPr>
          <w:lang w:val="es-ES"/>
        </w:rPr>
        <w:t xml:space="preserve"> proporcionar detalles sobre cómo se reemplazarán las funciones del INAI una vez disuelto.</w:t>
      </w:r>
    </w:p>
    <w:p w14:paraId="3BB6C0C7" w14:textId="77777777" w:rsidR="00105530" w:rsidRPr="00FA506F" w:rsidRDefault="00105530"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70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Adoptar las medidas pertinentes para que los cuerpos de seguridad recopilen, sistematicen y publiquen periódicamente la información referida a afectaciones a la vida e integridad, como consecuencia de la lucha contra el crimen organizado. La información relativa a tales afectaciones deberá hacer una descripción del lugar donde ocurrieron, la fecha, los datos de la unidad del sector seguridad que hubiera estado presente cuando ocurrieron, información sobre su mandato y control. Asimismo, cuáles fueron las causas de la afectación y de la incapacidad para impedirlas. </w:t>
      </w:r>
    </w:p>
    <w:p w14:paraId="6D0E75CC" w14:textId="77777777" w:rsidR="00105530" w:rsidRPr="00FA506F" w:rsidRDefault="00105530" w:rsidP="00B80A67">
      <w:pPr>
        <w:jc w:val="both"/>
        <w:rPr>
          <w:rFonts w:ascii="Cambria" w:eastAsia="Cambria" w:hAnsi="Cambria" w:cs="Cambria"/>
          <w:i/>
          <w:iCs/>
          <w:color w:val="000000" w:themeColor="text1"/>
          <w:sz w:val="20"/>
          <w:szCs w:val="20"/>
          <w:lang w:val="es-ES"/>
        </w:rPr>
      </w:pPr>
    </w:p>
    <w:p w14:paraId="5EC9F557" w14:textId="7DBED4C5"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De acuerdo con la información reportada por el Estado para el Informe de Seguimiento de 2023, se destacó la creación del Centro Nacional de Información, destinado a publicar datos periódicos sobre incidencia delictiva, incluidas las afectaciones a la vida o integridad en colaboración con diversas entidades, sociedad civil y academia. Aunque la CIDH saludó esta iniciativa, </w:t>
      </w:r>
      <w:r w:rsidR="009C26B8" w:rsidRPr="00FA506F">
        <w:rPr>
          <w:lang w:val="es-ES"/>
        </w:rPr>
        <w:t xml:space="preserve">refirió </w:t>
      </w:r>
      <w:r w:rsidRPr="00FA506F">
        <w:rPr>
          <w:lang w:val="es-ES"/>
        </w:rPr>
        <w:t>que la recomendación estaba parcialmente cumplida debido a la falta de información específica sobre el rol de los cuerpos de seguridad en la recopilación y publicación de los datos. La CIDH instó al Estado asegurar que estos cuerpos realicen estas tareas de manera transparente, actualizada y desagregada por origen étnico-racial, edad, sexo, orientación sexual, identidad y/o expresión de género, y que se utilicen para acciones de reparación</w:t>
      </w:r>
      <w:r w:rsidRPr="00FA506F">
        <w:rPr>
          <w:rStyle w:val="FootnoteReference"/>
          <w:lang w:val="es-ES"/>
        </w:rPr>
        <w:footnoteReference w:id="272"/>
      </w:r>
      <w:r w:rsidRPr="00FA506F">
        <w:rPr>
          <w:lang w:val="es-ES"/>
        </w:rPr>
        <w:t>.</w:t>
      </w:r>
    </w:p>
    <w:p w14:paraId="04D5E98B" w14:textId="77777777" w:rsidR="00105530" w:rsidRPr="00FA506F" w:rsidRDefault="00105530" w:rsidP="00A5767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1D6D324B"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012F34F3" w14:textId="69952CAC"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En 2024, el Estado refirió que el Informe de Policía Homologado desempeña un papel fundamental en la lucha contra el crimen organizado al facilitar la recopilación de datos estratégicos que apoyan las acciones de inteligencia y operativos de las autoridades, </w:t>
      </w:r>
      <w:r w:rsidR="00703A4B" w:rsidRPr="00FA506F">
        <w:rPr>
          <w:lang w:val="es-ES"/>
        </w:rPr>
        <w:t>pues</w:t>
      </w:r>
      <w:r w:rsidRPr="00FA506F">
        <w:rPr>
          <w:lang w:val="es-ES"/>
        </w:rPr>
        <w:t xml:space="preserve"> permite que los integrantes de las instituciones policiales registren información detallada de las intervenciones y genera una base de datos centralizada que se convierte en un recurso para la identificación de patrones criminales y rastreo de vínculos entre actividades delictivas. </w:t>
      </w:r>
      <w:r w:rsidR="006B4F48" w:rsidRPr="00FA506F">
        <w:rPr>
          <w:lang w:val="es-ES"/>
        </w:rPr>
        <w:t>El</w:t>
      </w:r>
      <w:r w:rsidRPr="00FA506F">
        <w:rPr>
          <w:lang w:val="es-ES"/>
        </w:rPr>
        <w:t xml:space="preserve"> Estado informó que la Ley General del Sistema Nacional de Seguridad Pública establece la obligación de que las instituciones de seguridad y procuración de justicia documenten y registren las acciones realizadas durante la puesta a disposición de personas presuntamente responsables de delitos, incluyendo aquellos relacionados con el crimen organizado</w:t>
      </w:r>
      <w:r w:rsidRPr="00FA506F">
        <w:rPr>
          <w:rStyle w:val="FootnoteReference"/>
          <w:lang w:val="es-ES"/>
        </w:rPr>
        <w:footnoteReference w:id="273"/>
      </w:r>
      <w:r w:rsidRPr="00FA506F">
        <w:rPr>
          <w:lang w:val="es-ES"/>
        </w:rPr>
        <w:t>.</w:t>
      </w:r>
    </w:p>
    <w:p w14:paraId="0B0F0F9E" w14:textId="77777777" w:rsidR="00105530" w:rsidRPr="00FA506F" w:rsidRDefault="00105530" w:rsidP="00A5767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5BD6E2DC"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3E2D799B" w14:textId="1A522C2D" w:rsidR="00110F2F" w:rsidRPr="00FA506F" w:rsidRDefault="00110F2F" w:rsidP="00B80A67">
      <w:pPr>
        <w:pStyle w:val="IAPrrafo"/>
        <w:numPr>
          <w:ilvl w:val="0"/>
          <w:numId w:val="4"/>
        </w:numPr>
        <w:tabs>
          <w:tab w:val="num" w:pos="720"/>
        </w:tabs>
        <w:ind w:firstLine="720"/>
        <w:rPr>
          <w:szCs w:val="20"/>
          <w:lang w:val="es-ES"/>
        </w:rPr>
      </w:pPr>
      <w:r w:rsidRPr="00FA506F">
        <w:rPr>
          <w:szCs w:val="20"/>
          <w:lang w:val="es-ES"/>
        </w:rPr>
        <w:t>La CIDH reconoce la importancia de las medidas adoptadas por el Estado para fortalecer la recopilación y sistematización de datos relacionados con afectaciones a la vida e integridad como resultado de la lucha contra el crimen organizado. Entre estas medidas, se destaca el uso del IPH que permite la recopilación de información estratégica sobre las intervenciones de las instituciones de seguridad. No obstante, si bien estas iniciativas representan un avance significativo, persisten brechas importantes en el cumplimiento de los términos específicos de la recomendación. En particular, falta información detallada sobre la sistematización y publicación periódica de los datos en un formato desagregado y accesible que permita identificar el rol de los cuerpos de seguridad en las afectaciones documentadas. Tampoco se especifica cómo estas medidas aseguran la transparencia y el cumplimiento del principio de máxima divulgación, ni si los datos incluyen detalles clave como el lugar, la fecha, las unidades involucradas, su mandato y control, así como las causas de las afectaciones y la incapacidad para prevenirlas.</w:t>
      </w:r>
    </w:p>
    <w:p w14:paraId="364AA6F1" w14:textId="293B8AD0" w:rsidR="00110F2F" w:rsidRPr="00FA506F" w:rsidRDefault="006B4F48" w:rsidP="00B80A67">
      <w:pPr>
        <w:pStyle w:val="IAPrrafo"/>
        <w:numPr>
          <w:ilvl w:val="0"/>
          <w:numId w:val="4"/>
        </w:numPr>
        <w:tabs>
          <w:tab w:val="num" w:pos="720"/>
        </w:tabs>
        <w:ind w:firstLine="720"/>
        <w:rPr>
          <w:szCs w:val="20"/>
          <w:lang w:val="es-ES"/>
        </w:rPr>
      </w:pPr>
      <w:r w:rsidRPr="00FA506F">
        <w:rPr>
          <w:szCs w:val="20"/>
          <w:lang w:val="es-ES"/>
        </w:rPr>
        <w:t>La</w:t>
      </w:r>
      <w:r w:rsidR="00110F2F" w:rsidRPr="00FA506F">
        <w:rPr>
          <w:szCs w:val="20"/>
          <w:lang w:val="es-ES"/>
        </w:rPr>
        <w:t xml:space="preserve"> CIDH reitera la necesidad de que los datos publicados incluyan una desagregación adecuada por origen étnico-racial, edad, sexo, orientación sexual, identidad y/o expresión de género, conforme al deber del Estado de proporcionar atención prioritaria a grupos en situación de vulnerabilidad</w:t>
      </w:r>
      <w:r w:rsidR="00110F2F" w:rsidRPr="00FA506F">
        <w:rPr>
          <w:rStyle w:val="FootnoteReference"/>
          <w:szCs w:val="20"/>
          <w:lang w:val="es-ES"/>
        </w:rPr>
        <w:footnoteReference w:id="274"/>
      </w:r>
      <w:r w:rsidR="00110F2F" w:rsidRPr="00FA506F">
        <w:rPr>
          <w:szCs w:val="20"/>
          <w:lang w:val="es-ES"/>
        </w:rPr>
        <w:t>. Esta falta de información limita la capacidad del Estado para cumplir plenamente con la recomendación, ya que no asegura un enfoque integral y transparente que permita tanto la rendición de cuentas como la reparación de las víctimas. En virtud de lo anterior, y aunque se reconocen avances importantes en la recopilación y registro de datos, la recomendación avanza a</w:t>
      </w:r>
      <w:r w:rsidR="00110F2F" w:rsidRPr="00FA506F">
        <w:rPr>
          <w:b/>
          <w:bCs/>
          <w:szCs w:val="20"/>
          <w:lang w:val="es-ES"/>
        </w:rPr>
        <w:t xml:space="preserve"> cumplimiento parcial sustancial</w:t>
      </w:r>
      <w:r w:rsidR="00110F2F" w:rsidRPr="00FA506F">
        <w:rPr>
          <w:szCs w:val="20"/>
          <w:lang w:val="es-ES"/>
        </w:rPr>
        <w:t xml:space="preserve">, debido a la ausencia de información completa sobre la sistematización y publicación de los datos en los términos específicos </w:t>
      </w:r>
      <w:r w:rsidR="009C26B8" w:rsidRPr="00FA506F">
        <w:rPr>
          <w:szCs w:val="20"/>
          <w:lang w:val="es-ES"/>
        </w:rPr>
        <w:t>referidos</w:t>
      </w:r>
      <w:r w:rsidR="00110F2F" w:rsidRPr="00FA506F">
        <w:rPr>
          <w:szCs w:val="20"/>
          <w:lang w:val="es-ES"/>
        </w:rPr>
        <w:t xml:space="preserve"> por la recomendación.</w:t>
      </w:r>
    </w:p>
    <w:p w14:paraId="0C36EA2A" w14:textId="24B5C32E" w:rsidR="0005061E" w:rsidRPr="00FA506F" w:rsidRDefault="0005061E" w:rsidP="00A5767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5B949FEB" w14:textId="77777777" w:rsidR="00110F2F" w:rsidRPr="00FA506F" w:rsidRDefault="00110F2F" w:rsidP="00B80A67">
      <w:pPr>
        <w:ind w:firstLine="360"/>
        <w:jc w:val="both"/>
        <w:rPr>
          <w:rFonts w:ascii="Cambria" w:eastAsia="Cambria" w:hAnsi="Cambria" w:cs="Cambria"/>
          <w:i/>
          <w:iCs/>
          <w:color w:val="000000" w:themeColor="text1"/>
          <w:sz w:val="20"/>
          <w:szCs w:val="20"/>
          <w:lang w:val="es-ES"/>
        </w:rPr>
      </w:pPr>
    </w:p>
    <w:p w14:paraId="41DC40BF" w14:textId="5E88911C" w:rsidR="00110F2F" w:rsidRPr="00FA506F" w:rsidRDefault="00110F2F" w:rsidP="00B80A67">
      <w:pPr>
        <w:pStyle w:val="IAPrrafo"/>
        <w:numPr>
          <w:ilvl w:val="0"/>
          <w:numId w:val="4"/>
        </w:numPr>
        <w:tabs>
          <w:tab w:val="num" w:pos="720"/>
        </w:tabs>
        <w:ind w:firstLine="720"/>
        <w:rPr>
          <w:szCs w:val="20"/>
          <w:lang w:val="es-ES"/>
        </w:rPr>
      </w:pPr>
      <w:r w:rsidRPr="00FA506F">
        <w:rPr>
          <w:szCs w:val="20"/>
          <w:lang w:val="es-ES"/>
        </w:rPr>
        <w:t>Para avanzar hacia el cumplimiento</w:t>
      </w:r>
      <w:r w:rsidR="00D5048F" w:rsidRPr="00FA506F">
        <w:rPr>
          <w:szCs w:val="20"/>
          <w:lang w:val="es-ES"/>
        </w:rPr>
        <w:t xml:space="preserve"> completo</w:t>
      </w:r>
      <w:r w:rsidRPr="00FA506F">
        <w:rPr>
          <w:szCs w:val="20"/>
          <w:lang w:val="es-ES"/>
        </w:rPr>
        <w:t xml:space="preserve"> de la </w:t>
      </w:r>
      <w:r w:rsidR="00D5048F" w:rsidRPr="00FA506F">
        <w:rPr>
          <w:szCs w:val="20"/>
          <w:lang w:val="es-ES"/>
        </w:rPr>
        <w:t>r</w:t>
      </w:r>
      <w:r w:rsidRPr="00FA506F">
        <w:rPr>
          <w:szCs w:val="20"/>
          <w:lang w:val="es-ES"/>
        </w:rPr>
        <w:t xml:space="preserve">ecomendación, la CIDH sugiere implementar un sistema centralizado y estandarizado que unifique los registros de las instituciones de seguridad pública y justicia, asegurando la recopilación uniforme y confiable de los datos. </w:t>
      </w:r>
      <w:r w:rsidR="006B4F48" w:rsidRPr="00FA506F">
        <w:rPr>
          <w:szCs w:val="20"/>
          <w:lang w:val="es-ES"/>
        </w:rPr>
        <w:t>Es</w:t>
      </w:r>
      <w:r w:rsidRPr="00FA506F">
        <w:rPr>
          <w:szCs w:val="20"/>
          <w:lang w:val="es-ES"/>
        </w:rPr>
        <w:t xml:space="preserve"> indispensable que el Estado </w:t>
      </w:r>
      <w:r w:rsidR="00F17A52" w:rsidRPr="00FA506F">
        <w:rPr>
          <w:szCs w:val="20"/>
          <w:lang w:val="es-ES"/>
        </w:rPr>
        <w:t xml:space="preserve">precise si existe una </w:t>
      </w:r>
      <w:r w:rsidRPr="00FA506F">
        <w:rPr>
          <w:szCs w:val="20"/>
          <w:lang w:val="es-ES"/>
        </w:rPr>
        <w:t xml:space="preserve">publicación periódica que incluyan información desagregada por lugar, fecha, unidad involucrada, causas de las afectaciones y datos de las víctimas, según criterios de origen étnico-racial, sexo, edad, entre otros. </w:t>
      </w:r>
    </w:p>
    <w:p w14:paraId="28C93E12" w14:textId="77777777" w:rsidR="00105530" w:rsidRPr="00FA506F" w:rsidRDefault="00105530" w:rsidP="00B80A67">
      <w:pPr>
        <w:pStyle w:val="IASubttulo2"/>
        <w:numPr>
          <w:ilvl w:val="0"/>
          <w:numId w:val="3"/>
        </w:numPr>
        <w:tabs>
          <w:tab w:val="num" w:pos="720"/>
        </w:tabs>
        <w:ind w:left="1440" w:hanging="720"/>
        <w:rPr>
          <w:sz w:val="22"/>
          <w:szCs w:val="22"/>
          <w:lang w:val="es-ES"/>
        </w:rPr>
      </w:pPr>
      <w:bookmarkStart w:id="31" w:name="_Toc195618121"/>
      <w:r w:rsidRPr="00FA506F">
        <w:rPr>
          <w:sz w:val="22"/>
          <w:szCs w:val="22"/>
          <w:lang w:val="es-ES"/>
        </w:rPr>
        <w:t>Mecanismo de Protección para Personas Defensoras de Derechos Humanos y Periodistas</w:t>
      </w:r>
      <w:bookmarkEnd w:id="31"/>
    </w:p>
    <w:p w14:paraId="4B5EF5AE" w14:textId="77777777" w:rsidR="00105530" w:rsidRPr="00FA506F" w:rsidRDefault="00105530"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71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Requerir a las autoridades competentes tomar en consideración los parámetros internacionales en materia de protección, especialmente, las consideraciones desarrolladas en el “Segundo Informe sobre la situación de las Defensoras y los Defensores de Derechos Humanos en las Américas” y el “Informe Violencia contra periodistas y trabajadores de medios de la Relatoría Especial para la Libertad de Expresión de la CIDH”. </w:t>
      </w:r>
    </w:p>
    <w:p w14:paraId="1503F672" w14:textId="77777777" w:rsidR="00105530" w:rsidRPr="00FA506F" w:rsidRDefault="00105530" w:rsidP="00B80A67">
      <w:pPr>
        <w:jc w:val="both"/>
        <w:rPr>
          <w:rFonts w:ascii="Cambria" w:eastAsia="Cambria" w:hAnsi="Cambria" w:cs="Cambria"/>
          <w:i/>
          <w:iCs/>
          <w:color w:val="000000" w:themeColor="text1"/>
          <w:sz w:val="20"/>
          <w:szCs w:val="20"/>
          <w:lang w:val="es-ES"/>
        </w:rPr>
      </w:pPr>
    </w:p>
    <w:p w14:paraId="54122BE9" w14:textId="6566C8F7" w:rsidR="00105530" w:rsidRPr="00FA506F" w:rsidRDefault="00105530" w:rsidP="00B80A67">
      <w:pPr>
        <w:pStyle w:val="IAPrrafo"/>
        <w:numPr>
          <w:ilvl w:val="0"/>
          <w:numId w:val="4"/>
        </w:numPr>
        <w:tabs>
          <w:tab w:val="num" w:pos="720"/>
        </w:tabs>
        <w:ind w:firstLine="720"/>
        <w:rPr>
          <w:lang w:val="es-ES"/>
        </w:rPr>
      </w:pPr>
      <w:r w:rsidRPr="00FA506F">
        <w:rPr>
          <w:lang w:val="es-ES"/>
        </w:rPr>
        <w:t>En el Capítulo V del Informe Anual de 2023, el Estado informó que OACNUDH presentó un diagnóstico del Mecanismo de Protección con 104 recomendaciones</w:t>
      </w:r>
      <w:r w:rsidR="002B0AF8" w:rsidRPr="00FA506F">
        <w:rPr>
          <w:lang w:val="es-ES"/>
        </w:rPr>
        <w:t>,</w:t>
      </w:r>
      <w:r w:rsidRPr="00FA506F">
        <w:rPr>
          <w:lang w:val="es-ES"/>
        </w:rPr>
        <w:t xml:space="preserve"> y que se ha</w:t>
      </w:r>
      <w:r w:rsidR="002B0AF8" w:rsidRPr="00FA506F">
        <w:rPr>
          <w:lang w:val="es-ES"/>
        </w:rPr>
        <w:t>bía</w:t>
      </w:r>
      <w:r w:rsidRPr="00FA506F">
        <w:rPr>
          <w:lang w:val="es-ES"/>
        </w:rPr>
        <w:t xml:space="preserve"> conformado un Grupo de Trabajo para su implementación. </w:t>
      </w:r>
      <w:r w:rsidR="00AA4FDD" w:rsidRPr="00FA506F">
        <w:rPr>
          <w:lang w:val="es-ES"/>
        </w:rPr>
        <w:t>Sostuvo además que se había</w:t>
      </w:r>
      <w:r w:rsidRPr="00FA506F">
        <w:rPr>
          <w:lang w:val="es-ES"/>
        </w:rPr>
        <w:t xml:space="preserve"> iniciado una campaña sobre la importancia de las personas defensoras de derechos humanos y periodistas. Sin embargo, las organizaciones de la sociedad civil indicaron que persist</w:t>
      </w:r>
      <w:r w:rsidR="00AA4FDD" w:rsidRPr="00FA506F">
        <w:rPr>
          <w:lang w:val="es-ES"/>
        </w:rPr>
        <w:t>ía</w:t>
      </w:r>
      <w:r w:rsidRPr="00FA506F">
        <w:rPr>
          <w:lang w:val="es-ES"/>
        </w:rPr>
        <w:t xml:space="preserve">n incumplimientos significativos </w:t>
      </w:r>
      <w:r w:rsidR="00454AE0" w:rsidRPr="00FA506F">
        <w:rPr>
          <w:lang w:val="es-ES"/>
        </w:rPr>
        <w:t>de</w:t>
      </w:r>
      <w:r w:rsidRPr="00FA506F">
        <w:rPr>
          <w:lang w:val="es-ES"/>
        </w:rPr>
        <w:t xml:space="preserve"> los estándares internacionales, incluyendo la falta de una política global de protección y estigmatización continua de la prensa por parte de las autoridades. La CIDH valoró la creación del Grupo de Trabajo y la participación de organismos internacionales, pero </w:t>
      </w:r>
      <w:r w:rsidR="009C26B8" w:rsidRPr="00FA506F">
        <w:rPr>
          <w:lang w:val="es-ES"/>
        </w:rPr>
        <w:t>determinó</w:t>
      </w:r>
      <w:r w:rsidRPr="00FA506F">
        <w:rPr>
          <w:lang w:val="es-ES"/>
        </w:rPr>
        <w:t xml:space="preserve"> que la recomendación </w:t>
      </w:r>
      <w:r w:rsidR="00AA4FDD" w:rsidRPr="00FA506F">
        <w:rPr>
          <w:lang w:val="es-ES"/>
        </w:rPr>
        <w:t xml:space="preserve">seguía </w:t>
      </w:r>
      <w:r w:rsidRPr="00FA506F">
        <w:rPr>
          <w:lang w:val="es-ES"/>
        </w:rPr>
        <w:t>parcialmente cumplida e invitó al Estado a proporcionar detalles sobre cómo se están adoptando los estándares de los informes internacionales en las medidas de</w:t>
      </w:r>
      <w:r w:rsidR="00223D1A" w:rsidRPr="00FA506F">
        <w:rPr>
          <w:lang w:val="es-ES"/>
        </w:rPr>
        <w:t xml:space="preserve"> ese</w:t>
      </w:r>
      <w:r w:rsidRPr="00FA506F">
        <w:rPr>
          <w:lang w:val="es-ES"/>
        </w:rPr>
        <w:t xml:space="preserve"> Grupo de Trabajo</w:t>
      </w:r>
      <w:r w:rsidRPr="00FA506F">
        <w:rPr>
          <w:rStyle w:val="FootnoteReference"/>
          <w:lang w:val="es-ES"/>
        </w:rPr>
        <w:footnoteReference w:id="275"/>
      </w:r>
      <w:r w:rsidRPr="00FA506F">
        <w:rPr>
          <w:lang w:val="es-ES"/>
        </w:rPr>
        <w:t>.</w:t>
      </w:r>
    </w:p>
    <w:p w14:paraId="582B61D5" w14:textId="77777777" w:rsidR="00105530" w:rsidRPr="00FA506F" w:rsidRDefault="00105530" w:rsidP="00137C70">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13552091"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7B64288F" w14:textId="605BDB76" w:rsidR="00105530" w:rsidRPr="00616692" w:rsidRDefault="00105530" w:rsidP="00B80A67">
      <w:pPr>
        <w:pStyle w:val="IAPrrafo"/>
        <w:numPr>
          <w:ilvl w:val="0"/>
          <w:numId w:val="4"/>
        </w:numPr>
        <w:tabs>
          <w:tab w:val="num" w:pos="720"/>
        </w:tabs>
        <w:ind w:firstLine="720"/>
        <w:rPr>
          <w:lang w:val="es-ES"/>
        </w:rPr>
      </w:pPr>
      <w:r w:rsidRPr="00FA506F">
        <w:rPr>
          <w:lang w:val="es-ES"/>
        </w:rPr>
        <w:t xml:space="preserve">En 2024, el Estado reiteró que en 2019 se realizó un diagnóstico sobre el funcionamiento del Mecanismo, el cual emitió 104 recomendaciones y 127 sub-recomendaciones con el objetivo de guiar el fortalecimiento institucional del Mecanismo. </w:t>
      </w:r>
      <w:r w:rsidR="00446046" w:rsidRPr="00FA506F">
        <w:rPr>
          <w:lang w:val="es-ES"/>
        </w:rPr>
        <w:t>El</w:t>
      </w:r>
      <w:r w:rsidRPr="00FA506F">
        <w:rPr>
          <w:lang w:val="es-ES"/>
        </w:rPr>
        <w:t xml:space="preserve"> Estado </w:t>
      </w:r>
      <w:r w:rsidR="00454AE0" w:rsidRPr="00FA506F">
        <w:rPr>
          <w:lang w:val="es-ES"/>
        </w:rPr>
        <w:t>informó</w:t>
      </w:r>
      <w:r w:rsidRPr="00FA506F">
        <w:rPr>
          <w:lang w:val="es-ES"/>
        </w:rPr>
        <w:t xml:space="preserve"> que dichas recomendaciones se enfocarían en la mejora de la eficacia y coordinación interinstitucional y la implementación de medidas de protección adaptadas a las necesidades de las personas beneficiarias. El Estado refirió que</w:t>
      </w:r>
      <w:r w:rsidR="00223D1A" w:rsidRPr="00FA506F">
        <w:rPr>
          <w:lang w:val="es-ES"/>
        </w:rPr>
        <w:t>,</w:t>
      </w:r>
      <w:r w:rsidRPr="00FA506F">
        <w:rPr>
          <w:lang w:val="es-ES"/>
        </w:rPr>
        <w:t xml:space="preserve"> resultado de este proceso</w:t>
      </w:r>
      <w:r w:rsidR="00223D1A" w:rsidRPr="00FA506F">
        <w:rPr>
          <w:lang w:val="es-ES"/>
        </w:rPr>
        <w:t>,</w:t>
      </w:r>
      <w:r w:rsidRPr="00FA506F">
        <w:rPr>
          <w:lang w:val="es-ES"/>
        </w:rPr>
        <w:t xml:space="preserve"> se estableció el Grupo de Trabajo para el Fortalecimiento del Mecanismo, el cual funcionaría como un espacio de colaboración con la participación de diversas instituciones gubernamentales, organismos internacionales y organizaciones de la sociedad civil. El Grupo de Trabajo sostendría reuniones mensuales para evaluar el progreso </w:t>
      </w:r>
      <w:r w:rsidRPr="00616692">
        <w:rPr>
          <w:lang w:val="es-ES"/>
        </w:rPr>
        <w:t>de la implementación de las recomendaciones priorizadas. El Estado concluyó que este Grupo aseguraría que las medidas de protección estén alineadas con los compromisos globales de México en materia de derechos humanos</w:t>
      </w:r>
      <w:r w:rsidRPr="00616692">
        <w:rPr>
          <w:rStyle w:val="FootnoteReference"/>
          <w:lang w:val="es-ES"/>
        </w:rPr>
        <w:footnoteReference w:id="276"/>
      </w:r>
      <w:r w:rsidRPr="00616692">
        <w:rPr>
          <w:lang w:val="es-ES"/>
        </w:rPr>
        <w:t>. Por su parte, organizaciones de la sociedad civil y organismos internacionales han expresado ante la CIDH su interés en que el Estado mexicano mantenga y profundice tanto los avances alcanzados, como los esfuerzos del Grupo de Trabajo</w:t>
      </w:r>
      <w:r w:rsidR="00E05C93" w:rsidRPr="00616692">
        <w:rPr>
          <w:rStyle w:val="FootnoteReference"/>
          <w:lang w:val="es-ES"/>
        </w:rPr>
        <w:footnoteReference w:id="277"/>
      </w:r>
      <w:r w:rsidRPr="00616692">
        <w:rPr>
          <w:lang w:val="es-ES"/>
        </w:rPr>
        <w:t xml:space="preserve">. </w:t>
      </w:r>
    </w:p>
    <w:p w14:paraId="26B0B36B" w14:textId="72DD2D54" w:rsidR="00CF56A9" w:rsidRPr="00616692" w:rsidRDefault="00CF56A9" w:rsidP="002374CC">
      <w:pPr>
        <w:pStyle w:val="IAPrrafo"/>
        <w:numPr>
          <w:ilvl w:val="0"/>
          <w:numId w:val="4"/>
        </w:numPr>
        <w:tabs>
          <w:tab w:val="num" w:pos="720"/>
        </w:tabs>
        <w:ind w:firstLine="720"/>
        <w:rPr>
          <w:lang w:val="es-ES"/>
        </w:rPr>
      </w:pPr>
      <w:r w:rsidRPr="00616692">
        <w:rPr>
          <w:lang w:val="es-ES"/>
        </w:rPr>
        <w:t xml:space="preserve">En sus observaciones al presente </w:t>
      </w:r>
      <w:r w:rsidR="00D371E8" w:rsidRPr="00616692">
        <w:rPr>
          <w:lang w:val="es-ES"/>
        </w:rPr>
        <w:t>I</w:t>
      </w:r>
      <w:r w:rsidRPr="00616692">
        <w:rPr>
          <w:lang w:val="es-ES"/>
        </w:rPr>
        <w:t xml:space="preserve">nforme, el Estado agregó que </w:t>
      </w:r>
      <w:r w:rsidR="002374CC" w:rsidRPr="00616692">
        <w:rPr>
          <w:lang w:val="es-ES"/>
        </w:rPr>
        <w:t xml:space="preserve">en </w:t>
      </w:r>
      <w:r w:rsidRPr="00616692">
        <w:rPr>
          <w:lang w:val="es-ES"/>
        </w:rPr>
        <w:t xml:space="preserve">2024 se consolidaron estrategias clave en cinco áreas prioritarias: lineamientos de la Junta de Gobierno, reubicación temporal de personas beneficiarias, transversalización de la perspectiva de género, atención a casos colectivos y medidas digitales. Para fortalecer el enfoque de género, se creó la </w:t>
      </w:r>
      <w:r w:rsidR="00F6291D" w:rsidRPr="00616692">
        <w:rPr>
          <w:lang w:val="es-ES"/>
        </w:rPr>
        <w:t>“</w:t>
      </w:r>
      <w:r w:rsidRPr="00616692">
        <w:rPr>
          <w:lang w:val="es-ES"/>
        </w:rPr>
        <w:t>equipa de género</w:t>
      </w:r>
      <w:r w:rsidR="00F6291D" w:rsidRPr="00616692">
        <w:rPr>
          <w:lang w:val="es-ES"/>
        </w:rPr>
        <w:t>”</w:t>
      </w:r>
      <w:r w:rsidRPr="00616692">
        <w:rPr>
          <w:lang w:val="es-ES"/>
        </w:rPr>
        <w:t>, integrada por representantes de cada unidad del mecanismo, con el objetivo de erradicar estereotipos y prejuicios de género en todos los procesos</w:t>
      </w:r>
      <w:r w:rsidR="002374CC" w:rsidRPr="00616692">
        <w:rPr>
          <w:rStyle w:val="FootnoteReference"/>
          <w:lang w:val="es-ES"/>
        </w:rPr>
        <w:footnoteReference w:id="278"/>
      </w:r>
      <w:r w:rsidR="002374CC" w:rsidRPr="00616692">
        <w:rPr>
          <w:lang w:val="es-ES"/>
        </w:rPr>
        <w:t>.</w:t>
      </w:r>
    </w:p>
    <w:p w14:paraId="4C74E8D0" w14:textId="77777777" w:rsidR="00105530" w:rsidRPr="00FA506F" w:rsidRDefault="00105530" w:rsidP="00137C70">
      <w:pPr>
        <w:ind w:firstLine="720"/>
        <w:jc w:val="both"/>
        <w:rPr>
          <w:rFonts w:ascii="Cambria" w:eastAsia="Cambria" w:hAnsi="Cambria" w:cs="Cambria"/>
          <w:i/>
          <w:iCs/>
          <w:color w:val="000000" w:themeColor="text1"/>
          <w:sz w:val="20"/>
          <w:szCs w:val="20"/>
          <w:lang w:val="es-ES"/>
        </w:rPr>
      </w:pPr>
      <w:r w:rsidRPr="00616692">
        <w:rPr>
          <w:rFonts w:ascii="Cambria" w:eastAsia="Cambria" w:hAnsi="Cambria" w:cs="Cambria"/>
          <w:i/>
          <w:iCs/>
          <w:color w:val="000000" w:themeColor="text1"/>
          <w:sz w:val="20"/>
          <w:szCs w:val="20"/>
          <w:lang w:val="es-ES"/>
        </w:rPr>
        <w:t>Análisis y nivel de cumplimiento de la recomendación</w:t>
      </w:r>
    </w:p>
    <w:p w14:paraId="3C145EEF"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748ADBD3" w14:textId="40154B32" w:rsidR="00105530" w:rsidRPr="00FA506F" w:rsidRDefault="00105530" w:rsidP="00B80A67">
      <w:pPr>
        <w:pStyle w:val="IAPrrafo"/>
        <w:numPr>
          <w:ilvl w:val="0"/>
          <w:numId w:val="4"/>
        </w:numPr>
        <w:tabs>
          <w:tab w:val="num" w:pos="720"/>
        </w:tabs>
        <w:ind w:firstLine="720"/>
        <w:rPr>
          <w:b/>
          <w:bCs/>
          <w:lang w:val="es-ES"/>
        </w:rPr>
      </w:pPr>
      <w:r w:rsidRPr="00FA506F">
        <w:rPr>
          <w:lang w:val="es-ES"/>
        </w:rPr>
        <w:t>La Comisión saluda la creación e implementación del Grupo de Trabajo para el fortalecimiento del Mecanismo</w:t>
      </w:r>
      <w:r w:rsidR="00CF7EE8" w:rsidRPr="00FA506F">
        <w:rPr>
          <w:lang w:val="es-ES"/>
        </w:rPr>
        <w:t>. S</w:t>
      </w:r>
      <w:r w:rsidRPr="00FA506F">
        <w:rPr>
          <w:lang w:val="es-ES"/>
        </w:rPr>
        <w:t xml:space="preserve">in embargo, si bien su funcionamiento y operatividad representan un avance en el marco de los trabajos del Mecanismo, la información aportada no da cuenta de cómo el Grupo </w:t>
      </w:r>
      <w:r w:rsidR="00CF7EE8" w:rsidRPr="00FA506F">
        <w:rPr>
          <w:lang w:val="es-ES"/>
        </w:rPr>
        <w:t xml:space="preserve">de Trabajo </w:t>
      </w:r>
      <w:r w:rsidRPr="00FA506F">
        <w:rPr>
          <w:lang w:val="es-ES"/>
        </w:rPr>
        <w:t>estaría garantizando la adopción e implementación de parámetros internacionales en materia de protección</w:t>
      </w:r>
      <w:r w:rsidR="001B4A6E" w:rsidRPr="00FA506F">
        <w:rPr>
          <w:lang w:val="es-ES"/>
        </w:rPr>
        <w:t>;</w:t>
      </w:r>
      <w:r w:rsidRPr="00FA506F">
        <w:rPr>
          <w:lang w:val="es-ES"/>
        </w:rPr>
        <w:t xml:space="preserve"> tampoco se remite información relacionada con las medidas en concreto que estaría implementando este Grupo</w:t>
      </w:r>
      <w:r w:rsidR="001B4A6E" w:rsidRPr="00FA506F">
        <w:rPr>
          <w:lang w:val="es-ES"/>
        </w:rPr>
        <w:t>. P</w:t>
      </w:r>
      <w:r w:rsidRPr="00FA506F">
        <w:rPr>
          <w:lang w:val="es-ES"/>
        </w:rPr>
        <w:t xml:space="preserve">or lo </w:t>
      </w:r>
      <w:r w:rsidR="001B4A6E" w:rsidRPr="00FA506F">
        <w:rPr>
          <w:lang w:val="es-ES"/>
        </w:rPr>
        <w:t>expuesto</w:t>
      </w:r>
      <w:r w:rsidRPr="00FA506F">
        <w:rPr>
          <w:lang w:val="es-ES"/>
        </w:rPr>
        <w:t xml:space="preserve">, la Comisión determina que la recomendación permanece en </w:t>
      </w:r>
      <w:r w:rsidRPr="00FA506F">
        <w:rPr>
          <w:b/>
          <w:bCs/>
          <w:lang w:val="es-ES"/>
        </w:rPr>
        <w:t xml:space="preserve">cumplimiento parcial. </w:t>
      </w:r>
    </w:p>
    <w:p w14:paraId="0E20282A" w14:textId="77777777" w:rsidR="00105530" w:rsidRPr="00FA506F" w:rsidRDefault="00105530" w:rsidP="00137C70">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02B18623"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6F73AD00" w14:textId="68F60A1E"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La CIDH reitera la invitación realizada en el Informe Anual de 2023, en el sentido de que el Estado proporcione información que permita dar cuenta de cómo se han adoptado específicamente los estándares previstos en el “Segundo Informe sobre la situación de las Defensoras y los Defensores de Derechos Humanos en las Américas” y el “Informe Violencia contra periodistas y trabajadores de medios de la RELE”. </w:t>
      </w:r>
      <w:r w:rsidR="00446046" w:rsidRPr="00FA506F">
        <w:rPr>
          <w:lang w:val="es-ES"/>
        </w:rPr>
        <w:t>La Comisión</w:t>
      </w:r>
      <w:r w:rsidRPr="00FA506F">
        <w:rPr>
          <w:lang w:val="es-ES"/>
        </w:rPr>
        <w:t xml:space="preserve"> enfatiza en que será de utilidad que las medidas adoptadas por el Grupo de Expertos </w:t>
      </w:r>
      <w:r w:rsidR="00A86135" w:rsidRPr="00FA506F">
        <w:rPr>
          <w:lang w:val="es-ES"/>
        </w:rPr>
        <w:t xml:space="preserve">refieran </w:t>
      </w:r>
      <w:r w:rsidRPr="00FA506F">
        <w:rPr>
          <w:lang w:val="es-ES"/>
        </w:rPr>
        <w:t>de qué forma se retoma la implementación de las recomendaciones emitidas por la CIDH en ambos informes</w:t>
      </w:r>
      <w:r w:rsidRPr="00FA506F">
        <w:rPr>
          <w:rStyle w:val="FootnoteReference"/>
          <w:lang w:val="es-ES"/>
        </w:rPr>
        <w:footnoteReference w:id="279"/>
      </w:r>
      <w:r w:rsidRPr="00FA506F">
        <w:rPr>
          <w:lang w:val="es-ES"/>
        </w:rPr>
        <w:t>.</w:t>
      </w:r>
    </w:p>
    <w:p w14:paraId="43C0D35C" w14:textId="77777777" w:rsidR="00105530" w:rsidRPr="00FA506F" w:rsidRDefault="00105530"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72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Proporcionar todo el apoyo político necesario para el adecuado funcionamiento del mecanismo de protección, el cual incluya los recursos económicos necesarios para que puedan desarrollar eficientemente sus competencias en materia de protección y el mismo sea sostenible en el tiempo. </w:t>
      </w:r>
    </w:p>
    <w:p w14:paraId="577952A7" w14:textId="77777777" w:rsidR="00105530" w:rsidRPr="00FA506F" w:rsidRDefault="00105530" w:rsidP="00B80A67">
      <w:pPr>
        <w:jc w:val="both"/>
        <w:rPr>
          <w:rFonts w:ascii="Cambria" w:eastAsia="Cambria" w:hAnsi="Cambria" w:cs="Cambria"/>
          <w:i/>
          <w:iCs/>
          <w:color w:val="000000" w:themeColor="text1"/>
          <w:sz w:val="20"/>
          <w:szCs w:val="20"/>
          <w:lang w:val="es-ES"/>
        </w:rPr>
      </w:pPr>
    </w:p>
    <w:p w14:paraId="6464AF86" w14:textId="72FCC587"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De acuerdo con la información reportada por el Estado para el Informe de Seguimiento de 2023, se anunció la extinción de este fideicomiso, trasladando los recursos y la logística del Mecanismo de Protección para Personas Defensoras de Derechos Humanos y Periodistas a la SEGOB, lo que las organizaciones de la sociedad civil </w:t>
      </w:r>
      <w:r w:rsidR="00A86135" w:rsidRPr="00FA506F">
        <w:rPr>
          <w:lang w:val="es-ES"/>
        </w:rPr>
        <w:t>destaca</w:t>
      </w:r>
      <w:r w:rsidR="00FA493A" w:rsidRPr="00FA506F">
        <w:rPr>
          <w:lang w:val="es-ES"/>
        </w:rPr>
        <w:t>ro</w:t>
      </w:r>
      <w:r w:rsidR="00A86135" w:rsidRPr="00FA506F">
        <w:rPr>
          <w:lang w:val="es-ES"/>
        </w:rPr>
        <w:t>n</w:t>
      </w:r>
      <w:r w:rsidRPr="00FA506F">
        <w:rPr>
          <w:lang w:val="es-ES"/>
        </w:rPr>
        <w:t xml:space="preserve"> como un debilitamiento en la rendición de cuentas y la transparencia. A pesar de que el presupuesto del Mecanismo ha</w:t>
      </w:r>
      <w:r w:rsidR="00555E99" w:rsidRPr="00FA506F">
        <w:rPr>
          <w:lang w:val="es-ES"/>
        </w:rPr>
        <w:t>bía</w:t>
      </w:r>
      <w:r w:rsidRPr="00FA506F">
        <w:rPr>
          <w:lang w:val="es-ES"/>
        </w:rPr>
        <w:t xml:space="preserve"> aumentado, se</w:t>
      </w:r>
      <w:r w:rsidR="00A86135" w:rsidRPr="00FA506F">
        <w:rPr>
          <w:lang w:val="es-ES"/>
        </w:rPr>
        <w:t xml:space="preserve"> determinó</w:t>
      </w:r>
      <w:r w:rsidRPr="00FA506F">
        <w:rPr>
          <w:lang w:val="es-ES"/>
        </w:rPr>
        <w:t xml:space="preserve"> insuficiente en relación con el número creciente de beneficiarios. La CIDH saludó el incremento presupuestario, pero destacó la necesidad de fortalecer el Mecanismo ante la persistente violencia, instando al Estado a adoptar medidas para garantizar la sostenibilidad financiera y evaluar si los recursos asignados son suficientes para el desempeño del Mecanismo</w:t>
      </w:r>
      <w:r w:rsidR="00555E99" w:rsidRPr="00FA506F">
        <w:rPr>
          <w:lang w:val="es-ES"/>
        </w:rPr>
        <w:t>. P</w:t>
      </w:r>
      <w:r w:rsidRPr="00FA506F">
        <w:rPr>
          <w:lang w:val="es-ES"/>
        </w:rPr>
        <w:t xml:space="preserve">or </w:t>
      </w:r>
      <w:r w:rsidR="00555E99" w:rsidRPr="00FA506F">
        <w:rPr>
          <w:lang w:val="es-ES"/>
        </w:rPr>
        <w:t>ello</w:t>
      </w:r>
      <w:r w:rsidRPr="00FA506F">
        <w:rPr>
          <w:lang w:val="es-ES"/>
        </w:rPr>
        <w:t xml:space="preserve"> se concluyó que la recomendación continuaba en cumplimiento parcial</w:t>
      </w:r>
      <w:r w:rsidRPr="00FA506F">
        <w:rPr>
          <w:rStyle w:val="FootnoteReference"/>
          <w:lang w:val="es-ES"/>
        </w:rPr>
        <w:footnoteReference w:id="280"/>
      </w:r>
      <w:r w:rsidRPr="00FA506F">
        <w:rPr>
          <w:lang w:val="es-ES"/>
        </w:rPr>
        <w:t>.</w:t>
      </w:r>
    </w:p>
    <w:p w14:paraId="05AEA63D" w14:textId="77777777" w:rsidR="00105530" w:rsidRPr="00FA506F" w:rsidRDefault="00105530" w:rsidP="00137C70">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182C1D9F"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09D06AC1" w14:textId="2A20D498" w:rsidR="002374CC" w:rsidRPr="002374CC" w:rsidRDefault="00105530" w:rsidP="002374CC">
      <w:pPr>
        <w:pStyle w:val="IAPrrafo"/>
        <w:numPr>
          <w:ilvl w:val="0"/>
          <w:numId w:val="4"/>
        </w:numPr>
        <w:tabs>
          <w:tab w:val="num" w:pos="720"/>
        </w:tabs>
        <w:ind w:firstLine="720"/>
        <w:rPr>
          <w:lang w:val="es-ES"/>
        </w:rPr>
      </w:pPr>
      <w:r w:rsidRPr="00FA506F">
        <w:rPr>
          <w:lang w:val="es-ES"/>
        </w:rPr>
        <w:t xml:space="preserve">En 2024 el Estado reiteró la información reportada en la recomendación 71, en el sentido de </w:t>
      </w:r>
      <w:r w:rsidR="007565F3" w:rsidRPr="00FA506F">
        <w:rPr>
          <w:lang w:val="es-ES"/>
        </w:rPr>
        <w:t xml:space="preserve">destacar </w:t>
      </w:r>
      <w:r w:rsidRPr="00FA506F">
        <w:rPr>
          <w:lang w:val="es-ES"/>
        </w:rPr>
        <w:t xml:space="preserve">la elaboración de un diagnóstico del Mecanismo, con la finalidad de asegurar que los recursos asignados resulten suficientes y efectivos. </w:t>
      </w:r>
      <w:r w:rsidR="00446046" w:rsidRPr="00FA506F">
        <w:rPr>
          <w:lang w:val="es-ES"/>
        </w:rPr>
        <w:t>En</w:t>
      </w:r>
      <w:r w:rsidRPr="00FA506F">
        <w:rPr>
          <w:lang w:val="es-ES"/>
        </w:rPr>
        <w:t xml:space="preserve"> este proceso se habría contado con la participación activa de la sociedad civil y organismos internacionales de derechos humanos. El Estado </w:t>
      </w:r>
      <w:r w:rsidR="00524E34" w:rsidRPr="00FA506F">
        <w:rPr>
          <w:lang w:val="es-ES"/>
        </w:rPr>
        <w:t xml:space="preserve">resaltó </w:t>
      </w:r>
      <w:r w:rsidRPr="00FA506F">
        <w:rPr>
          <w:lang w:val="es-ES"/>
        </w:rPr>
        <w:t>que la Junta de Gobierno del Mecanismo incluye representación de diversas entidades gubernamentales como la FGR, la CNDH y el Consejo Consultivo. En cuanto a la sostenibilidad financiera, el Estado refirió que habría realizado esfuerzos para el incremento del presupuesto del Mecanismo</w:t>
      </w:r>
      <w:r w:rsidR="00524E34" w:rsidRPr="00FA506F">
        <w:rPr>
          <w:lang w:val="es-ES"/>
        </w:rPr>
        <w:t>;</w:t>
      </w:r>
      <w:r w:rsidR="00446046" w:rsidRPr="00FA506F">
        <w:rPr>
          <w:lang w:val="es-ES"/>
        </w:rPr>
        <w:t xml:space="preserve"> e </w:t>
      </w:r>
      <w:r w:rsidRPr="00FA506F">
        <w:rPr>
          <w:lang w:val="es-ES"/>
        </w:rPr>
        <w:t xml:space="preserve">informó que, durante el actual sexenio, el presupuesto destinado habría aumentado. Así, de enero de 2019 </w:t>
      </w:r>
      <w:r w:rsidR="00524E34" w:rsidRPr="00FA506F">
        <w:rPr>
          <w:lang w:val="es-ES"/>
        </w:rPr>
        <w:t>a</w:t>
      </w:r>
      <w:r w:rsidRPr="00FA506F">
        <w:rPr>
          <w:lang w:val="es-ES"/>
        </w:rPr>
        <w:t xml:space="preserve"> diciembre de 2023, se erogaron 2</w:t>
      </w:r>
      <w:r w:rsidR="00AC1550" w:rsidRPr="00FA506F">
        <w:rPr>
          <w:lang w:val="es-ES"/>
        </w:rPr>
        <w:t>.</w:t>
      </w:r>
      <w:r w:rsidRPr="00FA506F">
        <w:rPr>
          <w:lang w:val="es-ES"/>
        </w:rPr>
        <w:t xml:space="preserve">606 millones de pesos, lo que representaría un incremento sustancial en comparación con los 780 millones asignados en el periodo de 2012 a 2018. El </w:t>
      </w:r>
      <w:r w:rsidRPr="00616692">
        <w:rPr>
          <w:lang w:val="es-ES"/>
        </w:rPr>
        <w:t xml:space="preserve">Estado </w:t>
      </w:r>
      <w:r w:rsidR="005036EC" w:rsidRPr="00616692">
        <w:rPr>
          <w:lang w:val="es-ES"/>
        </w:rPr>
        <w:t xml:space="preserve">señaló </w:t>
      </w:r>
      <w:r w:rsidRPr="00616692">
        <w:rPr>
          <w:lang w:val="es-ES"/>
        </w:rPr>
        <w:t>que</w:t>
      </w:r>
      <w:r w:rsidR="005036EC" w:rsidRPr="00616692">
        <w:rPr>
          <w:lang w:val="es-ES"/>
        </w:rPr>
        <w:t>,</w:t>
      </w:r>
      <w:r w:rsidRPr="00616692">
        <w:rPr>
          <w:lang w:val="es-ES"/>
        </w:rPr>
        <w:t xml:space="preserve"> para 2024, se autorizó un presupuesto de 599 millones 155 mil 516 pesos, así como un incremento en el número de colaboradores, pasando de 42 a 72 personas</w:t>
      </w:r>
      <w:r w:rsidR="005036EC" w:rsidRPr="00616692">
        <w:rPr>
          <w:lang w:val="es-ES"/>
        </w:rPr>
        <w:t>;</w:t>
      </w:r>
      <w:r w:rsidRPr="00616692">
        <w:rPr>
          <w:lang w:val="es-ES"/>
        </w:rPr>
        <w:t xml:space="preserve"> lo que habría permitido mejorar la capacidad de respuesta y reducir los tiempos de atención</w:t>
      </w:r>
      <w:r w:rsidR="002374CC" w:rsidRPr="00616692">
        <w:rPr>
          <w:rStyle w:val="FootnoteReference"/>
          <w:lang w:val="es-ES"/>
        </w:rPr>
        <w:footnoteReference w:id="281"/>
      </w:r>
      <w:r w:rsidRPr="00616692">
        <w:rPr>
          <w:lang w:val="es-ES"/>
        </w:rPr>
        <w:t xml:space="preserve">. </w:t>
      </w:r>
      <w:bookmarkStart w:id="32" w:name="OLE_LINK10"/>
      <w:r w:rsidRPr="00616692">
        <w:rPr>
          <w:lang w:val="es-ES"/>
        </w:rPr>
        <w:t xml:space="preserve">En cuanto a los beneficiarios, al 31 de </w:t>
      </w:r>
      <w:r w:rsidR="002374CC" w:rsidRPr="00616692">
        <w:rPr>
          <w:lang w:val="es-ES"/>
        </w:rPr>
        <w:t>enero de 2025, el Mecanismo incorporó a 668 personas periodistas de las cuales 188 son mujeres y 480 hombres, así como a 1</w:t>
      </w:r>
      <w:r w:rsidR="00F6291D" w:rsidRPr="00616692">
        <w:rPr>
          <w:lang w:val="es-ES"/>
        </w:rPr>
        <w:t>.</w:t>
      </w:r>
      <w:r w:rsidR="002374CC" w:rsidRPr="00616692">
        <w:rPr>
          <w:lang w:val="es-ES"/>
        </w:rPr>
        <w:t>256 personas defensoras de derechos humanos de las cuales 714 son mujeres y 542 hombres</w:t>
      </w:r>
      <w:r w:rsidR="002374CC" w:rsidRPr="00616692">
        <w:rPr>
          <w:rStyle w:val="FootnoteReference"/>
          <w:lang w:val="es-ES"/>
        </w:rPr>
        <w:footnoteReference w:id="282"/>
      </w:r>
      <w:r w:rsidR="002374CC" w:rsidRPr="00616692">
        <w:rPr>
          <w:lang w:val="es-ES"/>
        </w:rPr>
        <w:t>.</w:t>
      </w:r>
    </w:p>
    <w:bookmarkEnd w:id="32"/>
    <w:p w14:paraId="14762E8E" w14:textId="77777777" w:rsidR="00105530" w:rsidRPr="00FA506F" w:rsidRDefault="00105530" w:rsidP="00137C70">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14E4CA17"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5EEA89EB" w14:textId="59E33E47"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La Comisión valora la información reportada por el Estado en cuanto al aumento presupuestario del Mecanismo y el </w:t>
      </w:r>
      <w:r w:rsidR="00ED0C22" w:rsidRPr="00FA506F">
        <w:rPr>
          <w:lang w:val="es-ES"/>
        </w:rPr>
        <w:t xml:space="preserve">incremento </w:t>
      </w:r>
      <w:r w:rsidRPr="00FA506F">
        <w:rPr>
          <w:lang w:val="es-ES"/>
        </w:rPr>
        <w:t>en el personal de la institución</w:t>
      </w:r>
      <w:r w:rsidR="00ED0C22" w:rsidRPr="00FA506F">
        <w:rPr>
          <w:lang w:val="es-ES"/>
        </w:rPr>
        <w:t>. E</w:t>
      </w:r>
      <w:r w:rsidRPr="00FA506F">
        <w:rPr>
          <w:lang w:val="es-ES"/>
        </w:rPr>
        <w:t>n ese sentido</w:t>
      </w:r>
      <w:r w:rsidR="00ED0C22" w:rsidRPr="00FA506F">
        <w:rPr>
          <w:lang w:val="es-ES"/>
        </w:rPr>
        <w:t>,</w:t>
      </w:r>
      <w:r w:rsidRPr="00FA506F">
        <w:rPr>
          <w:lang w:val="es-ES"/>
        </w:rPr>
        <w:t xml:space="preserve"> en atención </w:t>
      </w:r>
      <w:r w:rsidR="009B3A11" w:rsidRPr="00FA506F">
        <w:rPr>
          <w:lang w:val="es-ES"/>
        </w:rPr>
        <w:t xml:space="preserve">a que </w:t>
      </w:r>
      <w:r w:rsidRPr="00FA506F">
        <w:rPr>
          <w:lang w:val="es-ES"/>
        </w:rPr>
        <w:t xml:space="preserve">el contenido de la recomendación </w:t>
      </w:r>
      <w:r w:rsidR="009B3A11" w:rsidRPr="00FA506F">
        <w:rPr>
          <w:lang w:val="es-ES"/>
        </w:rPr>
        <w:t xml:space="preserve">bajo análisis </w:t>
      </w:r>
      <w:r w:rsidRPr="00FA506F">
        <w:rPr>
          <w:lang w:val="es-ES"/>
        </w:rPr>
        <w:t xml:space="preserve">se centra </w:t>
      </w:r>
      <w:r w:rsidR="009B3A11" w:rsidRPr="00FA506F">
        <w:rPr>
          <w:lang w:val="es-ES"/>
        </w:rPr>
        <w:t xml:space="preserve">en </w:t>
      </w:r>
      <w:r w:rsidRPr="00FA506F">
        <w:rPr>
          <w:lang w:val="es-ES"/>
        </w:rPr>
        <w:t xml:space="preserve">la garantía de recursos suficientes para el funcionamiento del Mecanismo, la Comisión concluye que esta recomendación se encuentra </w:t>
      </w:r>
      <w:r w:rsidRPr="00FA506F">
        <w:rPr>
          <w:b/>
          <w:bCs/>
          <w:lang w:val="es-ES"/>
        </w:rPr>
        <w:t xml:space="preserve">totalmente cumplida. </w:t>
      </w:r>
    </w:p>
    <w:p w14:paraId="66B9D4A2" w14:textId="77777777" w:rsidR="00105530" w:rsidRPr="00FA506F" w:rsidRDefault="00105530"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73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Adoptar todas las medidas necesarias para asignar y capacitar a todo el personal necesario para su operación adecuada. </w:t>
      </w:r>
    </w:p>
    <w:p w14:paraId="021F4A02" w14:textId="77777777" w:rsidR="00105530" w:rsidRPr="00FA506F" w:rsidRDefault="00105530" w:rsidP="00B80A67">
      <w:pPr>
        <w:jc w:val="both"/>
        <w:rPr>
          <w:rFonts w:ascii="Cambria" w:eastAsia="Cambria" w:hAnsi="Cambria" w:cs="Cambria"/>
          <w:i/>
          <w:iCs/>
          <w:color w:val="000000" w:themeColor="text1"/>
          <w:sz w:val="20"/>
          <w:szCs w:val="20"/>
          <w:lang w:val="es-ES"/>
        </w:rPr>
      </w:pPr>
    </w:p>
    <w:p w14:paraId="0566EB92" w14:textId="7DD908F3"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En el Capítulo V del Informe Anual de 2023, el Estado informó sobre la implementación de programas de capacitación para </w:t>
      </w:r>
      <w:r w:rsidR="009F60AC" w:rsidRPr="00FA506F">
        <w:rPr>
          <w:lang w:val="es-ES"/>
        </w:rPr>
        <w:t xml:space="preserve">el </w:t>
      </w:r>
      <w:r w:rsidRPr="00FA506F">
        <w:rPr>
          <w:lang w:val="es-ES"/>
        </w:rPr>
        <w:t xml:space="preserve">funcionariado del Mecanismo de Protección y de 22 entidades federativas. Al mismo tiempo, las organizaciones de la sociedad civil </w:t>
      </w:r>
      <w:r w:rsidR="00BE6519" w:rsidRPr="00FA506F">
        <w:rPr>
          <w:lang w:val="es-ES"/>
        </w:rPr>
        <w:t>resaltaron</w:t>
      </w:r>
      <w:r w:rsidRPr="00FA506F">
        <w:rPr>
          <w:lang w:val="es-ES"/>
        </w:rPr>
        <w:t xml:space="preserve"> que el personal aún carec</w:t>
      </w:r>
      <w:r w:rsidR="009F60AC" w:rsidRPr="00FA506F">
        <w:rPr>
          <w:lang w:val="es-ES"/>
        </w:rPr>
        <w:t>ía</w:t>
      </w:r>
      <w:r w:rsidRPr="00FA506F">
        <w:rPr>
          <w:lang w:val="es-ES"/>
        </w:rPr>
        <w:t xml:space="preserve"> de capacitación adecuada en derechos humanos y perspectiva de género, y reportaron problemas como acoso laboral y violencia sexual, así como discriminación por género o raza. La CIDH valoró los esfuerzos del Estado y el avance en la capacitación, considerando que la recomendación avanzó a cumplimiento parcial sustancial, pero recalcando la necesidad de asegurar la regularidad y obligatoriedad de estos programas de formación</w:t>
      </w:r>
      <w:r w:rsidRPr="00FA506F">
        <w:rPr>
          <w:rStyle w:val="FootnoteReference"/>
          <w:lang w:val="es-ES"/>
        </w:rPr>
        <w:footnoteReference w:id="283"/>
      </w:r>
      <w:r w:rsidRPr="00FA506F">
        <w:rPr>
          <w:lang w:val="es-ES"/>
        </w:rPr>
        <w:t>.</w:t>
      </w:r>
    </w:p>
    <w:p w14:paraId="58680666" w14:textId="77777777" w:rsidR="00105530" w:rsidRPr="00FA506F" w:rsidRDefault="00105530" w:rsidP="00137C70">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29CA5709"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5C63C558" w14:textId="21900B86" w:rsidR="002374CC" w:rsidRPr="00616692" w:rsidRDefault="00105530" w:rsidP="002374CC">
      <w:pPr>
        <w:pStyle w:val="IAPrrafo"/>
        <w:numPr>
          <w:ilvl w:val="0"/>
          <w:numId w:val="4"/>
        </w:numPr>
        <w:tabs>
          <w:tab w:val="num" w:pos="720"/>
        </w:tabs>
        <w:ind w:firstLine="720"/>
        <w:rPr>
          <w:lang w:val="es-ES"/>
        </w:rPr>
      </w:pPr>
      <w:r w:rsidRPr="00FA506F">
        <w:rPr>
          <w:lang w:val="es-ES"/>
        </w:rPr>
        <w:t>En 2024 el Estado informó que ha implementado programas permanentes regulados</w:t>
      </w:r>
      <w:r w:rsidR="003C37F0" w:rsidRPr="00FA506F">
        <w:rPr>
          <w:lang w:val="es-ES"/>
        </w:rPr>
        <w:t>,</w:t>
      </w:r>
      <w:r w:rsidRPr="00FA506F">
        <w:rPr>
          <w:lang w:val="es-ES"/>
        </w:rPr>
        <w:t xml:space="preserve"> con la finalidad de que el personal responsable de la operación del Mecanismo esté debidamente capacitado. Estas capacitaciones, integran enfoques como la perspectiva de género, interseccionalidad y un análisis diferenciado integral, lo que garantizaría que el personal tenga las habilidades necesarias para ofrecer una atención efectiva</w:t>
      </w:r>
      <w:r w:rsidRPr="00FA506F">
        <w:rPr>
          <w:rStyle w:val="FootnoteReference"/>
          <w:lang w:val="es-ES"/>
        </w:rPr>
        <w:footnoteReference w:id="284"/>
      </w:r>
      <w:r w:rsidRPr="00FA506F">
        <w:rPr>
          <w:lang w:val="es-ES"/>
        </w:rPr>
        <w:t xml:space="preserve">. Por otro lado, las organizaciones de la sociedad civil reconocen la ejecución de cursos, charlas y talleres; no obstante, advierten que la sola implementación de estas actividades no asegura que las personas funcionarias adquieran de manera </w:t>
      </w:r>
      <w:r w:rsidRPr="00616692">
        <w:rPr>
          <w:lang w:val="es-ES"/>
        </w:rPr>
        <w:t xml:space="preserve">adecuada los conocimientos impartidos ni que los incorporen de forma efectiva en los procesos de análisis de riesgo. </w:t>
      </w:r>
      <w:r w:rsidR="002374CC" w:rsidRPr="00616692">
        <w:rPr>
          <w:lang w:val="es-ES"/>
        </w:rPr>
        <w:t>En sus observaciones al presente Informe, el Estado refirió que México y Estados Unidos firmaron una carta de entendimiento con USAID para implementar un programa de capacitación de 2021 a 2023</w:t>
      </w:r>
      <w:r w:rsidR="002374CC" w:rsidRPr="00616692">
        <w:rPr>
          <w:rStyle w:val="FootnoteReference"/>
          <w:lang w:val="es-ES"/>
        </w:rPr>
        <w:footnoteReference w:id="285"/>
      </w:r>
      <w:r w:rsidR="002374CC" w:rsidRPr="00616692">
        <w:rPr>
          <w:lang w:val="es-ES"/>
        </w:rPr>
        <w:t>.</w:t>
      </w:r>
    </w:p>
    <w:p w14:paraId="46A6765A" w14:textId="77777777" w:rsidR="00525002" w:rsidRDefault="00525002" w:rsidP="00137C70">
      <w:pPr>
        <w:ind w:firstLine="720"/>
        <w:jc w:val="both"/>
        <w:rPr>
          <w:rFonts w:ascii="Cambria" w:eastAsia="Cambria" w:hAnsi="Cambria" w:cs="Cambria"/>
          <w:i/>
          <w:iCs/>
          <w:color w:val="000000" w:themeColor="text1"/>
          <w:sz w:val="20"/>
          <w:szCs w:val="20"/>
          <w:lang w:val="es-ES"/>
        </w:rPr>
      </w:pPr>
    </w:p>
    <w:p w14:paraId="41C35A69" w14:textId="77777777" w:rsidR="00525002" w:rsidRDefault="00525002" w:rsidP="00137C70">
      <w:pPr>
        <w:ind w:firstLine="720"/>
        <w:jc w:val="both"/>
        <w:rPr>
          <w:rFonts w:ascii="Cambria" w:eastAsia="Cambria" w:hAnsi="Cambria" w:cs="Cambria"/>
          <w:i/>
          <w:iCs/>
          <w:color w:val="000000" w:themeColor="text1"/>
          <w:sz w:val="20"/>
          <w:szCs w:val="20"/>
          <w:lang w:val="es-ES"/>
        </w:rPr>
      </w:pPr>
    </w:p>
    <w:p w14:paraId="34D6DC99" w14:textId="77777777" w:rsidR="00525002" w:rsidRDefault="00525002" w:rsidP="00137C70">
      <w:pPr>
        <w:ind w:firstLine="720"/>
        <w:jc w:val="both"/>
        <w:rPr>
          <w:rFonts w:ascii="Cambria" w:eastAsia="Cambria" w:hAnsi="Cambria" w:cs="Cambria"/>
          <w:i/>
          <w:iCs/>
          <w:color w:val="000000" w:themeColor="text1"/>
          <w:sz w:val="20"/>
          <w:szCs w:val="20"/>
          <w:lang w:val="es-ES"/>
        </w:rPr>
      </w:pPr>
    </w:p>
    <w:p w14:paraId="22EB1C1E" w14:textId="7E704A14" w:rsidR="00105530" w:rsidRPr="00FA506F" w:rsidRDefault="00105530" w:rsidP="00137C70">
      <w:pPr>
        <w:ind w:firstLine="720"/>
        <w:jc w:val="both"/>
        <w:rPr>
          <w:rFonts w:ascii="Cambria" w:eastAsia="Cambria" w:hAnsi="Cambria" w:cs="Cambria"/>
          <w:i/>
          <w:iCs/>
          <w:color w:val="000000" w:themeColor="text1"/>
          <w:sz w:val="20"/>
          <w:szCs w:val="20"/>
          <w:lang w:val="es-ES"/>
        </w:rPr>
      </w:pPr>
      <w:r w:rsidRPr="00616692">
        <w:rPr>
          <w:rFonts w:ascii="Cambria" w:eastAsia="Cambria" w:hAnsi="Cambria" w:cs="Cambria"/>
          <w:i/>
          <w:iCs/>
          <w:color w:val="000000" w:themeColor="text1"/>
          <w:sz w:val="20"/>
          <w:szCs w:val="20"/>
          <w:lang w:val="es-ES"/>
        </w:rPr>
        <w:t>Análisis y nivel de cumplimiento de la recomendación</w:t>
      </w:r>
    </w:p>
    <w:p w14:paraId="30A26FD5"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62A91C6A" w14:textId="0A394658"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La Comisión insiste en la necesidad de que los espacios de capacitación se realicen de manera regular y sostenible en el tiempo, así como que sean obligatorios, como se </w:t>
      </w:r>
      <w:r w:rsidR="00BE6519" w:rsidRPr="00FA506F">
        <w:rPr>
          <w:lang w:val="es-ES"/>
        </w:rPr>
        <w:t>destacó</w:t>
      </w:r>
      <w:r w:rsidRPr="00FA506F">
        <w:rPr>
          <w:lang w:val="es-ES"/>
        </w:rPr>
        <w:t xml:space="preserve"> en 2023</w:t>
      </w:r>
      <w:r w:rsidRPr="00FA506F">
        <w:rPr>
          <w:rStyle w:val="FootnoteReference"/>
          <w:lang w:val="es-ES"/>
        </w:rPr>
        <w:footnoteReference w:id="286"/>
      </w:r>
      <w:r w:rsidRPr="00FA506F">
        <w:rPr>
          <w:lang w:val="es-ES"/>
        </w:rPr>
        <w:t xml:space="preserve">. Sin embargo, el Estado no remitió información puntual sobre las capacitaciones, su metodología, periodos en los que se realizan, así como el currículo impartido. Esta información es crucial para evaluar el impacto de las capacitaciones y su efectividad en la operación del </w:t>
      </w:r>
      <w:r w:rsidR="008A2991" w:rsidRPr="00FA506F">
        <w:rPr>
          <w:lang w:val="es-ES"/>
        </w:rPr>
        <w:t>M</w:t>
      </w:r>
      <w:r w:rsidRPr="00FA506F">
        <w:rPr>
          <w:lang w:val="es-ES"/>
        </w:rPr>
        <w:t xml:space="preserve">ecanismo. En vista de lo anterior, la CIDH concluye que esta recomendación permanece con un nivel de </w:t>
      </w:r>
      <w:r w:rsidRPr="00FA506F">
        <w:rPr>
          <w:b/>
          <w:bCs/>
          <w:lang w:val="es-ES"/>
        </w:rPr>
        <w:t>cumplimiento parcial sustancial.</w:t>
      </w:r>
    </w:p>
    <w:p w14:paraId="0CB3E6C7" w14:textId="77777777" w:rsidR="00105530" w:rsidRPr="00FA506F" w:rsidRDefault="00105530" w:rsidP="00137C70">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6CA912B8"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2D40000D" w14:textId="524C5F61"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La Comisión reitera la necesidad de contar con información que dé cuenta de si los programas están regulados para realizarse de manera permanente y obligatoria, dónde estarían regulados e informar si las capacitaciones se estarían impartiendo a todo el personal necesario para la operación adecuada del Mecanismo. Con miras a declarar el cumplimiento total de la recomendación, la CIDH invita al Estado a reportar si las capacitaciones son debidamente evaluadas, así como su efectividad e impacto en la operación del </w:t>
      </w:r>
      <w:r w:rsidR="00247879" w:rsidRPr="00FA506F">
        <w:rPr>
          <w:lang w:val="es-ES"/>
        </w:rPr>
        <w:t>M</w:t>
      </w:r>
      <w:r w:rsidRPr="00FA506F">
        <w:rPr>
          <w:lang w:val="es-ES"/>
        </w:rPr>
        <w:t>ecanismo.</w:t>
      </w:r>
    </w:p>
    <w:p w14:paraId="0B4EB915" w14:textId="77777777" w:rsidR="00105530" w:rsidRPr="00FA506F" w:rsidRDefault="00105530"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74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Garantizar que los estudios de riesgo y la implementación de las medidas de prevención y de protección sean realizados de manera adecuada y atendiendo la urgencia de los asuntos. Por tanto, que, en los procesos de valoración de riesgo, asignación de esquemas de protección y revisión sobre su idoneidad, se garantice una adecuada participación, comunicación y concertación con las personas amparadas por el mecanismo de protección, así como beneficiarios de medidas cautelares solicitadas por la CIDH. </w:t>
      </w:r>
    </w:p>
    <w:p w14:paraId="661F239B" w14:textId="77777777" w:rsidR="00105530" w:rsidRPr="00FA506F" w:rsidRDefault="00105530" w:rsidP="00B80A67">
      <w:pPr>
        <w:jc w:val="both"/>
        <w:rPr>
          <w:rFonts w:ascii="Cambria" w:eastAsia="Cambria" w:hAnsi="Cambria" w:cs="Cambria"/>
          <w:i/>
          <w:iCs/>
          <w:color w:val="000000" w:themeColor="text1"/>
          <w:sz w:val="20"/>
          <w:szCs w:val="20"/>
          <w:lang w:val="es-ES"/>
        </w:rPr>
      </w:pPr>
    </w:p>
    <w:p w14:paraId="53A5EE5D" w14:textId="56F3FC08"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De acuerdo con la información reportada por el Estado para el Informe de Seguimiento de 2023, las evaluaciones de riesgo se realizan de forma individual o colectiva, aplicando perspectiva de género y de interseccionalidad, y deben ser aprobadas por la Junta de Gobierno. Sin embargo, las organizaciones de la sociedad civil criticaron estas evaluaciones, señalando que a menudo se llevan a cabo en condiciones inadecuadas y sin </w:t>
      </w:r>
      <w:r w:rsidR="00A86135" w:rsidRPr="00FA506F">
        <w:rPr>
          <w:lang w:val="es-ES"/>
        </w:rPr>
        <w:t>tomar en cuenta</w:t>
      </w:r>
      <w:r w:rsidRPr="00FA506F">
        <w:rPr>
          <w:lang w:val="es-ES"/>
        </w:rPr>
        <w:t xml:space="preserve"> el contexto completo de las personas beneficiarias. Reportaron que los tiempos para recopilar información se han reducido, afectando la calidad de las evaluaciones y llevando al retiro injustificado de medidas de protección, lo que ha puesto en riesgo a las personas beneficiarias. La CIDH observó que la retirada injustificada de medidas y las irregularidades en las evaluaciones de riesgo han comprometido la integridad de personas defensoras y periodistas. Por tanto, </w:t>
      </w:r>
      <w:r w:rsidR="00A86135" w:rsidRPr="00FA506F">
        <w:rPr>
          <w:lang w:val="es-ES"/>
        </w:rPr>
        <w:t>determin</w:t>
      </w:r>
      <w:r w:rsidRPr="00FA506F">
        <w:rPr>
          <w:lang w:val="es-ES"/>
        </w:rPr>
        <w:t>ó que la recomendación est</w:t>
      </w:r>
      <w:r w:rsidR="00802B53" w:rsidRPr="00FA506F">
        <w:rPr>
          <w:lang w:val="es-ES"/>
        </w:rPr>
        <w:t>aba</w:t>
      </w:r>
      <w:r w:rsidRPr="00FA506F">
        <w:rPr>
          <w:lang w:val="es-ES"/>
        </w:rPr>
        <w:t xml:space="preserve"> en cumplimiento parcial, sugiriendo la necesidad de aplicar evaluaciones de riesgo basadas en estándares claros y objetivos</w:t>
      </w:r>
      <w:r w:rsidRPr="00FA506F">
        <w:rPr>
          <w:rStyle w:val="FootnoteReference"/>
          <w:lang w:val="es-ES"/>
        </w:rPr>
        <w:footnoteReference w:id="287"/>
      </w:r>
      <w:r w:rsidRPr="00FA506F">
        <w:rPr>
          <w:lang w:val="es-ES"/>
        </w:rPr>
        <w:t xml:space="preserve">. </w:t>
      </w:r>
    </w:p>
    <w:p w14:paraId="1FB645B2" w14:textId="77777777" w:rsidR="00105530" w:rsidRPr="00FA506F" w:rsidRDefault="00105530" w:rsidP="00137C70">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2E9C8453"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458D22A4" w14:textId="6D842566" w:rsidR="00105530" w:rsidRPr="00FA506F" w:rsidRDefault="00105530" w:rsidP="00B80A67">
      <w:pPr>
        <w:pStyle w:val="IAPrrafo"/>
        <w:numPr>
          <w:ilvl w:val="0"/>
          <w:numId w:val="4"/>
        </w:numPr>
        <w:tabs>
          <w:tab w:val="num" w:pos="720"/>
        </w:tabs>
        <w:ind w:firstLine="720"/>
        <w:rPr>
          <w:lang w:val="es-ES"/>
        </w:rPr>
      </w:pPr>
      <w:r w:rsidRPr="00FA506F">
        <w:rPr>
          <w:lang w:val="es-ES"/>
        </w:rPr>
        <w:t>En 2024, el Estado reportó que el Mecanismo garantizaría que los estudios de riesgo y la implementación de medidas de prevención y protección, se realizan de manera adecuada y en atención a la urgencia de cada cas</w:t>
      </w:r>
      <w:r w:rsidR="006B4F48" w:rsidRPr="00FA506F">
        <w:rPr>
          <w:lang w:val="es-ES"/>
        </w:rPr>
        <w:t>o</w:t>
      </w:r>
      <w:r w:rsidR="00536B32" w:rsidRPr="00FA506F">
        <w:rPr>
          <w:lang w:val="es-ES"/>
        </w:rPr>
        <w:t>;</w:t>
      </w:r>
      <w:r w:rsidR="006B4F48" w:rsidRPr="00FA506F">
        <w:rPr>
          <w:lang w:val="es-ES"/>
        </w:rPr>
        <w:t xml:space="preserve"> y</w:t>
      </w:r>
      <w:r w:rsidRPr="00FA506F">
        <w:rPr>
          <w:lang w:val="es-ES"/>
        </w:rPr>
        <w:t xml:space="preserve"> reportó que el funcionamiento del Mecanismo </w:t>
      </w:r>
      <w:r w:rsidR="00536B32" w:rsidRPr="00FA506F">
        <w:rPr>
          <w:lang w:val="es-ES"/>
        </w:rPr>
        <w:t>garantiza</w:t>
      </w:r>
      <w:r w:rsidRPr="00FA506F">
        <w:rPr>
          <w:lang w:val="es-ES"/>
        </w:rPr>
        <w:t xml:space="preserve"> un enfoque participativo de la sociedad civil y organismos internacionales de derechos humanos. </w:t>
      </w:r>
      <w:r w:rsidR="006B4F48" w:rsidRPr="00FA506F">
        <w:rPr>
          <w:lang w:val="es-ES"/>
        </w:rPr>
        <w:t>El Estado</w:t>
      </w:r>
      <w:r w:rsidRPr="00FA506F">
        <w:rPr>
          <w:lang w:val="es-ES"/>
        </w:rPr>
        <w:t xml:space="preserve"> informó que, en el proceso de valoración de riesgo, la Junta de Gobierno del Mecanismo es responsable de discutir y aprobar los planes de protección. El Estado expresó que alrededor del 90% de los planes de protección propuestos son aprobados por consenso en la Junta. El Estado </w:t>
      </w:r>
      <w:r w:rsidR="00270E6B" w:rsidRPr="00FA506F">
        <w:rPr>
          <w:lang w:val="es-ES"/>
        </w:rPr>
        <w:t xml:space="preserve">resaltó </w:t>
      </w:r>
      <w:r w:rsidRPr="00FA506F">
        <w:rPr>
          <w:lang w:val="es-ES"/>
        </w:rPr>
        <w:t>que el funcionamiento del Mecanismo permite una rápida asignación de esquemas de protección y revisiones continuas sobre la idoneidad de las medidas adoptadas, lo que se complementaría con el Grupo de Trabajo para el Fortalecimiento del Mecanismo</w:t>
      </w:r>
      <w:r w:rsidRPr="00FA506F">
        <w:rPr>
          <w:rStyle w:val="FootnoteReference"/>
          <w:lang w:val="es-ES"/>
        </w:rPr>
        <w:footnoteReference w:id="288"/>
      </w:r>
      <w:r w:rsidRPr="00FA506F">
        <w:rPr>
          <w:lang w:val="es-ES"/>
        </w:rPr>
        <w:t xml:space="preserve">. </w:t>
      </w:r>
    </w:p>
    <w:p w14:paraId="5276DA26" w14:textId="1A01F738" w:rsidR="00105530" w:rsidRPr="00FA506F" w:rsidRDefault="00446046" w:rsidP="00B80A67">
      <w:pPr>
        <w:pStyle w:val="IAPrrafo"/>
        <w:numPr>
          <w:ilvl w:val="0"/>
          <w:numId w:val="4"/>
        </w:numPr>
        <w:tabs>
          <w:tab w:val="num" w:pos="720"/>
        </w:tabs>
        <w:ind w:firstLine="720"/>
        <w:rPr>
          <w:lang w:val="es-ES"/>
        </w:rPr>
      </w:pPr>
      <w:r w:rsidRPr="00FA506F">
        <w:rPr>
          <w:lang w:val="es-ES"/>
        </w:rPr>
        <w:t>Las</w:t>
      </w:r>
      <w:r w:rsidR="00105530" w:rsidRPr="00FA506F">
        <w:rPr>
          <w:lang w:val="es-ES"/>
        </w:rPr>
        <w:t xml:space="preserve"> organizaciones de la sociedad civil </w:t>
      </w:r>
      <w:r w:rsidR="00270E6B" w:rsidRPr="00FA506F">
        <w:rPr>
          <w:lang w:val="es-ES"/>
        </w:rPr>
        <w:t xml:space="preserve">sostuvieron </w:t>
      </w:r>
      <w:r w:rsidR="00105530" w:rsidRPr="00FA506F">
        <w:rPr>
          <w:lang w:val="es-ES"/>
        </w:rPr>
        <w:t>que el Mecanismo de Protección habría enfrentado críticas en relación con la evaluación y retiro de medidas de seguridad a personas beneficiarias en los últimos años</w:t>
      </w:r>
      <w:r w:rsidR="00270E6B" w:rsidRPr="00FA506F">
        <w:rPr>
          <w:lang w:val="es-ES"/>
        </w:rPr>
        <w:t>;</w:t>
      </w:r>
      <w:r w:rsidRPr="00FA506F">
        <w:rPr>
          <w:lang w:val="es-ES"/>
        </w:rPr>
        <w:t xml:space="preserve"> y </w:t>
      </w:r>
      <w:r w:rsidR="00105530" w:rsidRPr="00FA506F">
        <w:rPr>
          <w:lang w:val="es-ES"/>
        </w:rPr>
        <w:t>afirmaron que las evaluaciones de riesgo a menudo se realizan en condiciones inadecuadas, sin tener en cuenta el contexto de las personas beneficiarias</w:t>
      </w:r>
      <w:r w:rsidR="00270E6B" w:rsidRPr="00FA506F">
        <w:rPr>
          <w:lang w:val="es-ES"/>
        </w:rPr>
        <w:t>. Ello, a su criterio</w:t>
      </w:r>
      <w:r w:rsidR="00105530" w:rsidRPr="00FA506F">
        <w:rPr>
          <w:lang w:val="es-ES"/>
        </w:rPr>
        <w:t>, resulta en análisis poco certeros y alejados de la realidad</w:t>
      </w:r>
      <w:r w:rsidR="006B4F48" w:rsidRPr="00FA506F">
        <w:rPr>
          <w:lang w:val="es-ES"/>
        </w:rPr>
        <w:t xml:space="preserve"> e </w:t>
      </w:r>
      <w:r w:rsidR="00105530" w:rsidRPr="00FA506F">
        <w:rPr>
          <w:lang w:val="es-ES"/>
        </w:rPr>
        <w:t>indicaron que los tiempos destinados para la recopilación de información se habrían reducido significativamente, afectando la calidad de las evaluaciones y que se habrían retirado medidas cruciales, como refugios, basándose en la ubicación actual de las personas beneficiarias, exponiendo a las personas a un mayor riesgo</w:t>
      </w:r>
      <w:r w:rsidR="00105530" w:rsidRPr="00FA506F">
        <w:rPr>
          <w:rStyle w:val="FootnoteReference"/>
          <w:lang w:val="es-ES"/>
        </w:rPr>
        <w:footnoteReference w:id="289"/>
      </w:r>
      <w:r w:rsidR="00105530" w:rsidRPr="00FA506F">
        <w:rPr>
          <w:lang w:val="es-ES"/>
        </w:rPr>
        <w:t xml:space="preserve">. Otros de los desafíos identificados por organizaciones de la sociedad civil es la falta de elementos que permitan analizar los contextos de los riesgos, la falta de análisis sobre todas las variables del riesgo y no </w:t>
      </w:r>
      <w:r w:rsidR="00A86135" w:rsidRPr="00FA506F">
        <w:rPr>
          <w:lang w:val="es-ES"/>
        </w:rPr>
        <w:t xml:space="preserve">prever </w:t>
      </w:r>
      <w:r w:rsidR="00105530" w:rsidRPr="00FA506F">
        <w:rPr>
          <w:lang w:val="es-ES"/>
        </w:rPr>
        <w:t>todas las afectaciones, eventos e incidentes de seguridad dentro de la cadena de violencia que han sufrido las personas defensoras y periodistas</w:t>
      </w:r>
      <w:r w:rsidR="00105530" w:rsidRPr="00FA506F">
        <w:rPr>
          <w:rStyle w:val="FootnoteReference"/>
          <w:lang w:val="es-ES"/>
        </w:rPr>
        <w:footnoteReference w:id="290"/>
      </w:r>
      <w:r w:rsidR="00105530" w:rsidRPr="00FA506F">
        <w:rPr>
          <w:lang w:val="es-ES"/>
        </w:rPr>
        <w:t>.</w:t>
      </w:r>
    </w:p>
    <w:p w14:paraId="349BC536" w14:textId="77777777" w:rsidR="00105530" w:rsidRPr="00FA506F" w:rsidRDefault="00105530" w:rsidP="00137C70">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56E9878D"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58020B61" w14:textId="52018CE3" w:rsidR="00105530" w:rsidRPr="00FA506F" w:rsidRDefault="006F7A01" w:rsidP="00B80A67">
      <w:pPr>
        <w:pStyle w:val="IAPrrafo"/>
        <w:numPr>
          <w:ilvl w:val="0"/>
          <w:numId w:val="4"/>
        </w:numPr>
        <w:tabs>
          <w:tab w:val="num" w:pos="720"/>
        </w:tabs>
        <w:ind w:firstLine="720"/>
        <w:rPr>
          <w:rFonts w:eastAsia="Cambria" w:cs="Cambria"/>
          <w:lang w:val="es-ES"/>
        </w:rPr>
      </w:pPr>
      <w:r w:rsidRPr="00FA506F">
        <w:rPr>
          <w:rFonts w:eastAsia="Cambria" w:cs="Cambria"/>
          <w:lang w:val="es-ES"/>
        </w:rPr>
        <w:t>El</w:t>
      </w:r>
      <w:r w:rsidR="00105530" w:rsidRPr="00FA506F">
        <w:rPr>
          <w:rFonts w:eastAsia="Cambria" w:cs="Cambria"/>
          <w:lang w:val="es-ES"/>
        </w:rPr>
        <w:t xml:space="preserve"> Estado no remitió información sobre medidas concretas que den cuenta de cómo se estarían realizando las evaluaciones de riesgo garantizando el cumplimiento de estándares en la materia. </w:t>
      </w:r>
      <w:r w:rsidR="005674E1" w:rsidRPr="00FA506F">
        <w:rPr>
          <w:rFonts w:eastAsia="Cambria" w:cs="Cambria"/>
          <w:lang w:val="es-ES"/>
        </w:rPr>
        <w:t xml:space="preserve">Ello, a pesar de </w:t>
      </w:r>
      <w:r w:rsidR="00137C70" w:rsidRPr="00FA506F">
        <w:rPr>
          <w:rFonts w:eastAsia="Cambria" w:cs="Cambria"/>
          <w:lang w:val="es-ES"/>
        </w:rPr>
        <w:t>que,</w:t>
      </w:r>
      <w:r w:rsidR="005674E1" w:rsidRPr="00FA506F">
        <w:rPr>
          <w:rFonts w:eastAsia="Cambria" w:cs="Cambria"/>
          <w:lang w:val="es-ES"/>
        </w:rPr>
        <w:t xml:space="preserve"> </w:t>
      </w:r>
      <w:r w:rsidR="00105530" w:rsidRPr="00FA506F">
        <w:rPr>
          <w:rFonts w:eastAsia="Cambria" w:cs="Cambria"/>
          <w:lang w:val="es-ES"/>
        </w:rPr>
        <w:t>en el Informe Anual de 2023, la CIDH destacó la necesidad de contar con c</w:t>
      </w:r>
      <w:r w:rsidR="00105530" w:rsidRPr="00FA506F">
        <w:rPr>
          <w:lang w:val="es-ES"/>
        </w:rPr>
        <w:t xml:space="preserve">riterios objetivos que permitan determinar a partir de qué condiciones operaría el otorgamiento y retiro de las medidas de protección, y a </w:t>
      </w:r>
      <w:r w:rsidR="00A86135" w:rsidRPr="00FA506F">
        <w:rPr>
          <w:lang w:val="es-ES"/>
        </w:rPr>
        <w:t>reportar</w:t>
      </w:r>
      <w:r w:rsidR="00105530" w:rsidRPr="00FA506F">
        <w:rPr>
          <w:lang w:val="es-ES"/>
        </w:rPr>
        <w:t xml:space="preserve"> sobre estos y su aplicación por parte del Mecanismo de Protección</w:t>
      </w:r>
      <w:r w:rsidR="00105530" w:rsidRPr="00FA506F">
        <w:rPr>
          <w:rStyle w:val="FootnoteReference"/>
          <w:lang w:val="es-ES"/>
        </w:rPr>
        <w:footnoteReference w:id="291"/>
      </w:r>
      <w:r w:rsidR="00105530" w:rsidRPr="00FA506F">
        <w:rPr>
          <w:lang w:val="es-ES"/>
        </w:rPr>
        <w:t xml:space="preserve">. </w:t>
      </w:r>
      <w:r w:rsidR="00A86135" w:rsidRPr="00FA506F">
        <w:rPr>
          <w:lang w:val="es-ES"/>
        </w:rPr>
        <w:t xml:space="preserve">Si </w:t>
      </w:r>
      <w:r w:rsidR="00105530" w:rsidRPr="00FA506F">
        <w:rPr>
          <w:lang w:val="es-ES"/>
        </w:rPr>
        <w:t>bien la información reportada por el Estado afirma que “los análisis de riesgo se realizarían de manera adecuada atendiendo a la urgencia de cada caso”</w:t>
      </w:r>
      <w:r w:rsidR="00105530" w:rsidRPr="00FA506F">
        <w:rPr>
          <w:rStyle w:val="FootnoteReference"/>
          <w:lang w:val="es-ES"/>
        </w:rPr>
        <w:footnoteReference w:id="292"/>
      </w:r>
      <w:r w:rsidR="00105530" w:rsidRPr="00FA506F">
        <w:rPr>
          <w:lang w:val="es-ES"/>
        </w:rPr>
        <w:t xml:space="preserve">, dicha afirmación no se acompaña de una justificación </w:t>
      </w:r>
      <w:r w:rsidR="00446046" w:rsidRPr="00FA506F">
        <w:rPr>
          <w:lang w:val="es-ES"/>
        </w:rPr>
        <w:t>sobre</w:t>
      </w:r>
      <w:r w:rsidR="00105530" w:rsidRPr="00FA506F">
        <w:rPr>
          <w:lang w:val="es-ES"/>
        </w:rPr>
        <w:t xml:space="preserve"> cómo y a partir de qué se concluye que las evaluaciones son adecuadas y se realizan en cumplimiento de criterios establecidos y objetivos, más allá de la urgencia del caso. </w:t>
      </w:r>
      <w:r w:rsidR="008C2DA5" w:rsidRPr="00FA506F">
        <w:rPr>
          <w:lang w:val="es-ES"/>
        </w:rPr>
        <w:t>El</w:t>
      </w:r>
      <w:r w:rsidR="00105530" w:rsidRPr="00FA506F">
        <w:rPr>
          <w:lang w:val="es-ES"/>
        </w:rPr>
        <w:t xml:space="preserve"> sentido de urgencia en abstracto resultaría subjetivo en ausencia de criterios que determinen a partir de qué condiciones se acreditaría tal urgencia. En ese sentido, la Comisión mantiene la recomendación en </w:t>
      </w:r>
      <w:r w:rsidR="00105530" w:rsidRPr="00FA506F">
        <w:rPr>
          <w:b/>
          <w:bCs/>
          <w:lang w:val="es-ES"/>
        </w:rPr>
        <w:t>cumplimiento parcial.</w:t>
      </w:r>
    </w:p>
    <w:p w14:paraId="617B7C4D" w14:textId="77777777" w:rsidR="00105530" w:rsidRPr="00FA506F" w:rsidRDefault="00105530" w:rsidP="00137C70">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595C7DAC"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4C4E184F" w14:textId="565F06D1" w:rsidR="00105530" w:rsidRPr="00FA506F" w:rsidRDefault="00105530" w:rsidP="00B80A67">
      <w:pPr>
        <w:pStyle w:val="IAPrrafo"/>
        <w:numPr>
          <w:ilvl w:val="0"/>
          <w:numId w:val="4"/>
        </w:numPr>
        <w:tabs>
          <w:tab w:val="num" w:pos="720"/>
        </w:tabs>
        <w:ind w:firstLine="720"/>
        <w:rPr>
          <w:rFonts w:eastAsia="Cambria" w:cs="Cambria"/>
          <w:lang w:val="es-ES"/>
        </w:rPr>
      </w:pPr>
      <w:r w:rsidRPr="00FA506F">
        <w:rPr>
          <w:rFonts w:eastAsia="Cambria" w:cs="Cambria"/>
          <w:lang w:val="es-ES"/>
        </w:rPr>
        <w:t xml:space="preserve">Para orientar el cumplimiento de la recomendación, la CIDH reitera su invitación al Estado a garantizar la aplicación de evaluaciones de riesgo con base en estándares en la materia. </w:t>
      </w:r>
      <w:r w:rsidR="008C2DA5" w:rsidRPr="00FA506F">
        <w:rPr>
          <w:rFonts w:eastAsia="Cambria" w:cs="Cambria"/>
          <w:lang w:val="es-ES"/>
        </w:rPr>
        <w:t>La</w:t>
      </w:r>
      <w:r w:rsidRPr="00FA506F">
        <w:rPr>
          <w:rFonts w:eastAsia="Cambria" w:cs="Cambria"/>
          <w:lang w:val="es-ES"/>
        </w:rPr>
        <w:t xml:space="preserve"> Comisión insta al Estado a establecer criterios objetivos que permitan determinar a partir de qué condiciones operaría el otorgamiento y retiro de las medidas de protección, y a </w:t>
      </w:r>
      <w:r w:rsidR="00A86135" w:rsidRPr="00FA506F">
        <w:rPr>
          <w:rFonts w:eastAsia="Cambria" w:cs="Cambria"/>
          <w:lang w:val="es-ES"/>
        </w:rPr>
        <w:t>remitir información</w:t>
      </w:r>
      <w:r w:rsidRPr="00FA506F">
        <w:rPr>
          <w:rFonts w:eastAsia="Cambria" w:cs="Cambria"/>
          <w:lang w:val="es-ES"/>
        </w:rPr>
        <w:t xml:space="preserve"> sobre estos y su aplicación por parte del Mecanismo de Protección</w:t>
      </w:r>
      <w:r w:rsidRPr="00FA506F">
        <w:rPr>
          <w:rStyle w:val="FootnoteReference"/>
          <w:rFonts w:eastAsia="Cambria" w:cs="Cambria"/>
          <w:lang w:val="es-ES"/>
        </w:rPr>
        <w:footnoteReference w:id="293"/>
      </w:r>
      <w:r w:rsidRPr="00FA506F">
        <w:rPr>
          <w:rFonts w:eastAsia="Cambria" w:cs="Cambria"/>
          <w:lang w:val="es-ES"/>
        </w:rPr>
        <w:t>.</w:t>
      </w:r>
    </w:p>
    <w:p w14:paraId="6B076CF5" w14:textId="77777777" w:rsidR="00105530" w:rsidRPr="00FA506F" w:rsidRDefault="00105530"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75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Realizar la evaluación y adopción de medidas de protección diferenciadas para mujeres, líderes indígenas y defensores ambientales. </w:t>
      </w:r>
    </w:p>
    <w:p w14:paraId="16EBE02D" w14:textId="77777777" w:rsidR="00105530" w:rsidRPr="00FA506F" w:rsidRDefault="00105530" w:rsidP="00B80A67">
      <w:pPr>
        <w:jc w:val="both"/>
        <w:rPr>
          <w:rFonts w:ascii="Cambria" w:eastAsia="Cambria" w:hAnsi="Cambria" w:cs="Cambria"/>
          <w:i/>
          <w:iCs/>
          <w:color w:val="000000" w:themeColor="text1"/>
          <w:sz w:val="20"/>
          <w:szCs w:val="20"/>
          <w:lang w:val="es-ES"/>
        </w:rPr>
      </w:pPr>
    </w:p>
    <w:p w14:paraId="7203EAD9" w14:textId="5C496DDE"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De acuerdo con la información reportada por el Estado para el Informe de Seguimiento de 2023, el Mecanismo de Protección realiza evaluaciones de riesgo basadas en una matriz que incluye componentes de género, identidad étnica y social, y otras condiciones de vulnerabilidad, realizando 311 evaluaciones de riesgo entre enero y agosto de 2023. Sin embargo, las organizaciones de la sociedad civil criticaron la falta de efectividad en la implementación de medidas y evaluación de riesgo. Aunque se incorpora un análisis de género, este no se refleja adecuadamente en las medidas de protección, y se ha documentado una alta rotación del personal y falta de conocimiento en derechos humanos y perspectiva de género. </w:t>
      </w:r>
      <w:r w:rsidR="005076DB" w:rsidRPr="00FA506F">
        <w:rPr>
          <w:lang w:val="es-ES"/>
        </w:rPr>
        <w:t>Se</w:t>
      </w:r>
      <w:r w:rsidRPr="00FA506F">
        <w:rPr>
          <w:lang w:val="es-ES"/>
        </w:rPr>
        <w:t xml:space="preserve"> h</w:t>
      </w:r>
      <w:r w:rsidR="00454AE0" w:rsidRPr="00FA506F">
        <w:rPr>
          <w:lang w:val="es-ES"/>
        </w:rPr>
        <w:t xml:space="preserve">a referido </w:t>
      </w:r>
      <w:r w:rsidRPr="00FA506F">
        <w:rPr>
          <w:lang w:val="es-ES"/>
        </w:rPr>
        <w:t xml:space="preserve">que las medidas para personas indígenas pueden causar rupturas culturales significativas. La CIDH agradeció la información proporcionada, pero </w:t>
      </w:r>
      <w:r w:rsidR="00A86135" w:rsidRPr="00FA506F">
        <w:rPr>
          <w:lang w:val="es-ES"/>
        </w:rPr>
        <w:t>determinó</w:t>
      </w:r>
      <w:r w:rsidRPr="00FA506F">
        <w:rPr>
          <w:lang w:val="es-ES"/>
        </w:rPr>
        <w:t xml:space="preserve"> que la recomendación se mantenía en cumplimiento parcial, ya que falta</w:t>
      </w:r>
      <w:r w:rsidR="005020AC" w:rsidRPr="00FA506F">
        <w:rPr>
          <w:lang w:val="es-ES"/>
        </w:rPr>
        <w:t>ba</w:t>
      </w:r>
      <w:r w:rsidRPr="00FA506F">
        <w:rPr>
          <w:lang w:val="es-ES"/>
        </w:rPr>
        <w:t xml:space="preserve"> información detallada sobre la aplicación práctica de las medidas diferenciadas de protección</w:t>
      </w:r>
      <w:r w:rsidRPr="00FA506F">
        <w:rPr>
          <w:rStyle w:val="FootnoteReference"/>
          <w:lang w:val="es-ES"/>
        </w:rPr>
        <w:footnoteReference w:id="294"/>
      </w:r>
      <w:r w:rsidRPr="00FA506F">
        <w:rPr>
          <w:lang w:val="es-ES"/>
        </w:rPr>
        <w:t>.</w:t>
      </w:r>
    </w:p>
    <w:p w14:paraId="1B557222" w14:textId="77777777" w:rsidR="00105530" w:rsidRPr="00FA506F" w:rsidRDefault="00105530" w:rsidP="00137C70">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38083A06"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2EA6D072" w14:textId="5D592E69"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En 2024, el Estado expresó que habría adoptado un enfoque integral para garantizar la protección diferenciada de mujeres, líderes indígenas y defensores ambientales, reconociendo las necesidades particulares de cada grupo en función de sus vulnerabilidades específicas. El Estado </w:t>
      </w:r>
      <w:r w:rsidR="00454AE0" w:rsidRPr="00FA506F">
        <w:rPr>
          <w:lang w:val="es-ES"/>
        </w:rPr>
        <w:t>informó</w:t>
      </w:r>
      <w:r w:rsidRPr="00FA506F">
        <w:rPr>
          <w:lang w:val="es-ES"/>
        </w:rPr>
        <w:t xml:space="preserve"> que uno de los avances fue la creación, en enero de 2024, de la Mesa especializada de atención con perspectiva de género, conocida como </w:t>
      </w:r>
      <w:r w:rsidR="00DD4C21" w:rsidRPr="00FA506F">
        <w:rPr>
          <w:lang w:val="es-ES"/>
        </w:rPr>
        <w:t>“</w:t>
      </w:r>
      <w:r w:rsidRPr="00FA506F">
        <w:rPr>
          <w:lang w:val="es-ES"/>
        </w:rPr>
        <w:t>La Equipa</w:t>
      </w:r>
      <w:r w:rsidR="00DD4C21" w:rsidRPr="00FA506F">
        <w:rPr>
          <w:lang w:val="es-ES"/>
        </w:rPr>
        <w:t>”</w:t>
      </w:r>
      <w:r w:rsidRPr="00FA506F">
        <w:rPr>
          <w:lang w:val="es-ES"/>
        </w:rPr>
        <w:t xml:space="preserve">. </w:t>
      </w:r>
      <w:r w:rsidR="007C0E16" w:rsidRPr="00FA506F">
        <w:rPr>
          <w:lang w:val="es-ES"/>
        </w:rPr>
        <w:t>Este espacio</w:t>
      </w:r>
      <w:r w:rsidRPr="00FA506F">
        <w:rPr>
          <w:lang w:val="es-ES"/>
        </w:rPr>
        <w:t xml:space="preserve"> buscaría fortalecer la protección de mujeres defensoras de derechos humanos y periodistas, desde una perspectiva integral. </w:t>
      </w:r>
      <w:r w:rsidR="00B6386C" w:rsidRPr="00FA506F">
        <w:rPr>
          <w:lang w:val="es-ES"/>
        </w:rPr>
        <w:t>“</w:t>
      </w:r>
      <w:r w:rsidRPr="00FA506F">
        <w:rPr>
          <w:lang w:val="es-ES"/>
        </w:rPr>
        <w:t>La Equipa</w:t>
      </w:r>
      <w:r w:rsidR="00B6386C" w:rsidRPr="00FA506F">
        <w:rPr>
          <w:lang w:val="es-ES"/>
        </w:rPr>
        <w:t>”</w:t>
      </w:r>
      <w:r w:rsidRPr="00FA506F">
        <w:rPr>
          <w:lang w:val="es-ES"/>
        </w:rPr>
        <w:t xml:space="preserve"> proporcionaría protección </w:t>
      </w:r>
      <w:r w:rsidR="005076DB" w:rsidRPr="00FA506F">
        <w:rPr>
          <w:lang w:val="es-ES"/>
        </w:rPr>
        <w:t>y</w:t>
      </w:r>
      <w:r w:rsidRPr="00FA506F">
        <w:rPr>
          <w:lang w:val="es-ES"/>
        </w:rPr>
        <w:t xml:space="preserve"> promovería la creación de entornos seguros para que estas mujeres puedan continuar su labor. En el caso de los líderes indígenas, el Estado informó que habría desarrollado medidas especializadas que toman en cuenta el papel fundamental como defensores de los derechos de sus comunidades y del medio ambiente. El Estado </w:t>
      </w:r>
      <w:r w:rsidR="00F3456C" w:rsidRPr="00FA506F">
        <w:rPr>
          <w:lang w:val="es-ES"/>
        </w:rPr>
        <w:t xml:space="preserve">detalló </w:t>
      </w:r>
      <w:r w:rsidRPr="00FA506F">
        <w:rPr>
          <w:lang w:val="es-ES"/>
        </w:rPr>
        <w:t xml:space="preserve">que, en 2024, 184 personas defensoras indígenas están incorporadas al Mecanismo. </w:t>
      </w:r>
      <w:r w:rsidR="008C2DA5" w:rsidRPr="00FA506F">
        <w:rPr>
          <w:lang w:val="es-ES"/>
        </w:rPr>
        <w:t>El Estado</w:t>
      </w:r>
      <w:r w:rsidRPr="00FA506F">
        <w:rPr>
          <w:lang w:val="es-ES"/>
        </w:rPr>
        <w:t xml:space="preserve"> destacó la ratificación del Acuerdo de Escazú en diciembre de 2020 y que</w:t>
      </w:r>
      <w:r w:rsidR="00F3456C" w:rsidRPr="00FA506F">
        <w:rPr>
          <w:lang w:val="es-ES"/>
        </w:rPr>
        <w:t>,</w:t>
      </w:r>
      <w:r w:rsidRPr="00FA506F">
        <w:rPr>
          <w:lang w:val="es-ES"/>
        </w:rPr>
        <w:t xml:space="preserve"> en seguimiento a las obligaciones internacionales derivadas del Acuerdo, en febrero de 2024, el gobierno convocó a la mesa de trabajo </w:t>
      </w:r>
      <w:r w:rsidR="00DD4C21" w:rsidRPr="00FA506F">
        <w:rPr>
          <w:lang w:val="es-ES"/>
        </w:rPr>
        <w:t>“</w:t>
      </w:r>
      <w:r w:rsidRPr="00FA506F">
        <w:rPr>
          <w:lang w:val="es-ES"/>
        </w:rPr>
        <w:t>Acción regional por las personas defensoras ambientales</w:t>
      </w:r>
      <w:r w:rsidR="00DD4C21" w:rsidRPr="00FA506F">
        <w:rPr>
          <w:lang w:val="es-ES"/>
        </w:rPr>
        <w:t>”</w:t>
      </w:r>
      <w:r w:rsidRPr="00FA506F">
        <w:rPr>
          <w:lang w:val="es-ES"/>
        </w:rPr>
        <w:t>, en la que participaron representantes de 28 entidades federativas, con el objetivo de integrar una perspectiva local dentro del Plan de Acción Regional para Defensores Ambientales, adoptado en abril de 2024 durante la Tercera Reunión de la Conferencia de las Partes del Acuerdo de Escazú (COP3)</w:t>
      </w:r>
      <w:r w:rsidRPr="00FA506F">
        <w:rPr>
          <w:rStyle w:val="FootnoteReference"/>
          <w:lang w:val="es-ES"/>
        </w:rPr>
        <w:footnoteReference w:id="295"/>
      </w:r>
      <w:r w:rsidRPr="00FA506F">
        <w:rPr>
          <w:lang w:val="es-ES"/>
        </w:rPr>
        <w:t xml:space="preserve">. </w:t>
      </w:r>
    </w:p>
    <w:p w14:paraId="50977E34" w14:textId="34200282"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El Estado </w:t>
      </w:r>
      <w:r w:rsidR="00AE6CB7" w:rsidRPr="00FA506F">
        <w:rPr>
          <w:lang w:val="es-ES"/>
        </w:rPr>
        <w:t xml:space="preserve">sostuvo </w:t>
      </w:r>
      <w:r w:rsidRPr="00FA506F">
        <w:rPr>
          <w:lang w:val="es-ES"/>
        </w:rPr>
        <w:t>que</w:t>
      </w:r>
      <w:r w:rsidR="00AE6CB7" w:rsidRPr="00FA506F">
        <w:rPr>
          <w:lang w:val="es-ES"/>
        </w:rPr>
        <w:t>, además,</w:t>
      </w:r>
      <w:r w:rsidRPr="00FA506F">
        <w:rPr>
          <w:lang w:val="es-ES"/>
        </w:rPr>
        <w:t xml:space="preserve"> se habrían realizado avances significativos para extender la seguridad social a los periodistas más vulnerables</w:t>
      </w:r>
      <w:r w:rsidR="00BC2F85" w:rsidRPr="00FA506F">
        <w:rPr>
          <w:lang w:val="es-ES"/>
        </w:rPr>
        <w:t>, e</w:t>
      </w:r>
      <w:r w:rsidRPr="00FA506F">
        <w:rPr>
          <w:lang w:val="es-ES"/>
        </w:rPr>
        <w:t>n colaboración con el Instituto Mexicano del Seguro Social (IMSS) y la Secretaría de Gobernación, con una inversión de 45</w:t>
      </w:r>
      <w:r w:rsidR="00644632" w:rsidRPr="00FA506F">
        <w:rPr>
          <w:lang w:val="es-ES"/>
        </w:rPr>
        <w:t>,</w:t>
      </w:r>
      <w:r w:rsidRPr="00FA506F">
        <w:rPr>
          <w:lang w:val="es-ES"/>
        </w:rPr>
        <w:t>7 millones de pesos hasta diciembre de 2023. El Estado refirió que este programa habría permitido que más de 1</w:t>
      </w:r>
      <w:r w:rsidR="00644632" w:rsidRPr="00FA506F">
        <w:rPr>
          <w:lang w:val="es-ES"/>
        </w:rPr>
        <w:t>.</w:t>
      </w:r>
      <w:r w:rsidRPr="00FA506F">
        <w:rPr>
          <w:lang w:val="es-ES"/>
        </w:rPr>
        <w:t xml:space="preserve">500 periodistas que anteriormente carecían de acceso a estas prestaciones cuenten ahora con cobertura voluntaria dentro del sistema de seguridad social. Por otra parte, el </w:t>
      </w:r>
      <w:r w:rsidR="00BC2F85" w:rsidRPr="00FA506F">
        <w:rPr>
          <w:lang w:val="es-ES"/>
        </w:rPr>
        <w:t>E</w:t>
      </w:r>
      <w:r w:rsidRPr="00FA506F">
        <w:rPr>
          <w:lang w:val="es-ES"/>
        </w:rPr>
        <w:t xml:space="preserve">stado expresó que el enfoque diferenciado habría sido adoptado por 26 entidades federativas, que ya cuentan con normativas especializadas para la protección de defensores de derechos humanos y periodistas. </w:t>
      </w:r>
      <w:r w:rsidR="00BC2F85" w:rsidRPr="00FA506F">
        <w:rPr>
          <w:lang w:val="es-ES"/>
        </w:rPr>
        <w:t>A su vez, l</w:t>
      </w:r>
      <w:r w:rsidR="006B4F48" w:rsidRPr="00FA506F">
        <w:rPr>
          <w:lang w:val="es-ES"/>
        </w:rPr>
        <w:t>a</w:t>
      </w:r>
      <w:r w:rsidRPr="00FA506F">
        <w:rPr>
          <w:lang w:val="es-ES"/>
        </w:rPr>
        <w:t xml:space="preserve"> Unidad de Igualdad de Género de la FGR colabora con diversas fiscalías para asegurar que los delitos cometidos contra mujeres periodistas se investiguen con una perspectiva de género, lo que representa un avance en la imparcialidad y eficacia de los procedimientos de justicia</w:t>
      </w:r>
      <w:r w:rsidRPr="00FA506F">
        <w:rPr>
          <w:rStyle w:val="FootnoteReference"/>
          <w:lang w:val="es-ES"/>
        </w:rPr>
        <w:footnoteReference w:id="296"/>
      </w:r>
      <w:r w:rsidRPr="00FA506F">
        <w:rPr>
          <w:lang w:val="es-ES"/>
        </w:rPr>
        <w:t xml:space="preserve">. </w:t>
      </w:r>
    </w:p>
    <w:p w14:paraId="5ED17418" w14:textId="77777777" w:rsidR="00105530" w:rsidRPr="00FA506F" w:rsidRDefault="00105530" w:rsidP="00137C70">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245FA971"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04F41D09" w14:textId="61386382" w:rsidR="00105530" w:rsidRPr="00FA506F" w:rsidRDefault="00105530" w:rsidP="00B80A67">
      <w:pPr>
        <w:pStyle w:val="IAPrrafo"/>
        <w:numPr>
          <w:ilvl w:val="0"/>
          <w:numId w:val="4"/>
        </w:numPr>
        <w:tabs>
          <w:tab w:val="num" w:pos="720"/>
        </w:tabs>
        <w:ind w:firstLine="720"/>
        <w:rPr>
          <w:lang w:val="es-ES"/>
        </w:rPr>
      </w:pPr>
      <w:r w:rsidRPr="00FA506F">
        <w:rPr>
          <w:lang w:val="es-ES"/>
        </w:rPr>
        <w:t>La Comisión insiste en que si bien valora la información en abstracto que el Estado remite a esta CIDH, es necesario que se indique a través de qué medidas y/o acciones específicas y puntuales se estaría cumplien</w:t>
      </w:r>
      <w:r w:rsidR="009E57A5" w:rsidRPr="00FA506F">
        <w:rPr>
          <w:lang w:val="es-ES"/>
        </w:rPr>
        <w:t>d</w:t>
      </w:r>
      <w:r w:rsidRPr="00FA506F">
        <w:rPr>
          <w:lang w:val="es-ES"/>
        </w:rPr>
        <w:t xml:space="preserve">o con la recomendación. En ese sentido, al afirmar que el Estado garantiza “la adopción de un enfoque integral de protección diferenciada y el fortalecimiento en la protección de mujeres defensoras de derechos humanos y periodistas, desde una perspectiva integral”, es </w:t>
      </w:r>
      <w:r w:rsidR="009E57A5" w:rsidRPr="00FA506F">
        <w:rPr>
          <w:lang w:val="es-ES"/>
        </w:rPr>
        <w:t xml:space="preserve">indispensable </w:t>
      </w:r>
      <w:r w:rsidRPr="00FA506F">
        <w:rPr>
          <w:lang w:val="es-ES"/>
        </w:rPr>
        <w:t>que se remita información concreta de aquellas acciones o medidas a través de las cuales se estaría adoptando dicho enfoque. En el mismo sentido, la CIDH valora la información reportada de la creación de “La Equipa”</w:t>
      </w:r>
      <w:r w:rsidR="008D4EFF" w:rsidRPr="00FA506F">
        <w:rPr>
          <w:lang w:val="es-ES"/>
        </w:rPr>
        <w:t>. S</w:t>
      </w:r>
      <w:r w:rsidRPr="00FA506F">
        <w:rPr>
          <w:lang w:val="es-ES"/>
        </w:rPr>
        <w:t xml:space="preserve">in embargo, tampoco se cuenta con información de cómo o a partir de qué acciones </w:t>
      </w:r>
      <w:r w:rsidR="008D4EFF" w:rsidRPr="00FA506F">
        <w:rPr>
          <w:lang w:val="es-ES"/>
        </w:rPr>
        <w:t>“</w:t>
      </w:r>
      <w:r w:rsidRPr="00FA506F">
        <w:rPr>
          <w:lang w:val="es-ES"/>
        </w:rPr>
        <w:t>La Equipa</w:t>
      </w:r>
      <w:r w:rsidR="008D4EFF" w:rsidRPr="00FA506F">
        <w:rPr>
          <w:lang w:val="es-ES"/>
        </w:rPr>
        <w:t>”</w:t>
      </w:r>
      <w:r w:rsidRPr="00FA506F">
        <w:rPr>
          <w:lang w:val="es-ES"/>
        </w:rPr>
        <w:t xml:space="preserve"> estaría promoviendo los espacios seguros, ni las medidas especializadas que se implementarían en relación con las personas defensor</w:t>
      </w:r>
      <w:r w:rsidR="008D4EFF" w:rsidRPr="00FA506F">
        <w:rPr>
          <w:lang w:val="es-ES"/>
        </w:rPr>
        <w:t>a</w:t>
      </w:r>
      <w:r w:rsidRPr="00FA506F">
        <w:rPr>
          <w:lang w:val="es-ES"/>
        </w:rPr>
        <w:t xml:space="preserve">s de los derechos de sus comunidades y del medio ambiente. En virtud de lo anterior, la Comisión mantiene la recomendación en </w:t>
      </w:r>
      <w:r w:rsidRPr="00FA506F">
        <w:rPr>
          <w:b/>
          <w:bCs/>
          <w:lang w:val="es-ES"/>
        </w:rPr>
        <w:t>cumplimiento parcial.</w:t>
      </w:r>
    </w:p>
    <w:p w14:paraId="3D626764" w14:textId="77777777" w:rsidR="004010D7" w:rsidRDefault="004010D7" w:rsidP="00137C70">
      <w:pPr>
        <w:ind w:firstLine="720"/>
        <w:jc w:val="both"/>
        <w:rPr>
          <w:rFonts w:ascii="Cambria" w:eastAsia="Cambria" w:hAnsi="Cambria" w:cs="Cambria"/>
          <w:i/>
          <w:iCs/>
          <w:color w:val="000000" w:themeColor="text1"/>
          <w:sz w:val="20"/>
          <w:szCs w:val="20"/>
          <w:lang w:val="es-ES"/>
        </w:rPr>
      </w:pPr>
    </w:p>
    <w:p w14:paraId="240A929A" w14:textId="4362B910" w:rsidR="00105530" w:rsidRPr="00FA506F" w:rsidRDefault="00105530" w:rsidP="00137C70">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44A6D77E"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4FA5C36E" w14:textId="637E7E74"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Con el fin de orientar el cumplimiento </w:t>
      </w:r>
      <w:r w:rsidR="00AF6183" w:rsidRPr="00FA506F">
        <w:rPr>
          <w:lang w:val="es-ES"/>
        </w:rPr>
        <w:t xml:space="preserve">integral </w:t>
      </w:r>
      <w:r w:rsidRPr="00FA506F">
        <w:rPr>
          <w:lang w:val="es-ES"/>
        </w:rPr>
        <w:t xml:space="preserve">de esta recomendación, la Comisión reitera la necesidad de contar con información que dé cuenta de cómo se determinan o establecen, en la práctica, las medidas diferenciadas de protección para las personas </w:t>
      </w:r>
      <w:r w:rsidR="00A86135" w:rsidRPr="00FA506F">
        <w:rPr>
          <w:lang w:val="es-ES"/>
        </w:rPr>
        <w:t xml:space="preserve">previstas </w:t>
      </w:r>
      <w:r w:rsidRPr="00FA506F">
        <w:rPr>
          <w:lang w:val="es-ES"/>
        </w:rPr>
        <w:t>en la recomendación. En ese sentido, la Comisión insta al Estado a remitir más información sobre la metodología implementada para la evaluación de riesgo, cómo es que ésta se desarrolla con un enfoque diferenciado y de qué manera este último determina las medidas de protección que son otorgadas.</w:t>
      </w:r>
    </w:p>
    <w:p w14:paraId="254737D1" w14:textId="77777777" w:rsidR="00105530" w:rsidRPr="00FA506F" w:rsidRDefault="00105530"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76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Exhortar al Estado a implementar estrategias para que las diferentes instituciones, en los diversos niveles federales y estatales, trabajen de manera articulada a fin de proporcionar una respuesta integral en todos los temas relacionados con la protección de las y los defensores de derechos humanos, así como también de periodistas. </w:t>
      </w:r>
    </w:p>
    <w:p w14:paraId="38351322" w14:textId="77777777" w:rsidR="00105530" w:rsidRPr="00FA506F" w:rsidRDefault="00105530" w:rsidP="00B80A67">
      <w:pPr>
        <w:jc w:val="both"/>
        <w:rPr>
          <w:rFonts w:ascii="Cambria" w:eastAsia="Cambria" w:hAnsi="Cambria" w:cs="Cambria"/>
          <w:i/>
          <w:iCs/>
          <w:color w:val="000000" w:themeColor="text1"/>
          <w:sz w:val="20"/>
          <w:szCs w:val="20"/>
          <w:lang w:val="es-ES"/>
        </w:rPr>
      </w:pPr>
    </w:p>
    <w:p w14:paraId="672BE0C2" w14:textId="19231849" w:rsidR="00105530" w:rsidRPr="00FA506F" w:rsidRDefault="00105530" w:rsidP="00B80A67">
      <w:pPr>
        <w:pStyle w:val="IAPrrafo"/>
        <w:numPr>
          <w:ilvl w:val="0"/>
          <w:numId w:val="4"/>
        </w:numPr>
        <w:tabs>
          <w:tab w:val="num" w:pos="720"/>
        </w:tabs>
        <w:spacing w:after="0"/>
        <w:ind w:firstLine="720"/>
        <w:rPr>
          <w:lang w:val="es-ES"/>
        </w:rPr>
      </w:pPr>
      <w:r w:rsidRPr="00FA506F">
        <w:rPr>
          <w:lang w:val="es-ES"/>
        </w:rPr>
        <w:t xml:space="preserve">En el Capítulo V del Informe Anual de 2023, la CIDH observó que el Estado reiteró la creación de la Junta de Gobierno del Mecanismo de Protección para Personas Defensoras de Derechos Humanos y Periodistas, que coordinaba acciones para atender casos y organizó tres encuentros nacionales con participación de autoridades federales y estatales. </w:t>
      </w:r>
      <w:r w:rsidR="006B4F48" w:rsidRPr="00FA506F">
        <w:rPr>
          <w:lang w:val="es-ES"/>
        </w:rPr>
        <w:t>El Estado informó de la</w:t>
      </w:r>
      <w:r w:rsidRPr="00FA506F">
        <w:rPr>
          <w:lang w:val="es-ES"/>
        </w:rPr>
        <w:t xml:space="preserve"> firm</w:t>
      </w:r>
      <w:r w:rsidR="006B4F48" w:rsidRPr="00FA506F">
        <w:rPr>
          <w:lang w:val="es-ES"/>
        </w:rPr>
        <w:t>a</w:t>
      </w:r>
      <w:r w:rsidRPr="00FA506F">
        <w:rPr>
          <w:lang w:val="es-ES"/>
        </w:rPr>
        <w:t xml:space="preserve"> </w:t>
      </w:r>
      <w:r w:rsidR="006B4F48" w:rsidRPr="00FA506F">
        <w:rPr>
          <w:lang w:val="es-ES"/>
        </w:rPr>
        <w:t xml:space="preserve">de </w:t>
      </w:r>
      <w:r w:rsidRPr="00FA506F">
        <w:rPr>
          <w:lang w:val="es-ES"/>
        </w:rPr>
        <w:t xml:space="preserve">un Convenio con el Instituto Mexicano del Seguro Social para incorporar a 925 periodistas independientes al Régimen de Seguridad Social. Sin embargo, las organizaciones de la sociedad civil </w:t>
      </w:r>
      <w:r w:rsidR="00A86135" w:rsidRPr="00FA506F">
        <w:rPr>
          <w:lang w:val="es-ES"/>
        </w:rPr>
        <w:t>refirieron</w:t>
      </w:r>
      <w:r w:rsidRPr="00FA506F">
        <w:rPr>
          <w:lang w:val="es-ES"/>
        </w:rPr>
        <w:t xml:space="preserve"> que, a pesar de estos esfuerzos, persistieron problemas de coordinación y la falta de medidas adicionales. La CIDH valoró la información proporcionada, pero concluyó que la recomendación permaneció en cumplimiento parcial debido a la falta de detalles sobre la efectividad de la coordinación interinstitucional</w:t>
      </w:r>
      <w:r w:rsidRPr="00FA506F">
        <w:rPr>
          <w:rStyle w:val="FootnoteReference"/>
          <w:lang w:val="es-ES"/>
        </w:rPr>
        <w:footnoteReference w:id="297"/>
      </w:r>
      <w:r w:rsidRPr="00FA506F">
        <w:rPr>
          <w:lang w:val="es-ES"/>
        </w:rPr>
        <w:t>.</w:t>
      </w:r>
    </w:p>
    <w:p w14:paraId="195A516A" w14:textId="77777777" w:rsidR="00105530" w:rsidRPr="00FA506F" w:rsidRDefault="00105530" w:rsidP="00B80A67">
      <w:pPr>
        <w:pStyle w:val="IAPrrafo"/>
        <w:spacing w:after="0"/>
        <w:ind w:left="720"/>
        <w:rPr>
          <w:lang w:val="es-ES"/>
        </w:rPr>
      </w:pPr>
    </w:p>
    <w:p w14:paraId="38F2084E" w14:textId="77777777" w:rsidR="00105530" w:rsidRPr="00FA506F" w:rsidRDefault="00105530" w:rsidP="00911EA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3835660A"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6A713E54" w14:textId="732AD513" w:rsidR="002374CC" w:rsidRPr="00616692" w:rsidRDefault="00105530" w:rsidP="002374CC">
      <w:pPr>
        <w:pStyle w:val="IAPrrafo"/>
        <w:numPr>
          <w:ilvl w:val="0"/>
          <w:numId w:val="4"/>
        </w:numPr>
        <w:tabs>
          <w:tab w:val="num" w:pos="720"/>
        </w:tabs>
        <w:spacing w:after="0"/>
        <w:ind w:firstLine="720"/>
        <w:rPr>
          <w:lang w:val="es-ES"/>
        </w:rPr>
      </w:pPr>
      <w:r w:rsidRPr="00FA506F">
        <w:rPr>
          <w:lang w:val="es-ES"/>
        </w:rPr>
        <w:t>En 2024, el Estado reiteró la información remitida en 2022</w:t>
      </w:r>
      <w:r w:rsidRPr="00FA506F">
        <w:rPr>
          <w:rStyle w:val="FootnoteReference"/>
          <w:lang w:val="es-ES"/>
        </w:rPr>
        <w:footnoteReference w:id="298"/>
      </w:r>
      <w:r w:rsidRPr="00FA506F">
        <w:rPr>
          <w:lang w:val="es-ES"/>
        </w:rPr>
        <w:t xml:space="preserve"> y 2023</w:t>
      </w:r>
      <w:r w:rsidRPr="00FA506F">
        <w:rPr>
          <w:rStyle w:val="FootnoteReference"/>
          <w:lang w:val="es-ES"/>
        </w:rPr>
        <w:footnoteReference w:id="299"/>
      </w:r>
      <w:r w:rsidR="007F37E7" w:rsidRPr="00FA506F">
        <w:rPr>
          <w:lang w:val="es-ES"/>
        </w:rPr>
        <w:t>. E</w:t>
      </w:r>
      <w:r w:rsidRPr="00FA506F">
        <w:rPr>
          <w:lang w:val="es-ES"/>
        </w:rPr>
        <w:t>n ese sentido, se refirió a la creación del Mecanismo de Protección para Personas Defensoras de Derechos Humanos y Periodistas, el cual habría incentivado una coordinación efectiva entre la Federación, las entidades federativas y los organismos autónomos, como fiscalías y comisiones de derechos humanos. El Estado expresó que el Mecanismo opera bajo una estructura que involucra a múltiples actores</w:t>
      </w:r>
      <w:r w:rsidR="008C2DA5" w:rsidRPr="00FA506F">
        <w:rPr>
          <w:lang w:val="es-ES"/>
        </w:rPr>
        <w:t xml:space="preserve"> </w:t>
      </w:r>
      <w:r w:rsidR="008C2DA5" w:rsidRPr="00616692">
        <w:rPr>
          <w:lang w:val="es-ES"/>
        </w:rPr>
        <w:t xml:space="preserve">y </w:t>
      </w:r>
      <w:r w:rsidR="003C46C1" w:rsidRPr="00616692">
        <w:rPr>
          <w:lang w:val="es-ES"/>
        </w:rPr>
        <w:t xml:space="preserve">reafirmó </w:t>
      </w:r>
      <w:r w:rsidRPr="00616692">
        <w:rPr>
          <w:lang w:val="es-ES"/>
        </w:rPr>
        <w:t xml:space="preserve">que la integración de la Junta de Gobierno contempla a diversas entidades del Gobierno Federal, como la Secretaría de Gobernación, la Secretaría de Relaciones Exteriores, la </w:t>
      </w:r>
      <w:r w:rsidR="00CB0E7A" w:rsidRPr="00616692">
        <w:rPr>
          <w:lang w:val="es-ES"/>
        </w:rPr>
        <w:t>GN</w:t>
      </w:r>
      <w:r w:rsidRPr="00616692">
        <w:rPr>
          <w:lang w:val="es-ES"/>
        </w:rPr>
        <w:t xml:space="preserve">, la FGR, la CNDH y representantes de la sociedad civil, lo que garantizaría un enfoque multidimensional. </w:t>
      </w:r>
      <w:r w:rsidR="008C2DA5" w:rsidRPr="00616692">
        <w:rPr>
          <w:lang w:val="es-ES"/>
        </w:rPr>
        <w:t>El</w:t>
      </w:r>
      <w:r w:rsidRPr="00616692">
        <w:rPr>
          <w:lang w:val="es-ES"/>
        </w:rPr>
        <w:t xml:space="preserve"> Estado reportó que se estaría garantizando la coordinación entre niveles de gobierno y la implementación de las medidas de protección de manera uniforme y coherente en todo el país. Adicionalmente, el Grupo de Trabajo para el Fortalecimiento del Mecanismo, conformado por organismos internacionales como la ONU-DH y organizaciones especializadas de la sociedad civil, habría colaborado en el fortalecimiento del Mecanismo. El Estado hizo referencia al incremento en la asignación de recursos del Mecanismo, reiterando la información reportada en las anteriores recomendaciones</w:t>
      </w:r>
      <w:r w:rsidRPr="00616692">
        <w:rPr>
          <w:rStyle w:val="FootnoteReference"/>
          <w:lang w:val="es-ES"/>
        </w:rPr>
        <w:footnoteReference w:id="300"/>
      </w:r>
      <w:r w:rsidRPr="00616692">
        <w:rPr>
          <w:lang w:val="es-ES"/>
        </w:rPr>
        <w:t>.</w:t>
      </w:r>
      <w:r w:rsidR="003B2F30" w:rsidRPr="00616692">
        <w:rPr>
          <w:lang w:val="es-ES"/>
        </w:rPr>
        <w:t xml:space="preserve"> </w:t>
      </w:r>
      <w:r w:rsidR="002374CC" w:rsidRPr="00616692">
        <w:rPr>
          <w:lang w:val="es-ES"/>
        </w:rPr>
        <w:t>En sus observaciones al presente Informe, el Estado refirió que el Mecanismo impartió 46 cursos de capacitación a autoridades estatales con el objetivo de sensibilizar sobre el derecho a defender derechos humanos</w:t>
      </w:r>
      <w:r w:rsidR="002374CC" w:rsidRPr="00616692">
        <w:rPr>
          <w:rStyle w:val="FootnoteReference"/>
          <w:lang w:val="es-ES"/>
        </w:rPr>
        <w:footnoteReference w:id="301"/>
      </w:r>
      <w:r w:rsidR="002374CC" w:rsidRPr="00616692">
        <w:rPr>
          <w:lang w:val="es-ES"/>
        </w:rPr>
        <w:t>.</w:t>
      </w:r>
    </w:p>
    <w:p w14:paraId="4F37A970" w14:textId="77777777" w:rsidR="002374CC" w:rsidRPr="002374CC" w:rsidRDefault="002374CC" w:rsidP="002374CC">
      <w:pPr>
        <w:pStyle w:val="IAPrrafo"/>
        <w:spacing w:after="0"/>
        <w:rPr>
          <w:lang w:val="es-ES"/>
        </w:rPr>
      </w:pPr>
    </w:p>
    <w:p w14:paraId="5137DDB5" w14:textId="237A11D1" w:rsidR="00105530" w:rsidRPr="0008319C" w:rsidRDefault="00105530" w:rsidP="1A0052D2">
      <w:pPr>
        <w:pStyle w:val="IAPrrafo"/>
        <w:numPr>
          <w:ilvl w:val="0"/>
          <w:numId w:val="4"/>
        </w:numPr>
        <w:tabs>
          <w:tab w:val="num" w:pos="720"/>
        </w:tabs>
        <w:spacing w:after="0"/>
        <w:ind w:firstLine="720"/>
        <w:rPr>
          <w:lang w:val="es-ES"/>
        </w:rPr>
      </w:pPr>
      <w:r w:rsidRPr="0008319C">
        <w:rPr>
          <w:lang w:val="es-ES"/>
        </w:rPr>
        <w:t xml:space="preserve">Por su parte, organizaciones de la sociedad civil </w:t>
      </w:r>
      <w:r w:rsidR="00A86135" w:rsidRPr="0008319C">
        <w:rPr>
          <w:lang w:val="es-ES"/>
        </w:rPr>
        <w:t>informaron</w:t>
      </w:r>
      <w:r w:rsidRPr="0008319C">
        <w:rPr>
          <w:lang w:val="es-ES"/>
        </w:rPr>
        <w:t xml:space="preserve"> que continuarían documentando casos en los que no existe una coordinación efectiva entre la solicitud de medidas de protección por parte del Mecanismo y su implementación. Específicamente, en lo que respecta a los rondines de las autoridades policiales, las personas beneficiarias informan que, si bien se cumplen durante algunos meses después de las juntas de gobierno, rara vez se mantienen de manera continua durante todo el período de acompañamiento asignado</w:t>
      </w:r>
      <w:r w:rsidRPr="1A0052D2">
        <w:rPr>
          <w:rStyle w:val="FootnoteReference"/>
        </w:rPr>
        <w:footnoteReference w:id="302"/>
      </w:r>
      <w:r w:rsidRPr="0008319C">
        <w:rPr>
          <w:lang w:val="es-ES"/>
        </w:rPr>
        <w:t xml:space="preserve"> . </w:t>
      </w:r>
      <w:r w:rsidR="008C2DA5" w:rsidRPr="0008319C">
        <w:rPr>
          <w:lang w:val="es-ES"/>
        </w:rPr>
        <w:t>De</w:t>
      </w:r>
      <w:r w:rsidRPr="0008319C">
        <w:rPr>
          <w:lang w:val="es-ES"/>
        </w:rPr>
        <w:t xml:space="preserve"> acuerdo con organizaciones de la sociedad civil, la falta de coordinación entre el mecanismo y las autoridades municipales continúa siendo un desafío, así como la </w:t>
      </w:r>
      <w:r w:rsidR="007B4AC5" w:rsidRPr="0008319C">
        <w:rPr>
          <w:lang w:val="es-ES"/>
        </w:rPr>
        <w:t xml:space="preserve">ausencia </w:t>
      </w:r>
      <w:r w:rsidRPr="0008319C">
        <w:rPr>
          <w:lang w:val="es-ES"/>
        </w:rPr>
        <w:t xml:space="preserve">de coordinación entre las unidades internas del </w:t>
      </w:r>
      <w:r w:rsidR="007B4AC5" w:rsidRPr="0008319C">
        <w:rPr>
          <w:lang w:val="es-ES"/>
        </w:rPr>
        <w:t>M</w:t>
      </w:r>
      <w:r w:rsidRPr="0008319C">
        <w:rPr>
          <w:lang w:val="es-ES"/>
        </w:rPr>
        <w:t>ecanismo</w:t>
      </w:r>
      <w:r w:rsidRPr="1A0052D2">
        <w:rPr>
          <w:rStyle w:val="FootnoteReference"/>
        </w:rPr>
        <w:footnoteReference w:id="303"/>
      </w:r>
      <w:r w:rsidRPr="0008319C">
        <w:rPr>
          <w:lang w:val="es-ES"/>
        </w:rPr>
        <w:t>.</w:t>
      </w:r>
    </w:p>
    <w:p w14:paraId="67413687" w14:textId="77777777" w:rsidR="00105530" w:rsidRPr="00FA506F" w:rsidRDefault="00105530" w:rsidP="00B80A67">
      <w:pPr>
        <w:pStyle w:val="IAPrrafo"/>
        <w:spacing w:after="0"/>
        <w:ind w:left="720"/>
        <w:rPr>
          <w:lang w:val="es-ES"/>
        </w:rPr>
      </w:pPr>
    </w:p>
    <w:p w14:paraId="4BD5C7B6" w14:textId="77777777" w:rsidR="00105530" w:rsidRPr="00FA506F" w:rsidRDefault="00105530" w:rsidP="00911EA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635B75D2"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46C3D7EC" w14:textId="5DA76E60" w:rsidR="00105530" w:rsidRPr="00FA506F" w:rsidRDefault="00105530" w:rsidP="00B80A67">
      <w:pPr>
        <w:pStyle w:val="IAPrrafo"/>
        <w:numPr>
          <w:ilvl w:val="0"/>
          <w:numId w:val="4"/>
        </w:numPr>
        <w:tabs>
          <w:tab w:val="num" w:pos="720"/>
        </w:tabs>
        <w:spacing w:after="0"/>
        <w:ind w:firstLine="720"/>
        <w:rPr>
          <w:lang w:val="es-ES"/>
        </w:rPr>
      </w:pPr>
      <w:r w:rsidRPr="00FA506F">
        <w:rPr>
          <w:lang w:val="es-ES"/>
        </w:rPr>
        <w:t xml:space="preserve">La Comisión </w:t>
      </w:r>
      <w:r w:rsidR="006F7A01" w:rsidRPr="00FA506F">
        <w:rPr>
          <w:lang w:val="es-ES"/>
        </w:rPr>
        <w:t xml:space="preserve">no </w:t>
      </w:r>
      <w:r w:rsidRPr="00FA506F">
        <w:rPr>
          <w:lang w:val="es-ES"/>
        </w:rPr>
        <w:t xml:space="preserve">cuenta con información que </w:t>
      </w:r>
      <w:r w:rsidR="00A86135" w:rsidRPr="00FA506F">
        <w:rPr>
          <w:lang w:val="es-ES"/>
        </w:rPr>
        <w:t>dé cuenta de</w:t>
      </w:r>
      <w:r w:rsidRPr="00FA506F">
        <w:rPr>
          <w:lang w:val="es-ES"/>
        </w:rPr>
        <w:t xml:space="preserve"> cómo en la práctica se garantiza un trabajo articulado entre las instituciones del nivel federal y estatal. A la espera de mayores detalles sobre las medidas de articulación implementadas, la CIDH considera que la recomendación continúa </w:t>
      </w:r>
      <w:r w:rsidRPr="00FA506F">
        <w:rPr>
          <w:b/>
          <w:bCs/>
          <w:lang w:val="es-ES"/>
        </w:rPr>
        <w:t>parcialmente cumplida.</w:t>
      </w:r>
    </w:p>
    <w:p w14:paraId="623F6262" w14:textId="77777777" w:rsidR="00105530" w:rsidRPr="00FA506F" w:rsidRDefault="00105530" w:rsidP="00B80A67">
      <w:pPr>
        <w:pStyle w:val="IAPrrafo"/>
        <w:spacing w:after="0"/>
        <w:ind w:left="720"/>
        <w:rPr>
          <w:lang w:val="es-ES"/>
        </w:rPr>
      </w:pPr>
    </w:p>
    <w:p w14:paraId="34AE27CA" w14:textId="77777777" w:rsidR="00105530" w:rsidRPr="00FA506F" w:rsidRDefault="00105530" w:rsidP="00911EA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18393039"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64FBCB41" w14:textId="59B5E827" w:rsidR="00105530" w:rsidRPr="00FA506F" w:rsidRDefault="00105530" w:rsidP="00B80A67">
      <w:pPr>
        <w:pStyle w:val="IAPrrafo"/>
        <w:numPr>
          <w:ilvl w:val="0"/>
          <w:numId w:val="4"/>
        </w:numPr>
        <w:tabs>
          <w:tab w:val="num" w:pos="720"/>
        </w:tabs>
        <w:spacing w:after="0"/>
        <w:ind w:firstLine="720"/>
        <w:rPr>
          <w:lang w:val="es-ES"/>
        </w:rPr>
      </w:pPr>
      <w:r w:rsidRPr="00FA506F">
        <w:rPr>
          <w:lang w:val="es-ES"/>
        </w:rPr>
        <w:t xml:space="preserve">Con el objetivo de guiar la implementación </w:t>
      </w:r>
      <w:r w:rsidR="009C7FAA" w:rsidRPr="00FA506F">
        <w:rPr>
          <w:lang w:val="es-ES"/>
        </w:rPr>
        <w:t xml:space="preserve">total </w:t>
      </w:r>
      <w:r w:rsidRPr="00FA506F">
        <w:rPr>
          <w:lang w:val="es-ES"/>
        </w:rPr>
        <w:t xml:space="preserve">de esta recomendación, la CIDH tiene a bien invitar al Estado a informar en qué consisten las acciones y estrategias implementadas para garantizar el trabajo articulado entre instituciones del nivel federal, estatal y municipal. </w:t>
      </w:r>
      <w:r w:rsidR="008C2DA5" w:rsidRPr="00FA506F">
        <w:rPr>
          <w:lang w:val="es-ES"/>
        </w:rPr>
        <w:t>La Comisión</w:t>
      </w:r>
      <w:r w:rsidRPr="00FA506F">
        <w:rPr>
          <w:lang w:val="es-ES"/>
        </w:rPr>
        <w:t xml:space="preserve"> invita al Estado a continuar reportando detalles sobre cómo, en la práctica, se estaría concretando esta articulación para brindar una respuesta integral para la protección de personas defensoras de derechos humanos y periodistas.</w:t>
      </w:r>
    </w:p>
    <w:p w14:paraId="2AB16092" w14:textId="77777777" w:rsidR="00105530" w:rsidRPr="00FA506F" w:rsidRDefault="00105530" w:rsidP="00B80A67">
      <w:pPr>
        <w:pStyle w:val="IAPrrafo"/>
        <w:spacing w:after="0"/>
        <w:ind w:left="720"/>
        <w:rPr>
          <w:lang w:val="es-ES"/>
        </w:rPr>
      </w:pPr>
    </w:p>
    <w:p w14:paraId="71D2805A" w14:textId="77777777" w:rsidR="00105530" w:rsidRPr="00FA506F" w:rsidRDefault="00105530"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77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Alentar al mecanismo de protección a implementar una estrategia de difusión sobre sus competencias, los requisitos para ingresar al programa, entre otra información necesaria, con el objetivo de que defensores de derechos humanos y periodistas conozcan sobre la protección que puede proporcionar el mecanismo. De igual forma y de acuerdo con estándares internacionales, proporcionar acceso a la información necesaria sobre el mecanismo de protección, a fin de proporcionar mayor transparencia sobre el trabajo que se está desarrollando. </w:t>
      </w:r>
    </w:p>
    <w:p w14:paraId="3392E931" w14:textId="77777777" w:rsidR="00105530" w:rsidRPr="00FA506F" w:rsidRDefault="00105530" w:rsidP="00B80A67">
      <w:pPr>
        <w:jc w:val="both"/>
        <w:rPr>
          <w:rFonts w:ascii="Cambria" w:eastAsia="Cambria" w:hAnsi="Cambria" w:cs="Cambria"/>
          <w:i/>
          <w:iCs/>
          <w:color w:val="000000" w:themeColor="text1"/>
          <w:sz w:val="20"/>
          <w:szCs w:val="20"/>
          <w:lang w:val="es-ES"/>
        </w:rPr>
      </w:pPr>
    </w:p>
    <w:p w14:paraId="2608D73E" w14:textId="3630E2BB" w:rsidR="00105530" w:rsidRPr="00FA506F" w:rsidRDefault="00105530" w:rsidP="00B80A67">
      <w:pPr>
        <w:pStyle w:val="IAPrrafo"/>
        <w:numPr>
          <w:ilvl w:val="0"/>
          <w:numId w:val="4"/>
        </w:numPr>
        <w:tabs>
          <w:tab w:val="num" w:pos="720"/>
        </w:tabs>
        <w:ind w:firstLine="720"/>
        <w:rPr>
          <w:lang w:val="es-ES"/>
        </w:rPr>
      </w:pPr>
      <w:r w:rsidRPr="00FA506F">
        <w:rPr>
          <w:lang w:val="es-ES"/>
        </w:rPr>
        <w:t>De acuerdo con la información reportada por el Estado para el Informe de Seguimiento de 2023, se implementó una estrategia de difusión y sensibilización sobre el Mecanismo de Protección y la defensa de derechos humanos, incluyendo capacitación en 19 entidades federativas</w:t>
      </w:r>
      <w:r w:rsidR="005076DB" w:rsidRPr="00FA506F">
        <w:rPr>
          <w:lang w:val="es-ES"/>
        </w:rPr>
        <w:t xml:space="preserve"> y </w:t>
      </w:r>
      <w:r w:rsidRPr="00FA506F">
        <w:rPr>
          <w:lang w:val="es-ES"/>
        </w:rPr>
        <w:t xml:space="preserve">habilitaron cuentas oficiales en redes sociales y se lanzó la campaña “De frente a la libertad” en colaboración con la Unión Europea y la Oficina del Alto Comisionado de las Naciones Unidas para los Derechos Humanos en México, que llegó a 22 entidades federativas. Sin embargo, las organizaciones de la sociedad civil </w:t>
      </w:r>
      <w:r w:rsidR="00BE6519" w:rsidRPr="00FA506F">
        <w:rPr>
          <w:lang w:val="es-ES"/>
        </w:rPr>
        <w:t>refirieron</w:t>
      </w:r>
      <w:r w:rsidRPr="00FA506F">
        <w:rPr>
          <w:lang w:val="es-ES"/>
        </w:rPr>
        <w:t xml:space="preserve"> que, aunque el Mecanismo utiliza Twitter para difusión, la estrategia comunicativa seguía siendo limitada y no alcanzaba a toda la población. La CIDH valoró los esfuerzos adicionales, pero concluyó que la recomendación permaneció en cumplimiento parcial, destacando la necesidad de una estrategia de comunicación más inclusiva y coordinada. </w:t>
      </w:r>
    </w:p>
    <w:p w14:paraId="3C362237" w14:textId="77777777" w:rsidR="00105530" w:rsidRPr="00FA506F" w:rsidRDefault="00105530" w:rsidP="00911EA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03CB76C5"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2F980E6D" w14:textId="1D0A345A" w:rsidR="00105530" w:rsidRPr="00FA506F" w:rsidRDefault="00105530" w:rsidP="00B80A67">
      <w:pPr>
        <w:pStyle w:val="IAPrrafo"/>
        <w:numPr>
          <w:ilvl w:val="0"/>
          <w:numId w:val="4"/>
        </w:numPr>
        <w:tabs>
          <w:tab w:val="num" w:pos="720"/>
        </w:tabs>
        <w:ind w:firstLine="720"/>
        <w:rPr>
          <w:lang w:val="es-ES"/>
        </w:rPr>
      </w:pPr>
      <w:r w:rsidRPr="00FA506F">
        <w:rPr>
          <w:lang w:val="es-ES"/>
        </w:rPr>
        <w:t>En 2024, el Estado reportó que, a través de la Coordinación General de Comunicación Social y Vocería de la Presidencia, la SEGOB, en colaboración con la Delegación de la Unión Europea (UE) y la Oficina del Alto Comisionado de las Naciones Unidas para los Derechos habría implementado una estrategia de difusión integral sobre el Mecanismo</w:t>
      </w:r>
      <w:r w:rsidR="006B4F48" w:rsidRPr="00FA506F">
        <w:rPr>
          <w:lang w:val="es-ES"/>
        </w:rPr>
        <w:t xml:space="preserve"> y </w:t>
      </w:r>
      <w:r w:rsidRPr="00FA506F">
        <w:rPr>
          <w:lang w:val="es-ES"/>
        </w:rPr>
        <w:t xml:space="preserve">refirió que la campaña titulada </w:t>
      </w:r>
      <w:r w:rsidR="000A505B" w:rsidRPr="00FA506F">
        <w:rPr>
          <w:lang w:val="es-ES"/>
        </w:rPr>
        <w:t>“</w:t>
      </w:r>
      <w:r w:rsidRPr="00FA506F">
        <w:rPr>
          <w:lang w:val="es-ES"/>
        </w:rPr>
        <w:t xml:space="preserve">De Frente a la Libertad” tiene como objetivo visibilizar los riesgos que enfrentan las personas defensoras de derechos humanos y periodistas, y aumentar la conciencia sobre las medidas de protección disponibles. Estos materiales se estarían difundiendo en espacios públicos y redes sociales, en aras de que la información llegue a todas las regiones del país, facilitando el acceso de los potenciales beneficiarios. Finalmente, el Estado </w:t>
      </w:r>
      <w:r w:rsidR="00454AE0" w:rsidRPr="00FA506F">
        <w:rPr>
          <w:lang w:val="es-ES"/>
        </w:rPr>
        <w:t>informó</w:t>
      </w:r>
      <w:r w:rsidRPr="00FA506F">
        <w:rPr>
          <w:lang w:val="es-ES"/>
        </w:rPr>
        <w:t xml:space="preserve"> que las autoridades, incluidas la Secretaría de Seguridad y Protección Ciudadana (SSPC), la Unidad para la Defensa de los Derechos Humanos de Gobernación, y la SRE, participan activamente en la difusión y ejecución de esta estrategia para garantizar que defensores y periodistas cuenten con información clara y accesible sobre los mecanismos de protección disponibles</w:t>
      </w:r>
      <w:r w:rsidRPr="00FA506F">
        <w:rPr>
          <w:rStyle w:val="FootnoteReference"/>
          <w:lang w:val="es-ES"/>
        </w:rPr>
        <w:footnoteReference w:id="304"/>
      </w:r>
      <w:r w:rsidRPr="00FA506F">
        <w:rPr>
          <w:lang w:val="es-ES"/>
        </w:rPr>
        <w:t>.</w:t>
      </w:r>
    </w:p>
    <w:p w14:paraId="776E418A" w14:textId="77777777" w:rsidR="00105530" w:rsidRPr="00FA506F" w:rsidRDefault="00105530" w:rsidP="00911EA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5BD53215"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1CEF3F80" w14:textId="1C85141E"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La Comisión saluda la difusión de la campaña “De Frente a la Libertad” </w:t>
      </w:r>
      <w:r w:rsidR="006B4F48" w:rsidRPr="00FA506F">
        <w:rPr>
          <w:lang w:val="es-ES"/>
        </w:rPr>
        <w:t>y</w:t>
      </w:r>
      <w:r w:rsidRPr="00FA506F">
        <w:rPr>
          <w:lang w:val="es-ES"/>
        </w:rPr>
        <w:t xml:space="preserve"> valora de forma positiva que la campaña se replique no solo en redes sociales, sino en espacios públicos y se involucre a las autoridades en el proceso de divulgación del contenido de la campaña que visibilizaría las medidas de protección disponibles por parte del Estado. En virtud de lo anterior, la Comisión concluye que la recomendación se encuentra </w:t>
      </w:r>
      <w:r w:rsidRPr="00FA506F">
        <w:rPr>
          <w:b/>
          <w:bCs/>
          <w:lang w:val="es-ES"/>
        </w:rPr>
        <w:t>totalmente cumplida.</w:t>
      </w:r>
    </w:p>
    <w:p w14:paraId="2163CC3F" w14:textId="77777777" w:rsidR="00105530" w:rsidRPr="00FA506F" w:rsidRDefault="00105530"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78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Alentar al mecanismo de protección a adoptar un procedimiento que le permita ordenar medidas de protección de oficio en aquellos casos que por su gravedad y urgencia las requieran de forma inmediata. </w:t>
      </w:r>
    </w:p>
    <w:p w14:paraId="0C9F4FF3" w14:textId="77777777" w:rsidR="00105530" w:rsidRPr="00FA506F" w:rsidRDefault="00105530" w:rsidP="00B80A67">
      <w:pPr>
        <w:jc w:val="both"/>
        <w:rPr>
          <w:rFonts w:ascii="Cambria" w:eastAsia="Cambria" w:hAnsi="Cambria" w:cs="Cambria"/>
          <w:i/>
          <w:iCs/>
          <w:color w:val="000000" w:themeColor="text1"/>
          <w:sz w:val="20"/>
          <w:szCs w:val="20"/>
          <w:lang w:val="es-ES"/>
        </w:rPr>
      </w:pPr>
    </w:p>
    <w:p w14:paraId="56CAE68E" w14:textId="2B8727BB"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De acuerdo con la información reportada por el Estado para el Informe de Seguimiento de 2023, la Comisión tomó nota del trabajo de la Unidad de Recepción de Casos y Reacción Rápida, encargada de emitir e implementar Medidas Urgentes de Protección de manera inmediata, conforme a la Ley para la Protección de Personas Defensoras de Derechos Humanos y Periodistas. Sin embargo, las organizaciones de la sociedad civil </w:t>
      </w:r>
      <w:r w:rsidR="00AB1989" w:rsidRPr="00FA506F">
        <w:rPr>
          <w:lang w:val="es-ES"/>
        </w:rPr>
        <w:t>in</w:t>
      </w:r>
      <w:r w:rsidR="00AF6713" w:rsidRPr="00FA506F">
        <w:rPr>
          <w:lang w:val="es-ES"/>
        </w:rPr>
        <w:t>dicaron</w:t>
      </w:r>
      <w:r w:rsidR="00AB1989" w:rsidRPr="00FA506F">
        <w:rPr>
          <w:lang w:val="es-ES"/>
        </w:rPr>
        <w:t xml:space="preserve"> </w:t>
      </w:r>
      <w:r w:rsidRPr="00FA506F">
        <w:rPr>
          <w:lang w:val="es-ES"/>
        </w:rPr>
        <w:t xml:space="preserve">que no se habían presentado medidas específicas para abordar casos urgentes, y que se había </w:t>
      </w:r>
      <w:r w:rsidR="00A86135" w:rsidRPr="00FA506F">
        <w:rPr>
          <w:lang w:val="es-ES"/>
        </w:rPr>
        <w:t>generado</w:t>
      </w:r>
      <w:r w:rsidRPr="00FA506F">
        <w:rPr>
          <w:lang w:val="es-ES"/>
        </w:rPr>
        <w:t xml:space="preserve"> un retraso significativo en la incorporación de periodistas al Mecanismo de Protección. Destacaron el caso de Gustavo Sánchez Cabrera, un periodista asesinado en 2021, quien había enfrentado demoras en la evaluación y aplicación de medidas de protección. La CIDH</w:t>
      </w:r>
      <w:r w:rsidR="00A86135" w:rsidRPr="00FA506F">
        <w:rPr>
          <w:lang w:val="es-ES"/>
        </w:rPr>
        <w:t xml:space="preserve"> concluyó </w:t>
      </w:r>
      <w:r w:rsidRPr="00FA506F">
        <w:rPr>
          <w:lang w:val="es-ES"/>
        </w:rPr>
        <w:t>que, aunque la ley establece procedimientos para medidas urgentes, estas se inician solo a partir de una solicitud y no de oficio, concluyendo que la recomendación seguía en cumplimiento parcial. Se instó al Estado a informar sobre la implementación de un procedimiento para otorgar medidas de protección de oficio</w:t>
      </w:r>
      <w:r w:rsidRPr="00FA506F">
        <w:rPr>
          <w:rStyle w:val="FootnoteReference"/>
          <w:lang w:val="es-ES"/>
        </w:rPr>
        <w:footnoteReference w:id="305"/>
      </w:r>
      <w:r w:rsidRPr="00FA506F">
        <w:rPr>
          <w:lang w:val="es-ES"/>
        </w:rPr>
        <w:t xml:space="preserve">. </w:t>
      </w:r>
    </w:p>
    <w:p w14:paraId="40FBC827" w14:textId="77777777" w:rsidR="00105530" w:rsidRPr="00FA506F" w:rsidRDefault="00105530" w:rsidP="00911EA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163A4F98"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560C4260" w14:textId="77777777"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En 2024, el Estado refirió que el Mecanismo otorga medidas de protección preventivas a través de un proceso riguroso y técnico que evalúa el nivel de riesgo que enfrentan los solicitantes. Este proceso se lleva a cabo mediante una valoración integral que examina el contexto en el que operan, la naturaleza de las amenazas recibidas y el grado de vulnerabilidad de la persona en cuestión. Dependiendo de los resultados de esta evaluación, se establecerían medidas específicas de protección, las cuales podrían incluir escoltas, chalecos antibalas y cámaras de vigilancia, o la reubicación temporal de las personas afectadas. El Estado informó que las medidas son decididas conjuntamente entre las instituciones de gobierno, los beneficiarios y la sociedad civil a través de su Consejo Consultivo. </w:t>
      </w:r>
    </w:p>
    <w:p w14:paraId="2F5B33A5" w14:textId="40FF0537"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Por su parte, las organizaciones de la sociedad civil reportaron que el Estado mexicano no ha presentado medidas o directrices para abordar casos de gravedad y urgencia, y </w:t>
      </w:r>
      <w:r w:rsidR="006F7A01" w:rsidRPr="00FA506F">
        <w:rPr>
          <w:lang w:val="es-ES"/>
        </w:rPr>
        <w:t>que existiría</w:t>
      </w:r>
      <w:r w:rsidRPr="00FA506F">
        <w:rPr>
          <w:lang w:val="es-ES"/>
        </w:rPr>
        <w:t xml:space="preserve"> un rezago en el proceso de incorporación al Mecanismo. En algunos casos que se acompañan, las organizaciones indicaron haber registrado un retraso en la incorporación de periodistas al Mecanismo, lo que lo haría ineficiente y poco eficaz en situaciones de riesgo para la prensa</w:t>
      </w:r>
      <w:r w:rsidRPr="00FA506F">
        <w:rPr>
          <w:rStyle w:val="FootnoteReference"/>
          <w:lang w:val="es-ES"/>
        </w:rPr>
        <w:footnoteReference w:id="306"/>
      </w:r>
      <w:r w:rsidRPr="00FA506F">
        <w:rPr>
          <w:lang w:val="es-ES"/>
        </w:rPr>
        <w:t xml:space="preserve">. </w:t>
      </w:r>
      <w:r w:rsidRPr="00FA506F">
        <w:rPr>
          <w:szCs w:val="20"/>
          <w:lang w:val="es-ES"/>
        </w:rPr>
        <w:t xml:space="preserve">De igual forma, la CIDH y </w:t>
      </w:r>
      <w:r w:rsidR="004F387F" w:rsidRPr="00FA506F">
        <w:rPr>
          <w:szCs w:val="20"/>
          <w:lang w:val="es-ES"/>
        </w:rPr>
        <w:t>la RELE</w:t>
      </w:r>
      <w:r w:rsidRPr="00FA506F">
        <w:rPr>
          <w:szCs w:val="20"/>
          <w:lang w:val="es-ES"/>
        </w:rPr>
        <w:t xml:space="preserve"> han recibido informes que alegan una falta de respuesta oportuna por parte del Mecanismo ante situaciones de gravedad y urgencia extrema que afectan a las personas beneficiarias. </w:t>
      </w:r>
    </w:p>
    <w:p w14:paraId="58D90174"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1819A80B"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2B506CDD" w14:textId="7B0BEBE6" w:rsidR="00105530" w:rsidRPr="00FA506F" w:rsidRDefault="00105530" w:rsidP="00B80A67">
      <w:pPr>
        <w:pStyle w:val="IAPrrafo"/>
        <w:numPr>
          <w:ilvl w:val="0"/>
          <w:numId w:val="4"/>
        </w:numPr>
        <w:tabs>
          <w:tab w:val="num" w:pos="720"/>
        </w:tabs>
        <w:ind w:firstLine="720"/>
        <w:rPr>
          <w:b/>
          <w:bCs/>
          <w:lang w:val="es-ES"/>
        </w:rPr>
      </w:pPr>
      <w:r w:rsidRPr="00FA506F">
        <w:rPr>
          <w:lang w:val="es-ES"/>
        </w:rPr>
        <w:t>La Comisión valora la información reportada en cuanto al análisis del contexto, naturaleza de las amenazas y grado de vulnerabilidad de la persona en cuestión, en el proceso de análisis de riesgo del Mecanismo</w:t>
      </w:r>
      <w:r w:rsidR="003A3843" w:rsidRPr="00FA506F">
        <w:rPr>
          <w:lang w:val="es-ES"/>
        </w:rPr>
        <w:t>. S</w:t>
      </w:r>
      <w:r w:rsidRPr="00FA506F">
        <w:rPr>
          <w:lang w:val="es-ES"/>
        </w:rPr>
        <w:t xml:space="preserve">in embargo, este proceso no da cuenta de cómo se </w:t>
      </w:r>
      <w:r w:rsidR="0043296F" w:rsidRPr="00FA506F">
        <w:rPr>
          <w:lang w:val="es-ES"/>
        </w:rPr>
        <w:t xml:space="preserve">están </w:t>
      </w:r>
      <w:r w:rsidRPr="00FA506F">
        <w:rPr>
          <w:lang w:val="es-ES"/>
        </w:rPr>
        <w:t>otorgando medidas de protección de oficio, garantizando una implementación inmediata. En ese sentido, si bien el proceso y criterios reportados por el Estado resultarían objetivos, éstos no realizan una diferenciación entre las medidas de protección otorgada</w:t>
      </w:r>
      <w:r w:rsidR="0043296F" w:rsidRPr="00FA506F">
        <w:rPr>
          <w:lang w:val="es-ES"/>
        </w:rPr>
        <w:t>s</w:t>
      </w:r>
      <w:r w:rsidRPr="00FA506F">
        <w:rPr>
          <w:lang w:val="es-ES"/>
        </w:rPr>
        <w:t xml:space="preserve"> como resultado de un procedimiento ordinario </w:t>
      </w:r>
      <w:r w:rsidRPr="00FA506F">
        <w:rPr>
          <w:i/>
          <w:iCs/>
          <w:lang w:val="es-ES"/>
        </w:rPr>
        <w:t xml:space="preserve">vis a vis </w:t>
      </w:r>
      <w:r w:rsidRPr="00FA506F">
        <w:rPr>
          <w:lang w:val="es-ES"/>
        </w:rPr>
        <w:t>aquellas medidas que se estarían otorgando de oficio. En ese sentido</w:t>
      </w:r>
      <w:r w:rsidR="0043296F" w:rsidRPr="00FA506F">
        <w:rPr>
          <w:lang w:val="es-ES"/>
        </w:rPr>
        <w:t>,</w:t>
      </w:r>
      <w:r w:rsidRPr="00FA506F">
        <w:rPr>
          <w:lang w:val="es-ES"/>
        </w:rPr>
        <w:t xml:space="preserve"> y a la espera de información específica en relación con las medidas de protección otorgadas de oficio, la Comisión mantiene la recomendación como </w:t>
      </w:r>
      <w:r w:rsidRPr="00FA506F">
        <w:rPr>
          <w:b/>
          <w:bCs/>
          <w:lang w:val="es-ES"/>
        </w:rPr>
        <w:t>parcialmente cumplida.</w:t>
      </w:r>
    </w:p>
    <w:p w14:paraId="476D1CF9" w14:textId="77777777" w:rsidR="00105530" w:rsidRPr="00FA506F" w:rsidRDefault="00105530" w:rsidP="00911EA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3FFD4942"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72F049C8" w14:textId="6E5A3DDF" w:rsidR="00105530" w:rsidRPr="00FA506F" w:rsidRDefault="00105530" w:rsidP="00B80A67">
      <w:pPr>
        <w:pStyle w:val="IAPrrafo"/>
        <w:numPr>
          <w:ilvl w:val="0"/>
          <w:numId w:val="4"/>
        </w:numPr>
        <w:tabs>
          <w:tab w:val="num" w:pos="720"/>
        </w:tabs>
        <w:ind w:firstLine="720"/>
        <w:rPr>
          <w:lang w:val="es-ES"/>
        </w:rPr>
      </w:pPr>
      <w:r w:rsidRPr="00FA506F">
        <w:rPr>
          <w:lang w:val="es-ES"/>
        </w:rPr>
        <w:t>Con el fin de guiar el cumplimiento</w:t>
      </w:r>
      <w:r w:rsidR="00B71EE4" w:rsidRPr="00FA506F">
        <w:rPr>
          <w:lang w:val="es-ES"/>
        </w:rPr>
        <w:t xml:space="preserve"> integral</w:t>
      </w:r>
      <w:r w:rsidRPr="00FA506F">
        <w:rPr>
          <w:lang w:val="es-ES"/>
        </w:rPr>
        <w:t xml:space="preserve"> de esta recomendación, la CIDH invita al Estado a informar la diferencia de procesos de otorgamiento de medidas de protección a solicitud de parte de aquellas medidas otorgadas de oficio. </w:t>
      </w:r>
      <w:r w:rsidR="008C2DA5" w:rsidRPr="00FA506F">
        <w:rPr>
          <w:lang w:val="es-ES"/>
        </w:rPr>
        <w:t>Es</w:t>
      </w:r>
      <w:r w:rsidRPr="00FA506F">
        <w:rPr>
          <w:lang w:val="es-ES"/>
        </w:rPr>
        <w:t xml:space="preserve"> necesario que el Estado informe si el proceso reportado está previsto en alguna regulación u ordenamiento que permita verificar su permanencia en el tiempo. </w:t>
      </w:r>
    </w:p>
    <w:p w14:paraId="074B7193" w14:textId="77777777" w:rsidR="00105530" w:rsidRPr="00FA506F" w:rsidRDefault="00105530"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79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Instar al Estado a duplicar esfuerzos para investigar los hechos que motivan el ingreso y permanencia de las personas amparadas por el mecanismo de protección, con el propósito de establecer como política de Estado la investigación como medida de prevención. </w:t>
      </w:r>
    </w:p>
    <w:p w14:paraId="7450C7E0" w14:textId="77777777" w:rsidR="00105530" w:rsidRPr="00FA506F" w:rsidRDefault="00105530" w:rsidP="00B80A67">
      <w:pPr>
        <w:jc w:val="both"/>
        <w:rPr>
          <w:rFonts w:ascii="Cambria" w:eastAsia="Cambria" w:hAnsi="Cambria" w:cs="Cambria"/>
          <w:i/>
          <w:iCs/>
          <w:color w:val="000000" w:themeColor="text1"/>
          <w:sz w:val="20"/>
          <w:szCs w:val="20"/>
          <w:lang w:val="es-ES"/>
        </w:rPr>
      </w:pPr>
    </w:p>
    <w:p w14:paraId="5A10D469" w14:textId="44A4C562"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De acuerdo con la información reportada por el Estado para el Informe de Seguimiento de 2023, la Comisión tomó nota de que, aunque el Mecanismo de Protección no tiene atribuciones para investigar delitos, fomenta la colaboración con las </w:t>
      </w:r>
      <w:r w:rsidR="00660362" w:rsidRPr="00FA506F">
        <w:rPr>
          <w:lang w:val="es-ES"/>
        </w:rPr>
        <w:t>f</w:t>
      </w:r>
      <w:r w:rsidRPr="00FA506F">
        <w:rPr>
          <w:lang w:val="es-ES"/>
        </w:rPr>
        <w:t xml:space="preserve">iscalías </w:t>
      </w:r>
      <w:r w:rsidR="00660362" w:rsidRPr="00FA506F">
        <w:rPr>
          <w:lang w:val="es-ES"/>
        </w:rPr>
        <w:t>e</w:t>
      </w:r>
      <w:r w:rsidRPr="00FA506F">
        <w:rPr>
          <w:lang w:val="es-ES"/>
        </w:rPr>
        <w:t xml:space="preserve">statales y trabaja en el fortalecimiento de una red nacional de autoridades para mejorar la atención de la problemática. Las organizaciones de la sociedad civil, sin embargo, </w:t>
      </w:r>
      <w:r w:rsidR="00BE6519" w:rsidRPr="00FA506F">
        <w:rPr>
          <w:lang w:val="es-ES"/>
        </w:rPr>
        <w:t>refirieron</w:t>
      </w:r>
      <w:r w:rsidRPr="00FA506F">
        <w:rPr>
          <w:lang w:val="es-ES"/>
        </w:rPr>
        <w:t xml:space="preserve"> que la impunidad en casos de violencia contra la prensa sigue siendo alta, con más del 97% de los casos de la FEADLE sin sentencia entre 2012 y 2022. La CIDH observó dificultades en la coordinación entre autoridades y la falta de avances en investigaciones y prevención, manteniendo la recomendación como parcialmente cumplida. Se instó al Estado a fortalecer las medidas institucionales para la investigación de los hechos que llevan a la inclusión en el Mecanismo y a proporcionar información sobre los avances y resultados de estas investigaciones</w:t>
      </w:r>
      <w:r w:rsidRPr="00FA506F">
        <w:rPr>
          <w:rStyle w:val="FootnoteReference"/>
          <w:lang w:val="es-ES"/>
        </w:rPr>
        <w:footnoteReference w:id="307"/>
      </w:r>
      <w:r w:rsidRPr="00FA506F">
        <w:rPr>
          <w:lang w:val="es-ES"/>
        </w:rPr>
        <w:t>.</w:t>
      </w:r>
    </w:p>
    <w:p w14:paraId="52B19988" w14:textId="77777777" w:rsidR="00105530" w:rsidRPr="00FA506F" w:rsidRDefault="00105530" w:rsidP="00911EA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025BEB00"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1B530464" w14:textId="336BA8DC"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En 2024 el Estado </w:t>
      </w:r>
      <w:r w:rsidR="00454AE0" w:rsidRPr="00FA506F">
        <w:rPr>
          <w:lang w:val="es-ES"/>
        </w:rPr>
        <w:t>informó</w:t>
      </w:r>
      <w:r w:rsidRPr="00FA506F">
        <w:rPr>
          <w:lang w:val="es-ES"/>
        </w:rPr>
        <w:t xml:space="preserve"> que los análisis de riesgo se realizan una vez que se incorpora a una persona beneficiaria y se le otorgan medidas de protección</w:t>
      </w:r>
      <w:r w:rsidR="008100EC" w:rsidRPr="00FA506F">
        <w:rPr>
          <w:lang w:val="es-ES"/>
        </w:rPr>
        <w:t>;</w:t>
      </w:r>
      <w:r w:rsidRPr="00FA506F">
        <w:rPr>
          <w:lang w:val="es-ES"/>
        </w:rPr>
        <w:t xml:space="preserve"> </w:t>
      </w:r>
      <w:r w:rsidR="008100EC" w:rsidRPr="00FA506F">
        <w:rPr>
          <w:lang w:val="es-ES"/>
        </w:rPr>
        <w:t xml:space="preserve">entonces, cuando </w:t>
      </w:r>
      <w:r w:rsidRPr="00FA506F">
        <w:rPr>
          <w:lang w:val="es-ES"/>
        </w:rPr>
        <w:t xml:space="preserve">la Unidad de Evaluación de Riesgo cuenta con el expediente, este se programaría para llevar a cabo la evaluación o reevaluación del riesgo según sea el caso, así como la generación y aprobación del plan de protección por parte de la Junta de Gobierno. </w:t>
      </w:r>
      <w:r w:rsidR="008100EC" w:rsidRPr="00FA506F">
        <w:rPr>
          <w:lang w:val="es-ES"/>
        </w:rPr>
        <w:t>De esta manera, aduce</w:t>
      </w:r>
      <w:r w:rsidR="00A86135" w:rsidRPr="00FA506F">
        <w:rPr>
          <w:lang w:val="es-ES"/>
        </w:rPr>
        <w:t>, l</w:t>
      </w:r>
      <w:r w:rsidRPr="00FA506F">
        <w:rPr>
          <w:lang w:val="es-ES"/>
        </w:rPr>
        <w:t>os análisis de riesgo toman en consideración la vulnerabilidad de las personas defensoras de derechos humanos y periodistas y buscan generar planes de protección que cuenten con medidas idóneas, eficaces, y temporales</w:t>
      </w:r>
      <w:r w:rsidR="00454AE0" w:rsidRPr="00FA506F">
        <w:rPr>
          <w:lang w:val="es-ES"/>
        </w:rPr>
        <w:t xml:space="preserve"> y</w:t>
      </w:r>
      <w:r w:rsidRPr="00FA506F">
        <w:rPr>
          <w:lang w:val="es-ES"/>
        </w:rPr>
        <w:t xml:space="preserve"> que, en ningún caso, dichas medidas restringen las actividades de las personas beneficiarias, ni implican vigilancia o intrusiones no deseadas en sus vidas laborales o personales</w:t>
      </w:r>
      <w:r w:rsidRPr="00FA506F">
        <w:rPr>
          <w:rStyle w:val="FootnoteReference"/>
          <w:lang w:val="es-ES"/>
        </w:rPr>
        <w:footnoteReference w:id="308"/>
      </w:r>
      <w:r w:rsidRPr="00FA506F">
        <w:rPr>
          <w:lang w:val="es-ES"/>
        </w:rPr>
        <w:t>.</w:t>
      </w:r>
    </w:p>
    <w:p w14:paraId="5ADC3C4E" w14:textId="5BF9A75D"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A su vez, las organizaciones de la sociedad civil alegaron la impunidad en casos de violencia contra la prensa y resaltaron que, de los casos de la FEADLE, más del 97% no tendría sentencia (entre 2012 y diciembre 2022). </w:t>
      </w:r>
      <w:r w:rsidR="008C2DA5" w:rsidRPr="00FA506F">
        <w:rPr>
          <w:lang w:val="es-ES"/>
        </w:rPr>
        <w:t>Las</w:t>
      </w:r>
      <w:r w:rsidRPr="00FA506F">
        <w:rPr>
          <w:lang w:val="es-ES"/>
        </w:rPr>
        <w:t xml:space="preserve"> organizaciones indicaron que el Mecanismo de Protección Federal habría rechazado cualquier acto investigativo argumentando que no se encuentra en sus facultades el poder investigar los hechos, relegando a las Fiscalías estatales y a la FGR las investigaciones</w:t>
      </w:r>
      <w:r w:rsidRPr="00FA506F">
        <w:rPr>
          <w:rStyle w:val="FootnoteReference"/>
          <w:lang w:val="es-ES"/>
        </w:rPr>
        <w:footnoteReference w:id="309"/>
      </w:r>
      <w:r w:rsidRPr="00FA506F">
        <w:rPr>
          <w:lang w:val="es-ES"/>
        </w:rPr>
        <w:t>.</w:t>
      </w:r>
    </w:p>
    <w:p w14:paraId="4E027438" w14:textId="77777777" w:rsidR="00105530" w:rsidRPr="00FA506F" w:rsidRDefault="00105530" w:rsidP="00911EA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4F317A29" w14:textId="77777777" w:rsidR="00105530" w:rsidRPr="00FA506F" w:rsidRDefault="00105530" w:rsidP="00B80A67">
      <w:pPr>
        <w:jc w:val="both"/>
        <w:rPr>
          <w:rFonts w:ascii="Cambria" w:eastAsia="Cambria" w:hAnsi="Cambria" w:cs="Cambria"/>
          <w:i/>
          <w:iCs/>
          <w:color w:val="000000" w:themeColor="text1"/>
          <w:sz w:val="20"/>
          <w:szCs w:val="20"/>
          <w:lang w:val="es-ES"/>
        </w:rPr>
      </w:pPr>
    </w:p>
    <w:p w14:paraId="38284D5D" w14:textId="4439C450" w:rsidR="00105530" w:rsidRPr="00FA506F" w:rsidRDefault="008100EC" w:rsidP="00B80A67">
      <w:pPr>
        <w:pStyle w:val="IAPrrafo"/>
        <w:numPr>
          <w:ilvl w:val="0"/>
          <w:numId w:val="4"/>
        </w:numPr>
        <w:tabs>
          <w:tab w:val="num" w:pos="720"/>
        </w:tabs>
        <w:ind w:firstLine="720"/>
        <w:rPr>
          <w:lang w:val="es-ES"/>
        </w:rPr>
      </w:pPr>
      <w:r w:rsidRPr="00FA506F">
        <w:rPr>
          <w:lang w:val="es-ES"/>
        </w:rPr>
        <w:t>La Comisión advierte que se mantiene u</w:t>
      </w:r>
      <w:r w:rsidR="00A86135" w:rsidRPr="00FA506F">
        <w:rPr>
          <w:lang w:val="es-ES"/>
        </w:rPr>
        <w:t>n</w:t>
      </w:r>
      <w:r w:rsidR="00105530" w:rsidRPr="00FA506F">
        <w:rPr>
          <w:lang w:val="es-ES"/>
        </w:rPr>
        <w:t xml:space="preserve"> desafío en la coordinación entre autoridades a distintos niveles para coadyuvar en investigaciones y procesos, </w:t>
      </w:r>
      <w:r w:rsidRPr="00FA506F">
        <w:rPr>
          <w:lang w:val="es-ES"/>
        </w:rPr>
        <w:t xml:space="preserve">y que </w:t>
      </w:r>
      <w:r w:rsidR="00105530" w:rsidRPr="00FA506F">
        <w:rPr>
          <w:lang w:val="es-ES"/>
        </w:rPr>
        <w:t>esto ha dificultado los avances y desarrollo de procesos efectivos que garanticen el derecho de acceso a la justicia. En ese sentido</w:t>
      </w:r>
      <w:r w:rsidR="00A86135" w:rsidRPr="00FA506F">
        <w:rPr>
          <w:lang w:val="es-ES"/>
        </w:rPr>
        <w:t>,</w:t>
      </w:r>
      <w:r w:rsidR="00105530" w:rsidRPr="00FA506F">
        <w:rPr>
          <w:lang w:val="es-ES"/>
        </w:rPr>
        <w:t xml:space="preserve"> no existe información que dé cuenta de avances en la coordinación entre autoridades para </w:t>
      </w:r>
      <w:r w:rsidRPr="00FA506F">
        <w:rPr>
          <w:lang w:val="es-ES"/>
        </w:rPr>
        <w:t xml:space="preserve">contribuir en los </w:t>
      </w:r>
      <w:r w:rsidR="00105530" w:rsidRPr="00FA506F">
        <w:rPr>
          <w:lang w:val="es-ES"/>
        </w:rPr>
        <w:t xml:space="preserve">procesos de investigación, ni </w:t>
      </w:r>
      <w:r w:rsidRPr="00FA506F">
        <w:rPr>
          <w:lang w:val="es-ES"/>
        </w:rPr>
        <w:t xml:space="preserve">en las </w:t>
      </w:r>
      <w:r w:rsidR="00105530" w:rsidRPr="00FA506F">
        <w:rPr>
          <w:lang w:val="es-ES"/>
        </w:rPr>
        <w:t xml:space="preserve">estrategias de prevención. Por tanto, la Comisión mantiene la recomendación como </w:t>
      </w:r>
      <w:r w:rsidR="00105530" w:rsidRPr="00FA506F">
        <w:rPr>
          <w:b/>
          <w:bCs/>
          <w:lang w:val="es-ES"/>
        </w:rPr>
        <w:t>parcialmente cumplida.</w:t>
      </w:r>
    </w:p>
    <w:p w14:paraId="7D2CB3C9" w14:textId="77777777" w:rsidR="00105530" w:rsidRPr="00FA506F" w:rsidRDefault="00105530" w:rsidP="00911EA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36FA1F67"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34939626" w14:textId="48A4C0D7" w:rsidR="00105530" w:rsidRPr="00FA506F" w:rsidRDefault="00105530" w:rsidP="00B80A67">
      <w:pPr>
        <w:pStyle w:val="IAPrrafo"/>
        <w:numPr>
          <w:ilvl w:val="0"/>
          <w:numId w:val="4"/>
        </w:numPr>
        <w:tabs>
          <w:tab w:val="num" w:pos="720"/>
        </w:tabs>
        <w:ind w:firstLine="720"/>
        <w:rPr>
          <w:lang w:val="es-ES"/>
        </w:rPr>
      </w:pPr>
      <w:r w:rsidRPr="00FA506F">
        <w:rPr>
          <w:lang w:val="es-ES"/>
        </w:rPr>
        <w:t>Para guiar el cumplimiento de esta recomendación, la Comisión invita al Estado a adoptar medidas de fortalecimiento institucional</w:t>
      </w:r>
      <w:r w:rsidR="008100EC" w:rsidRPr="00FA506F">
        <w:rPr>
          <w:lang w:val="es-ES"/>
        </w:rPr>
        <w:t xml:space="preserve"> que aseguren</w:t>
      </w:r>
      <w:r w:rsidRPr="00FA506F">
        <w:rPr>
          <w:lang w:val="es-ES"/>
        </w:rPr>
        <w:t xml:space="preserve"> la investigación de los hechos que </w:t>
      </w:r>
      <w:r w:rsidR="008100EC" w:rsidRPr="00FA506F">
        <w:rPr>
          <w:lang w:val="es-ES"/>
        </w:rPr>
        <w:t xml:space="preserve">generan </w:t>
      </w:r>
      <w:r w:rsidRPr="00FA506F">
        <w:rPr>
          <w:lang w:val="es-ES"/>
        </w:rPr>
        <w:t xml:space="preserve">que </w:t>
      </w:r>
      <w:r w:rsidR="008100EC" w:rsidRPr="00FA506F">
        <w:rPr>
          <w:lang w:val="es-ES"/>
        </w:rPr>
        <w:t xml:space="preserve">las </w:t>
      </w:r>
      <w:r w:rsidRPr="00FA506F">
        <w:rPr>
          <w:lang w:val="es-ES"/>
        </w:rPr>
        <w:t>personas ingresen al Mecanismo de protección, y a informar sobre los resultados de estas medidas</w:t>
      </w:r>
      <w:r w:rsidR="00A86135" w:rsidRPr="00FA506F">
        <w:rPr>
          <w:lang w:val="es-ES"/>
        </w:rPr>
        <w:t xml:space="preserve"> y sobre </w:t>
      </w:r>
      <w:r w:rsidRPr="00FA506F">
        <w:rPr>
          <w:lang w:val="es-ES"/>
        </w:rPr>
        <w:t>los avances en los procesos de investigación relacionados con los casos que forman parte del Mecanismo de Protección</w:t>
      </w:r>
      <w:r w:rsidR="008100EC" w:rsidRPr="00FA506F">
        <w:rPr>
          <w:lang w:val="es-ES"/>
        </w:rPr>
        <w:t>. También se sugiere informar</w:t>
      </w:r>
      <w:r w:rsidRPr="00FA506F">
        <w:rPr>
          <w:lang w:val="es-ES"/>
        </w:rPr>
        <w:t xml:space="preserve"> sobre las acciones adoptadas para asegurar que la investigación se realiza de manera imparcial, exhaustiva y expedita y que</w:t>
      </w:r>
      <w:r w:rsidR="006B4F48" w:rsidRPr="00FA506F">
        <w:rPr>
          <w:lang w:val="es-ES"/>
        </w:rPr>
        <w:t xml:space="preserve"> </w:t>
      </w:r>
      <w:r w:rsidRPr="00FA506F">
        <w:rPr>
          <w:lang w:val="es-ES"/>
        </w:rPr>
        <w:t>conducen al adecuado juzgamiento y sanción de las personas responsables.</w:t>
      </w:r>
    </w:p>
    <w:p w14:paraId="1CF40094" w14:textId="77777777" w:rsidR="00105530" w:rsidRPr="00FA506F" w:rsidRDefault="00105530" w:rsidP="00B80A67">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pPr>
      <w:r w:rsidRPr="00FA506F">
        <w:rPr>
          <w:rFonts w:ascii="Cambria" w:eastAsia="Cambria" w:hAnsi="Cambria" w:cstheme="minorBidi"/>
          <w:b/>
          <w:bCs/>
          <w:color w:val="000000" w:themeColor="text1"/>
          <w:kern w:val="2"/>
          <w:sz w:val="20"/>
          <w:szCs w:val="20"/>
          <w:shd w:val="clear" w:color="auto" w:fill="D0CECE" w:themeFill="background2" w:themeFillShade="E6"/>
          <w:lang w:val="es-ES"/>
          <w14:ligatures w14:val="standardContextual"/>
        </w:rPr>
        <w:t xml:space="preserve">Recomendación No. 80 </w:t>
      </w:r>
      <w:r w:rsidRPr="00FA506F">
        <w:rPr>
          <w:rFonts w:ascii="Cambria" w:eastAsia="Cambria" w:hAnsi="Cambria" w:cstheme="minorBidi"/>
          <w:color w:val="000000" w:themeColor="text1"/>
          <w:kern w:val="2"/>
          <w:sz w:val="20"/>
          <w:szCs w:val="20"/>
          <w:shd w:val="clear" w:color="auto" w:fill="D0CECE" w:themeFill="background2" w:themeFillShade="E6"/>
          <w:lang w:val="es-ES"/>
          <w14:ligatures w14:val="standardContextual"/>
        </w:rPr>
        <w:t xml:space="preserve">Alentar al mecanismo a adoptar herramientas que le permitan realizar mediciones sobre la efectividad de las medidas implementadas, así como incrementar la transparencia de todo lo actuado para incrementar la confianza de los beneficiarios. Lo anterior deberá acompañarse del desarrollo de una política de prevención y de participación de la población objetivo. </w:t>
      </w:r>
    </w:p>
    <w:p w14:paraId="57C70043" w14:textId="77777777" w:rsidR="00105530" w:rsidRPr="00FA506F" w:rsidRDefault="00105530" w:rsidP="00B80A67">
      <w:pPr>
        <w:jc w:val="both"/>
        <w:rPr>
          <w:rFonts w:ascii="Cambria" w:eastAsia="Cambria" w:hAnsi="Cambria" w:cs="Cambria"/>
          <w:i/>
          <w:iCs/>
          <w:color w:val="000000" w:themeColor="text1"/>
          <w:sz w:val="20"/>
          <w:szCs w:val="20"/>
          <w:lang w:val="es-ES"/>
        </w:rPr>
      </w:pPr>
    </w:p>
    <w:p w14:paraId="0861E3A8" w14:textId="15AFA869" w:rsidR="00105530" w:rsidRPr="00FA506F" w:rsidRDefault="00105530" w:rsidP="00B80A67">
      <w:pPr>
        <w:pStyle w:val="IAPrrafo"/>
        <w:numPr>
          <w:ilvl w:val="0"/>
          <w:numId w:val="4"/>
        </w:numPr>
        <w:tabs>
          <w:tab w:val="num" w:pos="720"/>
        </w:tabs>
        <w:ind w:firstLine="720"/>
        <w:rPr>
          <w:lang w:val="es-ES"/>
        </w:rPr>
      </w:pPr>
      <w:r w:rsidRPr="00FA506F">
        <w:rPr>
          <w:lang w:val="es-ES"/>
        </w:rPr>
        <w:t>De acuerdo con la información reportada por el Estado para el Informe de Seguimiento de 2023, la Comisión tomó nota de la labor de la Unidad de Prevención, Seguimiento y Análisis del Mecanismo de Protección, encarga</w:t>
      </w:r>
      <w:r w:rsidR="008100EC" w:rsidRPr="00FA506F">
        <w:rPr>
          <w:lang w:val="es-ES"/>
        </w:rPr>
        <w:t>d</w:t>
      </w:r>
      <w:r w:rsidRPr="00FA506F">
        <w:rPr>
          <w:lang w:val="es-ES"/>
        </w:rPr>
        <w:t xml:space="preserve">a de evaluar las medidas implementadas y proponer modificaciones y mejoras. Sin embargo, las organizaciones de la sociedad civil reportaron deficiencias en los análisis de riesgo elaborados por el Mecanismo, que no </w:t>
      </w:r>
      <w:r w:rsidR="00A86135" w:rsidRPr="00FA506F">
        <w:rPr>
          <w:lang w:val="es-ES"/>
        </w:rPr>
        <w:t xml:space="preserve">prevén </w:t>
      </w:r>
      <w:r w:rsidRPr="00FA506F">
        <w:rPr>
          <w:lang w:val="es-ES"/>
        </w:rPr>
        <w:t>adecuadamente el contexto y la información actualizada</w:t>
      </w:r>
      <w:r w:rsidR="005076DB" w:rsidRPr="00FA506F">
        <w:rPr>
          <w:lang w:val="es-ES"/>
        </w:rPr>
        <w:t xml:space="preserve"> y</w:t>
      </w:r>
      <w:r w:rsidRPr="00FA506F">
        <w:rPr>
          <w:lang w:val="es-ES"/>
        </w:rPr>
        <w:t xml:space="preserve"> </w:t>
      </w:r>
      <w:r w:rsidR="00BE6519" w:rsidRPr="00FA506F">
        <w:rPr>
          <w:lang w:val="es-ES"/>
        </w:rPr>
        <w:t>refirieron</w:t>
      </w:r>
      <w:r w:rsidRPr="00FA506F">
        <w:rPr>
          <w:lang w:val="es-ES"/>
        </w:rPr>
        <w:t xml:space="preserve"> un aumento en amparos, quejas y denuncias contra el Mecanismo y su personal</w:t>
      </w:r>
      <w:r w:rsidR="008100EC" w:rsidRPr="00FA506F">
        <w:rPr>
          <w:lang w:val="es-ES"/>
        </w:rPr>
        <w:t>. Las organizaciones también</w:t>
      </w:r>
      <w:r w:rsidRPr="00FA506F">
        <w:rPr>
          <w:lang w:val="es-ES"/>
        </w:rPr>
        <w:t xml:space="preserve"> destacaron que, en 2022, de 291 solicitudes de incorporación, 152 fueron inadmitidas sin explicaciones claras. La CIDH, al no recibir información detallada sobre los resultados de las evaluaciones realizadas por la Unidad de Prevención</w:t>
      </w:r>
      <w:r w:rsidR="00A86135" w:rsidRPr="00FA506F">
        <w:rPr>
          <w:lang w:val="es-ES"/>
        </w:rPr>
        <w:t xml:space="preserve">, </w:t>
      </w:r>
      <w:r w:rsidRPr="00FA506F">
        <w:rPr>
          <w:lang w:val="es-ES"/>
        </w:rPr>
        <w:t>mantuvo la recomendación como pendiente de cumplimiento. Se sugirió al Estado adoptar medidas para contar con indicadores de evaluación que verifiquen la efectividad de las medidas implementadas, incorporando la perspectiva de las personas usuarias</w:t>
      </w:r>
      <w:r w:rsidRPr="00FA506F">
        <w:rPr>
          <w:rStyle w:val="FootnoteReference"/>
          <w:lang w:val="es-ES"/>
        </w:rPr>
        <w:footnoteReference w:id="310"/>
      </w:r>
      <w:r w:rsidRPr="00FA506F">
        <w:rPr>
          <w:lang w:val="es-ES"/>
        </w:rPr>
        <w:t xml:space="preserve">. </w:t>
      </w:r>
    </w:p>
    <w:p w14:paraId="2E676B4A" w14:textId="77777777" w:rsidR="00105530" w:rsidRPr="00FA506F" w:rsidRDefault="00105530" w:rsidP="00911EA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Información sobre el cumplimiento</w:t>
      </w:r>
    </w:p>
    <w:p w14:paraId="508BC5C1"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1D2E6F15" w14:textId="0EDC70E1"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En 2024, el Estado refirió que las autoridades mexicanas, incluidas la Secretaría de Seguridad y Protección Ciudadana (SSPC), la Unidad para la Defensa de los Derechos Humanos de Gobernación, y la SRE participan en la difusión y ejecución de esta estrategia para garantizar que defensores y periodistas cuenten con información clara y accesible sobre los mecanismos de protección disponibles. </w:t>
      </w:r>
      <w:r w:rsidR="006B4F48" w:rsidRPr="00FA506F">
        <w:rPr>
          <w:lang w:val="es-ES"/>
        </w:rPr>
        <w:t>El Estado</w:t>
      </w:r>
      <w:r w:rsidRPr="00FA506F">
        <w:rPr>
          <w:lang w:val="es-ES"/>
        </w:rPr>
        <w:t xml:space="preserve"> </w:t>
      </w:r>
      <w:r w:rsidR="00454AE0" w:rsidRPr="00FA506F">
        <w:rPr>
          <w:lang w:val="es-ES"/>
        </w:rPr>
        <w:t>reportó</w:t>
      </w:r>
      <w:r w:rsidRPr="00FA506F">
        <w:rPr>
          <w:lang w:val="es-ES"/>
        </w:rPr>
        <w:t xml:space="preserve"> que </w:t>
      </w:r>
      <w:r w:rsidR="00A86135" w:rsidRPr="00FA506F">
        <w:rPr>
          <w:lang w:val="es-ES"/>
        </w:rPr>
        <w:t xml:space="preserve">el análisis de riesgo de enfoque diferenciado garantiza </w:t>
      </w:r>
      <w:r w:rsidRPr="00FA506F">
        <w:rPr>
          <w:lang w:val="es-ES"/>
        </w:rPr>
        <w:t xml:space="preserve">la perspectiva de género al momento de realizar las entrevistas a las y los beneficiarios. </w:t>
      </w:r>
      <w:r w:rsidR="008C2DA5" w:rsidRPr="00FA506F">
        <w:rPr>
          <w:lang w:val="es-ES"/>
        </w:rPr>
        <w:t>El</w:t>
      </w:r>
      <w:r w:rsidRPr="00FA506F">
        <w:rPr>
          <w:lang w:val="es-ES"/>
        </w:rPr>
        <w:t xml:space="preserve"> Estado </w:t>
      </w:r>
      <w:r w:rsidR="008100EC" w:rsidRPr="00FA506F">
        <w:rPr>
          <w:lang w:val="es-ES"/>
        </w:rPr>
        <w:t xml:space="preserve">resaltó </w:t>
      </w:r>
      <w:r w:rsidRPr="00FA506F">
        <w:rPr>
          <w:lang w:val="es-ES"/>
        </w:rPr>
        <w:t>que la metodología tiene variantes que se aplican con este enfoque, las cuales son las siguientes: Discriminación y exclusión por expresión de género, condición de género, condición por orientación sexo-genérica, condición etaria, condición y apariencia indígena, creencias religiosas, grupos socialmente estigmatizados, condiciones de discapacidad e identificaría si han enfrentado algún tipo de violencia. De igual forma, se registrarían aquellas situaciones que influyen en su labor. Con toda la información que se proporciona, se señalaría si las personas beneficiarias han sido afectadas por la condición de género o violencias</w:t>
      </w:r>
      <w:r w:rsidRPr="00FA506F">
        <w:rPr>
          <w:rStyle w:val="FootnoteReference"/>
          <w:lang w:val="es-ES"/>
        </w:rPr>
        <w:footnoteReference w:id="311"/>
      </w:r>
      <w:r w:rsidRPr="00FA506F">
        <w:rPr>
          <w:lang w:val="es-ES"/>
        </w:rPr>
        <w:t>.</w:t>
      </w:r>
    </w:p>
    <w:p w14:paraId="196836AC" w14:textId="77777777" w:rsidR="00105530" w:rsidRPr="00FA506F" w:rsidRDefault="00105530" w:rsidP="00911EA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Análisis y nivel de cumplimiento de la recomendación</w:t>
      </w:r>
    </w:p>
    <w:p w14:paraId="4E06273F"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5D1C6FA8" w14:textId="5B1EA18D" w:rsidR="00105530" w:rsidRPr="00FA506F" w:rsidRDefault="00105530" w:rsidP="00B80A67">
      <w:pPr>
        <w:pStyle w:val="IAPrrafo"/>
        <w:numPr>
          <w:ilvl w:val="0"/>
          <w:numId w:val="4"/>
        </w:numPr>
        <w:tabs>
          <w:tab w:val="num" w:pos="720"/>
        </w:tabs>
        <w:ind w:firstLine="720"/>
        <w:rPr>
          <w:lang w:val="es-ES"/>
        </w:rPr>
      </w:pPr>
      <w:r w:rsidRPr="00FA506F">
        <w:rPr>
          <w:lang w:val="es-ES"/>
        </w:rPr>
        <w:t>La información reportada por el Estado da cuenta de cómo se estaría fortaleciendo un enfoque diferenciado en los trabajos del Mecanismo</w:t>
      </w:r>
      <w:r w:rsidR="008100EC" w:rsidRPr="00FA506F">
        <w:rPr>
          <w:lang w:val="es-ES"/>
        </w:rPr>
        <w:t>. S</w:t>
      </w:r>
      <w:r w:rsidRPr="00FA506F">
        <w:rPr>
          <w:lang w:val="es-ES"/>
        </w:rPr>
        <w:t>in embargo, no se reporta información relacionada con procesos de medición y evaluación de la efectividad de las medidas implementadas, tal como lo establece la recomendación</w:t>
      </w:r>
      <w:r w:rsidR="008100EC" w:rsidRPr="00FA506F">
        <w:rPr>
          <w:lang w:val="es-ES"/>
        </w:rPr>
        <w:t>. T</w:t>
      </w:r>
      <w:r w:rsidRPr="00FA506F">
        <w:rPr>
          <w:lang w:val="es-ES"/>
        </w:rPr>
        <w:t xml:space="preserve">ampoco se informa sobre medidas implementadas para incrementar la confianza de las personas beneficiarias. En consecuencia, la CIDH </w:t>
      </w:r>
      <w:r w:rsidR="00A86135" w:rsidRPr="00FA506F">
        <w:rPr>
          <w:lang w:val="es-ES"/>
        </w:rPr>
        <w:t>concluye</w:t>
      </w:r>
      <w:r w:rsidRPr="00FA506F">
        <w:rPr>
          <w:lang w:val="es-ES"/>
        </w:rPr>
        <w:t xml:space="preserve"> que esta recomendación continua </w:t>
      </w:r>
      <w:r w:rsidRPr="00FA506F">
        <w:rPr>
          <w:b/>
          <w:bCs/>
          <w:lang w:val="es-ES"/>
        </w:rPr>
        <w:t>pendiente de cumplimiento.</w:t>
      </w:r>
    </w:p>
    <w:p w14:paraId="26F45CB8" w14:textId="77777777" w:rsidR="00105530" w:rsidRPr="00FA506F" w:rsidRDefault="00105530" w:rsidP="00911EA1">
      <w:pPr>
        <w:ind w:firstLine="720"/>
        <w:jc w:val="both"/>
        <w:rPr>
          <w:rFonts w:ascii="Cambria" w:eastAsia="Cambria" w:hAnsi="Cambria" w:cs="Cambria"/>
          <w:i/>
          <w:iCs/>
          <w:color w:val="000000" w:themeColor="text1"/>
          <w:sz w:val="20"/>
          <w:szCs w:val="20"/>
          <w:lang w:val="es-ES"/>
        </w:rPr>
      </w:pPr>
      <w:r w:rsidRPr="00FA506F">
        <w:rPr>
          <w:rFonts w:ascii="Cambria" w:eastAsia="Cambria" w:hAnsi="Cambria" w:cs="Cambria"/>
          <w:i/>
          <w:iCs/>
          <w:color w:val="000000" w:themeColor="text1"/>
          <w:sz w:val="20"/>
          <w:szCs w:val="20"/>
          <w:lang w:val="es-ES"/>
        </w:rPr>
        <w:t xml:space="preserve">Medidas e información para avanzar en el cumplimiento de la recomendación </w:t>
      </w:r>
    </w:p>
    <w:p w14:paraId="0795CCC6" w14:textId="77777777" w:rsidR="00105530" w:rsidRPr="00FA506F" w:rsidRDefault="00105530" w:rsidP="00B80A67">
      <w:pPr>
        <w:ind w:firstLine="360"/>
        <w:jc w:val="both"/>
        <w:rPr>
          <w:rFonts w:ascii="Cambria" w:eastAsia="Cambria" w:hAnsi="Cambria" w:cs="Cambria"/>
          <w:i/>
          <w:iCs/>
          <w:color w:val="000000" w:themeColor="text1"/>
          <w:sz w:val="20"/>
          <w:szCs w:val="20"/>
          <w:lang w:val="es-ES"/>
        </w:rPr>
      </w:pPr>
    </w:p>
    <w:p w14:paraId="5352DAE6" w14:textId="41289775" w:rsidR="00105530" w:rsidRPr="00FA506F" w:rsidRDefault="00105530" w:rsidP="00B80A67">
      <w:pPr>
        <w:pStyle w:val="IAPrrafo"/>
        <w:numPr>
          <w:ilvl w:val="0"/>
          <w:numId w:val="4"/>
        </w:numPr>
        <w:tabs>
          <w:tab w:val="num" w:pos="720"/>
        </w:tabs>
        <w:ind w:firstLine="720"/>
        <w:rPr>
          <w:lang w:val="es-ES"/>
        </w:rPr>
      </w:pPr>
      <w:r w:rsidRPr="00FA506F">
        <w:rPr>
          <w:lang w:val="es-ES"/>
        </w:rPr>
        <w:t xml:space="preserve">Con el objetivo de guiar el cumplimiento de esta recomendación, la CIDH invita al Estado a adoptar </w:t>
      </w:r>
      <w:r w:rsidR="008100EC" w:rsidRPr="00FA506F">
        <w:rPr>
          <w:lang w:val="es-ES"/>
        </w:rPr>
        <w:t xml:space="preserve">iniciativas </w:t>
      </w:r>
      <w:r w:rsidRPr="00FA506F">
        <w:rPr>
          <w:lang w:val="es-ES"/>
        </w:rPr>
        <w:t xml:space="preserve">que le permitan contar con indicadores de evaluación para verificar la efectividad de las medidas implementadas en su totalidad. </w:t>
      </w:r>
      <w:r w:rsidR="008C2DA5" w:rsidRPr="00FA506F">
        <w:rPr>
          <w:lang w:val="es-ES"/>
        </w:rPr>
        <w:t>La Comisión</w:t>
      </w:r>
      <w:r w:rsidRPr="00FA506F">
        <w:rPr>
          <w:lang w:val="es-ES"/>
        </w:rPr>
        <w:t xml:space="preserve"> sugiere que esta evaluación </w:t>
      </w:r>
      <w:r w:rsidR="00A86135" w:rsidRPr="00FA506F">
        <w:rPr>
          <w:lang w:val="es-ES"/>
        </w:rPr>
        <w:t>incluya</w:t>
      </w:r>
      <w:r w:rsidRPr="00FA506F">
        <w:rPr>
          <w:lang w:val="es-ES"/>
        </w:rPr>
        <w:t xml:space="preserve"> la perspectiva de las personas usuarias de dichas medidas.</w:t>
      </w:r>
    </w:p>
    <w:p w14:paraId="0EAD743A" w14:textId="77777777" w:rsidR="007B7AAF" w:rsidRPr="00FA506F" w:rsidRDefault="007B7AAF" w:rsidP="00B80A67">
      <w:pPr>
        <w:pStyle w:val="IATtulo"/>
        <w:numPr>
          <w:ilvl w:val="0"/>
          <w:numId w:val="1"/>
        </w:numPr>
        <w:jc w:val="both"/>
        <w:rPr>
          <w:sz w:val="22"/>
          <w:szCs w:val="22"/>
          <w:lang w:val="es-ES"/>
        </w:rPr>
      </w:pPr>
      <w:bookmarkStart w:id="33" w:name="_Toc195618122"/>
      <w:r w:rsidRPr="00FA506F">
        <w:rPr>
          <w:sz w:val="22"/>
          <w:szCs w:val="22"/>
          <w:lang w:val="es-ES"/>
        </w:rPr>
        <w:t>CUADRO RESUMEN DE NIVEL DE CUMPLIMIENTO DE LAS RECOMENDACIONES</w:t>
      </w:r>
      <w:bookmarkEnd w:id="33"/>
    </w:p>
    <w:p w14:paraId="2F5097C2" w14:textId="75898476" w:rsidR="007B7AAF" w:rsidRPr="00FA506F" w:rsidRDefault="007B7AAF" w:rsidP="00B80A67">
      <w:pPr>
        <w:pStyle w:val="parrafos"/>
        <w:ind w:firstLine="720"/>
        <w:rPr>
          <w:lang w:val="es-ES"/>
        </w:rPr>
      </w:pPr>
      <w:r w:rsidRPr="00FA506F">
        <w:rPr>
          <w:lang w:val="es-ES"/>
        </w:rPr>
        <w:t>El siguiente cuadro muestra el nivel de cumplimiento por parte del Estado de México respecto de cada una de las recomendaciones realizadas por la Comisión en su Informe sobre la situación de Derechos Humanos de 2015:</w:t>
      </w:r>
    </w:p>
    <w:p w14:paraId="1E90D0D5" w14:textId="77777777" w:rsidR="006C3878" w:rsidRPr="00FA506F" w:rsidRDefault="006C3878" w:rsidP="006C3878">
      <w:pPr>
        <w:pStyle w:val="parrafos"/>
        <w:numPr>
          <w:ilvl w:val="0"/>
          <w:numId w:val="0"/>
        </w:numPr>
        <w:rPr>
          <w:lang w:val="es-ES"/>
        </w:rPr>
      </w:pPr>
    </w:p>
    <w:tbl>
      <w:tblPr>
        <w:tblStyle w:val="TableGrid"/>
        <w:tblW w:w="9355" w:type="dxa"/>
        <w:tblLayout w:type="fixed"/>
        <w:tblLook w:val="04A0" w:firstRow="1" w:lastRow="0" w:firstColumn="1" w:lastColumn="0" w:noHBand="0" w:noVBand="1"/>
      </w:tblPr>
      <w:tblGrid>
        <w:gridCol w:w="3397"/>
        <w:gridCol w:w="1701"/>
        <w:gridCol w:w="2127"/>
        <w:gridCol w:w="2130"/>
      </w:tblGrid>
      <w:tr w:rsidR="006C3878" w:rsidRPr="00FA506F" w14:paraId="06BC7AFF" w14:textId="77777777" w:rsidTr="007143B1">
        <w:tc>
          <w:tcPr>
            <w:tcW w:w="3397"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55742089" w14:textId="77777777" w:rsidR="006C3878" w:rsidRPr="00FA506F" w:rsidRDefault="006C3878" w:rsidP="006C3878">
            <w:pPr>
              <w:jc w:val="center"/>
              <w:rPr>
                <w:rFonts w:ascii="Cambria" w:hAnsi="Cambria"/>
                <w:b/>
                <w:bCs/>
                <w:color w:val="FFFFFF" w:themeColor="background1"/>
                <w:sz w:val="20"/>
                <w:szCs w:val="20"/>
                <w:lang w:val="es-ES"/>
              </w:rPr>
            </w:pPr>
            <w:r w:rsidRPr="00FA506F">
              <w:rPr>
                <w:rFonts w:ascii="Cambria" w:hAnsi="Cambria"/>
                <w:b/>
                <w:bCs/>
                <w:color w:val="FFFFFF" w:themeColor="background1"/>
                <w:sz w:val="20"/>
                <w:szCs w:val="20"/>
                <w:lang w:val="es-ES"/>
              </w:rPr>
              <w:t>Tema de la recomendación</w:t>
            </w:r>
          </w:p>
        </w:tc>
        <w:tc>
          <w:tcPr>
            <w:tcW w:w="1701"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6310F911" w14:textId="77777777" w:rsidR="006C3878" w:rsidRPr="00FA506F" w:rsidRDefault="006C3878" w:rsidP="006C3878">
            <w:pPr>
              <w:jc w:val="center"/>
              <w:rPr>
                <w:rFonts w:ascii="Cambria" w:hAnsi="Cambria"/>
                <w:b/>
                <w:bCs/>
                <w:color w:val="FFFFFF" w:themeColor="background1"/>
                <w:sz w:val="20"/>
                <w:szCs w:val="20"/>
                <w:lang w:val="es-ES"/>
              </w:rPr>
            </w:pPr>
            <w:r w:rsidRPr="00FA506F">
              <w:rPr>
                <w:rFonts w:ascii="Cambria" w:hAnsi="Cambria"/>
                <w:b/>
                <w:bCs/>
                <w:color w:val="FFFFFF" w:themeColor="background1"/>
                <w:sz w:val="20"/>
                <w:szCs w:val="20"/>
                <w:lang w:val="es-ES"/>
              </w:rPr>
              <w:t>Número recomendación</w:t>
            </w:r>
          </w:p>
        </w:tc>
        <w:tc>
          <w:tcPr>
            <w:tcW w:w="2127"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1D2FDE17" w14:textId="1CF40051" w:rsidR="006C3878" w:rsidRPr="00FA506F" w:rsidRDefault="006C3878" w:rsidP="006C3878">
            <w:pPr>
              <w:jc w:val="center"/>
              <w:rPr>
                <w:rFonts w:ascii="Cambria" w:hAnsi="Cambria"/>
                <w:b/>
                <w:bCs/>
                <w:color w:val="FFFFFF" w:themeColor="background1"/>
                <w:sz w:val="20"/>
                <w:szCs w:val="20"/>
                <w:lang w:val="es-ES"/>
              </w:rPr>
            </w:pPr>
            <w:r w:rsidRPr="00FA506F">
              <w:rPr>
                <w:rFonts w:ascii="Cambria" w:hAnsi="Cambria"/>
                <w:b/>
                <w:bCs/>
                <w:color w:val="FFFFFF" w:themeColor="background1"/>
                <w:sz w:val="20"/>
                <w:szCs w:val="20"/>
                <w:lang w:val="es-ES"/>
              </w:rPr>
              <w:t>2023</w:t>
            </w:r>
          </w:p>
          <w:p w14:paraId="5067D4D2" w14:textId="77777777" w:rsidR="006C3878" w:rsidRPr="00FA506F" w:rsidRDefault="006C3878" w:rsidP="006C3878">
            <w:pPr>
              <w:jc w:val="center"/>
              <w:rPr>
                <w:rFonts w:ascii="Cambria" w:hAnsi="Cambria"/>
                <w:b/>
                <w:bCs/>
                <w:color w:val="FFFFFF" w:themeColor="background1"/>
                <w:sz w:val="20"/>
                <w:szCs w:val="20"/>
                <w:lang w:val="es-ES"/>
              </w:rPr>
            </w:pPr>
            <w:r w:rsidRPr="00FA506F">
              <w:rPr>
                <w:rFonts w:ascii="Cambria" w:hAnsi="Cambria"/>
                <w:b/>
                <w:bCs/>
                <w:color w:val="FFFFFF" w:themeColor="background1"/>
                <w:sz w:val="20"/>
                <w:szCs w:val="20"/>
                <w:lang w:val="es-ES"/>
              </w:rPr>
              <w:t>Nivel cumplimiento</w:t>
            </w:r>
          </w:p>
        </w:tc>
        <w:tc>
          <w:tcPr>
            <w:tcW w:w="2130"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3A5C6C88" w14:textId="77777777" w:rsidR="006C3878" w:rsidRPr="00FA506F" w:rsidRDefault="006C3878" w:rsidP="006C3878">
            <w:pPr>
              <w:jc w:val="center"/>
              <w:rPr>
                <w:rFonts w:ascii="Cambria" w:hAnsi="Cambria"/>
                <w:b/>
                <w:bCs/>
                <w:color w:val="FFFFFF" w:themeColor="background1"/>
                <w:sz w:val="20"/>
                <w:szCs w:val="20"/>
                <w:lang w:val="es-ES"/>
              </w:rPr>
            </w:pPr>
            <w:r w:rsidRPr="00FA506F">
              <w:rPr>
                <w:rFonts w:ascii="Cambria" w:hAnsi="Cambria"/>
                <w:b/>
                <w:bCs/>
                <w:color w:val="FFFFFF" w:themeColor="background1"/>
                <w:sz w:val="20"/>
                <w:szCs w:val="20"/>
                <w:lang w:val="es-ES"/>
              </w:rPr>
              <w:t>2024 Nivel cumplimiento</w:t>
            </w:r>
          </w:p>
        </w:tc>
      </w:tr>
      <w:tr w:rsidR="006C3878" w:rsidRPr="00FA506F" w14:paraId="289FA145" w14:textId="77777777" w:rsidTr="007143B1">
        <w:tc>
          <w:tcPr>
            <w:tcW w:w="3397" w:type="dxa"/>
            <w:vMerge w:val="restart"/>
            <w:tcBorders>
              <w:top w:val="single" w:sz="4" w:space="0" w:color="auto"/>
              <w:left w:val="single" w:sz="4" w:space="0" w:color="auto"/>
              <w:right w:val="single" w:sz="4" w:space="0" w:color="auto"/>
            </w:tcBorders>
            <w:hideMark/>
          </w:tcPr>
          <w:p w14:paraId="07C73719"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Seguridad ciudadana</w:t>
            </w:r>
          </w:p>
          <w:p w14:paraId="00995EE0"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16D971F9"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1</w:t>
            </w:r>
          </w:p>
        </w:tc>
        <w:tc>
          <w:tcPr>
            <w:tcW w:w="2127" w:type="dxa"/>
            <w:tcBorders>
              <w:top w:val="single" w:sz="4" w:space="0" w:color="auto"/>
              <w:left w:val="single" w:sz="4" w:space="0" w:color="auto"/>
              <w:bottom w:val="single" w:sz="4" w:space="0" w:color="auto"/>
              <w:right w:val="single" w:sz="4" w:space="0" w:color="auto"/>
            </w:tcBorders>
            <w:hideMark/>
          </w:tcPr>
          <w:p w14:paraId="2EF61295"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Pendiente</w:t>
            </w:r>
          </w:p>
        </w:tc>
        <w:tc>
          <w:tcPr>
            <w:tcW w:w="2130" w:type="dxa"/>
            <w:tcBorders>
              <w:top w:val="single" w:sz="4" w:space="0" w:color="auto"/>
              <w:left w:val="single" w:sz="4" w:space="0" w:color="auto"/>
              <w:bottom w:val="single" w:sz="4" w:space="0" w:color="auto"/>
              <w:right w:val="single" w:sz="4" w:space="0" w:color="auto"/>
            </w:tcBorders>
            <w:hideMark/>
          </w:tcPr>
          <w:p w14:paraId="3133BB27"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Incumplida</w:t>
            </w:r>
          </w:p>
        </w:tc>
      </w:tr>
      <w:tr w:rsidR="006C3878" w:rsidRPr="00FA506F" w14:paraId="2224D60B" w14:textId="77777777" w:rsidTr="007143B1">
        <w:tc>
          <w:tcPr>
            <w:tcW w:w="3397" w:type="dxa"/>
            <w:vMerge/>
            <w:hideMark/>
          </w:tcPr>
          <w:p w14:paraId="0EFAAAF3"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417CE410"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2</w:t>
            </w:r>
          </w:p>
        </w:tc>
        <w:tc>
          <w:tcPr>
            <w:tcW w:w="2127" w:type="dxa"/>
            <w:tcBorders>
              <w:top w:val="single" w:sz="4" w:space="0" w:color="auto"/>
              <w:left w:val="single" w:sz="4" w:space="0" w:color="auto"/>
              <w:bottom w:val="single" w:sz="4" w:space="0" w:color="auto"/>
              <w:right w:val="single" w:sz="4" w:space="0" w:color="auto"/>
            </w:tcBorders>
            <w:hideMark/>
          </w:tcPr>
          <w:p w14:paraId="6F460959"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Pendiente</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6CE18128"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Pendiente</w:t>
            </w:r>
          </w:p>
        </w:tc>
      </w:tr>
      <w:tr w:rsidR="006C3878" w:rsidRPr="00FA506F" w14:paraId="28E66C88" w14:textId="77777777" w:rsidTr="007143B1">
        <w:tc>
          <w:tcPr>
            <w:tcW w:w="3397" w:type="dxa"/>
            <w:vMerge/>
            <w:hideMark/>
          </w:tcPr>
          <w:p w14:paraId="7A3416DF"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3B5E4FAA"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3</w:t>
            </w:r>
          </w:p>
        </w:tc>
        <w:tc>
          <w:tcPr>
            <w:tcW w:w="2127" w:type="dxa"/>
            <w:tcBorders>
              <w:top w:val="single" w:sz="4" w:space="0" w:color="auto"/>
              <w:left w:val="single" w:sz="4" w:space="0" w:color="auto"/>
              <w:bottom w:val="single" w:sz="4" w:space="0" w:color="auto"/>
              <w:right w:val="single" w:sz="4" w:space="0" w:color="auto"/>
            </w:tcBorders>
            <w:hideMark/>
          </w:tcPr>
          <w:p w14:paraId="2C2300C1"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Total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55E0B757"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Total</w:t>
            </w:r>
          </w:p>
        </w:tc>
      </w:tr>
      <w:tr w:rsidR="006C3878" w:rsidRPr="00FA506F" w14:paraId="36923EF5" w14:textId="77777777" w:rsidTr="007143B1">
        <w:tc>
          <w:tcPr>
            <w:tcW w:w="3397" w:type="dxa"/>
            <w:vMerge/>
            <w:hideMark/>
          </w:tcPr>
          <w:p w14:paraId="2ADE74C6"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3332A1D4"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4</w:t>
            </w:r>
          </w:p>
        </w:tc>
        <w:tc>
          <w:tcPr>
            <w:tcW w:w="2127" w:type="dxa"/>
            <w:tcBorders>
              <w:top w:val="single" w:sz="4" w:space="0" w:color="auto"/>
              <w:left w:val="single" w:sz="4" w:space="0" w:color="auto"/>
              <w:bottom w:val="single" w:sz="4" w:space="0" w:color="auto"/>
              <w:right w:val="single" w:sz="4" w:space="0" w:color="auto"/>
            </w:tcBorders>
            <w:hideMark/>
          </w:tcPr>
          <w:p w14:paraId="387709F3"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9C57124"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2A2B9AC0" w14:textId="77777777" w:rsidTr="007143B1">
        <w:tc>
          <w:tcPr>
            <w:tcW w:w="3397" w:type="dxa"/>
            <w:vMerge/>
            <w:hideMark/>
          </w:tcPr>
          <w:p w14:paraId="2385FE6B"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667E184C"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5</w:t>
            </w:r>
          </w:p>
        </w:tc>
        <w:tc>
          <w:tcPr>
            <w:tcW w:w="2127" w:type="dxa"/>
            <w:tcBorders>
              <w:top w:val="single" w:sz="4" w:space="0" w:color="auto"/>
              <w:left w:val="single" w:sz="4" w:space="0" w:color="auto"/>
              <w:bottom w:val="single" w:sz="4" w:space="0" w:color="auto"/>
              <w:right w:val="single" w:sz="4" w:space="0" w:color="auto"/>
            </w:tcBorders>
            <w:hideMark/>
          </w:tcPr>
          <w:p w14:paraId="0E771C1D"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 xml:space="preserve">Pendiente </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0A7E4BB8"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 xml:space="preserve">Pendiente </w:t>
            </w:r>
          </w:p>
        </w:tc>
      </w:tr>
      <w:tr w:rsidR="006C3878" w:rsidRPr="00FA506F" w14:paraId="2F895929" w14:textId="77777777" w:rsidTr="007143B1">
        <w:tc>
          <w:tcPr>
            <w:tcW w:w="3397" w:type="dxa"/>
            <w:vMerge/>
            <w:hideMark/>
          </w:tcPr>
          <w:p w14:paraId="65DC8779"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584610FC"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6</w:t>
            </w:r>
          </w:p>
        </w:tc>
        <w:tc>
          <w:tcPr>
            <w:tcW w:w="2127" w:type="dxa"/>
            <w:tcBorders>
              <w:top w:val="single" w:sz="4" w:space="0" w:color="auto"/>
              <w:left w:val="single" w:sz="4" w:space="0" w:color="auto"/>
              <w:bottom w:val="single" w:sz="4" w:space="0" w:color="auto"/>
              <w:right w:val="single" w:sz="4" w:space="0" w:color="auto"/>
            </w:tcBorders>
            <w:hideMark/>
          </w:tcPr>
          <w:p w14:paraId="13068032"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7B70C02C"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0A173F3B" w14:textId="77777777" w:rsidTr="007143B1">
        <w:tc>
          <w:tcPr>
            <w:tcW w:w="3397" w:type="dxa"/>
            <w:vMerge/>
            <w:hideMark/>
          </w:tcPr>
          <w:p w14:paraId="432E596E"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64299B23"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7</w:t>
            </w:r>
          </w:p>
        </w:tc>
        <w:tc>
          <w:tcPr>
            <w:tcW w:w="2127" w:type="dxa"/>
            <w:tcBorders>
              <w:top w:val="single" w:sz="4" w:space="0" w:color="auto"/>
              <w:left w:val="single" w:sz="4" w:space="0" w:color="auto"/>
              <w:bottom w:val="single" w:sz="4" w:space="0" w:color="auto"/>
              <w:right w:val="single" w:sz="4" w:space="0" w:color="auto"/>
            </w:tcBorders>
            <w:hideMark/>
          </w:tcPr>
          <w:p w14:paraId="2B31872D"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261B8DAF"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Total</w:t>
            </w:r>
          </w:p>
        </w:tc>
      </w:tr>
      <w:tr w:rsidR="006C3878" w:rsidRPr="00FA506F" w14:paraId="64C98BAD" w14:textId="77777777" w:rsidTr="007143B1">
        <w:tc>
          <w:tcPr>
            <w:tcW w:w="3397" w:type="dxa"/>
            <w:vMerge/>
            <w:hideMark/>
          </w:tcPr>
          <w:p w14:paraId="38E166F1"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3A370158"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8</w:t>
            </w:r>
          </w:p>
        </w:tc>
        <w:tc>
          <w:tcPr>
            <w:tcW w:w="2127" w:type="dxa"/>
            <w:tcBorders>
              <w:top w:val="single" w:sz="4" w:space="0" w:color="auto"/>
              <w:left w:val="single" w:sz="4" w:space="0" w:color="auto"/>
              <w:bottom w:val="single" w:sz="4" w:space="0" w:color="auto"/>
              <w:right w:val="single" w:sz="4" w:space="0" w:color="auto"/>
            </w:tcBorders>
            <w:hideMark/>
          </w:tcPr>
          <w:p w14:paraId="6B3B65FB"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60C4464B"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Total</w:t>
            </w:r>
          </w:p>
        </w:tc>
      </w:tr>
      <w:tr w:rsidR="006C3878" w:rsidRPr="00FA506F" w14:paraId="3B32F4FD" w14:textId="77777777" w:rsidTr="007143B1">
        <w:tc>
          <w:tcPr>
            <w:tcW w:w="3397" w:type="dxa"/>
            <w:vMerge w:val="restart"/>
            <w:tcBorders>
              <w:top w:val="single" w:sz="4" w:space="0" w:color="auto"/>
              <w:left w:val="single" w:sz="4" w:space="0" w:color="auto"/>
              <w:right w:val="single" w:sz="4" w:space="0" w:color="auto"/>
            </w:tcBorders>
            <w:hideMark/>
          </w:tcPr>
          <w:p w14:paraId="23006349"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Desapariciones y desapariciones forzadas</w:t>
            </w:r>
          </w:p>
          <w:p w14:paraId="60EDAF86"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197396E0"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9</w:t>
            </w:r>
          </w:p>
        </w:tc>
        <w:tc>
          <w:tcPr>
            <w:tcW w:w="2127" w:type="dxa"/>
            <w:tcBorders>
              <w:top w:val="single" w:sz="4" w:space="0" w:color="auto"/>
              <w:left w:val="single" w:sz="4" w:space="0" w:color="auto"/>
              <w:bottom w:val="single" w:sz="4" w:space="0" w:color="auto"/>
              <w:right w:val="single" w:sz="4" w:space="0" w:color="auto"/>
            </w:tcBorders>
            <w:hideMark/>
          </w:tcPr>
          <w:p w14:paraId="026FD822"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 xml:space="preserve">Parcial </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17C35224"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 xml:space="preserve">Pendiente </w:t>
            </w:r>
          </w:p>
        </w:tc>
      </w:tr>
      <w:tr w:rsidR="006C3878" w:rsidRPr="00FA506F" w14:paraId="19828BBC" w14:textId="77777777" w:rsidTr="007143B1">
        <w:tc>
          <w:tcPr>
            <w:tcW w:w="3397" w:type="dxa"/>
            <w:vMerge/>
            <w:hideMark/>
          </w:tcPr>
          <w:p w14:paraId="2CED6A73"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2B197DC5"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10</w:t>
            </w:r>
          </w:p>
        </w:tc>
        <w:tc>
          <w:tcPr>
            <w:tcW w:w="2127" w:type="dxa"/>
            <w:tcBorders>
              <w:top w:val="single" w:sz="4" w:space="0" w:color="auto"/>
              <w:left w:val="single" w:sz="4" w:space="0" w:color="auto"/>
              <w:bottom w:val="single" w:sz="4" w:space="0" w:color="auto"/>
              <w:right w:val="single" w:sz="4" w:space="0" w:color="auto"/>
            </w:tcBorders>
            <w:hideMark/>
          </w:tcPr>
          <w:p w14:paraId="0BFAA6B1"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 sustancial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29D989A7"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 Sustancial</w:t>
            </w:r>
          </w:p>
        </w:tc>
      </w:tr>
      <w:tr w:rsidR="006C3878" w:rsidRPr="00FA506F" w14:paraId="23CCBE9E" w14:textId="77777777" w:rsidTr="007143B1">
        <w:tc>
          <w:tcPr>
            <w:tcW w:w="3397" w:type="dxa"/>
            <w:vMerge/>
          </w:tcPr>
          <w:p w14:paraId="40376A63"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28F92F8F"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11</w:t>
            </w:r>
          </w:p>
        </w:tc>
        <w:tc>
          <w:tcPr>
            <w:tcW w:w="2127" w:type="dxa"/>
            <w:tcBorders>
              <w:top w:val="single" w:sz="4" w:space="0" w:color="auto"/>
              <w:left w:val="single" w:sz="4" w:space="0" w:color="auto"/>
              <w:bottom w:val="single" w:sz="4" w:space="0" w:color="auto"/>
              <w:right w:val="single" w:sz="4" w:space="0" w:color="auto"/>
            </w:tcBorders>
          </w:tcPr>
          <w:p w14:paraId="7AA24162"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3DB354E6"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26A2082A" w14:textId="77777777" w:rsidTr="007143B1">
        <w:tc>
          <w:tcPr>
            <w:tcW w:w="3397" w:type="dxa"/>
            <w:vMerge/>
          </w:tcPr>
          <w:p w14:paraId="00B97CAF"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66F0EB69"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12</w:t>
            </w:r>
          </w:p>
        </w:tc>
        <w:tc>
          <w:tcPr>
            <w:tcW w:w="2127" w:type="dxa"/>
            <w:tcBorders>
              <w:top w:val="single" w:sz="4" w:space="0" w:color="auto"/>
              <w:left w:val="single" w:sz="4" w:space="0" w:color="auto"/>
              <w:bottom w:val="single" w:sz="4" w:space="0" w:color="auto"/>
              <w:right w:val="single" w:sz="4" w:space="0" w:color="auto"/>
            </w:tcBorders>
          </w:tcPr>
          <w:p w14:paraId="438410EF"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 sustancial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3C8A7472"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Total</w:t>
            </w:r>
          </w:p>
        </w:tc>
      </w:tr>
      <w:tr w:rsidR="006C3878" w:rsidRPr="00FA506F" w14:paraId="639AD606" w14:textId="77777777" w:rsidTr="007143B1">
        <w:tc>
          <w:tcPr>
            <w:tcW w:w="3397" w:type="dxa"/>
            <w:vMerge/>
          </w:tcPr>
          <w:p w14:paraId="3120096D"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35167018"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13</w:t>
            </w:r>
          </w:p>
        </w:tc>
        <w:tc>
          <w:tcPr>
            <w:tcW w:w="2127" w:type="dxa"/>
            <w:tcBorders>
              <w:top w:val="single" w:sz="4" w:space="0" w:color="auto"/>
              <w:left w:val="single" w:sz="4" w:space="0" w:color="auto"/>
              <w:bottom w:val="single" w:sz="4" w:space="0" w:color="auto"/>
              <w:right w:val="single" w:sz="4" w:space="0" w:color="auto"/>
            </w:tcBorders>
          </w:tcPr>
          <w:p w14:paraId="38D705DC"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2C08AB28"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Cierre de seguimiento</w:t>
            </w:r>
          </w:p>
        </w:tc>
      </w:tr>
      <w:tr w:rsidR="006C3878" w:rsidRPr="00FA506F" w14:paraId="143B5BCB" w14:textId="77777777" w:rsidTr="007143B1">
        <w:tc>
          <w:tcPr>
            <w:tcW w:w="3397" w:type="dxa"/>
            <w:vMerge w:val="restart"/>
            <w:tcBorders>
              <w:top w:val="single" w:sz="4" w:space="0" w:color="auto"/>
              <w:left w:val="single" w:sz="4" w:space="0" w:color="auto"/>
              <w:right w:val="single" w:sz="4" w:space="0" w:color="auto"/>
            </w:tcBorders>
            <w:hideMark/>
          </w:tcPr>
          <w:p w14:paraId="4611A2BC"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Tortura</w:t>
            </w:r>
          </w:p>
          <w:p w14:paraId="2D9CD81F"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751BDE39"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14</w:t>
            </w:r>
          </w:p>
        </w:tc>
        <w:tc>
          <w:tcPr>
            <w:tcW w:w="2127" w:type="dxa"/>
            <w:tcBorders>
              <w:top w:val="single" w:sz="4" w:space="0" w:color="auto"/>
              <w:left w:val="single" w:sz="4" w:space="0" w:color="auto"/>
              <w:bottom w:val="single" w:sz="4" w:space="0" w:color="auto"/>
              <w:right w:val="single" w:sz="4" w:space="0" w:color="auto"/>
            </w:tcBorders>
            <w:hideMark/>
          </w:tcPr>
          <w:p w14:paraId="49291D0E"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94C6E96"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22B1F6C5" w14:textId="77777777" w:rsidTr="007143B1">
        <w:tc>
          <w:tcPr>
            <w:tcW w:w="3397" w:type="dxa"/>
            <w:vMerge/>
            <w:hideMark/>
          </w:tcPr>
          <w:p w14:paraId="443D326B"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7AC40B22"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15</w:t>
            </w:r>
          </w:p>
        </w:tc>
        <w:tc>
          <w:tcPr>
            <w:tcW w:w="2127" w:type="dxa"/>
            <w:tcBorders>
              <w:top w:val="single" w:sz="4" w:space="0" w:color="auto"/>
              <w:left w:val="single" w:sz="4" w:space="0" w:color="auto"/>
              <w:bottom w:val="single" w:sz="4" w:space="0" w:color="auto"/>
              <w:right w:val="single" w:sz="4" w:space="0" w:color="auto"/>
            </w:tcBorders>
            <w:hideMark/>
          </w:tcPr>
          <w:p w14:paraId="4DEC1681"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Total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75283624"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Total</w:t>
            </w:r>
          </w:p>
        </w:tc>
      </w:tr>
      <w:tr w:rsidR="006C3878" w:rsidRPr="00FA506F" w14:paraId="7ECF1927" w14:textId="77777777" w:rsidTr="007143B1">
        <w:tc>
          <w:tcPr>
            <w:tcW w:w="3397" w:type="dxa"/>
            <w:vMerge/>
            <w:hideMark/>
          </w:tcPr>
          <w:p w14:paraId="2054A86E"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6ACE34A9"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16</w:t>
            </w:r>
          </w:p>
        </w:tc>
        <w:tc>
          <w:tcPr>
            <w:tcW w:w="2127" w:type="dxa"/>
            <w:tcBorders>
              <w:top w:val="single" w:sz="4" w:space="0" w:color="auto"/>
              <w:left w:val="single" w:sz="4" w:space="0" w:color="auto"/>
              <w:bottom w:val="single" w:sz="4" w:space="0" w:color="auto"/>
              <w:right w:val="single" w:sz="4" w:space="0" w:color="auto"/>
            </w:tcBorders>
            <w:hideMark/>
          </w:tcPr>
          <w:p w14:paraId="03C73A26"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Total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0D0E75EF"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Total</w:t>
            </w:r>
          </w:p>
        </w:tc>
      </w:tr>
      <w:tr w:rsidR="006C3878" w:rsidRPr="00FA506F" w14:paraId="6765FBC6" w14:textId="77777777" w:rsidTr="007143B1">
        <w:tc>
          <w:tcPr>
            <w:tcW w:w="3397" w:type="dxa"/>
            <w:vMerge/>
            <w:hideMark/>
          </w:tcPr>
          <w:p w14:paraId="6A04EA5F"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59A02C6E"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17</w:t>
            </w:r>
          </w:p>
        </w:tc>
        <w:tc>
          <w:tcPr>
            <w:tcW w:w="2127" w:type="dxa"/>
            <w:tcBorders>
              <w:top w:val="single" w:sz="4" w:space="0" w:color="auto"/>
              <w:left w:val="single" w:sz="4" w:space="0" w:color="auto"/>
              <w:bottom w:val="single" w:sz="4" w:space="0" w:color="auto"/>
              <w:right w:val="single" w:sz="4" w:space="0" w:color="auto"/>
            </w:tcBorders>
            <w:hideMark/>
          </w:tcPr>
          <w:p w14:paraId="70D563B5"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55EF83C"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0736D9C1" w14:textId="77777777" w:rsidTr="007143B1">
        <w:tc>
          <w:tcPr>
            <w:tcW w:w="3397" w:type="dxa"/>
            <w:vMerge/>
            <w:hideMark/>
          </w:tcPr>
          <w:p w14:paraId="4E78BCEF"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08F50D25"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18</w:t>
            </w:r>
          </w:p>
        </w:tc>
        <w:tc>
          <w:tcPr>
            <w:tcW w:w="2127" w:type="dxa"/>
            <w:tcBorders>
              <w:top w:val="single" w:sz="4" w:space="0" w:color="auto"/>
              <w:left w:val="single" w:sz="4" w:space="0" w:color="auto"/>
              <w:bottom w:val="single" w:sz="4" w:space="0" w:color="auto"/>
              <w:right w:val="single" w:sz="4" w:space="0" w:color="auto"/>
            </w:tcBorders>
            <w:hideMark/>
          </w:tcPr>
          <w:p w14:paraId="3C0602A2"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Pendiente</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D9FD18D"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 xml:space="preserve">Pendiente </w:t>
            </w:r>
          </w:p>
        </w:tc>
      </w:tr>
      <w:tr w:rsidR="006C3878" w:rsidRPr="00FA506F" w14:paraId="2430A0B0" w14:textId="77777777" w:rsidTr="007143B1">
        <w:tc>
          <w:tcPr>
            <w:tcW w:w="3397" w:type="dxa"/>
            <w:vMerge/>
          </w:tcPr>
          <w:p w14:paraId="5E4C782F"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36AB9052"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19</w:t>
            </w:r>
          </w:p>
        </w:tc>
        <w:tc>
          <w:tcPr>
            <w:tcW w:w="2127" w:type="dxa"/>
            <w:tcBorders>
              <w:top w:val="single" w:sz="4" w:space="0" w:color="auto"/>
              <w:left w:val="single" w:sz="4" w:space="0" w:color="auto"/>
              <w:bottom w:val="single" w:sz="4" w:space="0" w:color="auto"/>
              <w:right w:val="single" w:sz="4" w:space="0" w:color="auto"/>
            </w:tcBorders>
          </w:tcPr>
          <w:p w14:paraId="6ECC6D2F"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33858449"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Total</w:t>
            </w:r>
          </w:p>
        </w:tc>
      </w:tr>
      <w:tr w:rsidR="006C3878" w:rsidRPr="00FA506F" w14:paraId="58E98AFC" w14:textId="77777777" w:rsidTr="007143B1">
        <w:tc>
          <w:tcPr>
            <w:tcW w:w="3397" w:type="dxa"/>
            <w:vMerge/>
          </w:tcPr>
          <w:p w14:paraId="7891544E"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7A5C2267"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20</w:t>
            </w:r>
          </w:p>
        </w:tc>
        <w:tc>
          <w:tcPr>
            <w:tcW w:w="2127" w:type="dxa"/>
            <w:tcBorders>
              <w:top w:val="single" w:sz="4" w:space="0" w:color="auto"/>
              <w:left w:val="single" w:sz="4" w:space="0" w:color="auto"/>
              <w:bottom w:val="single" w:sz="4" w:space="0" w:color="auto"/>
              <w:right w:val="single" w:sz="4" w:space="0" w:color="auto"/>
            </w:tcBorders>
          </w:tcPr>
          <w:p w14:paraId="3BA0C32D"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216C75A2"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0D6933BC" w14:textId="77777777" w:rsidTr="007143B1">
        <w:tc>
          <w:tcPr>
            <w:tcW w:w="3397" w:type="dxa"/>
            <w:vMerge w:val="restart"/>
            <w:tcBorders>
              <w:top w:val="single" w:sz="4" w:space="0" w:color="auto"/>
              <w:left w:val="single" w:sz="4" w:space="0" w:color="auto"/>
              <w:right w:val="single" w:sz="4" w:space="0" w:color="auto"/>
            </w:tcBorders>
            <w:hideMark/>
          </w:tcPr>
          <w:p w14:paraId="1285DC29"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Ejecuciones extrajudiciales</w:t>
            </w:r>
          </w:p>
          <w:p w14:paraId="345BD8FA"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429FBE9E"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21</w:t>
            </w:r>
          </w:p>
        </w:tc>
        <w:tc>
          <w:tcPr>
            <w:tcW w:w="2127" w:type="dxa"/>
            <w:tcBorders>
              <w:top w:val="single" w:sz="4" w:space="0" w:color="auto"/>
              <w:left w:val="single" w:sz="4" w:space="0" w:color="auto"/>
              <w:bottom w:val="single" w:sz="4" w:space="0" w:color="auto"/>
              <w:right w:val="single" w:sz="4" w:space="0" w:color="auto"/>
            </w:tcBorders>
            <w:hideMark/>
          </w:tcPr>
          <w:p w14:paraId="05609E66"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Pendiente</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66A97137"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Parcial</w:t>
            </w:r>
          </w:p>
        </w:tc>
      </w:tr>
      <w:tr w:rsidR="006C3878" w:rsidRPr="00FA506F" w14:paraId="1EF745CE" w14:textId="77777777" w:rsidTr="007143B1">
        <w:tc>
          <w:tcPr>
            <w:tcW w:w="3397" w:type="dxa"/>
            <w:vMerge/>
            <w:hideMark/>
          </w:tcPr>
          <w:p w14:paraId="17F2643A"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48FBD000"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22</w:t>
            </w:r>
          </w:p>
        </w:tc>
        <w:tc>
          <w:tcPr>
            <w:tcW w:w="2127" w:type="dxa"/>
            <w:tcBorders>
              <w:top w:val="single" w:sz="4" w:space="0" w:color="auto"/>
              <w:left w:val="single" w:sz="4" w:space="0" w:color="auto"/>
              <w:bottom w:val="single" w:sz="4" w:space="0" w:color="auto"/>
              <w:right w:val="single" w:sz="4" w:space="0" w:color="auto"/>
            </w:tcBorders>
            <w:hideMark/>
          </w:tcPr>
          <w:p w14:paraId="7F675C0C"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 sustancial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B434693"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 Sustancial</w:t>
            </w:r>
          </w:p>
        </w:tc>
      </w:tr>
      <w:tr w:rsidR="006C3878" w:rsidRPr="00FA506F" w14:paraId="1E50EB32" w14:textId="77777777" w:rsidTr="007143B1">
        <w:tc>
          <w:tcPr>
            <w:tcW w:w="3397" w:type="dxa"/>
            <w:vMerge/>
          </w:tcPr>
          <w:p w14:paraId="0F3D9F7E"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4A1C6C54"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23</w:t>
            </w:r>
          </w:p>
        </w:tc>
        <w:tc>
          <w:tcPr>
            <w:tcW w:w="2127" w:type="dxa"/>
            <w:tcBorders>
              <w:top w:val="single" w:sz="4" w:space="0" w:color="auto"/>
              <w:left w:val="single" w:sz="4" w:space="0" w:color="auto"/>
              <w:bottom w:val="single" w:sz="4" w:space="0" w:color="auto"/>
              <w:right w:val="single" w:sz="4" w:space="0" w:color="auto"/>
            </w:tcBorders>
          </w:tcPr>
          <w:p w14:paraId="3F74BE43"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7CB3F1D1"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63D4D67E" w14:textId="77777777" w:rsidTr="007143B1">
        <w:tc>
          <w:tcPr>
            <w:tcW w:w="3397" w:type="dxa"/>
            <w:vMerge/>
          </w:tcPr>
          <w:p w14:paraId="215B91D7"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50F6B32E"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24</w:t>
            </w:r>
          </w:p>
        </w:tc>
        <w:tc>
          <w:tcPr>
            <w:tcW w:w="2127" w:type="dxa"/>
            <w:tcBorders>
              <w:top w:val="single" w:sz="4" w:space="0" w:color="auto"/>
              <w:left w:val="single" w:sz="4" w:space="0" w:color="auto"/>
              <w:bottom w:val="single" w:sz="4" w:space="0" w:color="auto"/>
              <w:right w:val="single" w:sz="4" w:space="0" w:color="auto"/>
            </w:tcBorders>
          </w:tcPr>
          <w:p w14:paraId="2344CFE4"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 sustancial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21E8320D"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Parcial</w:t>
            </w:r>
          </w:p>
        </w:tc>
      </w:tr>
      <w:tr w:rsidR="006C3878" w:rsidRPr="00FA506F" w14:paraId="37C48641" w14:textId="77777777" w:rsidTr="007143B1">
        <w:tc>
          <w:tcPr>
            <w:tcW w:w="3397" w:type="dxa"/>
            <w:vMerge/>
          </w:tcPr>
          <w:p w14:paraId="77357B55"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59C96ABB"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25</w:t>
            </w:r>
          </w:p>
        </w:tc>
        <w:tc>
          <w:tcPr>
            <w:tcW w:w="2127" w:type="dxa"/>
            <w:tcBorders>
              <w:top w:val="single" w:sz="4" w:space="0" w:color="auto"/>
              <w:left w:val="single" w:sz="4" w:space="0" w:color="auto"/>
              <w:bottom w:val="single" w:sz="4" w:space="0" w:color="auto"/>
              <w:right w:val="single" w:sz="4" w:space="0" w:color="auto"/>
            </w:tcBorders>
          </w:tcPr>
          <w:p w14:paraId="1F1075B5"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55805833"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0BBDFA32" w14:textId="77777777" w:rsidTr="007143B1">
        <w:tc>
          <w:tcPr>
            <w:tcW w:w="3397" w:type="dxa"/>
            <w:vMerge/>
          </w:tcPr>
          <w:p w14:paraId="095F2A68"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22EA9380"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26</w:t>
            </w:r>
          </w:p>
        </w:tc>
        <w:tc>
          <w:tcPr>
            <w:tcW w:w="2127" w:type="dxa"/>
            <w:tcBorders>
              <w:top w:val="single" w:sz="4" w:space="0" w:color="auto"/>
              <w:left w:val="single" w:sz="4" w:space="0" w:color="auto"/>
              <w:bottom w:val="single" w:sz="4" w:space="0" w:color="auto"/>
              <w:right w:val="single" w:sz="4" w:space="0" w:color="auto"/>
            </w:tcBorders>
          </w:tcPr>
          <w:p w14:paraId="1C29666D"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7B4B1DAA"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Total</w:t>
            </w:r>
          </w:p>
        </w:tc>
      </w:tr>
      <w:tr w:rsidR="006C3878" w:rsidRPr="00FA506F" w14:paraId="28EBA6A4" w14:textId="77777777" w:rsidTr="007143B1">
        <w:tc>
          <w:tcPr>
            <w:tcW w:w="3397" w:type="dxa"/>
            <w:vMerge/>
          </w:tcPr>
          <w:p w14:paraId="1234182C"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739018D0"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27</w:t>
            </w:r>
          </w:p>
        </w:tc>
        <w:tc>
          <w:tcPr>
            <w:tcW w:w="2127" w:type="dxa"/>
            <w:tcBorders>
              <w:top w:val="single" w:sz="4" w:space="0" w:color="auto"/>
              <w:left w:val="single" w:sz="4" w:space="0" w:color="auto"/>
              <w:bottom w:val="single" w:sz="4" w:space="0" w:color="auto"/>
              <w:right w:val="single" w:sz="4" w:space="0" w:color="auto"/>
            </w:tcBorders>
          </w:tcPr>
          <w:p w14:paraId="7A14D2AE"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 xml:space="preserve">Parcial </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0BE34571"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Parcial Sustancial</w:t>
            </w:r>
          </w:p>
        </w:tc>
      </w:tr>
      <w:tr w:rsidR="006C3878" w:rsidRPr="00FA506F" w14:paraId="4579DFF5" w14:textId="77777777" w:rsidTr="007143B1">
        <w:tc>
          <w:tcPr>
            <w:tcW w:w="3397" w:type="dxa"/>
            <w:vMerge w:val="restart"/>
            <w:tcBorders>
              <w:top w:val="single" w:sz="4" w:space="0" w:color="auto"/>
              <w:left w:val="single" w:sz="4" w:space="0" w:color="auto"/>
              <w:right w:val="single" w:sz="4" w:space="0" w:color="auto"/>
            </w:tcBorders>
            <w:hideMark/>
          </w:tcPr>
          <w:p w14:paraId="7364A9F5"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Acceso a la justicia</w:t>
            </w:r>
          </w:p>
          <w:p w14:paraId="77D907AC"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5C08526F"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28</w:t>
            </w:r>
          </w:p>
        </w:tc>
        <w:tc>
          <w:tcPr>
            <w:tcW w:w="2127" w:type="dxa"/>
            <w:tcBorders>
              <w:top w:val="single" w:sz="4" w:space="0" w:color="auto"/>
              <w:left w:val="single" w:sz="4" w:space="0" w:color="auto"/>
              <w:bottom w:val="single" w:sz="4" w:space="0" w:color="auto"/>
              <w:right w:val="single" w:sz="4" w:space="0" w:color="auto"/>
            </w:tcBorders>
            <w:hideMark/>
          </w:tcPr>
          <w:p w14:paraId="464F5D64"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Total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6DBEA2D6"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Total</w:t>
            </w:r>
          </w:p>
        </w:tc>
      </w:tr>
      <w:tr w:rsidR="006C3878" w:rsidRPr="00FA506F" w14:paraId="4FB42262" w14:textId="77777777" w:rsidTr="007143B1">
        <w:tc>
          <w:tcPr>
            <w:tcW w:w="3397" w:type="dxa"/>
            <w:vMerge/>
            <w:hideMark/>
          </w:tcPr>
          <w:p w14:paraId="6F91895A"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3D4F293F"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29</w:t>
            </w:r>
          </w:p>
        </w:tc>
        <w:tc>
          <w:tcPr>
            <w:tcW w:w="2127" w:type="dxa"/>
            <w:tcBorders>
              <w:top w:val="single" w:sz="4" w:space="0" w:color="auto"/>
              <w:left w:val="single" w:sz="4" w:space="0" w:color="auto"/>
              <w:bottom w:val="single" w:sz="4" w:space="0" w:color="auto"/>
              <w:right w:val="single" w:sz="4" w:space="0" w:color="auto"/>
            </w:tcBorders>
            <w:hideMark/>
          </w:tcPr>
          <w:p w14:paraId="20EE30C7"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6CD2026E"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56B3A9D3" w14:textId="77777777" w:rsidTr="007143B1">
        <w:tc>
          <w:tcPr>
            <w:tcW w:w="3397" w:type="dxa"/>
            <w:vMerge/>
            <w:hideMark/>
          </w:tcPr>
          <w:p w14:paraId="4C97DD25"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790BC295"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30</w:t>
            </w:r>
          </w:p>
        </w:tc>
        <w:tc>
          <w:tcPr>
            <w:tcW w:w="2127" w:type="dxa"/>
            <w:tcBorders>
              <w:top w:val="single" w:sz="4" w:space="0" w:color="auto"/>
              <w:left w:val="single" w:sz="4" w:space="0" w:color="auto"/>
              <w:bottom w:val="single" w:sz="4" w:space="0" w:color="auto"/>
              <w:right w:val="single" w:sz="4" w:space="0" w:color="auto"/>
            </w:tcBorders>
            <w:hideMark/>
          </w:tcPr>
          <w:p w14:paraId="5334CEC8"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2BEDA3DA"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7DE42311" w14:textId="77777777" w:rsidTr="007143B1">
        <w:tc>
          <w:tcPr>
            <w:tcW w:w="3397" w:type="dxa"/>
            <w:vMerge/>
            <w:hideMark/>
          </w:tcPr>
          <w:p w14:paraId="4586F65E"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65A65182"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31</w:t>
            </w:r>
          </w:p>
        </w:tc>
        <w:tc>
          <w:tcPr>
            <w:tcW w:w="2127" w:type="dxa"/>
            <w:tcBorders>
              <w:top w:val="single" w:sz="4" w:space="0" w:color="auto"/>
              <w:left w:val="single" w:sz="4" w:space="0" w:color="auto"/>
              <w:bottom w:val="single" w:sz="4" w:space="0" w:color="auto"/>
              <w:right w:val="single" w:sz="4" w:space="0" w:color="auto"/>
            </w:tcBorders>
            <w:hideMark/>
          </w:tcPr>
          <w:p w14:paraId="3891CE81"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CAC0261"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6672791C" w14:textId="77777777" w:rsidTr="007143B1">
        <w:tc>
          <w:tcPr>
            <w:tcW w:w="3397" w:type="dxa"/>
            <w:vMerge/>
            <w:hideMark/>
          </w:tcPr>
          <w:p w14:paraId="34224F98"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23543CD5"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32</w:t>
            </w:r>
          </w:p>
        </w:tc>
        <w:tc>
          <w:tcPr>
            <w:tcW w:w="2127" w:type="dxa"/>
            <w:tcBorders>
              <w:top w:val="single" w:sz="4" w:space="0" w:color="auto"/>
              <w:left w:val="single" w:sz="4" w:space="0" w:color="auto"/>
              <w:bottom w:val="single" w:sz="4" w:space="0" w:color="auto"/>
              <w:right w:val="single" w:sz="4" w:space="0" w:color="auto"/>
            </w:tcBorders>
            <w:hideMark/>
          </w:tcPr>
          <w:p w14:paraId="71AE7D36"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E06658C"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1F1F4771" w14:textId="77777777" w:rsidTr="007143B1">
        <w:tc>
          <w:tcPr>
            <w:tcW w:w="3397" w:type="dxa"/>
            <w:vMerge/>
            <w:hideMark/>
          </w:tcPr>
          <w:p w14:paraId="509D0B6D"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33CC2FC9"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33</w:t>
            </w:r>
          </w:p>
        </w:tc>
        <w:tc>
          <w:tcPr>
            <w:tcW w:w="2127" w:type="dxa"/>
            <w:tcBorders>
              <w:top w:val="single" w:sz="4" w:space="0" w:color="auto"/>
              <w:left w:val="single" w:sz="4" w:space="0" w:color="auto"/>
              <w:bottom w:val="single" w:sz="4" w:space="0" w:color="auto"/>
              <w:right w:val="single" w:sz="4" w:space="0" w:color="auto"/>
            </w:tcBorders>
            <w:hideMark/>
          </w:tcPr>
          <w:p w14:paraId="3B520E08"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 sustancial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55F124D8"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 Sustancial</w:t>
            </w:r>
          </w:p>
        </w:tc>
      </w:tr>
      <w:tr w:rsidR="006C3878" w:rsidRPr="00FA506F" w14:paraId="341AA139" w14:textId="77777777" w:rsidTr="007143B1">
        <w:tc>
          <w:tcPr>
            <w:tcW w:w="3397" w:type="dxa"/>
            <w:vMerge/>
            <w:hideMark/>
          </w:tcPr>
          <w:p w14:paraId="0E046CC8"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5ACDE702"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34</w:t>
            </w:r>
          </w:p>
        </w:tc>
        <w:tc>
          <w:tcPr>
            <w:tcW w:w="2127" w:type="dxa"/>
            <w:tcBorders>
              <w:top w:val="single" w:sz="4" w:space="0" w:color="auto"/>
              <w:left w:val="single" w:sz="4" w:space="0" w:color="auto"/>
              <w:bottom w:val="single" w:sz="4" w:space="0" w:color="auto"/>
              <w:right w:val="single" w:sz="4" w:space="0" w:color="auto"/>
            </w:tcBorders>
            <w:hideMark/>
          </w:tcPr>
          <w:p w14:paraId="282413F7"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0B1EB536"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180D64BC" w14:textId="77777777" w:rsidTr="007143B1">
        <w:tc>
          <w:tcPr>
            <w:tcW w:w="3397" w:type="dxa"/>
            <w:vMerge/>
          </w:tcPr>
          <w:p w14:paraId="7CA7E1EB"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4F92E8E2"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35</w:t>
            </w:r>
          </w:p>
        </w:tc>
        <w:tc>
          <w:tcPr>
            <w:tcW w:w="2127" w:type="dxa"/>
            <w:tcBorders>
              <w:top w:val="single" w:sz="4" w:space="0" w:color="auto"/>
              <w:left w:val="single" w:sz="4" w:space="0" w:color="auto"/>
              <w:bottom w:val="single" w:sz="4" w:space="0" w:color="auto"/>
              <w:right w:val="single" w:sz="4" w:space="0" w:color="auto"/>
            </w:tcBorders>
          </w:tcPr>
          <w:p w14:paraId="51FD1153"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Pendiente</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748E7437"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 xml:space="preserve">Pendiente </w:t>
            </w:r>
          </w:p>
        </w:tc>
      </w:tr>
      <w:tr w:rsidR="006C3878" w:rsidRPr="00FA506F" w14:paraId="4504F893" w14:textId="77777777" w:rsidTr="007143B1">
        <w:tc>
          <w:tcPr>
            <w:tcW w:w="3397" w:type="dxa"/>
            <w:vMerge/>
          </w:tcPr>
          <w:p w14:paraId="54DE326C"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6B4146ED"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36</w:t>
            </w:r>
          </w:p>
        </w:tc>
        <w:tc>
          <w:tcPr>
            <w:tcW w:w="2127" w:type="dxa"/>
            <w:tcBorders>
              <w:top w:val="single" w:sz="4" w:space="0" w:color="auto"/>
              <w:left w:val="single" w:sz="4" w:space="0" w:color="auto"/>
              <w:bottom w:val="single" w:sz="4" w:space="0" w:color="auto"/>
              <w:right w:val="single" w:sz="4" w:space="0" w:color="auto"/>
            </w:tcBorders>
          </w:tcPr>
          <w:p w14:paraId="424AEF4E"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Total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4FCB4AE4"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Total</w:t>
            </w:r>
          </w:p>
        </w:tc>
      </w:tr>
      <w:tr w:rsidR="006C3878" w:rsidRPr="00FA506F" w14:paraId="26FD8BF4" w14:textId="77777777" w:rsidTr="007143B1">
        <w:trPr>
          <w:trHeight w:val="205"/>
        </w:trPr>
        <w:tc>
          <w:tcPr>
            <w:tcW w:w="3397" w:type="dxa"/>
            <w:vMerge/>
          </w:tcPr>
          <w:p w14:paraId="6AC100E2"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right w:val="single" w:sz="4" w:space="0" w:color="auto"/>
            </w:tcBorders>
          </w:tcPr>
          <w:p w14:paraId="094BC402"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37</w:t>
            </w:r>
          </w:p>
        </w:tc>
        <w:tc>
          <w:tcPr>
            <w:tcW w:w="2127" w:type="dxa"/>
            <w:tcBorders>
              <w:top w:val="single" w:sz="4" w:space="0" w:color="auto"/>
              <w:left w:val="single" w:sz="4" w:space="0" w:color="auto"/>
              <w:right w:val="single" w:sz="4" w:space="0" w:color="auto"/>
            </w:tcBorders>
          </w:tcPr>
          <w:p w14:paraId="3AAB3567"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Total</w:t>
            </w:r>
          </w:p>
        </w:tc>
        <w:tc>
          <w:tcPr>
            <w:tcW w:w="2130" w:type="dxa"/>
            <w:tcBorders>
              <w:top w:val="single" w:sz="4" w:space="0" w:color="auto"/>
              <w:left w:val="single" w:sz="4" w:space="0" w:color="auto"/>
              <w:right w:val="single" w:sz="4" w:space="0" w:color="auto"/>
            </w:tcBorders>
            <w:shd w:val="clear" w:color="auto" w:fill="auto"/>
          </w:tcPr>
          <w:p w14:paraId="552C7E7E"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Total</w:t>
            </w:r>
          </w:p>
        </w:tc>
      </w:tr>
      <w:tr w:rsidR="006C3878" w:rsidRPr="00FA506F" w14:paraId="1E125072" w14:textId="77777777" w:rsidTr="007143B1">
        <w:tc>
          <w:tcPr>
            <w:tcW w:w="3397" w:type="dxa"/>
            <w:vMerge w:val="restart"/>
            <w:tcBorders>
              <w:top w:val="single" w:sz="4" w:space="0" w:color="auto"/>
              <w:left w:val="single" w:sz="4" w:space="0" w:color="auto"/>
              <w:right w:val="single" w:sz="4" w:space="0" w:color="auto"/>
            </w:tcBorders>
            <w:hideMark/>
          </w:tcPr>
          <w:p w14:paraId="67EEE3DC"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 xml:space="preserve">Personas en situación particular de vulnerabilidad – </w:t>
            </w:r>
            <w:r w:rsidRPr="00FA506F">
              <w:rPr>
                <w:rFonts w:ascii="Cambria" w:hAnsi="Cambria"/>
                <w:sz w:val="20"/>
                <w:szCs w:val="20"/>
                <w:lang w:val="es-ES"/>
              </w:rPr>
              <w:t>personas LGBTI</w:t>
            </w:r>
          </w:p>
        </w:tc>
        <w:tc>
          <w:tcPr>
            <w:tcW w:w="1701" w:type="dxa"/>
            <w:tcBorders>
              <w:top w:val="single" w:sz="4" w:space="0" w:color="auto"/>
              <w:left w:val="single" w:sz="4" w:space="0" w:color="auto"/>
              <w:bottom w:val="single" w:sz="4" w:space="0" w:color="auto"/>
              <w:right w:val="single" w:sz="4" w:space="0" w:color="auto"/>
            </w:tcBorders>
            <w:hideMark/>
          </w:tcPr>
          <w:p w14:paraId="52A84F0E"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38</w:t>
            </w:r>
          </w:p>
        </w:tc>
        <w:tc>
          <w:tcPr>
            <w:tcW w:w="2127" w:type="dxa"/>
            <w:tcBorders>
              <w:top w:val="single" w:sz="4" w:space="0" w:color="auto"/>
              <w:left w:val="single" w:sz="4" w:space="0" w:color="auto"/>
              <w:bottom w:val="single" w:sz="4" w:space="0" w:color="auto"/>
              <w:right w:val="single" w:sz="4" w:space="0" w:color="auto"/>
            </w:tcBorders>
            <w:hideMark/>
          </w:tcPr>
          <w:p w14:paraId="1DEDA7A7"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14563CC"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Parcial Sustancial</w:t>
            </w:r>
          </w:p>
        </w:tc>
      </w:tr>
      <w:tr w:rsidR="006C3878" w:rsidRPr="00FA506F" w14:paraId="4E8B7614" w14:textId="77777777" w:rsidTr="007143B1">
        <w:tc>
          <w:tcPr>
            <w:tcW w:w="3397" w:type="dxa"/>
            <w:vMerge/>
            <w:hideMark/>
          </w:tcPr>
          <w:p w14:paraId="3FA4D5E5"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31AE79AD"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39</w:t>
            </w:r>
          </w:p>
        </w:tc>
        <w:tc>
          <w:tcPr>
            <w:tcW w:w="2127" w:type="dxa"/>
            <w:tcBorders>
              <w:top w:val="single" w:sz="4" w:space="0" w:color="auto"/>
              <w:left w:val="single" w:sz="4" w:space="0" w:color="auto"/>
              <w:bottom w:val="single" w:sz="4" w:space="0" w:color="auto"/>
              <w:right w:val="single" w:sz="4" w:space="0" w:color="auto"/>
            </w:tcBorders>
            <w:hideMark/>
          </w:tcPr>
          <w:p w14:paraId="0D7EA044"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DD70FF1"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Parcial Sustancial</w:t>
            </w:r>
          </w:p>
        </w:tc>
      </w:tr>
      <w:tr w:rsidR="006C3878" w:rsidRPr="00FA506F" w14:paraId="147AC41C" w14:textId="77777777" w:rsidTr="007143B1">
        <w:tc>
          <w:tcPr>
            <w:tcW w:w="3397" w:type="dxa"/>
            <w:vMerge w:val="restart"/>
            <w:tcBorders>
              <w:top w:val="single" w:sz="4" w:space="0" w:color="auto"/>
              <w:left w:val="single" w:sz="4" w:space="0" w:color="auto"/>
              <w:right w:val="single" w:sz="4" w:space="0" w:color="auto"/>
            </w:tcBorders>
            <w:hideMark/>
          </w:tcPr>
          <w:p w14:paraId="573DBBD3" w14:textId="77777777" w:rsidR="006C3878" w:rsidRPr="00FA506F" w:rsidRDefault="006C3878" w:rsidP="007143B1">
            <w:pPr>
              <w:rPr>
                <w:rFonts w:ascii="Cambria" w:hAnsi="Cambria"/>
                <w:sz w:val="20"/>
                <w:szCs w:val="20"/>
                <w:lang w:val="es-ES"/>
              </w:rPr>
            </w:pPr>
            <w:r w:rsidRPr="00FA506F">
              <w:rPr>
                <w:rFonts w:ascii="Cambria" w:hAnsi="Cambria"/>
                <w:b/>
                <w:bCs/>
                <w:sz w:val="20"/>
                <w:szCs w:val="20"/>
                <w:lang w:val="es-ES"/>
              </w:rPr>
              <w:t xml:space="preserve">Personas en situación particular de vulnerabilidad – </w:t>
            </w:r>
            <w:r w:rsidRPr="00FA506F">
              <w:rPr>
                <w:rFonts w:ascii="Cambria" w:hAnsi="Cambria"/>
                <w:sz w:val="20"/>
                <w:szCs w:val="20"/>
                <w:lang w:val="es-ES"/>
              </w:rPr>
              <w:t>mujeres</w:t>
            </w:r>
          </w:p>
          <w:p w14:paraId="765B7054"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2CF14F30"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40</w:t>
            </w:r>
          </w:p>
        </w:tc>
        <w:tc>
          <w:tcPr>
            <w:tcW w:w="2127" w:type="dxa"/>
            <w:tcBorders>
              <w:top w:val="single" w:sz="4" w:space="0" w:color="auto"/>
              <w:left w:val="single" w:sz="4" w:space="0" w:color="auto"/>
              <w:bottom w:val="single" w:sz="4" w:space="0" w:color="auto"/>
              <w:right w:val="single" w:sz="4" w:space="0" w:color="auto"/>
            </w:tcBorders>
            <w:hideMark/>
          </w:tcPr>
          <w:p w14:paraId="4077A3E7"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8D7A8FD"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Parcial Sustancial</w:t>
            </w:r>
          </w:p>
        </w:tc>
      </w:tr>
      <w:tr w:rsidR="006C3878" w:rsidRPr="00FA506F" w14:paraId="646CED4C" w14:textId="77777777" w:rsidTr="007143B1">
        <w:tc>
          <w:tcPr>
            <w:tcW w:w="3397" w:type="dxa"/>
            <w:vMerge/>
            <w:hideMark/>
          </w:tcPr>
          <w:p w14:paraId="44C2239D"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66DD15C6"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41</w:t>
            </w:r>
          </w:p>
        </w:tc>
        <w:tc>
          <w:tcPr>
            <w:tcW w:w="2127" w:type="dxa"/>
            <w:tcBorders>
              <w:top w:val="single" w:sz="4" w:space="0" w:color="auto"/>
              <w:left w:val="single" w:sz="4" w:space="0" w:color="auto"/>
              <w:bottom w:val="single" w:sz="4" w:space="0" w:color="auto"/>
              <w:right w:val="single" w:sz="4" w:space="0" w:color="auto"/>
            </w:tcBorders>
            <w:hideMark/>
          </w:tcPr>
          <w:p w14:paraId="4A9941AB"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747916CF"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Parcial Sustancial</w:t>
            </w:r>
          </w:p>
        </w:tc>
      </w:tr>
      <w:tr w:rsidR="006C3878" w:rsidRPr="00FA506F" w14:paraId="6DF2A5F5" w14:textId="77777777" w:rsidTr="007143B1">
        <w:tc>
          <w:tcPr>
            <w:tcW w:w="3397" w:type="dxa"/>
            <w:vMerge/>
            <w:hideMark/>
          </w:tcPr>
          <w:p w14:paraId="41D85E3E"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24A43E00"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42</w:t>
            </w:r>
          </w:p>
        </w:tc>
        <w:tc>
          <w:tcPr>
            <w:tcW w:w="2127" w:type="dxa"/>
            <w:tcBorders>
              <w:top w:val="single" w:sz="4" w:space="0" w:color="auto"/>
              <w:left w:val="single" w:sz="4" w:space="0" w:color="auto"/>
              <w:bottom w:val="single" w:sz="4" w:space="0" w:color="auto"/>
              <w:right w:val="single" w:sz="4" w:space="0" w:color="auto"/>
            </w:tcBorders>
            <w:hideMark/>
          </w:tcPr>
          <w:p w14:paraId="4BEB58CC"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Total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1EBA58F0"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Total</w:t>
            </w:r>
          </w:p>
        </w:tc>
      </w:tr>
      <w:tr w:rsidR="006C3878" w:rsidRPr="00FA506F" w14:paraId="0190E446" w14:textId="77777777" w:rsidTr="007143B1">
        <w:tc>
          <w:tcPr>
            <w:tcW w:w="3397" w:type="dxa"/>
            <w:vMerge/>
          </w:tcPr>
          <w:p w14:paraId="10D59FBE"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6E5DF989"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43</w:t>
            </w:r>
          </w:p>
        </w:tc>
        <w:tc>
          <w:tcPr>
            <w:tcW w:w="2127" w:type="dxa"/>
            <w:tcBorders>
              <w:top w:val="single" w:sz="4" w:space="0" w:color="auto"/>
              <w:left w:val="single" w:sz="4" w:space="0" w:color="auto"/>
              <w:bottom w:val="single" w:sz="4" w:space="0" w:color="auto"/>
              <w:right w:val="single" w:sz="4" w:space="0" w:color="auto"/>
            </w:tcBorders>
          </w:tcPr>
          <w:p w14:paraId="263B01D8"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40C285B9"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3C8B2B0D" w14:textId="77777777" w:rsidTr="007143B1">
        <w:tc>
          <w:tcPr>
            <w:tcW w:w="3397" w:type="dxa"/>
            <w:vMerge/>
          </w:tcPr>
          <w:p w14:paraId="2E9211A5"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34BBB3F8"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44</w:t>
            </w:r>
          </w:p>
        </w:tc>
        <w:tc>
          <w:tcPr>
            <w:tcW w:w="2127" w:type="dxa"/>
            <w:tcBorders>
              <w:top w:val="single" w:sz="4" w:space="0" w:color="auto"/>
              <w:left w:val="single" w:sz="4" w:space="0" w:color="auto"/>
              <w:bottom w:val="single" w:sz="4" w:space="0" w:color="auto"/>
              <w:right w:val="single" w:sz="4" w:space="0" w:color="auto"/>
            </w:tcBorders>
          </w:tcPr>
          <w:p w14:paraId="1FF40BF2"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707B12BF"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38DAE6A9" w14:textId="77777777" w:rsidTr="007143B1">
        <w:tc>
          <w:tcPr>
            <w:tcW w:w="3397" w:type="dxa"/>
            <w:vMerge w:val="restart"/>
            <w:tcBorders>
              <w:left w:val="single" w:sz="4" w:space="0" w:color="auto"/>
              <w:right w:val="single" w:sz="4" w:space="0" w:color="auto"/>
            </w:tcBorders>
          </w:tcPr>
          <w:p w14:paraId="41FF64F8"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 xml:space="preserve">Personas en situación particular de vulnerabilidad </w:t>
            </w:r>
            <w:r w:rsidRPr="00FA506F">
              <w:rPr>
                <w:rFonts w:ascii="Cambria" w:hAnsi="Cambria"/>
                <w:sz w:val="20"/>
                <w:szCs w:val="20"/>
                <w:lang w:val="es-ES"/>
              </w:rPr>
              <w:t>–</w:t>
            </w:r>
            <w:r w:rsidRPr="00FA506F">
              <w:rPr>
                <w:rFonts w:ascii="Cambria" w:hAnsi="Cambria"/>
                <w:b/>
                <w:bCs/>
                <w:sz w:val="20"/>
                <w:szCs w:val="20"/>
                <w:lang w:val="es-ES"/>
              </w:rPr>
              <w:t xml:space="preserve"> </w:t>
            </w:r>
            <w:r w:rsidRPr="00FA506F">
              <w:rPr>
                <w:rFonts w:ascii="Cambria" w:hAnsi="Cambria"/>
                <w:sz w:val="20"/>
                <w:szCs w:val="20"/>
                <w:lang w:val="es-ES"/>
              </w:rPr>
              <w:t>niñas, niños y adolescentes</w:t>
            </w:r>
          </w:p>
        </w:tc>
        <w:tc>
          <w:tcPr>
            <w:tcW w:w="1701" w:type="dxa"/>
            <w:tcBorders>
              <w:top w:val="single" w:sz="4" w:space="0" w:color="auto"/>
              <w:left w:val="single" w:sz="4" w:space="0" w:color="auto"/>
              <w:bottom w:val="single" w:sz="4" w:space="0" w:color="auto"/>
              <w:right w:val="single" w:sz="4" w:space="0" w:color="auto"/>
            </w:tcBorders>
          </w:tcPr>
          <w:p w14:paraId="7DD1505D"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45</w:t>
            </w:r>
          </w:p>
        </w:tc>
        <w:tc>
          <w:tcPr>
            <w:tcW w:w="2127" w:type="dxa"/>
            <w:tcBorders>
              <w:top w:val="single" w:sz="4" w:space="0" w:color="auto"/>
              <w:left w:val="single" w:sz="4" w:space="0" w:color="auto"/>
              <w:bottom w:val="single" w:sz="4" w:space="0" w:color="auto"/>
              <w:right w:val="single" w:sz="4" w:space="0" w:color="auto"/>
            </w:tcBorders>
          </w:tcPr>
          <w:p w14:paraId="6204EA8E"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71A743A4"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Total</w:t>
            </w:r>
          </w:p>
        </w:tc>
      </w:tr>
      <w:tr w:rsidR="006C3878" w:rsidRPr="00FA506F" w14:paraId="126CB02E" w14:textId="77777777" w:rsidTr="007143B1">
        <w:trPr>
          <w:trHeight w:val="456"/>
        </w:trPr>
        <w:tc>
          <w:tcPr>
            <w:tcW w:w="3397" w:type="dxa"/>
            <w:vMerge/>
          </w:tcPr>
          <w:p w14:paraId="40CFB371"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7B23CBEA"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46</w:t>
            </w:r>
          </w:p>
        </w:tc>
        <w:tc>
          <w:tcPr>
            <w:tcW w:w="2127" w:type="dxa"/>
            <w:tcBorders>
              <w:top w:val="single" w:sz="4" w:space="0" w:color="auto"/>
              <w:left w:val="single" w:sz="4" w:space="0" w:color="auto"/>
              <w:bottom w:val="single" w:sz="4" w:space="0" w:color="auto"/>
              <w:right w:val="single" w:sz="4" w:space="0" w:color="auto"/>
            </w:tcBorders>
          </w:tcPr>
          <w:p w14:paraId="2752D65B"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2FF62EC3"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0E648EBC" w14:textId="77777777" w:rsidTr="007143B1">
        <w:tc>
          <w:tcPr>
            <w:tcW w:w="3397" w:type="dxa"/>
            <w:vMerge w:val="restart"/>
            <w:tcBorders>
              <w:left w:val="single" w:sz="4" w:space="0" w:color="auto"/>
              <w:right w:val="single" w:sz="4" w:space="0" w:color="auto"/>
            </w:tcBorders>
          </w:tcPr>
          <w:p w14:paraId="6EAF972B" w14:textId="77777777" w:rsidR="006C3878" w:rsidRPr="00FA506F" w:rsidRDefault="006C3878" w:rsidP="007143B1">
            <w:pPr>
              <w:rPr>
                <w:rFonts w:ascii="Cambria" w:hAnsi="Cambria"/>
                <w:sz w:val="20"/>
                <w:szCs w:val="20"/>
                <w:lang w:val="es-ES"/>
              </w:rPr>
            </w:pPr>
            <w:r w:rsidRPr="00FA506F">
              <w:rPr>
                <w:rFonts w:ascii="Cambria" w:hAnsi="Cambria"/>
                <w:b/>
                <w:bCs/>
                <w:sz w:val="20"/>
                <w:szCs w:val="20"/>
                <w:lang w:val="es-ES"/>
              </w:rPr>
              <w:t xml:space="preserve">Personas en situación particular de vulnerabilidad </w:t>
            </w:r>
            <w:r w:rsidRPr="00FA506F">
              <w:rPr>
                <w:rFonts w:ascii="Cambria" w:hAnsi="Cambria"/>
                <w:sz w:val="20"/>
                <w:szCs w:val="20"/>
                <w:lang w:val="es-ES"/>
              </w:rPr>
              <w:t>– pueblos indígenas y graves violaciones a derechos humanos</w:t>
            </w:r>
          </w:p>
          <w:p w14:paraId="6147513E"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0804A4B3"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47</w:t>
            </w:r>
          </w:p>
        </w:tc>
        <w:tc>
          <w:tcPr>
            <w:tcW w:w="2127" w:type="dxa"/>
            <w:tcBorders>
              <w:top w:val="single" w:sz="4" w:space="0" w:color="auto"/>
              <w:left w:val="single" w:sz="4" w:space="0" w:color="auto"/>
              <w:bottom w:val="single" w:sz="4" w:space="0" w:color="auto"/>
              <w:right w:val="single" w:sz="4" w:space="0" w:color="auto"/>
            </w:tcBorders>
          </w:tcPr>
          <w:p w14:paraId="352F0D18"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 Sustancial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69160FAF"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 Sustancial</w:t>
            </w:r>
          </w:p>
        </w:tc>
      </w:tr>
      <w:tr w:rsidR="006C3878" w:rsidRPr="00FA506F" w14:paraId="2D853FC1" w14:textId="77777777" w:rsidTr="007143B1">
        <w:tc>
          <w:tcPr>
            <w:tcW w:w="3397" w:type="dxa"/>
            <w:vMerge/>
          </w:tcPr>
          <w:p w14:paraId="42C473D3"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059C41F8"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48</w:t>
            </w:r>
          </w:p>
        </w:tc>
        <w:tc>
          <w:tcPr>
            <w:tcW w:w="2127" w:type="dxa"/>
            <w:tcBorders>
              <w:top w:val="single" w:sz="4" w:space="0" w:color="auto"/>
              <w:left w:val="single" w:sz="4" w:space="0" w:color="auto"/>
              <w:bottom w:val="single" w:sz="4" w:space="0" w:color="auto"/>
              <w:right w:val="single" w:sz="4" w:space="0" w:color="auto"/>
            </w:tcBorders>
          </w:tcPr>
          <w:p w14:paraId="569B722D"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Total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24781333"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Total</w:t>
            </w:r>
          </w:p>
        </w:tc>
      </w:tr>
      <w:tr w:rsidR="006C3878" w:rsidRPr="00FA506F" w14:paraId="31EF0BE3" w14:textId="77777777" w:rsidTr="007143B1">
        <w:tc>
          <w:tcPr>
            <w:tcW w:w="3397" w:type="dxa"/>
            <w:vMerge/>
          </w:tcPr>
          <w:p w14:paraId="6BEB99BD"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4875E491"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49</w:t>
            </w:r>
          </w:p>
        </w:tc>
        <w:tc>
          <w:tcPr>
            <w:tcW w:w="2127" w:type="dxa"/>
            <w:tcBorders>
              <w:top w:val="single" w:sz="4" w:space="0" w:color="auto"/>
              <w:left w:val="single" w:sz="4" w:space="0" w:color="auto"/>
              <w:bottom w:val="single" w:sz="4" w:space="0" w:color="auto"/>
              <w:right w:val="single" w:sz="4" w:space="0" w:color="auto"/>
            </w:tcBorders>
          </w:tcPr>
          <w:p w14:paraId="6DCE60B8"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21616F14"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Parcial Sustancial</w:t>
            </w:r>
          </w:p>
        </w:tc>
      </w:tr>
      <w:tr w:rsidR="006C3878" w:rsidRPr="00FA506F" w14:paraId="11308478" w14:textId="77777777" w:rsidTr="007143B1">
        <w:tc>
          <w:tcPr>
            <w:tcW w:w="3397" w:type="dxa"/>
            <w:vMerge w:val="restart"/>
            <w:tcBorders>
              <w:left w:val="single" w:sz="4" w:space="0" w:color="auto"/>
              <w:right w:val="single" w:sz="4" w:space="0" w:color="auto"/>
            </w:tcBorders>
          </w:tcPr>
          <w:p w14:paraId="3AA7D117"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Personas en situación particular de vulnerabilidad –</w:t>
            </w:r>
            <w:r w:rsidRPr="00FA506F">
              <w:rPr>
                <w:rFonts w:ascii="Cambria" w:hAnsi="Cambria"/>
                <w:sz w:val="20"/>
                <w:szCs w:val="20"/>
                <w:lang w:val="es-ES"/>
              </w:rPr>
              <w:t xml:space="preserve"> personas privadas de la libertad</w:t>
            </w:r>
          </w:p>
          <w:p w14:paraId="530D4016"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3E6078F0"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50</w:t>
            </w:r>
          </w:p>
        </w:tc>
        <w:tc>
          <w:tcPr>
            <w:tcW w:w="2127" w:type="dxa"/>
            <w:tcBorders>
              <w:top w:val="single" w:sz="4" w:space="0" w:color="auto"/>
              <w:left w:val="single" w:sz="4" w:space="0" w:color="auto"/>
              <w:bottom w:val="single" w:sz="4" w:space="0" w:color="auto"/>
              <w:right w:val="single" w:sz="4" w:space="0" w:color="auto"/>
            </w:tcBorders>
          </w:tcPr>
          <w:p w14:paraId="160C6D13"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 xml:space="preserve">Pendiente </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75C13C3A"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 xml:space="preserve">Pendiente </w:t>
            </w:r>
          </w:p>
        </w:tc>
      </w:tr>
      <w:tr w:rsidR="006C3878" w:rsidRPr="00FA506F" w14:paraId="7BCD4531" w14:textId="77777777" w:rsidTr="007143B1">
        <w:tc>
          <w:tcPr>
            <w:tcW w:w="3397" w:type="dxa"/>
            <w:vMerge/>
          </w:tcPr>
          <w:p w14:paraId="0D56ABC4" w14:textId="77777777" w:rsidR="006C3878" w:rsidRPr="00FA506F" w:rsidRDefault="006C3878" w:rsidP="007143B1">
            <w:pPr>
              <w:rPr>
                <w:rFonts w:ascii="Cambria" w:hAnsi="Cambria"/>
                <w:b/>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tcPr>
          <w:p w14:paraId="51082C35"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51</w:t>
            </w:r>
          </w:p>
        </w:tc>
        <w:tc>
          <w:tcPr>
            <w:tcW w:w="2127" w:type="dxa"/>
            <w:tcBorders>
              <w:top w:val="single" w:sz="4" w:space="0" w:color="auto"/>
              <w:left w:val="single" w:sz="4" w:space="0" w:color="auto"/>
              <w:bottom w:val="single" w:sz="4" w:space="0" w:color="auto"/>
              <w:right w:val="single" w:sz="4" w:space="0" w:color="auto"/>
            </w:tcBorders>
          </w:tcPr>
          <w:p w14:paraId="4194DB53"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Pendiente</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06AED27A"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Parcial</w:t>
            </w:r>
          </w:p>
        </w:tc>
      </w:tr>
      <w:tr w:rsidR="006C3878" w:rsidRPr="00FA506F" w14:paraId="331D4B9D" w14:textId="77777777" w:rsidTr="007143B1">
        <w:tc>
          <w:tcPr>
            <w:tcW w:w="3397" w:type="dxa"/>
            <w:vMerge/>
          </w:tcPr>
          <w:p w14:paraId="0CE475D2" w14:textId="77777777" w:rsidR="006C3878" w:rsidRPr="00FA506F" w:rsidRDefault="006C3878" w:rsidP="007143B1">
            <w:pPr>
              <w:rPr>
                <w:rFonts w:ascii="Cambria" w:hAnsi="Cambria"/>
                <w:b/>
                <w:bCs/>
                <w:sz w:val="20"/>
                <w:szCs w:val="20"/>
                <w:lang w:val="es-ES"/>
              </w:rPr>
            </w:pPr>
          </w:p>
        </w:tc>
        <w:tc>
          <w:tcPr>
            <w:tcW w:w="1701" w:type="dxa"/>
            <w:tcBorders>
              <w:left w:val="single" w:sz="4" w:space="0" w:color="auto"/>
            </w:tcBorders>
          </w:tcPr>
          <w:p w14:paraId="3388A6EC"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52</w:t>
            </w:r>
          </w:p>
        </w:tc>
        <w:tc>
          <w:tcPr>
            <w:tcW w:w="2127" w:type="dxa"/>
          </w:tcPr>
          <w:p w14:paraId="1C7876F7"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 sustancial</w:t>
            </w:r>
          </w:p>
        </w:tc>
        <w:tc>
          <w:tcPr>
            <w:tcW w:w="2130" w:type="dxa"/>
            <w:shd w:val="clear" w:color="auto" w:fill="auto"/>
          </w:tcPr>
          <w:p w14:paraId="5478A34B"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 Sustancial</w:t>
            </w:r>
          </w:p>
        </w:tc>
      </w:tr>
      <w:tr w:rsidR="006C3878" w:rsidRPr="00FA506F" w14:paraId="089AC777" w14:textId="77777777" w:rsidTr="007143B1">
        <w:tc>
          <w:tcPr>
            <w:tcW w:w="3397" w:type="dxa"/>
            <w:vMerge/>
          </w:tcPr>
          <w:p w14:paraId="05EA97F0" w14:textId="77777777" w:rsidR="006C3878" w:rsidRPr="00FA506F" w:rsidRDefault="006C3878" w:rsidP="007143B1">
            <w:pPr>
              <w:rPr>
                <w:rFonts w:ascii="Cambria" w:hAnsi="Cambria"/>
                <w:b/>
                <w:bCs/>
                <w:sz w:val="20"/>
                <w:szCs w:val="20"/>
                <w:lang w:val="es-ES"/>
              </w:rPr>
            </w:pPr>
          </w:p>
        </w:tc>
        <w:tc>
          <w:tcPr>
            <w:tcW w:w="1701" w:type="dxa"/>
            <w:tcBorders>
              <w:left w:val="single" w:sz="4" w:space="0" w:color="auto"/>
            </w:tcBorders>
          </w:tcPr>
          <w:p w14:paraId="13D373C2"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53</w:t>
            </w:r>
          </w:p>
        </w:tc>
        <w:tc>
          <w:tcPr>
            <w:tcW w:w="2127" w:type="dxa"/>
          </w:tcPr>
          <w:p w14:paraId="320C9B57"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Pendiente</w:t>
            </w:r>
          </w:p>
        </w:tc>
        <w:tc>
          <w:tcPr>
            <w:tcW w:w="2130" w:type="dxa"/>
            <w:shd w:val="clear" w:color="auto" w:fill="auto"/>
          </w:tcPr>
          <w:p w14:paraId="28B0257C"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Parcial</w:t>
            </w:r>
          </w:p>
        </w:tc>
      </w:tr>
      <w:tr w:rsidR="006C3878" w:rsidRPr="00FA506F" w14:paraId="2E38BABC" w14:textId="77777777" w:rsidTr="007143B1">
        <w:tc>
          <w:tcPr>
            <w:tcW w:w="3397" w:type="dxa"/>
            <w:vMerge/>
          </w:tcPr>
          <w:p w14:paraId="34E2C34C" w14:textId="77777777" w:rsidR="006C3878" w:rsidRPr="00FA506F" w:rsidRDefault="006C3878" w:rsidP="007143B1">
            <w:pPr>
              <w:rPr>
                <w:rFonts w:ascii="Cambria" w:hAnsi="Cambria"/>
                <w:b/>
                <w:bCs/>
                <w:sz w:val="20"/>
                <w:szCs w:val="20"/>
                <w:lang w:val="es-ES"/>
              </w:rPr>
            </w:pPr>
          </w:p>
        </w:tc>
        <w:tc>
          <w:tcPr>
            <w:tcW w:w="1701" w:type="dxa"/>
            <w:tcBorders>
              <w:left w:val="single" w:sz="4" w:space="0" w:color="auto"/>
            </w:tcBorders>
          </w:tcPr>
          <w:p w14:paraId="7A6B14BF"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54</w:t>
            </w:r>
          </w:p>
        </w:tc>
        <w:tc>
          <w:tcPr>
            <w:tcW w:w="2127" w:type="dxa"/>
          </w:tcPr>
          <w:p w14:paraId="7907D0EE"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shd w:val="clear" w:color="auto" w:fill="auto"/>
          </w:tcPr>
          <w:p w14:paraId="3BE729BB"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777882D8" w14:textId="77777777" w:rsidTr="007143B1">
        <w:tc>
          <w:tcPr>
            <w:tcW w:w="3397" w:type="dxa"/>
            <w:vMerge/>
          </w:tcPr>
          <w:p w14:paraId="516082EE" w14:textId="77777777" w:rsidR="006C3878" w:rsidRPr="00FA506F" w:rsidRDefault="006C3878" w:rsidP="007143B1">
            <w:pPr>
              <w:rPr>
                <w:rFonts w:ascii="Cambria" w:hAnsi="Cambria"/>
                <w:b/>
                <w:bCs/>
                <w:sz w:val="20"/>
                <w:szCs w:val="20"/>
                <w:lang w:val="es-ES"/>
              </w:rPr>
            </w:pPr>
          </w:p>
        </w:tc>
        <w:tc>
          <w:tcPr>
            <w:tcW w:w="1701" w:type="dxa"/>
            <w:tcBorders>
              <w:left w:val="single" w:sz="4" w:space="0" w:color="auto"/>
            </w:tcBorders>
          </w:tcPr>
          <w:p w14:paraId="7E8BCCFB"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55</w:t>
            </w:r>
          </w:p>
        </w:tc>
        <w:tc>
          <w:tcPr>
            <w:tcW w:w="2127" w:type="dxa"/>
          </w:tcPr>
          <w:p w14:paraId="5443C84C"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Total</w:t>
            </w:r>
          </w:p>
        </w:tc>
        <w:tc>
          <w:tcPr>
            <w:tcW w:w="2130" w:type="dxa"/>
            <w:shd w:val="clear" w:color="auto" w:fill="auto"/>
          </w:tcPr>
          <w:p w14:paraId="4767E2E7"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Total</w:t>
            </w:r>
          </w:p>
        </w:tc>
      </w:tr>
      <w:tr w:rsidR="006C3878" w:rsidRPr="00FA506F" w14:paraId="78505CD2" w14:textId="77777777" w:rsidTr="007143B1">
        <w:tc>
          <w:tcPr>
            <w:tcW w:w="3397" w:type="dxa"/>
            <w:vMerge w:val="restart"/>
          </w:tcPr>
          <w:p w14:paraId="65408AE2" w14:textId="77777777" w:rsidR="006C3878" w:rsidRPr="00FA506F" w:rsidRDefault="006C3878" w:rsidP="007143B1">
            <w:pPr>
              <w:rPr>
                <w:rFonts w:ascii="Cambria" w:hAnsi="Cambria"/>
                <w:sz w:val="20"/>
                <w:szCs w:val="20"/>
                <w:lang w:val="es-ES"/>
              </w:rPr>
            </w:pPr>
            <w:r w:rsidRPr="00FA506F">
              <w:rPr>
                <w:rFonts w:ascii="Cambria" w:hAnsi="Cambria"/>
                <w:b/>
                <w:bCs/>
                <w:sz w:val="20"/>
                <w:szCs w:val="20"/>
                <w:lang w:val="es-ES"/>
              </w:rPr>
              <w:t xml:space="preserve">Personas en situación particular de vulnerabilidad – </w:t>
            </w:r>
            <w:r w:rsidRPr="00FA506F">
              <w:rPr>
                <w:rFonts w:ascii="Cambria" w:hAnsi="Cambria"/>
                <w:sz w:val="20"/>
                <w:szCs w:val="20"/>
                <w:lang w:val="es-ES"/>
              </w:rPr>
              <w:t>personas migrantes</w:t>
            </w:r>
          </w:p>
          <w:p w14:paraId="781CE806" w14:textId="77777777" w:rsidR="006C3878" w:rsidRPr="00FA506F" w:rsidRDefault="006C3878" w:rsidP="007143B1">
            <w:pPr>
              <w:rPr>
                <w:rFonts w:ascii="Cambria" w:hAnsi="Cambria"/>
                <w:b/>
                <w:bCs/>
                <w:sz w:val="20"/>
                <w:szCs w:val="20"/>
                <w:lang w:val="es-ES"/>
              </w:rPr>
            </w:pPr>
          </w:p>
        </w:tc>
        <w:tc>
          <w:tcPr>
            <w:tcW w:w="1701" w:type="dxa"/>
          </w:tcPr>
          <w:p w14:paraId="07FE2BEA"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56</w:t>
            </w:r>
          </w:p>
        </w:tc>
        <w:tc>
          <w:tcPr>
            <w:tcW w:w="2127" w:type="dxa"/>
          </w:tcPr>
          <w:p w14:paraId="3CE75B8B"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Cierre de seguimiento</w:t>
            </w:r>
          </w:p>
        </w:tc>
        <w:tc>
          <w:tcPr>
            <w:tcW w:w="2130" w:type="dxa"/>
            <w:shd w:val="clear" w:color="auto" w:fill="auto"/>
          </w:tcPr>
          <w:p w14:paraId="12AFAB6E"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Cierre de Seguimiento</w:t>
            </w:r>
          </w:p>
        </w:tc>
      </w:tr>
      <w:tr w:rsidR="006C3878" w:rsidRPr="00FA506F" w14:paraId="46210C31" w14:textId="77777777" w:rsidTr="007143B1">
        <w:tc>
          <w:tcPr>
            <w:tcW w:w="3397" w:type="dxa"/>
            <w:vMerge/>
          </w:tcPr>
          <w:p w14:paraId="3E05D787" w14:textId="77777777" w:rsidR="006C3878" w:rsidRPr="00FA506F" w:rsidRDefault="006C3878" w:rsidP="007143B1">
            <w:pPr>
              <w:rPr>
                <w:rFonts w:ascii="Cambria" w:hAnsi="Cambria"/>
                <w:b/>
                <w:bCs/>
                <w:sz w:val="20"/>
                <w:szCs w:val="20"/>
                <w:lang w:val="es-ES"/>
              </w:rPr>
            </w:pPr>
          </w:p>
        </w:tc>
        <w:tc>
          <w:tcPr>
            <w:tcW w:w="1701" w:type="dxa"/>
          </w:tcPr>
          <w:p w14:paraId="012A3DD3"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57</w:t>
            </w:r>
          </w:p>
        </w:tc>
        <w:tc>
          <w:tcPr>
            <w:tcW w:w="2127" w:type="dxa"/>
          </w:tcPr>
          <w:p w14:paraId="4C926AB8"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 sustancial</w:t>
            </w:r>
          </w:p>
        </w:tc>
        <w:tc>
          <w:tcPr>
            <w:tcW w:w="2130" w:type="dxa"/>
            <w:shd w:val="clear" w:color="auto" w:fill="auto"/>
          </w:tcPr>
          <w:p w14:paraId="2814EEFC"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 Sustancial</w:t>
            </w:r>
          </w:p>
        </w:tc>
      </w:tr>
      <w:tr w:rsidR="006C3878" w:rsidRPr="00FA506F" w14:paraId="2C6EEE88" w14:textId="77777777" w:rsidTr="007143B1">
        <w:tc>
          <w:tcPr>
            <w:tcW w:w="3397" w:type="dxa"/>
            <w:vMerge/>
          </w:tcPr>
          <w:p w14:paraId="7CDD9B0C" w14:textId="77777777" w:rsidR="006C3878" w:rsidRPr="00FA506F" w:rsidRDefault="006C3878" w:rsidP="007143B1">
            <w:pPr>
              <w:rPr>
                <w:rFonts w:ascii="Cambria" w:hAnsi="Cambria"/>
                <w:b/>
                <w:bCs/>
                <w:sz w:val="20"/>
                <w:szCs w:val="20"/>
                <w:lang w:val="es-ES"/>
              </w:rPr>
            </w:pPr>
          </w:p>
        </w:tc>
        <w:tc>
          <w:tcPr>
            <w:tcW w:w="1701" w:type="dxa"/>
          </w:tcPr>
          <w:p w14:paraId="5C922719"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58</w:t>
            </w:r>
          </w:p>
        </w:tc>
        <w:tc>
          <w:tcPr>
            <w:tcW w:w="2127" w:type="dxa"/>
          </w:tcPr>
          <w:p w14:paraId="6DF2E124"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shd w:val="clear" w:color="auto" w:fill="auto"/>
          </w:tcPr>
          <w:p w14:paraId="19B413F9"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Parcial Sustancial</w:t>
            </w:r>
          </w:p>
        </w:tc>
      </w:tr>
      <w:tr w:rsidR="006C3878" w:rsidRPr="00FA506F" w14:paraId="653183C6" w14:textId="77777777" w:rsidTr="007143B1">
        <w:tc>
          <w:tcPr>
            <w:tcW w:w="3397" w:type="dxa"/>
            <w:vMerge/>
          </w:tcPr>
          <w:p w14:paraId="36C19E4A" w14:textId="77777777" w:rsidR="006C3878" w:rsidRPr="00FA506F" w:rsidRDefault="006C3878" w:rsidP="007143B1">
            <w:pPr>
              <w:rPr>
                <w:rFonts w:ascii="Cambria" w:hAnsi="Cambria"/>
                <w:b/>
                <w:bCs/>
                <w:sz w:val="20"/>
                <w:szCs w:val="20"/>
                <w:lang w:val="es-ES"/>
              </w:rPr>
            </w:pPr>
          </w:p>
        </w:tc>
        <w:tc>
          <w:tcPr>
            <w:tcW w:w="1701" w:type="dxa"/>
          </w:tcPr>
          <w:p w14:paraId="3CE25047"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59</w:t>
            </w:r>
          </w:p>
        </w:tc>
        <w:tc>
          <w:tcPr>
            <w:tcW w:w="2127" w:type="dxa"/>
          </w:tcPr>
          <w:p w14:paraId="512E9400"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shd w:val="clear" w:color="auto" w:fill="auto"/>
          </w:tcPr>
          <w:p w14:paraId="02F0A689"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042F6269" w14:textId="77777777" w:rsidTr="007143B1">
        <w:tc>
          <w:tcPr>
            <w:tcW w:w="3397" w:type="dxa"/>
          </w:tcPr>
          <w:p w14:paraId="37993101"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 xml:space="preserve">Personas en situación particular de vulnerabilidad – </w:t>
            </w:r>
            <w:r w:rsidRPr="00FA506F">
              <w:rPr>
                <w:rFonts w:ascii="Cambria" w:hAnsi="Cambria"/>
                <w:sz w:val="20"/>
                <w:szCs w:val="20"/>
                <w:lang w:val="es-ES"/>
              </w:rPr>
              <w:t>personas defensoras de derechos humanos</w:t>
            </w:r>
          </w:p>
        </w:tc>
        <w:tc>
          <w:tcPr>
            <w:tcW w:w="1701" w:type="dxa"/>
          </w:tcPr>
          <w:p w14:paraId="0AF9B754"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60</w:t>
            </w:r>
          </w:p>
        </w:tc>
        <w:tc>
          <w:tcPr>
            <w:tcW w:w="2127" w:type="dxa"/>
          </w:tcPr>
          <w:p w14:paraId="28FABB54"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shd w:val="clear" w:color="auto" w:fill="auto"/>
          </w:tcPr>
          <w:p w14:paraId="35F146A1"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Parcial Sustancial</w:t>
            </w:r>
          </w:p>
        </w:tc>
      </w:tr>
      <w:tr w:rsidR="006C3878" w:rsidRPr="00FA506F" w14:paraId="73669529" w14:textId="77777777" w:rsidTr="007143B1">
        <w:tc>
          <w:tcPr>
            <w:tcW w:w="3397" w:type="dxa"/>
            <w:vMerge w:val="restart"/>
          </w:tcPr>
          <w:p w14:paraId="28DF1A68"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Libertad de expresión</w:t>
            </w:r>
          </w:p>
        </w:tc>
        <w:tc>
          <w:tcPr>
            <w:tcW w:w="1701" w:type="dxa"/>
          </w:tcPr>
          <w:p w14:paraId="1204CD78"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61</w:t>
            </w:r>
          </w:p>
        </w:tc>
        <w:tc>
          <w:tcPr>
            <w:tcW w:w="2127" w:type="dxa"/>
          </w:tcPr>
          <w:p w14:paraId="5D4B2539"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Pendiente</w:t>
            </w:r>
          </w:p>
        </w:tc>
        <w:tc>
          <w:tcPr>
            <w:tcW w:w="2130" w:type="dxa"/>
            <w:shd w:val="clear" w:color="auto" w:fill="auto"/>
          </w:tcPr>
          <w:p w14:paraId="26DFD121"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Pendiente</w:t>
            </w:r>
          </w:p>
        </w:tc>
      </w:tr>
      <w:tr w:rsidR="006C3878" w:rsidRPr="00FA506F" w14:paraId="792459E0" w14:textId="77777777" w:rsidTr="007143B1">
        <w:tc>
          <w:tcPr>
            <w:tcW w:w="3397" w:type="dxa"/>
            <w:vMerge/>
          </w:tcPr>
          <w:p w14:paraId="41752C3F" w14:textId="77777777" w:rsidR="006C3878" w:rsidRPr="00FA506F" w:rsidRDefault="006C3878" w:rsidP="007143B1">
            <w:pPr>
              <w:rPr>
                <w:rFonts w:ascii="Cambria" w:hAnsi="Cambria"/>
                <w:b/>
                <w:bCs/>
                <w:sz w:val="20"/>
                <w:szCs w:val="20"/>
                <w:lang w:val="es-ES"/>
              </w:rPr>
            </w:pPr>
          </w:p>
        </w:tc>
        <w:tc>
          <w:tcPr>
            <w:tcW w:w="1701" w:type="dxa"/>
          </w:tcPr>
          <w:p w14:paraId="472F4B5F"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62</w:t>
            </w:r>
          </w:p>
        </w:tc>
        <w:tc>
          <w:tcPr>
            <w:tcW w:w="2127" w:type="dxa"/>
          </w:tcPr>
          <w:p w14:paraId="7C6B5738"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shd w:val="clear" w:color="auto" w:fill="auto"/>
          </w:tcPr>
          <w:p w14:paraId="3CFE0C22"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65759211" w14:textId="77777777" w:rsidTr="007143B1">
        <w:tc>
          <w:tcPr>
            <w:tcW w:w="3397" w:type="dxa"/>
            <w:vMerge/>
          </w:tcPr>
          <w:p w14:paraId="0298EB4D" w14:textId="77777777" w:rsidR="006C3878" w:rsidRPr="00FA506F" w:rsidRDefault="006C3878" w:rsidP="007143B1">
            <w:pPr>
              <w:rPr>
                <w:rFonts w:ascii="Cambria" w:hAnsi="Cambria"/>
                <w:b/>
                <w:bCs/>
                <w:sz w:val="20"/>
                <w:szCs w:val="20"/>
                <w:lang w:val="es-ES"/>
              </w:rPr>
            </w:pPr>
          </w:p>
        </w:tc>
        <w:tc>
          <w:tcPr>
            <w:tcW w:w="1701" w:type="dxa"/>
          </w:tcPr>
          <w:p w14:paraId="3F87A54A"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63</w:t>
            </w:r>
          </w:p>
        </w:tc>
        <w:tc>
          <w:tcPr>
            <w:tcW w:w="2127" w:type="dxa"/>
          </w:tcPr>
          <w:p w14:paraId="51DCEA31"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 Sustancial</w:t>
            </w:r>
          </w:p>
        </w:tc>
        <w:tc>
          <w:tcPr>
            <w:tcW w:w="2130" w:type="dxa"/>
            <w:shd w:val="clear" w:color="auto" w:fill="auto"/>
          </w:tcPr>
          <w:p w14:paraId="23113045"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Total</w:t>
            </w:r>
          </w:p>
        </w:tc>
      </w:tr>
      <w:tr w:rsidR="006C3878" w:rsidRPr="00FA506F" w14:paraId="74048C4F" w14:textId="77777777" w:rsidTr="007143B1">
        <w:tc>
          <w:tcPr>
            <w:tcW w:w="3397" w:type="dxa"/>
            <w:vMerge/>
          </w:tcPr>
          <w:p w14:paraId="6A718F8F" w14:textId="77777777" w:rsidR="006C3878" w:rsidRPr="00FA506F" w:rsidRDefault="006C3878" w:rsidP="007143B1">
            <w:pPr>
              <w:rPr>
                <w:rFonts w:ascii="Cambria" w:hAnsi="Cambria"/>
                <w:b/>
                <w:bCs/>
                <w:sz w:val="20"/>
                <w:szCs w:val="20"/>
                <w:lang w:val="es-ES"/>
              </w:rPr>
            </w:pPr>
          </w:p>
        </w:tc>
        <w:tc>
          <w:tcPr>
            <w:tcW w:w="1701" w:type="dxa"/>
          </w:tcPr>
          <w:p w14:paraId="219D44AE"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64</w:t>
            </w:r>
          </w:p>
        </w:tc>
        <w:tc>
          <w:tcPr>
            <w:tcW w:w="2127" w:type="dxa"/>
          </w:tcPr>
          <w:p w14:paraId="296097FC"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Pendiente</w:t>
            </w:r>
          </w:p>
        </w:tc>
        <w:tc>
          <w:tcPr>
            <w:tcW w:w="2130" w:type="dxa"/>
            <w:shd w:val="clear" w:color="auto" w:fill="auto"/>
          </w:tcPr>
          <w:p w14:paraId="79B3710A"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Pendiente</w:t>
            </w:r>
          </w:p>
        </w:tc>
      </w:tr>
      <w:tr w:rsidR="006C3878" w:rsidRPr="00FA506F" w14:paraId="233A64DF" w14:textId="77777777" w:rsidTr="007143B1">
        <w:tc>
          <w:tcPr>
            <w:tcW w:w="3397" w:type="dxa"/>
            <w:vMerge/>
          </w:tcPr>
          <w:p w14:paraId="6D87A051" w14:textId="77777777" w:rsidR="006C3878" w:rsidRPr="00FA506F" w:rsidRDefault="006C3878" w:rsidP="007143B1">
            <w:pPr>
              <w:rPr>
                <w:rFonts w:ascii="Cambria" w:hAnsi="Cambria"/>
                <w:b/>
                <w:bCs/>
                <w:sz w:val="20"/>
                <w:szCs w:val="20"/>
                <w:lang w:val="es-ES"/>
              </w:rPr>
            </w:pPr>
          </w:p>
        </w:tc>
        <w:tc>
          <w:tcPr>
            <w:tcW w:w="1701" w:type="dxa"/>
          </w:tcPr>
          <w:p w14:paraId="071E39BE"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65</w:t>
            </w:r>
          </w:p>
        </w:tc>
        <w:tc>
          <w:tcPr>
            <w:tcW w:w="2127" w:type="dxa"/>
          </w:tcPr>
          <w:p w14:paraId="2D99DA4F"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 xml:space="preserve">Parcial </w:t>
            </w:r>
          </w:p>
        </w:tc>
        <w:tc>
          <w:tcPr>
            <w:tcW w:w="2130" w:type="dxa"/>
            <w:shd w:val="clear" w:color="auto" w:fill="auto"/>
          </w:tcPr>
          <w:p w14:paraId="0258C997"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22C9828A" w14:textId="77777777" w:rsidTr="007143B1">
        <w:tc>
          <w:tcPr>
            <w:tcW w:w="3397" w:type="dxa"/>
            <w:vMerge/>
          </w:tcPr>
          <w:p w14:paraId="123C8FA4" w14:textId="77777777" w:rsidR="006C3878" w:rsidRPr="00FA506F" w:rsidRDefault="006C3878" w:rsidP="007143B1">
            <w:pPr>
              <w:rPr>
                <w:rFonts w:ascii="Cambria" w:hAnsi="Cambria"/>
                <w:b/>
                <w:bCs/>
                <w:sz w:val="20"/>
                <w:szCs w:val="20"/>
                <w:lang w:val="es-ES"/>
              </w:rPr>
            </w:pPr>
          </w:p>
        </w:tc>
        <w:tc>
          <w:tcPr>
            <w:tcW w:w="1701" w:type="dxa"/>
          </w:tcPr>
          <w:p w14:paraId="385F3BC7"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66</w:t>
            </w:r>
          </w:p>
        </w:tc>
        <w:tc>
          <w:tcPr>
            <w:tcW w:w="2127" w:type="dxa"/>
          </w:tcPr>
          <w:p w14:paraId="388519C9"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 Sustancial</w:t>
            </w:r>
          </w:p>
        </w:tc>
        <w:tc>
          <w:tcPr>
            <w:tcW w:w="2130" w:type="dxa"/>
            <w:shd w:val="clear" w:color="auto" w:fill="auto"/>
          </w:tcPr>
          <w:p w14:paraId="653AFB59"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 Sustancial</w:t>
            </w:r>
          </w:p>
        </w:tc>
      </w:tr>
      <w:tr w:rsidR="006C3878" w:rsidRPr="00FA506F" w14:paraId="4C20C80B" w14:textId="77777777" w:rsidTr="007143B1">
        <w:tc>
          <w:tcPr>
            <w:tcW w:w="3397" w:type="dxa"/>
            <w:vMerge/>
          </w:tcPr>
          <w:p w14:paraId="27A1AF9E" w14:textId="77777777" w:rsidR="006C3878" w:rsidRPr="00FA506F" w:rsidRDefault="006C3878" w:rsidP="007143B1">
            <w:pPr>
              <w:rPr>
                <w:rFonts w:ascii="Cambria" w:hAnsi="Cambria"/>
                <w:b/>
                <w:bCs/>
                <w:sz w:val="20"/>
                <w:szCs w:val="20"/>
                <w:lang w:val="es-ES"/>
              </w:rPr>
            </w:pPr>
          </w:p>
        </w:tc>
        <w:tc>
          <w:tcPr>
            <w:tcW w:w="1701" w:type="dxa"/>
          </w:tcPr>
          <w:p w14:paraId="00DAFED1"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67</w:t>
            </w:r>
          </w:p>
        </w:tc>
        <w:tc>
          <w:tcPr>
            <w:tcW w:w="2127" w:type="dxa"/>
          </w:tcPr>
          <w:p w14:paraId="6C6E572A"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 xml:space="preserve">Parcial </w:t>
            </w:r>
          </w:p>
        </w:tc>
        <w:tc>
          <w:tcPr>
            <w:tcW w:w="2130" w:type="dxa"/>
            <w:shd w:val="clear" w:color="auto" w:fill="auto"/>
          </w:tcPr>
          <w:p w14:paraId="6012CBC9"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 xml:space="preserve">Parcial </w:t>
            </w:r>
          </w:p>
        </w:tc>
      </w:tr>
      <w:tr w:rsidR="006C3878" w:rsidRPr="00FA506F" w14:paraId="487C2F78" w14:textId="77777777" w:rsidTr="007143B1">
        <w:tc>
          <w:tcPr>
            <w:tcW w:w="3397" w:type="dxa"/>
            <w:vMerge w:val="restart"/>
          </w:tcPr>
          <w:p w14:paraId="20A728A9"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Acceso a la información</w:t>
            </w:r>
          </w:p>
        </w:tc>
        <w:tc>
          <w:tcPr>
            <w:tcW w:w="1701" w:type="dxa"/>
          </w:tcPr>
          <w:p w14:paraId="47CFACFE"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68</w:t>
            </w:r>
          </w:p>
        </w:tc>
        <w:tc>
          <w:tcPr>
            <w:tcW w:w="2127" w:type="dxa"/>
          </w:tcPr>
          <w:p w14:paraId="052C5EB3"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 Sustancial</w:t>
            </w:r>
          </w:p>
        </w:tc>
        <w:tc>
          <w:tcPr>
            <w:tcW w:w="2130" w:type="dxa"/>
            <w:shd w:val="clear" w:color="auto" w:fill="auto"/>
          </w:tcPr>
          <w:p w14:paraId="1239A503"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Pendiente</w:t>
            </w:r>
          </w:p>
        </w:tc>
      </w:tr>
      <w:tr w:rsidR="006C3878" w:rsidRPr="00FA506F" w14:paraId="2687A166" w14:textId="77777777" w:rsidTr="007143B1">
        <w:tc>
          <w:tcPr>
            <w:tcW w:w="3397" w:type="dxa"/>
            <w:vMerge/>
          </w:tcPr>
          <w:p w14:paraId="5F35DE17" w14:textId="77777777" w:rsidR="006C3878" w:rsidRPr="00FA506F" w:rsidRDefault="006C3878" w:rsidP="007143B1">
            <w:pPr>
              <w:rPr>
                <w:rFonts w:ascii="Cambria" w:hAnsi="Cambria"/>
                <w:b/>
                <w:bCs/>
                <w:sz w:val="20"/>
                <w:szCs w:val="20"/>
                <w:lang w:val="es-ES"/>
              </w:rPr>
            </w:pPr>
          </w:p>
        </w:tc>
        <w:tc>
          <w:tcPr>
            <w:tcW w:w="1701" w:type="dxa"/>
          </w:tcPr>
          <w:p w14:paraId="30960DD8"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69</w:t>
            </w:r>
          </w:p>
        </w:tc>
        <w:tc>
          <w:tcPr>
            <w:tcW w:w="2127" w:type="dxa"/>
          </w:tcPr>
          <w:p w14:paraId="079DEA1E"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 xml:space="preserve">Parcial </w:t>
            </w:r>
          </w:p>
        </w:tc>
        <w:tc>
          <w:tcPr>
            <w:tcW w:w="2130" w:type="dxa"/>
            <w:shd w:val="clear" w:color="auto" w:fill="auto"/>
          </w:tcPr>
          <w:p w14:paraId="502B41C9"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 xml:space="preserve">Parcial </w:t>
            </w:r>
          </w:p>
        </w:tc>
      </w:tr>
      <w:tr w:rsidR="006C3878" w:rsidRPr="00FA506F" w14:paraId="5FFB8144" w14:textId="77777777" w:rsidTr="007143B1">
        <w:tc>
          <w:tcPr>
            <w:tcW w:w="3397" w:type="dxa"/>
            <w:vMerge/>
          </w:tcPr>
          <w:p w14:paraId="3C4796AE" w14:textId="77777777" w:rsidR="006C3878" w:rsidRPr="00FA506F" w:rsidRDefault="006C3878" w:rsidP="007143B1">
            <w:pPr>
              <w:rPr>
                <w:rFonts w:ascii="Cambria" w:hAnsi="Cambria"/>
                <w:b/>
                <w:bCs/>
                <w:sz w:val="20"/>
                <w:szCs w:val="20"/>
                <w:lang w:val="es-ES"/>
              </w:rPr>
            </w:pPr>
          </w:p>
        </w:tc>
        <w:tc>
          <w:tcPr>
            <w:tcW w:w="1701" w:type="dxa"/>
          </w:tcPr>
          <w:p w14:paraId="216C55C6"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70</w:t>
            </w:r>
          </w:p>
        </w:tc>
        <w:tc>
          <w:tcPr>
            <w:tcW w:w="2127" w:type="dxa"/>
          </w:tcPr>
          <w:p w14:paraId="5423481F"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shd w:val="clear" w:color="auto" w:fill="auto"/>
          </w:tcPr>
          <w:p w14:paraId="6892BA21"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Parcial Sustancial</w:t>
            </w:r>
          </w:p>
        </w:tc>
      </w:tr>
      <w:tr w:rsidR="006C3878" w:rsidRPr="00FA506F" w14:paraId="31032105" w14:textId="77777777" w:rsidTr="007143B1">
        <w:tc>
          <w:tcPr>
            <w:tcW w:w="3397" w:type="dxa"/>
            <w:vMerge w:val="restart"/>
          </w:tcPr>
          <w:p w14:paraId="4E9B0284"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Mecanismo de defensores y periodistas</w:t>
            </w:r>
          </w:p>
        </w:tc>
        <w:tc>
          <w:tcPr>
            <w:tcW w:w="1701" w:type="dxa"/>
          </w:tcPr>
          <w:p w14:paraId="2BBC629D"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71</w:t>
            </w:r>
          </w:p>
        </w:tc>
        <w:tc>
          <w:tcPr>
            <w:tcW w:w="2127" w:type="dxa"/>
          </w:tcPr>
          <w:p w14:paraId="751FE0A5"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shd w:val="clear" w:color="auto" w:fill="auto"/>
          </w:tcPr>
          <w:p w14:paraId="62FA224F"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048C76B3" w14:textId="77777777" w:rsidTr="007143B1">
        <w:trPr>
          <w:trHeight w:val="42"/>
        </w:trPr>
        <w:tc>
          <w:tcPr>
            <w:tcW w:w="3397" w:type="dxa"/>
            <w:vMerge/>
          </w:tcPr>
          <w:p w14:paraId="60167B01" w14:textId="77777777" w:rsidR="006C3878" w:rsidRPr="00FA506F" w:rsidRDefault="006C3878" w:rsidP="007143B1">
            <w:pPr>
              <w:rPr>
                <w:rFonts w:ascii="Cambria" w:hAnsi="Cambria"/>
                <w:sz w:val="20"/>
                <w:szCs w:val="20"/>
                <w:lang w:val="es-ES"/>
              </w:rPr>
            </w:pPr>
          </w:p>
        </w:tc>
        <w:tc>
          <w:tcPr>
            <w:tcW w:w="1701" w:type="dxa"/>
          </w:tcPr>
          <w:p w14:paraId="5979CC6C"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72</w:t>
            </w:r>
          </w:p>
        </w:tc>
        <w:tc>
          <w:tcPr>
            <w:tcW w:w="2127" w:type="dxa"/>
          </w:tcPr>
          <w:p w14:paraId="30A43D20"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Pr>
          <w:p w14:paraId="27C9D210"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Total</w:t>
            </w:r>
          </w:p>
        </w:tc>
      </w:tr>
      <w:tr w:rsidR="006C3878" w:rsidRPr="00FA506F" w14:paraId="31FFE948" w14:textId="77777777" w:rsidTr="007143B1">
        <w:tc>
          <w:tcPr>
            <w:tcW w:w="3397" w:type="dxa"/>
            <w:vMerge/>
          </w:tcPr>
          <w:p w14:paraId="1BB25E10" w14:textId="77777777" w:rsidR="006C3878" w:rsidRPr="00FA506F" w:rsidRDefault="006C3878" w:rsidP="007143B1">
            <w:pPr>
              <w:rPr>
                <w:rFonts w:ascii="Cambria" w:hAnsi="Cambria"/>
                <w:sz w:val="20"/>
                <w:szCs w:val="20"/>
                <w:lang w:val="es-ES"/>
              </w:rPr>
            </w:pPr>
          </w:p>
        </w:tc>
        <w:tc>
          <w:tcPr>
            <w:tcW w:w="1701" w:type="dxa"/>
          </w:tcPr>
          <w:p w14:paraId="24CF45A9"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73</w:t>
            </w:r>
          </w:p>
        </w:tc>
        <w:tc>
          <w:tcPr>
            <w:tcW w:w="2127" w:type="dxa"/>
          </w:tcPr>
          <w:p w14:paraId="3EB02090"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 sustancial</w:t>
            </w:r>
          </w:p>
        </w:tc>
        <w:tc>
          <w:tcPr>
            <w:tcW w:w="2130" w:type="dxa"/>
          </w:tcPr>
          <w:p w14:paraId="05DE08B0"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 sustancial</w:t>
            </w:r>
          </w:p>
        </w:tc>
      </w:tr>
      <w:tr w:rsidR="006C3878" w:rsidRPr="00FA506F" w14:paraId="7F5A4EC6" w14:textId="77777777" w:rsidTr="007143B1">
        <w:tc>
          <w:tcPr>
            <w:tcW w:w="3397" w:type="dxa"/>
            <w:vMerge/>
          </w:tcPr>
          <w:p w14:paraId="41A5427A" w14:textId="77777777" w:rsidR="006C3878" w:rsidRPr="00FA506F" w:rsidRDefault="006C3878" w:rsidP="007143B1">
            <w:pPr>
              <w:rPr>
                <w:rFonts w:ascii="Cambria" w:hAnsi="Cambria"/>
                <w:sz w:val="20"/>
                <w:szCs w:val="20"/>
                <w:lang w:val="es-ES"/>
              </w:rPr>
            </w:pPr>
          </w:p>
        </w:tc>
        <w:tc>
          <w:tcPr>
            <w:tcW w:w="1701" w:type="dxa"/>
          </w:tcPr>
          <w:p w14:paraId="7BF41B8E"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74</w:t>
            </w:r>
          </w:p>
        </w:tc>
        <w:tc>
          <w:tcPr>
            <w:tcW w:w="2127" w:type="dxa"/>
          </w:tcPr>
          <w:p w14:paraId="5ED22399"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Pr>
          <w:p w14:paraId="3EAC9EF1"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5BF93407" w14:textId="77777777" w:rsidTr="007143B1">
        <w:tc>
          <w:tcPr>
            <w:tcW w:w="3397" w:type="dxa"/>
            <w:vMerge/>
          </w:tcPr>
          <w:p w14:paraId="468D1038" w14:textId="77777777" w:rsidR="006C3878" w:rsidRPr="00FA506F" w:rsidRDefault="006C3878" w:rsidP="007143B1">
            <w:pPr>
              <w:rPr>
                <w:rFonts w:ascii="Cambria" w:hAnsi="Cambria"/>
                <w:sz w:val="20"/>
                <w:szCs w:val="20"/>
                <w:lang w:val="es-ES"/>
              </w:rPr>
            </w:pPr>
          </w:p>
        </w:tc>
        <w:tc>
          <w:tcPr>
            <w:tcW w:w="1701" w:type="dxa"/>
          </w:tcPr>
          <w:p w14:paraId="2CB40BC9"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75</w:t>
            </w:r>
          </w:p>
        </w:tc>
        <w:tc>
          <w:tcPr>
            <w:tcW w:w="2127" w:type="dxa"/>
          </w:tcPr>
          <w:p w14:paraId="1234F6E3"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Pr>
          <w:p w14:paraId="14F02647"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0E6BDD48" w14:textId="77777777" w:rsidTr="007143B1">
        <w:tc>
          <w:tcPr>
            <w:tcW w:w="3397" w:type="dxa"/>
            <w:vMerge/>
          </w:tcPr>
          <w:p w14:paraId="024DE044" w14:textId="77777777" w:rsidR="006C3878" w:rsidRPr="00FA506F" w:rsidRDefault="006C3878" w:rsidP="007143B1">
            <w:pPr>
              <w:rPr>
                <w:rFonts w:ascii="Cambria" w:hAnsi="Cambria"/>
                <w:sz w:val="20"/>
                <w:szCs w:val="20"/>
                <w:lang w:val="es-ES"/>
              </w:rPr>
            </w:pPr>
          </w:p>
        </w:tc>
        <w:tc>
          <w:tcPr>
            <w:tcW w:w="1701" w:type="dxa"/>
          </w:tcPr>
          <w:p w14:paraId="00A13D84"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76</w:t>
            </w:r>
          </w:p>
        </w:tc>
        <w:tc>
          <w:tcPr>
            <w:tcW w:w="2127" w:type="dxa"/>
          </w:tcPr>
          <w:p w14:paraId="44C195E5"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Pr>
          <w:p w14:paraId="51A051B8"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622F8B86" w14:textId="77777777" w:rsidTr="007143B1">
        <w:tc>
          <w:tcPr>
            <w:tcW w:w="3397" w:type="dxa"/>
            <w:vMerge/>
          </w:tcPr>
          <w:p w14:paraId="5B14DA09" w14:textId="77777777" w:rsidR="006C3878" w:rsidRPr="00FA506F" w:rsidRDefault="006C3878" w:rsidP="007143B1">
            <w:pPr>
              <w:rPr>
                <w:rFonts w:ascii="Cambria" w:hAnsi="Cambria"/>
                <w:sz w:val="20"/>
                <w:szCs w:val="20"/>
                <w:lang w:val="es-ES"/>
              </w:rPr>
            </w:pPr>
          </w:p>
        </w:tc>
        <w:tc>
          <w:tcPr>
            <w:tcW w:w="1701" w:type="dxa"/>
          </w:tcPr>
          <w:p w14:paraId="49FD8507"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77</w:t>
            </w:r>
          </w:p>
        </w:tc>
        <w:tc>
          <w:tcPr>
            <w:tcW w:w="2127" w:type="dxa"/>
          </w:tcPr>
          <w:p w14:paraId="1DE53DC1"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Pr>
          <w:p w14:paraId="7E7ED147" w14:textId="77777777" w:rsidR="006C3878" w:rsidRPr="00FA506F" w:rsidRDefault="006C3878" w:rsidP="007143B1">
            <w:pPr>
              <w:rPr>
                <w:rFonts w:ascii="Cambria" w:hAnsi="Cambria"/>
                <w:b/>
                <w:bCs/>
                <w:sz w:val="20"/>
                <w:szCs w:val="20"/>
                <w:lang w:val="es-ES"/>
              </w:rPr>
            </w:pPr>
            <w:r w:rsidRPr="00FA506F">
              <w:rPr>
                <w:rFonts w:ascii="Cambria" w:hAnsi="Cambria"/>
                <w:b/>
                <w:bCs/>
                <w:sz w:val="20"/>
                <w:szCs w:val="20"/>
                <w:lang w:val="es-ES"/>
              </w:rPr>
              <w:t>Total</w:t>
            </w:r>
          </w:p>
        </w:tc>
      </w:tr>
      <w:tr w:rsidR="006C3878" w:rsidRPr="00FA506F" w14:paraId="590960E8" w14:textId="77777777" w:rsidTr="007143B1">
        <w:tc>
          <w:tcPr>
            <w:tcW w:w="3397" w:type="dxa"/>
            <w:vMerge/>
          </w:tcPr>
          <w:p w14:paraId="550881C0" w14:textId="77777777" w:rsidR="006C3878" w:rsidRPr="00FA506F" w:rsidRDefault="006C3878" w:rsidP="007143B1">
            <w:pPr>
              <w:rPr>
                <w:rFonts w:ascii="Cambria" w:hAnsi="Cambria"/>
                <w:sz w:val="20"/>
                <w:szCs w:val="20"/>
                <w:lang w:val="es-ES"/>
              </w:rPr>
            </w:pPr>
          </w:p>
        </w:tc>
        <w:tc>
          <w:tcPr>
            <w:tcW w:w="1701" w:type="dxa"/>
          </w:tcPr>
          <w:p w14:paraId="42667612"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78</w:t>
            </w:r>
          </w:p>
        </w:tc>
        <w:tc>
          <w:tcPr>
            <w:tcW w:w="2127" w:type="dxa"/>
          </w:tcPr>
          <w:p w14:paraId="6FCC69C7"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Pr>
          <w:p w14:paraId="1002DDF3"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7B8B6EFA" w14:textId="77777777" w:rsidTr="007143B1">
        <w:tc>
          <w:tcPr>
            <w:tcW w:w="3397" w:type="dxa"/>
            <w:vMerge/>
          </w:tcPr>
          <w:p w14:paraId="57D795DF" w14:textId="77777777" w:rsidR="006C3878" w:rsidRPr="00FA506F" w:rsidRDefault="006C3878" w:rsidP="007143B1">
            <w:pPr>
              <w:rPr>
                <w:rFonts w:ascii="Cambria" w:hAnsi="Cambria"/>
                <w:sz w:val="20"/>
                <w:szCs w:val="20"/>
                <w:lang w:val="es-ES"/>
              </w:rPr>
            </w:pPr>
          </w:p>
        </w:tc>
        <w:tc>
          <w:tcPr>
            <w:tcW w:w="1701" w:type="dxa"/>
          </w:tcPr>
          <w:p w14:paraId="049D73F1"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79</w:t>
            </w:r>
          </w:p>
        </w:tc>
        <w:tc>
          <w:tcPr>
            <w:tcW w:w="2127" w:type="dxa"/>
          </w:tcPr>
          <w:p w14:paraId="2775958E"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c>
          <w:tcPr>
            <w:tcW w:w="2130" w:type="dxa"/>
          </w:tcPr>
          <w:p w14:paraId="64F73A7B"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Parcial</w:t>
            </w:r>
          </w:p>
        </w:tc>
      </w:tr>
      <w:tr w:rsidR="006C3878" w:rsidRPr="00FA506F" w14:paraId="5946D4B8" w14:textId="77777777" w:rsidTr="007143B1">
        <w:tc>
          <w:tcPr>
            <w:tcW w:w="3397" w:type="dxa"/>
            <w:vMerge/>
          </w:tcPr>
          <w:p w14:paraId="2F2D550C" w14:textId="77777777" w:rsidR="006C3878" w:rsidRPr="00FA506F" w:rsidRDefault="006C3878" w:rsidP="007143B1">
            <w:pPr>
              <w:rPr>
                <w:rFonts w:ascii="Cambria" w:hAnsi="Cambria"/>
                <w:sz w:val="20"/>
                <w:szCs w:val="20"/>
                <w:lang w:val="es-ES"/>
              </w:rPr>
            </w:pPr>
          </w:p>
        </w:tc>
        <w:tc>
          <w:tcPr>
            <w:tcW w:w="1701" w:type="dxa"/>
          </w:tcPr>
          <w:p w14:paraId="79247A4F"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80</w:t>
            </w:r>
          </w:p>
        </w:tc>
        <w:tc>
          <w:tcPr>
            <w:tcW w:w="2127" w:type="dxa"/>
          </w:tcPr>
          <w:p w14:paraId="07751772"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Pendiente</w:t>
            </w:r>
          </w:p>
        </w:tc>
        <w:tc>
          <w:tcPr>
            <w:tcW w:w="2130" w:type="dxa"/>
          </w:tcPr>
          <w:p w14:paraId="321135B9" w14:textId="77777777" w:rsidR="006C3878" w:rsidRPr="00FA506F" w:rsidRDefault="006C3878" w:rsidP="007143B1">
            <w:pPr>
              <w:rPr>
                <w:rFonts w:ascii="Cambria" w:hAnsi="Cambria"/>
                <w:sz w:val="20"/>
                <w:szCs w:val="20"/>
                <w:lang w:val="es-ES"/>
              </w:rPr>
            </w:pPr>
            <w:r w:rsidRPr="00FA506F">
              <w:rPr>
                <w:rFonts w:ascii="Cambria" w:hAnsi="Cambria"/>
                <w:sz w:val="20"/>
                <w:szCs w:val="20"/>
                <w:lang w:val="es-ES"/>
              </w:rPr>
              <w:t>Pendiente</w:t>
            </w:r>
          </w:p>
        </w:tc>
      </w:tr>
    </w:tbl>
    <w:p w14:paraId="49AD857D" w14:textId="77777777" w:rsidR="00E76E18" w:rsidRPr="00FA506F" w:rsidRDefault="00E76E18" w:rsidP="00B80A67">
      <w:pPr>
        <w:pStyle w:val="parrafos"/>
        <w:numPr>
          <w:ilvl w:val="0"/>
          <w:numId w:val="0"/>
        </w:numPr>
        <w:rPr>
          <w:lang w:val="es-ES"/>
        </w:rPr>
      </w:pPr>
    </w:p>
    <w:p w14:paraId="215AFA8B" w14:textId="77777777" w:rsidR="007B7AAF" w:rsidRPr="00FA506F" w:rsidRDefault="007B7AAF" w:rsidP="00B80A67">
      <w:pPr>
        <w:pStyle w:val="IATtulo"/>
        <w:numPr>
          <w:ilvl w:val="0"/>
          <w:numId w:val="1"/>
        </w:numPr>
        <w:tabs>
          <w:tab w:val="num" w:pos="720"/>
        </w:tabs>
        <w:rPr>
          <w:b w:val="0"/>
          <w:color w:val="000000" w:themeColor="text1"/>
          <w:sz w:val="22"/>
          <w:szCs w:val="22"/>
          <w:lang w:val="es-ES"/>
        </w:rPr>
      </w:pPr>
      <w:bookmarkStart w:id="34" w:name="_Toc195618123"/>
      <w:r w:rsidRPr="00FA506F">
        <w:rPr>
          <w:color w:val="000000" w:themeColor="text1"/>
          <w:sz w:val="22"/>
          <w:szCs w:val="22"/>
          <w:lang w:val="es-ES"/>
        </w:rPr>
        <w:t>CONCLUSIONES</w:t>
      </w:r>
      <w:bookmarkEnd w:id="34"/>
    </w:p>
    <w:p w14:paraId="3A4A6B95" w14:textId="35456E51" w:rsidR="007B7AAF" w:rsidRPr="00FA506F" w:rsidRDefault="007B7AAF" w:rsidP="00911EA1">
      <w:pPr>
        <w:pStyle w:val="IAPrrafo"/>
        <w:numPr>
          <w:ilvl w:val="0"/>
          <w:numId w:val="4"/>
        </w:numPr>
        <w:tabs>
          <w:tab w:val="num" w:pos="720"/>
        </w:tabs>
        <w:ind w:firstLine="720"/>
        <w:rPr>
          <w:lang w:val="es-ES"/>
        </w:rPr>
      </w:pPr>
      <w:r w:rsidRPr="00FA506F">
        <w:rPr>
          <w:lang w:val="es-ES"/>
        </w:rPr>
        <w:t xml:space="preserve">La Comisión Interamericana de Derechos Humanos ha llevado a cabo un análisis exhaustivo y pormenorizado de seguimiento de las recomendaciones presentadas en el Informe de País de 2015 respecto de México. </w:t>
      </w:r>
      <w:r w:rsidR="006F7A01" w:rsidRPr="00FA506F">
        <w:rPr>
          <w:lang w:val="es-ES"/>
        </w:rPr>
        <w:t>Este</w:t>
      </w:r>
      <w:r w:rsidRPr="00FA506F">
        <w:rPr>
          <w:lang w:val="es-ES"/>
        </w:rPr>
        <w:t xml:space="preserve"> análisis</w:t>
      </w:r>
      <w:r w:rsidR="006F7A01" w:rsidRPr="00FA506F">
        <w:rPr>
          <w:lang w:val="es-ES"/>
        </w:rPr>
        <w:t xml:space="preserve"> da cuenta de </w:t>
      </w:r>
      <w:r w:rsidRPr="00FA506F">
        <w:rPr>
          <w:lang w:val="es-ES"/>
        </w:rPr>
        <w:t>ciertos avances y compromisos por parte del Estado mexicano para cumplir con sus obligaciones internacionales en materia de derechos humanos. Sin embargo, persisten múltiples desafíos y obstáculos que deben superarse para garantizar el cumplimiento efectivo de las recomendaciones emitidas.</w:t>
      </w:r>
    </w:p>
    <w:p w14:paraId="0D84892C" w14:textId="4823F997" w:rsidR="006C3878" w:rsidRPr="00FA506F" w:rsidRDefault="006C3878" w:rsidP="00911EA1">
      <w:pPr>
        <w:pStyle w:val="IAPrrafo"/>
        <w:numPr>
          <w:ilvl w:val="0"/>
          <w:numId w:val="4"/>
        </w:numPr>
        <w:tabs>
          <w:tab w:val="num" w:pos="720"/>
        </w:tabs>
        <w:ind w:firstLine="720"/>
        <w:rPr>
          <w:lang w:val="es-ES"/>
        </w:rPr>
      </w:pPr>
      <w:r w:rsidRPr="00FA506F">
        <w:rPr>
          <w:lang w:val="es-ES"/>
        </w:rPr>
        <w:t>En el análisis de 2024, de las 80 recomendaciones previstas en este Informe se observa que: el 22,50% se encuentran en cumplimiento total, el 21,25% en cumplimiento parcial sustancial, el 40,00% en cumplimiento parcial, el 12,50% permanecen pendientes de cumplimiento, el 1,25% están incumplidas y el 2,50% tienen un cierre de seguimiento. Estos datos representan un avance significativo en comparación con el informe de 2023, donde el 11% de las recomendaciones estaban en cumplimiento total y el 17% en cumplimiento parcial sustancial. No obstante, persisten desafíos significativos en la implementación efectiva de las recomendaciones. En particular, existen áreas clave donde las acciones del Estado no han sido suficientes para garantizar una mejora sustancial. La CIDH reitera la necesidad de medidas estructurales concretas que aseguren un progreso sostenido y respeten plenamente los derechos humanos, superando las limitaciones que han dificultado avances más significativos en años previos.</w:t>
      </w:r>
    </w:p>
    <w:p w14:paraId="3A7EB2FB" w14:textId="56B3C803" w:rsidR="007B7AAF" w:rsidRPr="00FA506F" w:rsidRDefault="007B7AAF" w:rsidP="00911EA1">
      <w:pPr>
        <w:pStyle w:val="IAPrrafo"/>
        <w:numPr>
          <w:ilvl w:val="0"/>
          <w:numId w:val="4"/>
        </w:numPr>
        <w:tabs>
          <w:tab w:val="num" w:pos="720"/>
        </w:tabs>
        <w:ind w:firstLine="720"/>
        <w:rPr>
          <w:lang w:val="es-ES"/>
        </w:rPr>
      </w:pPr>
      <w:r w:rsidRPr="00FA506F">
        <w:rPr>
          <w:lang w:val="es-ES"/>
        </w:rPr>
        <w:t xml:space="preserve">El informe de seguimiento de 2024 revela un panorama mixto </w:t>
      </w:r>
      <w:r w:rsidR="00446046" w:rsidRPr="00FA506F">
        <w:rPr>
          <w:lang w:val="es-ES"/>
        </w:rPr>
        <w:t>en relación con</w:t>
      </w:r>
      <w:r w:rsidRPr="00FA506F">
        <w:rPr>
          <w:lang w:val="es-ES"/>
        </w:rPr>
        <w:t xml:space="preserve"> </w:t>
      </w:r>
      <w:r w:rsidR="00446046" w:rsidRPr="00FA506F">
        <w:rPr>
          <w:lang w:val="es-ES"/>
        </w:rPr>
        <w:t>e</w:t>
      </w:r>
      <w:r w:rsidRPr="00FA506F">
        <w:rPr>
          <w:lang w:val="es-ES"/>
        </w:rPr>
        <w:t xml:space="preserve">l avance en el cumplimiento de las recomendaciones emitidas por la CIDH al Estado mexicano. Por un lado, </w:t>
      </w:r>
      <w:r w:rsidR="00A86135" w:rsidRPr="00FA506F">
        <w:rPr>
          <w:lang w:val="es-ES"/>
        </w:rPr>
        <w:t>existen</w:t>
      </w:r>
      <w:r w:rsidRPr="00FA506F">
        <w:rPr>
          <w:lang w:val="es-ES"/>
        </w:rPr>
        <w:t xml:space="preserve"> ciertos progresos en áreas como la profesionalización y fortalecimiento de los cuerpos policiales y la adopción de políticas públicas para la atención de la salud mental y las adicciones, así como en el establecimiento de sistemas de información desagregada que abordan la violencia contra grupos vulnerables. En estas áreas, el compromiso del Estado ha permitido alcanzar niveles de cumplimiento total o parcial sustancial, destacando la implementación de estrategias nacionales y programas formativos que contribuyen a la mejora de capacidades institucionales y a la atención de problemáticas sociales.</w:t>
      </w:r>
    </w:p>
    <w:p w14:paraId="29A5218C" w14:textId="6AB6C84B" w:rsidR="007B7AAF" w:rsidRPr="00FA506F" w:rsidRDefault="007B7AAF" w:rsidP="00911EA1">
      <w:pPr>
        <w:pStyle w:val="IAPrrafo"/>
        <w:numPr>
          <w:ilvl w:val="0"/>
          <w:numId w:val="4"/>
        </w:numPr>
        <w:tabs>
          <w:tab w:val="num" w:pos="720"/>
        </w:tabs>
        <w:ind w:firstLine="720"/>
        <w:rPr>
          <w:lang w:val="es-ES"/>
        </w:rPr>
      </w:pPr>
      <w:r w:rsidRPr="00FA506F">
        <w:rPr>
          <w:lang w:val="es-ES"/>
        </w:rPr>
        <w:t xml:space="preserve">Sin embargo, persisten desafíos significativos, particularmente en el ámbito de la militarización de la seguridad pública y la falta de implementación efectiva de mecanismos independientes de rendición de cuentas. El traslado de la </w:t>
      </w:r>
      <w:r w:rsidR="00CB0E7A" w:rsidRPr="00FA506F">
        <w:rPr>
          <w:lang w:val="es-ES"/>
        </w:rPr>
        <w:t>GN</w:t>
      </w:r>
      <w:r w:rsidRPr="00FA506F">
        <w:rPr>
          <w:lang w:val="es-ES"/>
        </w:rPr>
        <w:t xml:space="preserve"> a la </w:t>
      </w:r>
      <w:r w:rsidR="00CB0E7A" w:rsidRPr="00FA506F">
        <w:rPr>
          <w:lang w:val="es-ES"/>
        </w:rPr>
        <w:t>SEDENA</w:t>
      </w:r>
      <w:r w:rsidRPr="00FA506F">
        <w:rPr>
          <w:lang w:val="es-ES"/>
        </w:rPr>
        <w:t xml:space="preserve"> y la persistente participación de las Fuerzas Armadas en tareas de seguridad ciudadana representan un retroceso en la aplicación de estándares internacionales, lo que contraviene las recomendaciones de limitar el accionar militar en funciones civiles. </w:t>
      </w:r>
      <w:r w:rsidR="008C2DA5" w:rsidRPr="00FA506F">
        <w:rPr>
          <w:lang w:val="es-ES"/>
        </w:rPr>
        <w:t>La</w:t>
      </w:r>
      <w:r w:rsidRPr="00FA506F">
        <w:rPr>
          <w:lang w:val="es-ES"/>
        </w:rPr>
        <w:t xml:space="preserve"> falta de avances en la creación de un cuerpo independiente de rendición de cuentas, así como los despidos masivos en instituciones clave como la </w:t>
      </w:r>
      <w:r w:rsidR="004F387F" w:rsidRPr="00FA506F">
        <w:rPr>
          <w:lang w:val="es-ES"/>
        </w:rPr>
        <w:t>CNB</w:t>
      </w:r>
      <w:r w:rsidRPr="00FA506F">
        <w:rPr>
          <w:lang w:val="es-ES"/>
        </w:rPr>
        <w:t xml:space="preserve">, han generado preocupaciones </w:t>
      </w:r>
      <w:r w:rsidR="00446046" w:rsidRPr="00FA506F">
        <w:rPr>
          <w:lang w:val="es-ES"/>
        </w:rPr>
        <w:t>relacionadas con</w:t>
      </w:r>
      <w:r w:rsidRPr="00FA506F">
        <w:rPr>
          <w:lang w:val="es-ES"/>
        </w:rPr>
        <w:t xml:space="preserve"> la debilidad institucional para abordar la crisis de desapariciones en el país.</w:t>
      </w:r>
    </w:p>
    <w:p w14:paraId="3F04D3F2" w14:textId="246BB20C" w:rsidR="007B7AAF" w:rsidRPr="00FA506F" w:rsidRDefault="007B7AAF" w:rsidP="00911EA1">
      <w:pPr>
        <w:pStyle w:val="IAPrrafo"/>
        <w:numPr>
          <w:ilvl w:val="0"/>
          <w:numId w:val="4"/>
        </w:numPr>
        <w:tabs>
          <w:tab w:val="num" w:pos="720"/>
        </w:tabs>
        <w:ind w:firstLine="720"/>
        <w:rPr>
          <w:lang w:val="es-ES"/>
        </w:rPr>
      </w:pPr>
      <w:r w:rsidRPr="00FA506F">
        <w:rPr>
          <w:lang w:val="es-ES"/>
        </w:rPr>
        <w:t>En cuanto a los mecanismos de búsqueda e identificación de personas desaparecidas</w:t>
      </w:r>
      <w:r w:rsidR="006F7A01" w:rsidRPr="00FA506F">
        <w:rPr>
          <w:lang w:val="es-ES"/>
        </w:rPr>
        <w:t xml:space="preserve"> existe </w:t>
      </w:r>
      <w:r w:rsidRPr="00FA506F">
        <w:rPr>
          <w:lang w:val="es-ES"/>
        </w:rPr>
        <w:t>un debilitamiento institucional que afecta la capacidad del Estado para garantizar la implementación de la Ley General en Materia de Desaparición. La falta de reglamentación adecuada, el incumplimiento en la creación de registros forenses y la fragmentación en la coordinación entre autoridades impiden avances significativos y agravan la situación de incertidumbre para los familiares de personas desaparecidas.</w:t>
      </w:r>
    </w:p>
    <w:p w14:paraId="3743CDD2" w14:textId="3BF7BF34" w:rsidR="007B7AAF" w:rsidRPr="00FA506F" w:rsidRDefault="007B7AAF" w:rsidP="00911EA1">
      <w:pPr>
        <w:pStyle w:val="IAPrrafo"/>
        <w:numPr>
          <w:ilvl w:val="0"/>
          <w:numId w:val="4"/>
        </w:numPr>
        <w:tabs>
          <w:tab w:val="num" w:pos="720"/>
        </w:tabs>
        <w:ind w:firstLine="720"/>
        <w:rPr>
          <w:lang w:val="es-ES"/>
        </w:rPr>
      </w:pPr>
      <w:r w:rsidRPr="00FA506F">
        <w:rPr>
          <w:lang w:val="es-ES"/>
        </w:rPr>
        <w:t xml:space="preserve">Finalmente, si bien </w:t>
      </w:r>
      <w:r w:rsidR="006F7A01" w:rsidRPr="00FA506F">
        <w:rPr>
          <w:lang w:val="es-ES"/>
        </w:rPr>
        <w:t>existen</w:t>
      </w:r>
      <w:r w:rsidRPr="00FA506F">
        <w:rPr>
          <w:lang w:val="es-ES"/>
        </w:rPr>
        <w:t xml:space="preserve"> esfuerzos en la actualización de políticas públicas con un enfoque en derechos humanos, persisten retrocesos preocupantes en áreas críticas como la investigación de graves violaciones a derechos humanos, la transparencia en la operación de registros nacionales y la cooperación con mecanismos internacionales de justicia. La resistencia a implementar reformas estructurales y la falta de acciones concretas para garantizar la participación efectiva de las víctimas y sus familias limitan el progreso en la consecución de justicia y reparación integral.</w:t>
      </w:r>
    </w:p>
    <w:p w14:paraId="3F3BC223" w14:textId="77777777" w:rsidR="007B7AAF" w:rsidRPr="00FA506F" w:rsidRDefault="007B7AAF" w:rsidP="00911EA1">
      <w:pPr>
        <w:pStyle w:val="IAPrrafo"/>
        <w:numPr>
          <w:ilvl w:val="0"/>
          <w:numId w:val="4"/>
        </w:numPr>
        <w:tabs>
          <w:tab w:val="num" w:pos="720"/>
        </w:tabs>
        <w:ind w:firstLine="720"/>
        <w:rPr>
          <w:lang w:val="es-ES"/>
        </w:rPr>
      </w:pPr>
      <w:r w:rsidRPr="00FA506F">
        <w:rPr>
          <w:lang w:val="es-ES"/>
        </w:rPr>
        <w:t>En conclusión, aunque se reconocen ciertos avances, el informe de 2024 evidencia una tendencia preocupante de retroceso en áreas fundamentales, lo que obliga a la CIDH a mantener la mayoría de las recomendaciones en cumplimiento parcial o pendiente. Es fundamental que el Estado mexicano fortalezca su compromiso con los derechos humanos mediante la implementación efectiva de las recomendaciones emitidas, priorizando el fortalecimiento institucional, la transparencia y la protección integral de los derechos de todas las personas, en particular de aquellos grupos más vulnerables.</w:t>
      </w:r>
    </w:p>
    <w:p w14:paraId="7293922D" w14:textId="77777777" w:rsidR="007B7AAF" w:rsidRPr="00FA506F" w:rsidRDefault="007B7AAF" w:rsidP="00911EA1">
      <w:pPr>
        <w:pStyle w:val="IAPrrafo"/>
        <w:rPr>
          <w:lang w:val="es-ES"/>
        </w:rPr>
      </w:pPr>
    </w:p>
    <w:p w14:paraId="5331D036" w14:textId="77777777" w:rsidR="007B7AAF" w:rsidRPr="00FA506F" w:rsidRDefault="007B7AAF" w:rsidP="00911EA1">
      <w:pPr>
        <w:pStyle w:val="parrafos"/>
        <w:numPr>
          <w:ilvl w:val="0"/>
          <w:numId w:val="0"/>
        </w:numPr>
        <w:rPr>
          <w:lang w:val="es-ES"/>
        </w:rPr>
      </w:pPr>
    </w:p>
    <w:p w14:paraId="29483F73" w14:textId="77777777" w:rsidR="00C26987" w:rsidRPr="00FA506F" w:rsidRDefault="00C26987" w:rsidP="00911EA1">
      <w:pPr>
        <w:pStyle w:val="parrafos"/>
        <w:numPr>
          <w:ilvl w:val="0"/>
          <w:numId w:val="0"/>
        </w:numPr>
        <w:rPr>
          <w:lang w:val="es-ES"/>
        </w:rPr>
      </w:pPr>
    </w:p>
    <w:sectPr w:rsidR="00C26987" w:rsidRPr="00FA506F" w:rsidSect="00D8753A">
      <w:type w:val="oddPage"/>
      <w:pgSz w:w="12240" w:h="15840"/>
      <w:pgMar w:top="784" w:right="1440" w:bottom="1440" w:left="1440" w:header="708" w:footer="708" w:gutter="0"/>
      <w:pgNumType w:start="11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48B4" w14:textId="77777777" w:rsidR="0061111C" w:rsidRDefault="0061111C" w:rsidP="00672733">
      <w:r>
        <w:separator/>
      </w:r>
    </w:p>
  </w:endnote>
  <w:endnote w:type="continuationSeparator" w:id="0">
    <w:p w14:paraId="1644B700" w14:textId="77777777" w:rsidR="0061111C" w:rsidRDefault="0061111C" w:rsidP="00672733">
      <w:r>
        <w:continuationSeparator/>
      </w:r>
    </w:p>
  </w:endnote>
  <w:endnote w:type="continuationNotice" w:id="1">
    <w:p w14:paraId="142B6FAA" w14:textId="77777777" w:rsidR="0061111C" w:rsidRDefault="00611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webkit-standard">
    <w:altName w:val="Cambria"/>
    <w:charset w:val="00"/>
    <w:family w:val="roman"/>
    <w:pitch w:val="default"/>
  </w:font>
  <w:font w:name="Helvetica">
    <w:panose1 w:val="020B0604020202020204"/>
    <w:charset w:val="00"/>
    <w:family w:val="swiss"/>
    <w:pitch w:val="variable"/>
    <w:sig w:usb0="00000003" w:usb1="00000000" w:usb2="00000000" w:usb3="00000000" w:csb0="00000001" w:csb1="00000000"/>
  </w:font>
  <w:font w:name="Noto Serif">
    <w:charset w:val="00"/>
    <w:family w:val="roman"/>
    <w:pitch w:val="variable"/>
    <w:sig w:usb0="E00002FF" w:usb1="500078FF" w:usb2="0000002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5DAE" w14:textId="60A09AC7" w:rsidR="006D3EB6" w:rsidRDefault="006D3E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EF1591" w14:textId="77777777" w:rsidR="006D3EB6" w:rsidRDefault="006D3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mbria" w:hAnsi="Cambria"/>
        <w:sz w:val="20"/>
        <w:szCs w:val="20"/>
      </w:rPr>
      <w:id w:val="-2054763820"/>
      <w:docPartObj>
        <w:docPartGallery w:val="Page Numbers (Bottom of Page)"/>
        <w:docPartUnique/>
      </w:docPartObj>
    </w:sdtPr>
    <w:sdtEndPr>
      <w:rPr>
        <w:rStyle w:val="PageNumber"/>
        <w:sz w:val="16"/>
        <w:szCs w:val="16"/>
      </w:rPr>
    </w:sdtEndPr>
    <w:sdtContent>
      <w:p w14:paraId="544E5D6E" w14:textId="4BEDB67E" w:rsidR="006D3EB6" w:rsidRPr="00216518" w:rsidRDefault="006D3EB6">
        <w:pPr>
          <w:pStyle w:val="Footer"/>
          <w:framePr w:wrap="none" w:vAnchor="text" w:hAnchor="margin" w:xAlign="center" w:y="1"/>
          <w:rPr>
            <w:rStyle w:val="PageNumber"/>
            <w:rFonts w:ascii="Cambria" w:hAnsi="Cambria"/>
            <w:sz w:val="16"/>
            <w:szCs w:val="16"/>
          </w:rPr>
        </w:pPr>
        <w:r w:rsidRPr="00216518">
          <w:rPr>
            <w:rStyle w:val="PageNumber"/>
            <w:rFonts w:ascii="Cambria" w:hAnsi="Cambria"/>
            <w:sz w:val="16"/>
            <w:szCs w:val="16"/>
          </w:rPr>
          <w:fldChar w:fldCharType="begin"/>
        </w:r>
        <w:r w:rsidRPr="00216518">
          <w:rPr>
            <w:rStyle w:val="PageNumber"/>
            <w:rFonts w:ascii="Cambria" w:hAnsi="Cambria"/>
            <w:sz w:val="16"/>
            <w:szCs w:val="16"/>
          </w:rPr>
          <w:instrText xml:space="preserve"> PAGE </w:instrText>
        </w:r>
        <w:r w:rsidRPr="00216518">
          <w:rPr>
            <w:rStyle w:val="PageNumber"/>
            <w:rFonts w:ascii="Cambria" w:hAnsi="Cambria"/>
            <w:sz w:val="16"/>
            <w:szCs w:val="16"/>
          </w:rPr>
          <w:fldChar w:fldCharType="separate"/>
        </w:r>
        <w:r w:rsidRPr="00216518">
          <w:rPr>
            <w:rStyle w:val="PageNumber"/>
            <w:rFonts w:ascii="Cambria" w:hAnsi="Cambria"/>
            <w:noProof/>
            <w:sz w:val="16"/>
            <w:szCs w:val="16"/>
          </w:rPr>
          <w:t>85</w:t>
        </w:r>
        <w:r w:rsidRPr="00216518">
          <w:rPr>
            <w:rStyle w:val="PageNumber"/>
            <w:rFonts w:ascii="Cambria" w:hAnsi="Cambria"/>
            <w:sz w:val="16"/>
            <w:szCs w:val="16"/>
          </w:rPr>
          <w:fldChar w:fldCharType="end"/>
        </w:r>
      </w:p>
    </w:sdtContent>
  </w:sdt>
  <w:p w14:paraId="4A2BF123" w14:textId="77777777" w:rsidR="00F86AB4" w:rsidRPr="006D3EB6" w:rsidRDefault="00F86AB4" w:rsidP="00F86AB4">
    <w:pPr>
      <w:pStyle w:val="Footer"/>
      <w:tabs>
        <w:tab w:val="clear" w:pos="4680"/>
        <w:tab w:val="clear" w:pos="9360"/>
      </w:tabs>
      <w:rPr>
        <w:rFonts w:ascii="Cambria" w:hAnsi="Cambria"/>
        <w:caps/>
        <w:color w:val="000000" w:themeColor="text1"/>
        <w:sz w:val="16"/>
        <w:szCs w:val="16"/>
      </w:rPr>
    </w:pPr>
  </w:p>
  <w:p w14:paraId="51A13522" w14:textId="77777777" w:rsidR="00E516AB" w:rsidRPr="006D3EB6" w:rsidRDefault="00E516AB">
    <w:pPr>
      <w:pStyle w:val="Footer"/>
      <w:rPr>
        <w:rFonts w:ascii="Cambria" w:hAnsi="Cambri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CD22F8" w14:paraId="0C562BD8" w14:textId="77777777" w:rsidTr="00BE45B5">
      <w:trPr>
        <w:trHeight w:val="300"/>
      </w:trPr>
      <w:tc>
        <w:tcPr>
          <w:tcW w:w="3120" w:type="dxa"/>
        </w:tcPr>
        <w:p w14:paraId="138577EE" w14:textId="34D2F056" w:rsidR="47CD22F8" w:rsidRDefault="47CD22F8" w:rsidP="00BE45B5">
          <w:pPr>
            <w:pStyle w:val="Header"/>
            <w:ind w:left="-115"/>
          </w:pPr>
        </w:p>
      </w:tc>
      <w:tc>
        <w:tcPr>
          <w:tcW w:w="3120" w:type="dxa"/>
        </w:tcPr>
        <w:p w14:paraId="39E32E39" w14:textId="2A6B3404" w:rsidR="47CD22F8" w:rsidRDefault="47CD22F8" w:rsidP="00BE45B5">
          <w:pPr>
            <w:pStyle w:val="Header"/>
            <w:jc w:val="center"/>
          </w:pPr>
        </w:p>
      </w:tc>
      <w:tc>
        <w:tcPr>
          <w:tcW w:w="3120" w:type="dxa"/>
        </w:tcPr>
        <w:p w14:paraId="0FE87528" w14:textId="3FA37E0C" w:rsidR="47CD22F8" w:rsidRDefault="47CD22F8" w:rsidP="00BE45B5">
          <w:pPr>
            <w:pStyle w:val="Header"/>
            <w:ind w:right="-115"/>
            <w:jc w:val="right"/>
          </w:pPr>
        </w:p>
      </w:tc>
    </w:tr>
  </w:tbl>
  <w:p w14:paraId="1869F355" w14:textId="4571B5A1" w:rsidR="47CD22F8" w:rsidRDefault="47CD22F8" w:rsidP="00BE4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8B7C" w14:textId="77777777" w:rsidR="0061111C" w:rsidRDefault="0061111C" w:rsidP="00672733">
      <w:r>
        <w:separator/>
      </w:r>
    </w:p>
  </w:footnote>
  <w:footnote w:type="continuationSeparator" w:id="0">
    <w:p w14:paraId="0A932B34" w14:textId="77777777" w:rsidR="0061111C" w:rsidRDefault="0061111C" w:rsidP="00672733">
      <w:r>
        <w:continuationSeparator/>
      </w:r>
    </w:p>
  </w:footnote>
  <w:footnote w:type="continuationNotice" w:id="1">
    <w:p w14:paraId="07445408" w14:textId="77777777" w:rsidR="0061111C" w:rsidRDefault="0061111C"/>
  </w:footnote>
  <w:footnote w:id="2">
    <w:p w14:paraId="14C922F8" w14:textId="77777777" w:rsidR="00F55FC1" w:rsidRPr="006D54B6" w:rsidRDefault="00F55FC1" w:rsidP="006D54B6">
      <w:pPr>
        <w:pStyle w:val="IANOTAALPIE"/>
      </w:pPr>
      <w:r w:rsidRPr="006D54B6">
        <w:footnoteRef/>
      </w:r>
      <w:r w:rsidRPr="006D54B6">
        <w:t xml:space="preserve"> Conforme a lo dispuesto en el artículo 17.2 del Reglamento de la Comisión, el Comisionado José Luis Caballero Ochoa, de nacionalidad mexicana, no participó en la discusión, investigación, deliberación y aprobación del presente informe.</w:t>
      </w:r>
    </w:p>
  </w:footnote>
  <w:footnote w:id="3">
    <w:p w14:paraId="59E99651" w14:textId="220EEBD0" w:rsidR="00F55FC1" w:rsidRPr="00C26987" w:rsidRDefault="00F55FC1" w:rsidP="006D54B6">
      <w:pPr>
        <w:pStyle w:val="IANOTAALPIE"/>
      </w:pPr>
      <w:r w:rsidRPr="006D54B6">
        <w:footnoteRef/>
      </w:r>
      <w:r w:rsidR="78887EE9" w:rsidRPr="006D54B6">
        <w:t xml:space="preserve"> La CIDH recibió información remitida por el </w:t>
      </w:r>
      <w:r w:rsidR="00BD2BAA" w:rsidRPr="006D54B6">
        <w:t>Centro de Derechos Humanos Agustín Pro Juárez (Centro Prodh); la Fundación para la Justicia y Estado Democrático del Derecho (FJEDD); Marisol Méndez Cruz, Jerónimo del Río y Fabienne Cabaret</w:t>
      </w:r>
      <w:r w:rsidR="00FF7223" w:rsidRPr="006D54B6">
        <w:t>; Servicios y Asesoría para la Paz (SERAPAZ);</w:t>
      </w:r>
      <w:r w:rsidR="00436942" w:rsidRPr="006D54B6">
        <w:t xml:space="preserve"> I</w:t>
      </w:r>
      <w:r w:rsidR="00B065E1" w:rsidRPr="006D54B6">
        <w:t>dh</w:t>
      </w:r>
      <w:r w:rsidR="00436942" w:rsidRPr="006D54B6">
        <w:t>eas Litigio Estratégico en Derechos Humanos</w:t>
      </w:r>
      <w:r w:rsidR="00097FEB" w:rsidRPr="006D54B6">
        <w:t>;</w:t>
      </w:r>
      <w:r w:rsidR="00436942" w:rsidRPr="006D54B6">
        <w:t xml:space="preserve"> y Organización Ku’kay</w:t>
      </w:r>
      <w:r w:rsidR="006D5195">
        <w:t>.</w:t>
      </w:r>
    </w:p>
  </w:footnote>
  <w:footnote w:id="4">
    <w:p w14:paraId="6B57E6A9" w14:textId="744AB7CC" w:rsidR="002374CC" w:rsidRPr="00616692" w:rsidRDefault="002374CC" w:rsidP="006D54B6">
      <w:pPr>
        <w:pStyle w:val="IANOTAALPIE"/>
        <w:rPr>
          <w:lang w:val="es-ES"/>
        </w:rPr>
      </w:pPr>
      <w:r w:rsidRPr="00616692">
        <w:rPr>
          <w:rStyle w:val="FootnoteReference"/>
        </w:rPr>
        <w:footnoteRef/>
      </w:r>
      <w:r w:rsidRPr="00616692">
        <w:rPr>
          <w:lang w:val="es-ES"/>
        </w:rPr>
        <w:t xml:space="preserve"> </w:t>
      </w:r>
      <w:r w:rsidRPr="00616692">
        <w:t>Estado de México</w:t>
      </w:r>
      <w:r w:rsidR="00CC5B9B">
        <w:t>,</w:t>
      </w:r>
      <w:r w:rsidRPr="00616692">
        <w:t xml:space="preserve"> </w:t>
      </w:r>
      <w:hyperlink r:id="rId1" w:history="1">
        <w:r w:rsidRPr="00E94854">
          <w:rPr>
            <w:rStyle w:val="Hyperlink"/>
            <w:rFonts w:eastAsiaTheme="minorHAnsi" w:cstheme="minorBidi"/>
            <w:color w:val="0563C1" w:themeColor="hyperlink"/>
            <w:lang w:val="es-US" w:eastAsia="en-US"/>
          </w:rPr>
          <w:t>Observaciones y comentarios del Estado mexicano al proyecto Capítulo V 2024 sobre el seguimiento a las recomendaciones formuladas por la Comisión Interamericana de Derechos Humanos en el informe “Situación de los derechos humanos en México”</w:t>
        </w:r>
      </w:hyperlink>
      <w:r w:rsidRPr="00616692">
        <w:t>, 16 de febrero de 2025; Estado de México</w:t>
      </w:r>
      <w:r w:rsidR="003659DA">
        <w:t>,</w:t>
      </w:r>
      <w:r w:rsidRPr="00616692">
        <w:t xml:space="preserve"> </w:t>
      </w:r>
      <w:hyperlink r:id="rId2" w:history="1">
        <w:r w:rsidRPr="00E94854">
          <w:rPr>
            <w:rStyle w:val="Hyperlink"/>
            <w:rFonts w:eastAsiaTheme="minorHAnsi" w:cstheme="minorBidi"/>
            <w:color w:val="0563C1" w:themeColor="hyperlink"/>
            <w:lang w:val="es-US" w:eastAsia="en-US"/>
          </w:rPr>
          <w:t>Observaciones y comentarios del Estado mexicano al proyecto Capítulo V 2024 sobre el seguimiento a las recomendaciones formuladas por la Comisión Interamericana de Derechos Humanos en el informe “Situación de los derechos humanos en México”</w:t>
        </w:r>
      </w:hyperlink>
      <w:r w:rsidRPr="00E94854">
        <w:rPr>
          <w:rStyle w:val="Hyperlink"/>
          <w:rFonts w:eastAsiaTheme="minorHAnsi" w:cstheme="minorBidi"/>
          <w:color w:val="0563C1" w:themeColor="hyperlink"/>
          <w:lang w:val="es-US" w:eastAsia="en-US"/>
        </w:rPr>
        <w:t>,</w:t>
      </w:r>
      <w:r w:rsidRPr="00616692">
        <w:t xml:space="preserve"> 28 de febrero de 2025.</w:t>
      </w:r>
    </w:p>
  </w:footnote>
  <w:footnote w:id="5">
    <w:p w14:paraId="20CD0666" w14:textId="77777777" w:rsidR="00F55FC1" w:rsidRPr="00616692" w:rsidRDefault="00F55FC1" w:rsidP="006D54B6">
      <w:pPr>
        <w:pStyle w:val="IANOTAALPIE"/>
      </w:pPr>
      <w:r w:rsidRPr="00616692">
        <w:rPr>
          <w:vertAlign w:val="superscript"/>
        </w:rPr>
        <w:footnoteRef/>
      </w:r>
      <w:r w:rsidRPr="00616692">
        <w:t xml:space="preserve"> CIDH, </w:t>
      </w:r>
      <w:hyperlink r:id="rId3">
        <w:r w:rsidRPr="004635A8">
          <w:rPr>
            <w:rStyle w:val="Hyperlink"/>
            <w:rFonts w:eastAsiaTheme="minorHAnsi" w:cstheme="minorBidi"/>
            <w:color w:val="0563C1" w:themeColor="hyperlink"/>
            <w:lang w:val="es-US" w:eastAsia="en-US"/>
          </w:rPr>
          <w:t>Directrices Generales de seguimiento de recomendaciones y decisiones de la Comisión Interamericana de Derechos Humanos</w:t>
        </w:r>
      </w:hyperlink>
      <w:r w:rsidRPr="00616692">
        <w:t>, OEA/Ser.L/V/II.173 Doc. 177, 30 de septiembre de 2019.</w:t>
      </w:r>
    </w:p>
  </w:footnote>
  <w:footnote w:id="6">
    <w:p w14:paraId="747B37B7" w14:textId="1C09B1F7" w:rsidR="00F55FC1" w:rsidRPr="00C26987" w:rsidRDefault="00F55FC1" w:rsidP="006D54B6">
      <w:pPr>
        <w:pStyle w:val="IANOTAALPIE"/>
        <w:rPr>
          <w:lang w:val="es-ES"/>
        </w:rPr>
      </w:pPr>
      <w:r w:rsidRPr="00616692">
        <w:rPr>
          <w:rStyle w:val="FootnoteReference"/>
        </w:rPr>
        <w:footnoteRef/>
      </w:r>
      <w:r w:rsidRPr="00616692">
        <w:rPr>
          <w:lang w:val="es-ES"/>
        </w:rPr>
        <w:t xml:space="preserve"> Para ello, la CIDH se ha valido de la información recabada durante audiencias públicas, investigaciones realizadas de oficio, insumos provenientes de los mecanismos de peticiones y casos</w:t>
      </w:r>
      <w:r w:rsidRPr="00C26987">
        <w:rPr>
          <w:lang w:val="es-ES"/>
        </w:rPr>
        <w:t xml:space="preserve"> y de medidas cautelares y las respuestas a las solicitudes de información </w:t>
      </w:r>
      <w:r w:rsidRPr="00C26987">
        <w:rPr>
          <w:rStyle w:val="FootnoteReference"/>
          <w:vertAlign w:val="baseline"/>
          <w:lang w:val="es-ES"/>
        </w:rPr>
        <w:t>remitidas</w:t>
      </w:r>
      <w:r w:rsidRPr="00C26987">
        <w:rPr>
          <w:lang w:val="es-ES"/>
        </w:rPr>
        <w:t xml:space="preserve"> bajo la facultad establecida en el artículo 41 de la Convención Americana sobre Derechos Humanos; así como de la información </w:t>
      </w:r>
      <w:r w:rsidR="00D97B24">
        <w:rPr>
          <w:lang w:val="es-ES"/>
        </w:rPr>
        <w:t>recibida</w:t>
      </w:r>
      <w:r w:rsidRPr="00C26987">
        <w:rPr>
          <w:lang w:val="es-ES"/>
        </w:rPr>
        <w:t xml:space="preserve"> a partir de otras fuentes públicas, y las decisiones y recomendaciones de organismos internacionales especializados, entre otros.</w:t>
      </w:r>
    </w:p>
  </w:footnote>
  <w:footnote w:id="7">
    <w:p w14:paraId="36B1A94A" w14:textId="2DC820A9" w:rsidR="0010173F" w:rsidRPr="00C26987" w:rsidRDefault="0010173F" w:rsidP="006D54B6">
      <w:pPr>
        <w:pStyle w:val="IANOTAALPIE"/>
        <w:rPr>
          <w:lang w:val="es-US"/>
        </w:rPr>
      </w:pPr>
      <w:r w:rsidRPr="00C26987">
        <w:rPr>
          <w:rStyle w:val="FootnoteReference"/>
        </w:rPr>
        <w:footnoteRef/>
      </w:r>
      <w:r w:rsidRPr="00725972">
        <w:rPr>
          <w:lang w:val="pt-BR"/>
        </w:rPr>
        <w:t xml:space="preserve"> CIDH, </w:t>
      </w:r>
      <w:hyperlink r:id="rId4">
        <w:r w:rsidRPr="004635A8">
          <w:rPr>
            <w:rStyle w:val="Hyperlink"/>
            <w:rFonts w:eastAsiaTheme="minorHAnsi" w:cstheme="minorBidi"/>
            <w:color w:val="0563C1" w:themeColor="hyperlink"/>
            <w:lang w:val="pt-BR" w:eastAsia="en-US"/>
          </w:rPr>
          <w:t>Informe Anual, Capítulo V</w:t>
        </w:r>
      </w:hyperlink>
      <w:r w:rsidRPr="00725972">
        <w:rPr>
          <w:lang w:val="pt-BR"/>
        </w:rPr>
        <w:t>, México, 2023, párr</w:t>
      </w:r>
      <w:r w:rsidR="006B0286" w:rsidRPr="00725972">
        <w:rPr>
          <w:lang w:val="pt-BR"/>
        </w:rPr>
        <w:t>s</w:t>
      </w:r>
      <w:r w:rsidRPr="00725972">
        <w:rPr>
          <w:lang w:val="pt-BR"/>
        </w:rPr>
        <w:t xml:space="preserve">. </w:t>
      </w:r>
      <w:r w:rsidRPr="00C26987">
        <w:rPr>
          <w:lang w:val="es-US"/>
        </w:rPr>
        <w:t>8-12.</w:t>
      </w:r>
    </w:p>
  </w:footnote>
  <w:footnote w:id="8">
    <w:p w14:paraId="5BCAAF57" w14:textId="68D4327B" w:rsidR="00E20A7E" w:rsidRPr="00C26987" w:rsidRDefault="00E20A7E" w:rsidP="006D54B6">
      <w:pPr>
        <w:pStyle w:val="IANOTAALPIE"/>
        <w:rPr>
          <w:lang w:val="es-ES"/>
        </w:rPr>
      </w:pPr>
      <w:r w:rsidRPr="00C26987">
        <w:rPr>
          <w:rStyle w:val="FootnoteReference"/>
        </w:rPr>
        <w:footnoteRef/>
      </w:r>
      <w:r w:rsidRPr="00C26987">
        <w:rPr>
          <w:lang w:val="es-ES"/>
        </w:rPr>
        <w:t xml:space="preserve"> </w:t>
      </w:r>
      <w:r w:rsidR="00852144">
        <w:rPr>
          <w:lang w:val="es-ES"/>
        </w:rPr>
        <w:t xml:space="preserve">SIMORE Interamericano, </w:t>
      </w:r>
      <w:hyperlink r:id="rId5" w:history="1">
        <w:r w:rsidR="00852144" w:rsidRPr="001034AA">
          <w:rPr>
            <w:rStyle w:val="Hyperlink"/>
            <w:rFonts w:eastAsiaTheme="minorHAnsi" w:cstheme="minorBidi"/>
            <w:color w:val="0563C1" w:themeColor="hyperlink"/>
            <w:lang w:val="es-ES" w:eastAsia="en-US"/>
          </w:rPr>
          <w:t>Informe de avance del Estado mexicano sobre el cumplimiento y seguimiento de las recomendaciones de la CIDH, Recomendación 1</w:t>
        </w:r>
      </w:hyperlink>
      <w:r w:rsidR="00852144">
        <w:rPr>
          <w:lang w:val="es-ES"/>
        </w:rPr>
        <w:t xml:space="preserve">, </w:t>
      </w:r>
      <w:r w:rsidR="003149F9" w:rsidRPr="00C26987">
        <w:rPr>
          <w:lang w:val="es-ES"/>
        </w:rPr>
        <w:t>Capítulo V, 30</w:t>
      </w:r>
      <w:r w:rsidR="003149F9">
        <w:rPr>
          <w:lang w:val="es-ES"/>
        </w:rPr>
        <w:t xml:space="preserve"> de</w:t>
      </w:r>
      <w:r w:rsidR="003149F9" w:rsidRPr="00C26987">
        <w:rPr>
          <w:lang w:val="es-ES"/>
        </w:rPr>
        <w:t xml:space="preserve"> septiembre y 1 de octubre de 2024</w:t>
      </w:r>
      <w:r w:rsidR="00852144">
        <w:rPr>
          <w:lang w:val="es-ES"/>
        </w:rPr>
        <w:t>.</w:t>
      </w:r>
    </w:p>
  </w:footnote>
  <w:footnote w:id="9">
    <w:p w14:paraId="1E4E46DA" w14:textId="77777777" w:rsidR="000E3E4C" w:rsidRPr="00462C1A" w:rsidRDefault="000E3E4C" w:rsidP="005E340B">
      <w:pPr>
        <w:pStyle w:val="IANOTAALPIE"/>
      </w:pPr>
      <w:r>
        <w:rPr>
          <w:rStyle w:val="FootnoteReference"/>
        </w:rPr>
        <w:footnoteRef/>
      </w:r>
      <w:r w:rsidRPr="002C2BCF">
        <w:rPr>
          <w:lang w:val="es-ES"/>
        </w:rPr>
        <w:t xml:space="preserve"> </w:t>
      </w:r>
      <w:r w:rsidRPr="00462C1A">
        <w:t xml:space="preserve">Proceso, </w:t>
      </w:r>
      <w:hyperlink r:id="rId6" w:history="1">
        <w:r w:rsidRPr="001034AA">
          <w:rPr>
            <w:rStyle w:val="Hyperlink"/>
            <w:rFonts w:eastAsiaTheme="minorHAnsi" w:cstheme="minorBidi"/>
            <w:color w:val="0563C1" w:themeColor="hyperlink"/>
            <w:lang w:val="es-ES" w:eastAsia="en-US"/>
          </w:rPr>
          <w:t>ONU expresó su profunda preocupación por la militarización de la seguridad pública en México,</w:t>
        </w:r>
      </w:hyperlink>
      <w:r w:rsidRPr="00462C1A">
        <w:t xml:space="preserve"> 17 de septiembre de 2024.</w:t>
      </w:r>
    </w:p>
  </w:footnote>
  <w:footnote w:id="10">
    <w:p w14:paraId="3C00D178" w14:textId="77777777" w:rsidR="000E3E4C" w:rsidRPr="00462C1A" w:rsidRDefault="000E3E4C" w:rsidP="005E340B">
      <w:pPr>
        <w:pStyle w:val="IANOTAALPIE"/>
        <w:rPr>
          <w:b/>
          <w:bCs/>
        </w:rPr>
      </w:pPr>
      <w:r w:rsidRPr="00C26987">
        <w:rPr>
          <w:rStyle w:val="FootnoteReference"/>
        </w:rPr>
        <w:footnoteRef/>
      </w:r>
      <w:r w:rsidRPr="00C26987">
        <w:rPr>
          <w:lang w:val="es-ES"/>
        </w:rPr>
        <w:t xml:space="preserve"> OACNUDH, </w:t>
      </w:r>
      <w:hyperlink r:id="rId7" w:history="1">
        <w:r w:rsidRPr="001034AA">
          <w:rPr>
            <w:rStyle w:val="Hyperlink"/>
            <w:rFonts w:eastAsiaTheme="minorHAnsi" w:cstheme="minorBidi"/>
            <w:color w:val="0563C1" w:themeColor="hyperlink"/>
            <w:lang w:val="es-ES" w:eastAsia="en-US"/>
          </w:rPr>
          <w:t>México: Expertos y expertas de la ONU* expresan preocupación por propuesta de reforma constitucional que implicaría un mayor rol de las Fuerzas Armadas en materia de seguridad pública</w:t>
        </w:r>
      </w:hyperlink>
      <w:r w:rsidRPr="00462C1A">
        <w:t>, 24 de septiembre de 2024.</w:t>
      </w:r>
    </w:p>
  </w:footnote>
  <w:footnote w:id="11">
    <w:p w14:paraId="0670ABE2" w14:textId="77777777" w:rsidR="000E3E4C" w:rsidRPr="002C2BCF" w:rsidRDefault="000E3E4C" w:rsidP="005E340B">
      <w:pPr>
        <w:pStyle w:val="IANOTAALPIE"/>
        <w:rPr>
          <w:lang w:val="es-ES"/>
        </w:rPr>
      </w:pPr>
      <w:r w:rsidRPr="002C2BCF">
        <w:rPr>
          <w:rStyle w:val="FootnoteReference"/>
        </w:rPr>
        <w:footnoteRef/>
      </w:r>
      <w:r w:rsidRPr="002C2BCF">
        <w:rPr>
          <w:lang w:val="es-ES"/>
        </w:rPr>
        <w:t xml:space="preserve"> CIDE, </w:t>
      </w:r>
      <w:hyperlink r:id="rId8" w:history="1">
        <w:r w:rsidRPr="001034AA">
          <w:rPr>
            <w:rStyle w:val="Hyperlink"/>
            <w:rFonts w:eastAsiaTheme="minorHAnsi" w:cstheme="minorBidi"/>
            <w:color w:val="0563C1" w:themeColor="hyperlink"/>
            <w:lang w:val="es-ES" w:eastAsia="en-US"/>
          </w:rPr>
          <w:t>Presupuestos y Seguridad Pública: Una evaluación del gasto público,</w:t>
        </w:r>
      </w:hyperlink>
      <w:r w:rsidRPr="002C2BCF">
        <w:rPr>
          <w:lang w:val="es-ES"/>
        </w:rPr>
        <w:t xml:space="preserve"> 2023</w:t>
      </w:r>
      <w:r>
        <w:rPr>
          <w:lang w:val="es-ES"/>
        </w:rPr>
        <w:t>.</w:t>
      </w:r>
    </w:p>
  </w:footnote>
  <w:footnote w:id="12">
    <w:p w14:paraId="2B7EB4ED" w14:textId="77777777" w:rsidR="000E3E4C" w:rsidRPr="002C2BCF" w:rsidRDefault="000E3E4C" w:rsidP="005E340B">
      <w:pPr>
        <w:pStyle w:val="IANOTAALPIE"/>
        <w:rPr>
          <w:lang w:val="es-ES"/>
        </w:rPr>
      </w:pPr>
      <w:r w:rsidRPr="002C2BCF">
        <w:rPr>
          <w:rStyle w:val="FootnoteReference"/>
        </w:rPr>
        <w:footnoteRef/>
      </w:r>
      <w:r w:rsidRPr="002C2BCF">
        <w:rPr>
          <w:lang w:val="es-ES"/>
        </w:rPr>
        <w:t xml:space="preserve"> INEGI, </w:t>
      </w:r>
      <w:hyperlink r:id="rId9" w:history="1">
        <w:r w:rsidRPr="001034AA">
          <w:rPr>
            <w:rStyle w:val="Hyperlink"/>
            <w:rFonts w:eastAsiaTheme="minorHAnsi" w:cstheme="minorBidi"/>
            <w:color w:val="0563C1" w:themeColor="hyperlink"/>
            <w:lang w:val="es-ES" w:eastAsia="en-US"/>
          </w:rPr>
          <w:t>Diagnóstico Nacional de las Policías Municipales,</w:t>
        </w:r>
      </w:hyperlink>
      <w:r w:rsidRPr="002C2BCF">
        <w:rPr>
          <w:lang w:val="es-ES"/>
        </w:rPr>
        <w:t xml:space="preserve"> 7 de agosto de 2024.</w:t>
      </w:r>
    </w:p>
  </w:footnote>
  <w:footnote w:id="13">
    <w:p w14:paraId="36EFA7F0" w14:textId="77777777" w:rsidR="000E3E4C" w:rsidRPr="004F3D34" w:rsidRDefault="000E3E4C" w:rsidP="005E340B">
      <w:pPr>
        <w:pStyle w:val="IANOTAALPIE"/>
        <w:rPr>
          <w:lang w:val="es-ES"/>
        </w:rPr>
      </w:pPr>
      <w:r>
        <w:rPr>
          <w:rStyle w:val="FootnoteReference"/>
        </w:rPr>
        <w:footnoteRef/>
      </w:r>
      <w:r w:rsidRPr="004F3D34">
        <w:rPr>
          <w:lang w:val="es-ES"/>
        </w:rPr>
        <w:t xml:space="preserve"> CIDH, </w:t>
      </w:r>
      <w:hyperlink r:id="rId10">
        <w:r w:rsidRPr="001034AA">
          <w:rPr>
            <w:rStyle w:val="Hyperlink"/>
            <w:rFonts w:eastAsiaTheme="minorHAnsi" w:cstheme="minorBidi"/>
            <w:color w:val="0563C1" w:themeColor="hyperlink"/>
            <w:lang w:val="es-ES" w:eastAsia="en-US"/>
          </w:rPr>
          <w:t>Directrices Generales de seguimiento de recomendaciones y decisiones de la Comisión Interamericana de Derechos Humanos</w:t>
        </w:r>
      </w:hyperlink>
      <w:r w:rsidRPr="004F3D34">
        <w:rPr>
          <w:lang w:val="es-ES"/>
        </w:rPr>
        <w:t>, OEA/Ser.L/V/II.173 Doc. 177, 30 de septiembre de 2019.</w:t>
      </w:r>
    </w:p>
  </w:footnote>
  <w:footnote w:id="14">
    <w:p w14:paraId="2BFEB851" w14:textId="3218ECB8" w:rsidR="00E20A7E" w:rsidRPr="00C26987" w:rsidRDefault="00E20A7E" w:rsidP="00F85779">
      <w:pPr>
        <w:pStyle w:val="IANOTAALPIE"/>
        <w:rPr>
          <w:lang w:val="es-ES"/>
        </w:rPr>
      </w:pPr>
      <w:r w:rsidRPr="00C26987">
        <w:rPr>
          <w:rStyle w:val="FootnoteReference"/>
        </w:rPr>
        <w:footnoteRef/>
      </w:r>
      <w:r w:rsidRPr="00725972">
        <w:rPr>
          <w:lang w:val="pt-BR"/>
        </w:rPr>
        <w:t xml:space="preserve"> CIDH, </w:t>
      </w:r>
      <w:hyperlink r:id="rId11">
        <w:r w:rsidRPr="004635A8">
          <w:rPr>
            <w:rStyle w:val="Hyperlink"/>
            <w:rFonts w:eastAsiaTheme="minorHAnsi" w:cstheme="minorBidi"/>
            <w:color w:val="0563C1" w:themeColor="hyperlink"/>
            <w:lang w:val="pt-BR" w:eastAsia="en-US"/>
          </w:rPr>
          <w:t>Informe Anual, Capítulo V</w:t>
        </w:r>
      </w:hyperlink>
      <w:r w:rsidRPr="00725972">
        <w:rPr>
          <w:lang w:val="pt-BR"/>
        </w:rPr>
        <w:t>, México, 2023, párr</w:t>
      </w:r>
      <w:r w:rsidR="006B0286" w:rsidRPr="00725972">
        <w:rPr>
          <w:lang w:val="pt-BR"/>
        </w:rPr>
        <w:t>s</w:t>
      </w:r>
      <w:r w:rsidRPr="00725972">
        <w:rPr>
          <w:lang w:val="pt-BR"/>
        </w:rPr>
        <w:t xml:space="preserve">. </w:t>
      </w:r>
      <w:r w:rsidRPr="00C26987">
        <w:rPr>
          <w:lang w:val="es-US"/>
        </w:rPr>
        <w:t>19 y 20</w:t>
      </w:r>
      <w:r w:rsidRPr="00C26987">
        <w:rPr>
          <w:lang w:val="es-ES"/>
        </w:rPr>
        <w:t>.</w:t>
      </w:r>
    </w:p>
  </w:footnote>
  <w:footnote w:id="15">
    <w:p w14:paraId="0BD3F4F9" w14:textId="101C45F5" w:rsidR="00E20A7E" w:rsidRPr="00C26987" w:rsidRDefault="00E20A7E" w:rsidP="00F85779">
      <w:pPr>
        <w:pStyle w:val="IANOTAALPIE"/>
        <w:rPr>
          <w:lang w:val="es-ES"/>
        </w:rPr>
      </w:pPr>
      <w:r w:rsidRPr="00C26987">
        <w:rPr>
          <w:rStyle w:val="FootnoteReference"/>
        </w:rPr>
        <w:footnoteRef/>
      </w:r>
      <w:r w:rsidRPr="00C26987">
        <w:rPr>
          <w:lang w:val="es-ES"/>
        </w:rPr>
        <w:t xml:space="preserve"> </w:t>
      </w:r>
      <w:r w:rsidR="00852144">
        <w:rPr>
          <w:lang w:val="es-ES"/>
        </w:rPr>
        <w:t xml:space="preserve">SIMORE Interamericano, </w:t>
      </w:r>
      <w:hyperlink r:id="rId12" w:history="1">
        <w:r w:rsidR="00852144" w:rsidRPr="001034AA">
          <w:rPr>
            <w:rStyle w:val="Hyperlink"/>
            <w:rFonts w:eastAsiaTheme="minorHAnsi" w:cstheme="minorBidi"/>
            <w:color w:val="0563C1" w:themeColor="hyperlink"/>
            <w:lang w:val="es-ES" w:eastAsia="en-US"/>
          </w:rPr>
          <w:t>Informe de avance del Estado mexicano sobre el cumplimiento y seguimiento de las recomendaciones de la CIDH, Recomendación 2</w:t>
        </w:r>
      </w:hyperlink>
      <w:r w:rsidR="00852144">
        <w:rPr>
          <w:lang w:val="es-ES"/>
        </w:rPr>
        <w:t xml:space="preserve">, </w:t>
      </w:r>
      <w:r w:rsidR="00852144" w:rsidRPr="00C26987">
        <w:rPr>
          <w:lang w:val="es-ES"/>
        </w:rPr>
        <w:t>Capítulo V, 30</w:t>
      </w:r>
      <w:r w:rsidR="00852144">
        <w:rPr>
          <w:lang w:val="es-ES"/>
        </w:rPr>
        <w:t xml:space="preserve"> de</w:t>
      </w:r>
      <w:r w:rsidR="00852144" w:rsidRPr="00C26987">
        <w:rPr>
          <w:lang w:val="es-ES"/>
        </w:rPr>
        <w:t xml:space="preserve"> septiembre y 1 de octubre de 2024</w:t>
      </w:r>
      <w:r w:rsidR="00852144">
        <w:rPr>
          <w:lang w:val="es-ES"/>
        </w:rPr>
        <w:t>.</w:t>
      </w:r>
      <w:r w:rsidR="00852144" w:rsidRPr="00C26987">
        <w:rPr>
          <w:lang w:val="es-ES"/>
        </w:rPr>
        <w:t xml:space="preserve"> </w:t>
      </w:r>
    </w:p>
  </w:footnote>
  <w:footnote w:id="16">
    <w:p w14:paraId="19A8A612" w14:textId="7A324D8F" w:rsidR="00E20A7E" w:rsidRPr="00C26987" w:rsidRDefault="00E20A7E" w:rsidP="00F85779">
      <w:pPr>
        <w:pStyle w:val="IANOTAALPIE"/>
        <w:rPr>
          <w:lang w:val="es-ES"/>
        </w:rPr>
      </w:pPr>
      <w:r w:rsidRPr="00C26987">
        <w:rPr>
          <w:rStyle w:val="FootnoteReference"/>
        </w:rPr>
        <w:footnoteRef/>
      </w:r>
      <w:r w:rsidRPr="00C26987">
        <w:rPr>
          <w:lang w:val="es-ES"/>
        </w:rPr>
        <w:t xml:space="preserve"> </w:t>
      </w:r>
      <w:r w:rsidR="00852144">
        <w:rPr>
          <w:lang w:val="es-ES"/>
        </w:rPr>
        <w:t xml:space="preserve">SIMORE Interamericano, </w:t>
      </w:r>
      <w:hyperlink r:id="rId13" w:history="1">
        <w:r w:rsidR="00852144" w:rsidRPr="001034AA">
          <w:rPr>
            <w:rStyle w:val="Hyperlink"/>
            <w:rFonts w:eastAsiaTheme="minorHAnsi" w:cstheme="minorBidi"/>
            <w:color w:val="0563C1" w:themeColor="hyperlink"/>
            <w:lang w:val="es-ES" w:eastAsia="en-US"/>
          </w:rPr>
          <w:t>Informe de avance del Estado mexicano sobre el cumplimiento y seguimiento de las recomendaciones de la CIDH, Recomendación 2</w:t>
        </w:r>
      </w:hyperlink>
      <w:r w:rsidR="00852144">
        <w:rPr>
          <w:lang w:val="es-ES"/>
        </w:rPr>
        <w:t xml:space="preserve">, </w:t>
      </w:r>
      <w:r w:rsidR="00852144" w:rsidRPr="00C26987">
        <w:rPr>
          <w:lang w:val="es-ES"/>
        </w:rPr>
        <w:t>Capítulo V, 30</w:t>
      </w:r>
      <w:r w:rsidR="00852144">
        <w:rPr>
          <w:lang w:val="es-ES"/>
        </w:rPr>
        <w:t xml:space="preserve"> de</w:t>
      </w:r>
      <w:r w:rsidR="00852144" w:rsidRPr="00C26987">
        <w:rPr>
          <w:lang w:val="es-ES"/>
        </w:rPr>
        <w:t xml:space="preserve"> septiembre y 1 de octubre de 2024</w:t>
      </w:r>
      <w:r w:rsidR="00852144">
        <w:rPr>
          <w:lang w:val="es-ES"/>
        </w:rPr>
        <w:t>.</w:t>
      </w:r>
    </w:p>
  </w:footnote>
  <w:footnote w:id="17">
    <w:p w14:paraId="7BDDF0F2" w14:textId="024578AE" w:rsidR="00F55FC1" w:rsidRPr="00616692" w:rsidRDefault="00F55FC1" w:rsidP="00F6345F">
      <w:pPr>
        <w:pStyle w:val="IANOTAALPIE"/>
      </w:pPr>
      <w:r w:rsidRPr="00616692">
        <w:rPr>
          <w:rStyle w:val="FootnoteReference"/>
        </w:rPr>
        <w:footnoteRef/>
      </w:r>
      <w:r w:rsidR="78887EE9" w:rsidRPr="00725972">
        <w:rPr>
          <w:lang w:val="pt-BR"/>
        </w:rPr>
        <w:t xml:space="preserve"> CIDH, </w:t>
      </w:r>
      <w:hyperlink r:id="rId14">
        <w:r w:rsidR="78887EE9" w:rsidRPr="004635A8">
          <w:rPr>
            <w:rStyle w:val="Hyperlink"/>
            <w:rFonts w:eastAsiaTheme="minorHAnsi" w:cstheme="minorBidi"/>
            <w:color w:val="0563C1" w:themeColor="hyperlink"/>
            <w:lang w:val="pt-BR" w:eastAsia="en-US"/>
          </w:rPr>
          <w:t>Informe Anual, Capítulo V</w:t>
        </w:r>
      </w:hyperlink>
      <w:r w:rsidR="78887EE9" w:rsidRPr="00725972">
        <w:rPr>
          <w:lang w:val="pt-BR"/>
        </w:rPr>
        <w:t>, México, 2022, párr</w:t>
      </w:r>
      <w:r w:rsidR="006B0286" w:rsidRPr="00725972">
        <w:rPr>
          <w:lang w:val="pt-BR"/>
        </w:rPr>
        <w:t>s</w:t>
      </w:r>
      <w:r w:rsidR="78887EE9" w:rsidRPr="00725972">
        <w:rPr>
          <w:lang w:val="pt-BR"/>
        </w:rPr>
        <w:t xml:space="preserve">. </w:t>
      </w:r>
      <w:r w:rsidR="78887EE9" w:rsidRPr="00616692">
        <w:t>22-24.</w:t>
      </w:r>
    </w:p>
  </w:footnote>
  <w:footnote w:id="18">
    <w:p w14:paraId="378A79E3" w14:textId="50CA8804" w:rsidR="00175DE9" w:rsidRPr="00616692" w:rsidRDefault="00175DE9" w:rsidP="00F6345F">
      <w:pPr>
        <w:pStyle w:val="IANOTAALPIE"/>
        <w:rPr>
          <w:lang w:val="es-ES"/>
        </w:rPr>
      </w:pPr>
      <w:r w:rsidRPr="00616692">
        <w:rPr>
          <w:rStyle w:val="FootnoteReference"/>
        </w:rPr>
        <w:footnoteRef/>
      </w:r>
      <w:r w:rsidRPr="00616692">
        <w:rPr>
          <w:lang w:val="es-ES"/>
        </w:rPr>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16 de febrero de 2025.</w:t>
      </w:r>
    </w:p>
  </w:footnote>
  <w:footnote w:id="19">
    <w:p w14:paraId="77F1D748" w14:textId="78A3A177" w:rsidR="000A1DFE" w:rsidRPr="00C26987" w:rsidRDefault="000A1DFE" w:rsidP="00F6345F">
      <w:pPr>
        <w:pStyle w:val="IANOTAALPIE"/>
        <w:rPr>
          <w:lang w:val="es-ES"/>
        </w:rPr>
      </w:pPr>
      <w:r w:rsidRPr="00616692">
        <w:rPr>
          <w:rStyle w:val="FootnoteReference"/>
        </w:rPr>
        <w:footnoteRef/>
      </w:r>
      <w:r w:rsidRPr="00616692">
        <w:rPr>
          <w:lang w:val="es-ES"/>
        </w:rPr>
        <w:t xml:space="preserve"> </w:t>
      </w:r>
      <w:r w:rsidR="00852144">
        <w:rPr>
          <w:lang w:val="es-ES"/>
        </w:rPr>
        <w:t xml:space="preserve">SIMORE Interamericano, </w:t>
      </w:r>
      <w:hyperlink r:id="rId15" w:history="1">
        <w:r w:rsidR="00852144" w:rsidRPr="001034AA">
          <w:rPr>
            <w:rStyle w:val="Hyperlink"/>
            <w:rFonts w:eastAsiaTheme="minorHAnsi" w:cstheme="minorBidi"/>
            <w:color w:val="0563C1" w:themeColor="hyperlink"/>
            <w:lang w:val="es-ES" w:eastAsia="en-US"/>
          </w:rPr>
          <w:t>Informe de avance del Estado mexicano sobre el cumplimiento y seguimiento de las recomendaciones de la CIDH, Recomendación 4</w:t>
        </w:r>
      </w:hyperlink>
      <w:r w:rsidR="00852144">
        <w:rPr>
          <w:lang w:val="es-ES"/>
        </w:rPr>
        <w:t xml:space="preserve">, </w:t>
      </w:r>
      <w:r w:rsidR="00852144" w:rsidRPr="00C26987">
        <w:rPr>
          <w:lang w:val="es-ES"/>
        </w:rPr>
        <w:t>Capítulo V, 30</w:t>
      </w:r>
      <w:r w:rsidR="00852144">
        <w:rPr>
          <w:lang w:val="es-ES"/>
        </w:rPr>
        <w:t xml:space="preserve"> de</w:t>
      </w:r>
      <w:r w:rsidR="00852144" w:rsidRPr="00C26987">
        <w:rPr>
          <w:lang w:val="es-ES"/>
        </w:rPr>
        <w:t xml:space="preserve"> septiembre y 1 de octubre de 2024</w:t>
      </w:r>
    </w:p>
  </w:footnote>
  <w:footnote w:id="20">
    <w:p w14:paraId="7E51F959" w14:textId="5C47DAA6" w:rsidR="00F938DE" w:rsidRPr="00C26987" w:rsidRDefault="00F938DE" w:rsidP="00F6345F">
      <w:pPr>
        <w:pStyle w:val="IANOTAALPIE"/>
        <w:rPr>
          <w:lang w:val="es-ES"/>
        </w:rPr>
      </w:pPr>
      <w:r w:rsidRPr="00C26987">
        <w:rPr>
          <w:rStyle w:val="FootnoteReference"/>
        </w:rPr>
        <w:footnoteRef/>
      </w:r>
      <w:r w:rsidRPr="00C26987">
        <w:rPr>
          <w:lang w:val="es-ES"/>
        </w:rPr>
        <w:t xml:space="preserve"> Gobierno de México</w:t>
      </w:r>
      <w:r w:rsidR="00462C1A">
        <w:rPr>
          <w:lang w:val="es-ES"/>
        </w:rPr>
        <w:t>,</w:t>
      </w:r>
      <w:r w:rsidRPr="00C26987">
        <w:rPr>
          <w:lang w:val="es-ES"/>
        </w:rPr>
        <w:t xml:space="preserve"> </w:t>
      </w:r>
      <w:hyperlink r:id="rId16" w:history="1">
        <w:r w:rsidR="006B0286" w:rsidRPr="001034AA">
          <w:rPr>
            <w:rStyle w:val="Hyperlink"/>
            <w:rFonts w:eastAsiaTheme="minorHAnsi" w:cstheme="minorBidi"/>
            <w:color w:val="0563C1" w:themeColor="hyperlink"/>
            <w:lang w:val="es-ES" w:eastAsia="en-US"/>
          </w:rPr>
          <w:t>SEDENA informa sobre hechos ocurridos en Chiapas,</w:t>
        </w:r>
      </w:hyperlink>
      <w:r w:rsidRPr="00C26987">
        <w:rPr>
          <w:lang w:val="es-ES"/>
        </w:rPr>
        <w:t xml:space="preserve"> 2 de octubre de 2024. </w:t>
      </w:r>
    </w:p>
  </w:footnote>
  <w:footnote w:id="21">
    <w:p w14:paraId="16C5033D" w14:textId="6BFCB0C2" w:rsidR="00F938DE" w:rsidRPr="00C26987" w:rsidRDefault="00F938DE" w:rsidP="00F6345F">
      <w:pPr>
        <w:pStyle w:val="IANOTAALPIE"/>
        <w:rPr>
          <w:lang w:val="es-ES"/>
        </w:rPr>
      </w:pPr>
      <w:r w:rsidRPr="00C26987">
        <w:rPr>
          <w:rStyle w:val="FootnoteReference"/>
        </w:rPr>
        <w:footnoteRef/>
      </w:r>
      <w:r w:rsidRPr="00C26987">
        <w:rPr>
          <w:lang w:val="es-ES"/>
        </w:rPr>
        <w:t xml:space="preserve"> Centro Prodh, Seguimiento sobre el cumplimiento de las recomendaciones del Informe “Situación de Derechos Humanos en México”, octubre de 2024.</w:t>
      </w:r>
    </w:p>
  </w:footnote>
  <w:footnote w:id="22">
    <w:p w14:paraId="3330B1CE" w14:textId="17FD4926" w:rsidR="00DD372E" w:rsidRPr="00446F81" w:rsidRDefault="00DD372E" w:rsidP="00F6345F">
      <w:pPr>
        <w:pStyle w:val="IANOTAALPIE"/>
        <w:rPr>
          <w:lang w:val="es-ES"/>
        </w:rPr>
      </w:pPr>
      <w:r>
        <w:rPr>
          <w:rStyle w:val="FootnoteReference"/>
        </w:rPr>
        <w:footnoteRef/>
      </w:r>
      <w:r w:rsidR="000E1F43" w:rsidRPr="00446F81">
        <w:rPr>
          <w:lang w:val="es-ES"/>
        </w:rPr>
        <w:t xml:space="preserve"> El País, </w:t>
      </w:r>
      <w:hyperlink r:id="rId17" w:history="1">
        <w:r w:rsidR="00B80A67" w:rsidRPr="001034AA">
          <w:rPr>
            <w:rStyle w:val="Hyperlink"/>
            <w:rFonts w:eastAsiaTheme="minorHAnsi" w:cstheme="minorBidi"/>
            <w:color w:val="0563C1" w:themeColor="hyperlink"/>
            <w:lang w:val="es-ES" w:eastAsia="en-US"/>
          </w:rPr>
          <w:t>El Ejército Mexicano mata a seis migrantes</w:t>
        </w:r>
      </w:hyperlink>
      <w:r w:rsidR="00B80A67">
        <w:rPr>
          <w:lang w:val="es-ES"/>
        </w:rPr>
        <w:t xml:space="preserve">, </w:t>
      </w:r>
      <w:r w:rsidR="00EA728B" w:rsidRPr="00446F81">
        <w:rPr>
          <w:lang w:val="es-ES"/>
        </w:rPr>
        <w:t>2 de octubre de 2024</w:t>
      </w:r>
      <w:r w:rsidR="00B80A67">
        <w:rPr>
          <w:lang w:val="es-ES"/>
        </w:rPr>
        <w:t>.</w:t>
      </w:r>
    </w:p>
  </w:footnote>
  <w:footnote w:id="23">
    <w:p w14:paraId="6470C99E" w14:textId="5B6444DC" w:rsidR="00F938DE" w:rsidRPr="00C26987" w:rsidRDefault="00F938DE" w:rsidP="00EA132B">
      <w:pPr>
        <w:pStyle w:val="IANOTAALPIE"/>
      </w:pPr>
      <w:r w:rsidRPr="00C26987">
        <w:rPr>
          <w:rStyle w:val="FootnoteReference"/>
        </w:rPr>
        <w:footnoteRef/>
      </w:r>
      <w:r w:rsidRPr="00C26987">
        <w:t xml:space="preserve"> CNDH</w:t>
      </w:r>
      <w:r w:rsidR="004432FE">
        <w:t>,</w:t>
      </w:r>
      <w:r w:rsidRPr="00C26987">
        <w:t xml:space="preserve"> </w:t>
      </w:r>
      <w:hyperlink r:id="rId18" w:history="1">
        <w:r w:rsidRPr="001034AA">
          <w:rPr>
            <w:rStyle w:val="Hyperlink"/>
            <w:rFonts w:eastAsiaTheme="minorHAnsi" w:cstheme="minorBidi"/>
            <w:color w:val="0563C1" w:themeColor="hyperlink"/>
            <w:lang w:val="es-ES" w:eastAsia="en-US"/>
          </w:rPr>
          <w:t>Posicionamiento de la CNDH ante acusaciones hechas por el señor Raymundo Ramos, en torno a la resolución del caso de la niña Heidi M.</w:t>
        </w:r>
      </w:hyperlink>
      <w:r w:rsidRPr="00C26987">
        <w:t xml:space="preserve"> Pronunciamiento DGDDH/029/2024</w:t>
      </w:r>
      <w:r w:rsidR="004432FE">
        <w:t>,</w:t>
      </w:r>
      <w:r w:rsidRPr="00C26987">
        <w:t xml:space="preserve"> 2 de septiembre de 2024</w:t>
      </w:r>
      <w:r w:rsidR="004F7182">
        <w:t>.</w:t>
      </w:r>
    </w:p>
  </w:footnote>
  <w:footnote w:id="24">
    <w:p w14:paraId="6CC95F40" w14:textId="44916174" w:rsidR="00126316" w:rsidRPr="00126316" w:rsidRDefault="000A1DFE" w:rsidP="00EA132B">
      <w:pPr>
        <w:pStyle w:val="IANOTAALPIE"/>
      </w:pPr>
      <w:r w:rsidRPr="00C26987">
        <w:rPr>
          <w:rStyle w:val="FootnoteReference"/>
        </w:rPr>
        <w:footnoteRef/>
      </w:r>
      <w:r w:rsidRPr="00C26987">
        <w:t xml:space="preserve"> Centro Prodh</w:t>
      </w:r>
      <w:r w:rsidR="004432FE">
        <w:t>,</w:t>
      </w:r>
      <w:r w:rsidRPr="00C26987">
        <w:t xml:space="preserve"> Seguimiento sobre el cumplimiento de las recomendaciones del Informe “Situación de Derechos Humanos en México”, octubre de 2024.</w:t>
      </w:r>
    </w:p>
  </w:footnote>
  <w:footnote w:id="25">
    <w:p w14:paraId="1D09776D" w14:textId="410C9D17" w:rsidR="00F55FC1" w:rsidRPr="00C26987" w:rsidRDefault="00F55FC1" w:rsidP="00EA132B">
      <w:pPr>
        <w:pStyle w:val="IANOTAALPIE"/>
      </w:pPr>
      <w:r w:rsidRPr="00C26987">
        <w:rPr>
          <w:rStyle w:val="FootnoteReference"/>
        </w:rPr>
        <w:footnoteRef/>
      </w:r>
      <w:r w:rsidR="78887EE9" w:rsidRPr="00C26987">
        <w:rPr>
          <w:lang w:val="pt-BR"/>
        </w:rPr>
        <w:t xml:space="preserve"> CIDH, </w:t>
      </w:r>
      <w:hyperlink r:id="rId19">
        <w:r w:rsidR="78887EE9" w:rsidRPr="004635A8">
          <w:rPr>
            <w:rStyle w:val="Hyperlink"/>
            <w:rFonts w:eastAsiaTheme="minorHAnsi" w:cstheme="minorBidi"/>
            <w:color w:val="0563C1" w:themeColor="hyperlink"/>
            <w:lang w:val="pt-BR" w:eastAsia="en-US"/>
          </w:rPr>
          <w:t>Informe Anual, Capítulo V</w:t>
        </w:r>
      </w:hyperlink>
      <w:r w:rsidR="78887EE9" w:rsidRPr="00C26987">
        <w:rPr>
          <w:lang w:val="pt-BR"/>
        </w:rPr>
        <w:t>, México, 2023, párr</w:t>
      </w:r>
      <w:r w:rsidR="006B0286">
        <w:rPr>
          <w:lang w:val="pt-BR"/>
        </w:rPr>
        <w:t>s</w:t>
      </w:r>
      <w:r w:rsidR="78887EE9" w:rsidRPr="00C26987">
        <w:rPr>
          <w:lang w:val="pt-BR"/>
        </w:rPr>
        <w:t xml:space="preserve">. </w:t>
      </w:r>
      <w:r w:rsidR="78887EE9" w:rsidRPr="00C26987">
        <w:rPr>
          <w:lang w:val="es-US"/>
        </w:rPr>
        <w:t>27-31</w:t>
      </w:r>
      <w:r w:rsidR="78887EE9" w:rsidRPr="00C26987">
        <w:t>.</w:t>
      </w:r>
    </w:p>
  </w:footnote>
  <w:footnote w:id="26">
    <w:p w14:paraId="03DB14CB" w14:textId="02158870" w:rsidR="000A1DFE" w:rsidRPr="00C26987" w:rsidRDefault="000A1DFE" w:rsidP="00EA132B">
      <w:pPr>
        <w:pStyle w:val="IANOTAALPIE"/>
      </w:pPr>
      <w:r w:rsidRPr="00C26987">
        <w:rPr>
          <w:rStyle w:val="FootnoteReference"/>
        </w:rPr>
        <w:footnoteRef/>
      </w:r>
      <w:r w:rsidRPr="00C26987">
        <w:t xml:space="preserve"> </w:t>
      </w:r>
      <w:r w:rsidR="00852144">
        <w:rPr>
          <w:lang w:val="es-ES"/>
        </w:rPr>
        <w:t xml:space="preserve">SIMORE Interamericano, </w:t>
      </w:r>
      <w:hyperlink r:id="rId20" w:history="1">
        <w:r w:rsidR="00852144" w:rsidRPr="001034AA">
          <w:rPr>
            <w:rStyle w:val="Hyperlink"/>
            <w:rFonts w:eastAsiaTheme="minorHAnsi" w:cstheme="minorBidi"/>
            <w:color w:val="0563C1" w:themeColor="hyperlink"/>
            <w:lang w:val="es-ES" w:eastAsia="en-US"/>
          </w:rPr>
          <w:t>Informe de avance del Estado mexicano sobre el cumplimiento y seguimiento de las recomendaciones de la CIDH, Recomendación 5</w:t>
        </w:r>
      </w:hyperlink>
      <w:r w:rsidR="00852144">
        <w:rPr>
          <w:lang w:val="es-ES"/>
        </w:rPr>
        <w:t xml:space="preserve">, </w:t>
      </w:r>
      <w:r w:rsidR="00852144" w:rsidRPr="00C26987">
        <w:rPr>
          <w:lang w:val="es-ES"/>
        </w:rPr>
        <w:t>Capítulo V, 30</w:t>
      </w:r>
      <w:r w:rsidR="00852144">
        <w:rPr>
          <w:lang w:val="es-ES"/>
        </w:rPr>
        <w:t xml:space="preserve"> de</w:t>
      </w:r>
      <w:r w:rsidR="00852144" w:rsidRPr="00C26987">
        <w:rPr>
          <w:lang w:val="es-ES"/>
        </w:rPr>
        <w:t xml:space="preserve"> septiembre y 1 de octubre de </w:t>
      </w:r>
      <w:r w:rsidR="00852144">
        <w:rPr>
          <w:lang w:val="es-ES"/>
        </w:rPr>
        <w:t>2024.</w:t>
      </w:r>
    </w:p>
  </w:footnote>
  <w:footnote w:id="27">
    <w:p w14:paraId="5311AAB9" w14:textId="553AC69A" w:rsidR="00F55FC1" w:rsidRPr="00C26987" w:rsidRDefault="00F55FC1" w:rsidP="00EA132B">
      <w:pPr>
        <w:pStyle w:val="IANOTAALPIE"/>
      </w:pPr>
      <w:r w:rsidRPr="00C26987">
        <w:rPr>
          <w:rStyle w:val="FootnoteReference"/>
        </w:rPr>
        <w:footnoteRef/>
      </w:r>
      <w:r w:rsidR="78887EE9" w:rsidRPr="00725972">
        <w:rPr>
          <w:lang w:val="pt-BR"/>
        </w:rPr>
        <w:t xml:space="preserve"> CIDH, </w:t>
      </w:r>
      <w:hyperlink r:id="rId21">
        <w:r w:rsidR="78887EE9" w:rsidRPr="004635A8">
          <w:rPr>
            <w:rStyle w:val="Hyperlink"/>
            <w:rFonts w:eastAsiaTheme="minorHAnsi" w:cstheme="minorBidi"/>
            <w:color w:val="0563C1" w:themeColor="hyperlink"/>
            <w:lang w:val="pt-BR" w:eastAsia="en-US"/>
          </w:rPr>
          <w:t>Informe Anual, Capítulo V</w:t>
        </w:r>
      </w:hyperlink>
      <w:r w:rsidR="78887EE9" w:rsidRPr="00725972">
        <w:rPr>
          <w:lang w:val="pt-BR"/>
        </w:rPr>
        <w:t>, México, 2023, párr</w:t>
      </w:r>
      <w:r w:rsidR="006B0286" w:rsidRPr="00725972">
        <w:rPr>
          <w:lang w:val="pt-BR"/>
        </w:rPr>
        <w:t>s</w:t>
      </w:r>
      <w:r w:rsidR="78887EE9" w:rsidRPr="00725972">
        <w:rPr>
          <w:lang w:val="pt-BR"/>
        </w:rPr>
        <w:t xml:space="preserve">. </w:t>
      </w:r>
      <w:r w:rsidR="78887EE9" w:rsidRPr="00C26987">
        <w:t>33-37.</w:t>
      </w:r>
    </w:p>
  </w:footnote>
  <w:footnote w:id="28">
    <w:p w14:paraId="38C91F52" w14:textId="55E9FA9F" w:rsidR="000A1DFE" w:rsidRPr="00C26987" w:rsidRDefault="000A1DFE" w:rsidP="00EA132B">
      <w:pPr>
        <w:pStyle w:val="IANOTAALPIE"/>
        <w:rPr>
          <w:lang w:val="es-ES"/>
        </w:rPr>
      </w:pPr>
      <w:r w:rsidRPr="00C26987">
        <w:rPr>
          <w:rStyle w:val="FootnoteReference"/>
        </w:rPr>
        <w:footnoteRef/>
      </w:r>
      <w:r w:rsidRPr="00C26987">
        <w:rPr>
          <w:lang w:val="es-ES"/>
        </w:rPr>
        <w:t xml:space="preserve"> </w:t>
      </w:r>
      <w:r w:rsidR="00852144">
        <w:rPr>
          <w:lang w:val="es-ES"/>
        </w:rPr>
        <w:t xml:space="preserve">SIMORE Interamericano, </w:t>
      </w:r>
      <w:hyperlink r:id="rId22" w:history="1">
        <w:r w:rsidR="00852144" w:rsidRPr="001034AA">
          <w:rPr>
            <w:rStyle w:val="Hyperlink"/>
            <w:rFonts w:eastAsiaTheme="minorHAnsi" w:cstheme="minorBidi"/>
            <w:color w:val="0563C1" w:themeColor="hyperlink"/>
            <w:lang w:val="es-ES" w:eastAsia="en-US"/>
          </w:rPr>
          <w:t>Informe de avance del Estado mexicano sobre el cumplimiento y seguimiento de las recomendaciones de la CIDH, Recomendación 6</w:t>
        </w:r>
      </w:hyperlink>
      <w:r w:rsidR="00852144">
        <w:rPr>
          <w:lang w:val="es-ES"/>
        </w:rPr>
        <w:t xml:space="preserve">, </w:t>
      </w:r>
      <w:r w:rsidR="00852144" w:rsidRPr="00C26987">
        <w:rPr>
          <w:lang w:val="es-ES"/>
        </w:rPr>
        <w:t>Capítulo V, 30</w:t>
      </w:r>
      <w:r w:rsidR="00852144">
        <w:rPr>
          <w:lang w:val="es-ES"/>
        </w:rPr>
        <w:t xml:space="preserve"> de</w:t>
      </w:r>
      <w:r w:rsidR="00852144" w:rsidRPr="00C26987">
        <w:rPr>
          <w:lang w:val="es-ES"/>
        </w:rPr>
        <w:t xml:space="preserve"> septiembre y 1 de octubre de </w:t>
      </w:r>
      <w:r w:rsidR="00852144">
        <w:rPr>
          <w:lang w:val="es-ES"/>
        </w:rPr>
        <w:t>2024.</w:t>
      </w:r>
      <w:r w:rsidR="003149F9" w:rsidRPr="00C26987">
        <w:rPr>
          <w:lang w:val="es-ES"/>
        </w:rPr>
        <w:t xml:space="preserve"> </w:t>
      </w:r>
    </w:p>
  </w:footnote>
  <w:footnote w:id="29">
    <w:p w14:paraId="276C9693" w14:textId="6CCC0A6F" w:rsidR="000A1DFE" w:rsidRPr="00616692" w:rsidRDefault="000A1DFE" w:rsidP="00EA132B">
      <w:pPr>
        <w:pStyle w:val="IANOTAALPIE"/>
        <w:rPr>
          <w:lang w:val="es-ES"/>
        </w:rPr>
      </w:pPr>
      <w:r w:rsidRPr="00C26987">
        <w:rPr>
          <w:rStyle w:val="FootnoteReference"/>
        </w:rPr>
        <w:footnoteRef/>
      </w:r>
      <w:r w:rsidRPr="00C26987">
        <w:rPr>
          <w:lang w:val="es-ES"/>
        </w:rPr>
        <w:t xml:space="preserve"> </w:t>
      </w:r>
      <w:r w:rsidR="00852144">
        <w:rPr>
          <w:lang w:val="es-ES"/>
        </w:rPr>
        <w:t xml:space="preserve">SIMORE Interamericano, </w:t>
      </w:r>
      <w:hyperlink r:id="rId23" w:history="1">
        <w:r w:rsidR="00852144" w:rsidRPr="001034AA">
          <w:rPr>
            <w:rStyle w:val="Hyperlink"/>
            <w:rFonts w:eastAsiaTheme="minorHAnsi" w:cstheme="minorBidi"/>
            <w:color w:val="0563C1" w:themeColor="hyperlink"/>
            <w:lang w:val="es-ES" w:eastAsia="en-US"/>
          </w:rPr>
          <w:t>Informe de avance del Estado mexicano sobre el cumplimiento y seguimiento de las recomendaciones de la CIDH, Recomendación 6</w:t>
        </w:r>
      </w:hyperlink>
      <w:r w:rsidR="00852144">
        <w:rPr>
          <w:lang w:val="es-ES"/>
        </w:rPr>
        <w:t xml:space="preserve">, </w:t>
      </w:r>
      <w:r w:rsidR="00852144" w:rsidRPr="00C26987">
        <w:rPr>
          <w:lang w:val="es-ES"/>
        </w:rPr>
        <w:t>Capítulo V, 30</w:t>
      </w:r>
      <w:r w:rsidR="00852144">
        <w:rPr>
          <w:lang w:val="es-ES"/>
        </w:rPr>
        <w:t xml:space="preserve"> de</w:t>
      </w:r>
      <w:r w:rsidR="00852144" w:rsidRPr="00C26987">
        <w:rPr>
          <w:lang w:val="es-ES"/>
        </w:rPr>
        <w:t xml:space="preserve"> septiembre y 1 de octubre de </w:t>
      </w:r>
      <w:r w:rsidR="00852144">
        <w:rPr>
          <w:lang w:val="es-ES"/>
        </w:rPr>
        <w:t>2024.</w:t>
      </w:r>
    </w:p>
  </w:footnote>
  <w:footnote w:id="30">
    <w:p w14:paraId="1F7ED697" w14:textId="61DF6168" w:rsidR="00594391" w:rsidRPr="00616692" w:rsidRDefault="00594391" w:rsidP="00EA132B">
      <w:pPr>
        <w:pStyle w:val="IANOTAALPIE"/>
        <w:rPr>
          <w:lang w:val="es-ES"/>
        </w:rPr>
      </w:pPr>
      <w:r w:rsidRPr="00616692">
        <w:rPr>
          <w:rStyle w:val="FootnoteReference"/>
        </w:rPr>
        <w:footnoteRef/>
      </w:r>
      <w:r w:rsidRPr="00616692">
        <w:rPr>
          <w:lang w:val="es-ES"/>
        </w:rPr>
        <w:t xml:space="preserve"> Centro Prodh</w:t>
      </w:r>
      <w:r w:rsidR="004432FE" w:rsidRPr="00616692">
        <w:rPr>
          <w:lang w:val="es-ES"/>
        </w:rPr>
        <w:t>,</w:t>
      </w:r>
      <w:r w:rsidRPr="00616692">
        <w:rPr>
          <w:lang w:val="es-ES"/>
        </w:rPr>
        <w:t xml:space="preserve"> Seguimiento sobre el cumplimiento de las recomendaciones del Informe “Situación de Derechos Humanos en México”, noviembre de 202</w:t>
      </w:r>
      <w:r w:rsidR="00126316" w:rsidRPr="00616692">
        <w:rPr>
          <w:lang w:val="es-ES"/>
        </w:rPr>
        <w:t>4</w:t>
      </w:r>
      <w:r w:rsidRPr="00616692">
        <w:rPr>
          <w:lang w:val="es-ES"/>
        </w:rPr>
        <w:t>.</w:t>
      </w:r>
    </w:p>
  </w:footnote>
  <w:footnote w:id="31">
    <w:p w14:paraId="513BF622" w14:textId="407D6390" w:rsidR="00AB6367" w:rsidRPr="00AB6367" w:rsidRDefault="00AB6367" w:rsidP="00EA132B">
      <w:pPr>
        <w:pStyle w:val="IANOTAALPIE"/>
        <w:rPr>
          <w:lang w:val="es-ES"/>
        </w:rPr>
      </w:pPr>
      <w:r w:rsidRPr="00616692">
        <w:rPr>
          <w:rStyle w:val="FootnoteReference"/>
        </w:rPr>
        <w:footnoteRef/>
      </w:r>
      <w:r w:rsidRPr="00616692">
        <w:rPr>
          <w:lang w:val="es-ES"/>
        </w:rPr>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32">
    <w:p w14:paraId="60E6595E" w14:textId="5CA04E02" w:rsidR="00F55FC1" w:rsidRPr="00C26987" w:rsidRDefault="00F55FC1" w:rsidP="00EA132B">
      <w:pPr>
        <w:pStyle w:val="IANOTAALPIE"/>
      </w:pPr>
      <w:r w:rsidRPr="00C26987">
        <w:rPr>
          <w:rStyle w:val="FootnoteReference"/>
        </w:rPr>
        <w:footnoteRef/>
      </w:r>
      <w:r w:rsidR="78887EE9" w:rsidRPr="00725972">
        <w:rPr>
          <w:lang w:val="pt-BR"/>
        </w:rPr>
        <w:t xml:space="preserve"> CIDH, </w:t>
      </w:r>
      <w:hyperlink r:id="rId24">
        <w:r w:rsidR="78887EE9" w:rsidRPr="004635A8">
          <w:rPr>
            <w:rStyle w:val="Hyperlink"/>
            <w:rFonts w:eastAsiaTheme="minorHAnsi" w:cstheme="minorBidi"/>
            <w:color w:val="0563C1" w:themeColor="hyperlink"/>
            <w:lang w:val="pt-BR" w:eastAsia="en-US"/>
          </w:rPr>
          <w:t>Informe Anual, Capítulo V,</w:t>
        </w:r>
      </w:hyperlink>
      <w:r w:rsidR="78887EE9" w:rsidRPr="00725972">
        <w:rPr>
          <w:lang w:val="pt-BR"/>
        </w:rPr>
        <w:t xml:space="preserve"> México, 2023, párr</w:t>
      </w:r>
      <w:r w:rsidR="006B0286" w:rsidRPr="00725972">
        <w:rPr>
          <w:lang w:val="pt-BR"/>
        </w:rPr>
        <w:t>s</w:t>
      </w:r>
      <w:r w:rsidR="78887EE9" w:rsidRPr="00725972">
        <w:rPr>
          <w:lang w:val="pt-BR"/>
        </w:rPr>
        <w:t xml:space="preserve">. </w:t>
      </w:r>
      <w:r w:rsidR="78887EE9" w:rsidRPr="00C26987">
        <w:t>39-45</w:t>
      </w:r>
      <w:r w:rsidR="00EA132B">
        <w:t>.</w:t>
      </w:r>
    </w:p>
  </w:footnote>
  <w:footnote w:id="33">
    <w:p w14:paraId="4596A77D" w14:textId="741B0988" w:rsidR="000A1DFE" w:rsidRPr="00C26987" w:rsidRDefault="000A1DFE" w:rsidP="00EA132B">
      <w:pPr>
        <w:pStyle w:val="IANOTAALPIE"/>
      </w:pPr>
      <w:r w:rsidRPr="00C26987">
        <w:rPr>
          <w:rStyle w:val="FootnoteReference"/>
        </w:rPr>
        <w:footnoteRef/>
      </w:r>
      <w:r w:rsidRPr="00C26987">
        <w:t xml:space="preserve"> </w:t>
      </w:r>
      <w:r w:rsidR="00852144">
        <w:rPr>
          <w:lang w:val="es-ES"/>
        </w:rPr>
        <w:t xml:space="preserve">SIMORE Interamericano, </w:t>
      </w:r>
      <w:hyperlink r:id="rId25" w:history="1">
        <w:r w:rsidR="00852144" w:rsidRPr="001034AA">
          <w:rPr>
            <w:rStyle w:val="Hyperlink"/>
            <w:rFonts w:eastAsiaTheme="minorHAnsi" w:cstheme="minorBidi"/>
            <w:color w:val="0563C1" w:themeColor="hyperlink"/>
            <w:lang w:val="es-ES" w:eastAsia="en-US"/>
          </w:rPr>
          <w:t>Informe de avance del Estado mexicano sobre el cumplimiento y seguimiento de las recomendaciones de la CIDH, Recomendación 7</w:t>
        </w:r>
      </w:hyperlink>
      <w:r w:rsidR="00852144">
        <w:rPr>
          <w:lang w:val="es-ES"/>
        </w:rPr>
        <w:t xml:space="preserve">, </w:t>
      </w:r>
      <w:r w:rsidR="00852144" w:rsidRPr="00C26987">
        <w:rPr>
          <w:lang w:val="es-ES"/>
        </w:rPr>
        <w:t>Capítulo V, 30</w:t>
      </w:r>
      <w:r w:rsidR="00852144">
        <w:rPr>
          <w:lang w:val="es-ES"/>
        </w:rPr>
        <w:t xml:space="preserve"> de</w:t>
      </w:r>
      <w:r w:rsidR="00852144" w:rsidRPr="00C26987">
        <w:rPr>
          <w:lang w:val="es-ES"/>
        </w:rPr>
        <w:t xml:space="preserve"> septiembre y 1 de octubre de </w:t>
      </w:r>
      <w:r w:rsidR="00852144">
        <w:rPr>
          <w:lang w:val="es-ES"/>
        </w:rPr>
        <w:t>2024.</w:t>
      </w:r>
    </w:p>
  </w:footnote>
  <w:footnote w:id="34">
    <w:p w14:paraId="56BC622C" w14:textId="42FC4C99" w:rsidR="00F55FC1" w:rsidRPr="00C26987" w:rsidRDefault="00F55FC1" w:rsidP="00EA132B">
      <w:pPr>
        <w:pStyle w:val="IANOTAALPIE"/>
      </w:pPr>
      <w:r w:rsidRPr="00C26987">
        <w:rPr>
          <w:rStyle w:val="FootnoteReference"/>
        </w:rPr>
        <w:footnoteRef/>
      </w:r>
      <w:r w:rsidR="78887EE9" w:rsidRPr="00C26987">
        <w:rPr>
          <w:lang w:val="pt-BR"/>
        </w:rPr>
        <w:t xml:space="preserve"> CIDH, </w:t>
      </w:r>
      <w:hyperlink r:id="rId26">
        <w:r w:rsidR="78887EE9" w:rsidRPr="004635A8">
          <w:rPr>
            <w:rStyle w:val="Hyperlink"/>
            <w:rFonts w:eastAsiaTheme="minorHAnsi" w:cstheme="minorBidi"/>
            <w:color w:val="0563C1" w:themeColor="hyperlink"/>
            <w:lang w:val="pt-BR" w:eastAsia="en-US"/>
          </w:rPr>
          <w:t>Informe Anual, Capítulo V, México,</w:t>
        </w:r>
      </w:hyperlink>
      <w:r w:rsidR="78887EE9" w:rsidRPr="00C26987">
        <w:rPr>
          <w:lang w:val="pt-BR"/>
        </w:rPr>
        <w:t xml:space="preserve"> 2023, párr</w:t>
      </w:r>
      <w:r w:rsidR="006B0286">
        <w:rPr>
          <w:lang w:val="pt-BR"/>
        </w:rPr>
        <w:t>s</w:t>
      </w:r>
      <w:r w:rsidR="78887EE9" w:rsidRPr="00C26987">
        <w:rPr>
          <w:lang w:val="pt-BR"/>
        </w:rPr>
        <w:t xml:space="preserve">. </w:t>
      </w:r>
      <w:r w:rsidR="78887EE9" w:rsidRPr="00C26987">
        <w:rPr>
          <w:lang w:val="es-US"/>
        </w:rPr>
        <w:t>51</w:t>
      </w:r>
      <w:r w:rsidR="78887EE9" w:rsidRPr="00C26987">
        <w:t>-54.</w:t>
      </w:r>
    </w:p>
  </w:footnote>
  <w:footnote w:id="35">
    <w:p w14:paraId="5B70D9B8" w14:textId="6BE9CCB3" w:rsidR="000A1DFE" w:rsidRPr="00C26987" w:rsidRDefault="000A1DFE" w:rsidP="00EA132B">
      <w:pPr>
        <w:pStyle w:val="IANOTAALPIE"/>
      </w:pPr>
      <w:r w:rsidRPr="00C26987">
        <w:rPr>
          <w:rStyle w:val="FootnoteReference"/>
        </w:rPr>
        <w:footnoteRef/>
      </w:r>
      <w:r w:rsidRPr="00C26987">
        <w:t xml:space="preserve"> </w:t>
      </w:r>
      <w:r w:rsidR="00852144">
        <w:rPr>
          <w:lang w:val="es-ES"/>
        </w:rPr>
        <w:t xml:space="preserve">SIMORE Interamericano, </w:t>
      </w:r>
      <w:hyperlink r:id="rId27" w:history="1">
        <w:r w:rsidR="00852144" w:rsidRPr="001034AA">
          <w:rPr>
            <w:rStyle w:val="Hyperlink"/>
            <w:rFonts w:eastAsiaTheme="minorHAnsi" w:cstheme="minorBidi"/>
            <w:color w:val="0563C1" w:themeColor="hyperlink"/>
            <w:lang w:val="es-ES" w:eastAsia="en-US"/>
          </w:rPr>
          <w:t>Informe de avance del Estado mexicano sobre el cumplimiento y seguimiento de las recomendaciones de la CIDH, Recomendación 8</w:t>
        </w:r>
      </w:hyperlink>
      <w:r w:rsidR="00852144">
        <w:rPr>
          <w:lang w:val="es-ES"/>
        </w:rPr>
        <w:t xml:space="preserve">, </w:t>
      </w:r>
      <w:r w:rsidR="00852144" w:rsidRPr="00C26987">
        <w:rPr>
          <w:lang w:val="es-ES"/>
        </w:rPr>
        <w:t>Capítulo V, 30</w:t>
      </w:r>
      <w:r w:rsidR="00852144">
        <w:rPr>
          <w:lang w:val="es-ES"/>
        </w:rPr>
        <w:t xml:space="preserve"> de</w:t>
      </w:r>
      <w:r w:rsidR="00852144" w:rsidRPr="00C26987">
        <w:rPr>
          <w:lang w:val="es-ES"/>
        </w:rPr>
        <w:t xml:space="preserve"> septiembre y 1 de octubre de </w:t>
      </w:r>
      <w:r w:rsidR="00852144">
        <w:rPr>
          <w:lang w:val="es-ES"/>
        </w:rPr>
        <w:t>2024.</w:t>
      </w:r>
      <w:r w:rsidR="00852144" w:rsidRPr="00C26987">
        <w:t xml:space="preserve"> </w:t>
      </w:r>
    </w:p>
  </w:footnote>
  <w:footnote w:id="36">
    <w:p w14:paraId="5996D77B" w14:textId="0EDD6CEA" w:rsidR="000A1DFE" w:rsidRPr="00C26987" w:rsidRDefault="000A1DFE" w:rsidP="00EA132B">
      <w:pPr>
        <w:pStyle w:val="IANOTAALPIE"/>
      </w:pPr>
      <w:r w:rsidRPr="00C26987">
        <w:rPr>
          <w:rStyle w:val="FootnoteReference"/>
        </w:rPr>
        <w:footnoteRef/>
      </w:r>
      <w:r w:rsidRPr="00C26987">
        <w:t xml:space="preserve"> </w:t>
      </w:r>
      <w:r w:rsidR="00C50364">
        <w:rPr>
          <w:lang w:val="es-ES"/>
        </w:rPr>
        <w:t xml:space="preserve">SIMORE Interamericano, </w:t>
      </w:r>
      <w:hyperlink r:id="rId28" w:history="1">
        <w:r w:rsidR="00C50364" w:rsidRPr="001034AA">
          <w:rPr>
            <w:rStyle w:val="Hyperlink"/>
            <w:rFonts w:eastAsiaTheme="minorHAnsi" w:cstheme="minorBidi"/>
            <w:color w:val="0563C1" w:themeColor="hyperlink"/>
            <w:lang w:val="es-ES" w:eastAsia="en-US"/>
          </w:rPr>
          <w:t>Informe de avance del Estado mexicano sobre el cumplimiento y seguimiento de las recomendaciones de la CIDH, Recomendación 8</w:t>
        </w:r>
      </w:hyperlink>
      <w:r w:rsidR="00C50364">
        <w:rPr>
          <w:lang w:val="es-ES"/>
        </w:rPr>
        <w:t xml:space="preserve">, </w:t>
      </w:r>
      <w:r w:rsidR="00C50364" w:rsidRPr="00C26987">
        <w:rPr>
          <w:lang w:val="es-ES"/>
        </w:rPr>
        <w:t>Capítulo V, 30</w:t>
      </w:r>
      <w:r w:rsidR="00C50364">
        <w:rPr>
          <w:lang w:val="es-ES"/>
        </w:rPr>
        <w:t xml:space="preserve"> de</w:t>
      </w:r>
      <w:r w:rsidR="00C50364" w:rsidRPr="00C26987">
        <w:rPr>
          <w:lang w:val="es-ES"/>
        </w:rPr>
        <w:t xml:space="preserve"> septiembre y 1 de octubre de </w:t>
      </w:r>
      <w:r w:rsidR="00C50364">
        <w:rPr>
          <w:lang w:val="es-ES"/>
        </w:rPr>
        <w:t>2024.</w:t>
      </w:r>
    </w:p>
  </w:footnote>
  <w:footnote w:id="37">
    <w:p w14:paraId="190E9042" w14:textId="45875108" w:rsidR="00F55FC1" w:rsidRPr="00C26987" w:rsidRDefault="00F55FC1" w:rsidP="00285F5A">
      <w:pPr>
        <w:pStyle w:val="IANOTAALPIE"/>
      </w:pPr>
      <w:r w:rsidRPr="00C26987">
        <w:rPr>
          <w:rStyle w:val="FootnoteReference"/>
        </w:rPr>
        <w:footnoteRef/>
      </w:r>
      <w:r w:rsidR="78887EE9" w:rsidRPr="00584C12">
        <w:rPr>
          <w:lang w:val="pt-BR"/>
        </w:rPr>
        <w:t xml:space="preserve"> CIDH, </w:t>
      </w:r>
      <w:hyperlink r:id="rId29">
        <w:r w:rsidR="78887EE9" w:rsidRPr="004635A8">
          <w:rPr>
            <w:rStyle w:val="Hyperlink"/>
            <w:rFonts w:eastAsiaTheme="minorHAnsi" w:cstheme="minorBidi"/>
            <w:color w:val="0563C1" w:themeColor="hyperlink"/>
            <w:lang w:val="pt-BR" w:eastAsia="en-US"/>
          </w:rPr>
          <w:t>Informe Anual, Capítulo V, México</w:t>
        </w:r>
      </w:hyperlink>
      <w:r w:rsidR="78887EE9" w:rsidRPr="004635A8">
        <w:rPr>
          <w:rStyle w:val="Hyperlink"/>
          <w:rFonts w:eastAsiaTheme="minorHAnsi" w:cstheme="minorBidi"/>
          <w:color w:val="0563C1" w:themeColor="hyperlink"/>
          <w:lang w:val="pt-BR" w:eastAsia="en-US"/>
        </w:rPr>
        <w:t>,</w:t>
      </w:r>
      <w:r w:rsidR="78887EE9" w:rsidRPr="00584C12">
        <w:rPr>
          <w:lang w:val="pt-BR"/>
        </w:rPr>
        <w:t xml:space="preserve"> 2023, párr</w:t>
      </w:r>
      <w:r w:rsidR="006B0286" w:rsidRPr="00584C12">
        <w:rPr>
          <w:lang w:val="pt-BR"/>
        </w:rPr>
        <w:t>s</w:t>
      </w:r>
      <w:r w:rsidR="78887EE9" w:rsidRPr="00584C12">
        <w:rPr>
          <w:lang w:val="pt-BR"/>
        </w:rPr>
        <w:t xml:space="preserve">. </w:t>
      </w:r>
      <w:r w:rsidR="78887EE9" w:rsidRPr="00C26987">
        <w:t>57-65.</w:t>
      </w:r>
    </w:p>
  </w:footnote>
  <w:footnote w:id="38">
    <w:p w14:paraId="4C67C5FE" w14:textId="3AD6A595" w:rsidR="00745F10" w:rsidRPr="00C26987" w:rsidRDefault="00745F10" w:rsidP="00C50364">
      <w:pPr>
        <w:pStyle w:val="IANOTAALPIE"/>
        <w:rPr>
          <w:lang w:val="es-ES"/>
        </w:rPr>
      </w:pPr>
      <w:r w:rsidRPr="00C26987">
        <w:rPr>
          <w:rStyle w:val="FootnoteReference"/>
        </w:rPr>
        <w:footnoteRef/>
      </w:r>
      <w:r w:rsidRPr="00C26987">
        <w:rPr>
          <w:lang w:val="es-ES"/>
        </w:rPr>
        <w:t xml:space="preserve"> </w:t>
      </w:r>
      <w:r w:rsidR="00C50364">
        <w:rPr>
          <w:lang w:val="es-ES"/>
        </w:rPr>
        <w:t xml:space="preserve">SIMORE Interamericano, </w:t>
      </w:r>
      <w:hyperlink r:id="rId30" w:history="1">
        <w:r w:rsidR="00C50364" w:rsidRPr="001034AA">
          <w:rPr>
            <w:rStyle w:val="Hyperlink"/>
            <w:rFonts w:eastAsiaTheme="minorHAnsi" w:cstheme="minorBidi"/>
            <w:color w:val="0563C1" w:themeColor="hyperlink"/>
            <w:lang w:val="es-ES" w:eastAsia="en-US"/>
          </w:rPr>
          <w:t>Informe de avance del Estado mexicano sobre el cumplimiento y seguimiento de las recomendaciones de la CIDH, Recomendación 9</w:t>
        </w:r>
      </w:hyperlink>
      <w:r w:rsidR="00C50364">
        <w:rPr>
          <w:lang w:val="es-ES"/>
        </w:rPr>
        <w:t xml:space="preserve">, </w:t>
      </w:r>
      <w:r w:rsidR="00C50364" w:rsidRPr="00C26987">
        <w:rPr>
          <w:lang w:val="es-ES"/>
        </w:rPr>
        <w:t>Capítulo V, 30</w:t>
      </w:r>
      <w:r w:rsidR="00C50364">
        <w:rPr>
          <w:lang w:val="es-ES"/>
        </w:rPr>
        <w:t xml:space="preserve"> de</w:t>
      </w:r>
      <w:r w:rsidR="00C50364" w:rsidRPr="00C26987">
        <w:rPr>
          <w:lang w:val="es-ES"/>
        </w:rPr>
        <w:t xml:space="preserve"> septiembre y 1 de octubre de </w:t>
      </w:r>
      <w:r w:rsidR="00C50364">
        <w:rPr>
          <w:lang w:val="es-ES"/>
        </w:rPr>
        <w:t>2024.</w:t>
      </w:r>
    </w:p>
  </w:footnote>
  <w:footnote w:id="39">
    <w:p w14:paraId="4588C489" w14:textId="620325DF" w:rsidR="00745F10" w:rsidRPr="00C26987" w:rsidRDefault="00745F10" w:rsidP="00285F5A">
      <w:pPr>
        <w:pStyle w:val="IANOTAALPIE"/>
        <w:rPr>
          <w:lang w:val="es-ES"/>
        </w:rPr>
      </w:pPr>
      <w:r w:rsidRPr="00C26987">
        <w:rPr>
          <w:rStyle w:val="FootnoteReference"/>
        </w:rPr>
        <w:footnoteRef/>
      </w:r>
      <w:r w:rsidRPr="00C26987">
        <w:rPr>
          <w:lang w:val="es-ES"/>
        </w:rPr>
        <w:t xml:space="preserve"> </w:t>
      </w:r>
      <w:r w:rsidR="00C50364">
        <w:rPr>
          <w:lang w:val="es-ES"/>
        </w:rPr>
        <w:t xml:space="preserve">SIMORE Interamericano, </w:t>
      </w:r>
      <w:hyperlink r:id="rId31" w:history="1">
        <w:r w:rsidR="00C50364" w:rsidRPr="001034AA">
          <w:rPr>
            <w:rStyle w:val="Hyperlink"/>
            <w:rFonts w:eastAsiaTheme="minorHAnsi" w:cstheme="minorBidi"/>
            <w:color w:val="0563C1" w:themeColor="hyperlink"/>
            <w:lang w:val="es-ES" w:eastAsia="en-US"/>
          </w:rPr>
          <w:t>Informe de avance del Estado mexicano sobre el cumplimiento y seguimiento de las recomendaciones de la CIDH, Recomendación 9</w:t>
        </w:r>
      </w:hyperlink>
      <w:r w:rsidR="00C50364">
        <w:rPr>
          <w:lang w:val="es-ES"/>
        </w:rPr>
        <w:t xml:space="preserve">, </w:t>
      </w:r>
      <w:r w:rsidR="00C50364" w:rsidRPr="00C26987">
        <w:rPr>
          <w:lang w:val="es-ES"/>
        </w:rPr>
        <w:t>Capítulo V, 30</w:t>
      </w:r>
      <w:r w:rsidR="00C50364">
        <w:rPr>
          <w:lang w:val="es-ES"/>
        </w:rPr>
        <w:t xml:space="preserve"> de</w:t>
      </w:r>
      <w:r w:rsidR="00C50364" w:rsidRPr="00C26987">
        <w:rPr>
          <w:lang w:val="es-ES"/>
        </w:rPr>
        <w:t xml:space="preserve"> septiembre y 1 de octubre de </w:t>
      </w:r>
      <w:r w:rsidR="00C50364">
        <w:rPr>
          <w:lang w:val="es-ES"/>
        </w:rPr>
        <w:t>2024.</w:t>
      </w:r>
    </w:p>
  </w:footnote>
  <w:footnote w:id="40">
    <w:p w14:paraId="3452AC89" w14:textId="3D304319" w:rsidR="00745F10" w:rsidRPr="00C26987" w:rsidRDefault="00745F10" w:rsidP="00285F5A">
      <w:pPr>
        <w:pStyle w:val="IANOTAALPIE"/>
        <w:rPr>
          <w:lang w:val="es-ES"/>
        </w:rPr>
      </w:pPr>
      <w:r w:rsidRPr="00C26987">
        <w:rPr>
          <w:rStyle w:val="FootnoteReference"/>
        </w:rPr>
        <w:footnoteRef/>
      </w:r>
      <w:r w:rsidRPr="00C26987">
        <w:rPr>
          <w:lang w:val="es-ES"/>
        </w:rPr>
        <w:t xml:space="preserve"> </w:t>
      </w:r>
      <w:r w:rsidR="00C50364">
        <w:rPr>
          <w:lang w:val="es-ES"/>
        </w:rPr>
        <w:t xml:space="preserve">SIMORE Interamericano, </w:t>
      </w:r>
      <w:hyperlink r:id="rId32" w:history="1">
        <w:r w:rsidR="00C50364" w:rsidRPr="001034AA">
          <w:rPr>
            <w:rStyle w:val="Hyperlink"/>
            <w:rFonts w:eastAsiaTheme="minorHAnsi" w:cstheme="minorBidi"/>
            <w:color w:val="0563C1" w:themeColor="hyperlink"/>
            <w:lang w:val="es-ES" w:eastAsia="en-US"/>
          </w:rPr>
          <w:t>Informe de avance del Estado mexicano sobre el cumplimiento y seguimiento de las recomendaciones de la CIDH, Recomendación 9</w:t>
        </w:r>
      </w:hyperlink>
      <w:r w:rsidR="00C50364">
        <w:rPr>
          <w:lang w:val="es-ES"/>
        </w:rPr>
        <w:t xml:space="preserve">, </w:t>
      </w:r>
      <w:r w:rsidR="00C50364" w:rsidRPr="00C26987">
        <w:rPr>
          <w:lang w:val="es-ES"/>
        </w:rPr>
        <w:t>Capítulo V, 30</w:t>
      </w:r>
      <w:r w:rsidR="00C50364">
        <w:rPr>
          <w:lang w:val="es-ES"/>
        </w:rPr>
        <w:t xml:space="preserve"> de</w:t>
      </w:r>
      <w:r w:rsidR="00C50364" w:rsidRPr="00C26987">
        <w:rPr>
          <w:lang w:val="es-ES"/>
        </w:rPr>
        <w:t xml:space="preserve"> septiembre y 1 de octubre de </w:t>
      </w:r>
      <w:r w:rsidR="00C50364">
        <w:rPr>
          <w:lang w:val="es-ES"/>
        </w:rPr>
        <w:t>2024.</w:t>
      </w:r>
    </w:p>
  </w:footnote>
  <w:footnote w:id="41">
    <w:p w14:paraId="6754AD64" w14:textId="28F84F4A" w:rsidR="002332D0" w:rsidRPr="00C26987" w:rsidRDefault="002332D0" w:rsidP="00285F5A">
      <w:pPr>
        <w:pStyle w:val="IANOTAALPIE"/>
        <w:rPr>
          <w:b/>
          <w:lang w:val="es-US"/>
        </w:rPr>
      </w:pPr>
      <w:r w:rsidRPr="00C26987">
        <w:rPr>
          <w:rStyle w:val="FootnoteReference"/>
        </w:rPr>
        <w:footnoteRef/>
      </w:r>
      <w:r w:rsidRPr="00C26987">
        <w:rPr>
          <w:lang w:val="es-ES"/>
        </w:rPr>
        <w:t xml:space="preserve"> SEGOB</w:t>
      </w:r>
      <w:r w:rsidRPr="001034AA">
        <w:rPr>
          <w:rStyle w:val="Hyperlink"/>
          <w:rFonts w:eastAsiaTheme="minorHAnsi" w:cstheme="minorBidi"/>
          <w:color w:val="0563C1" w:themeColor="hyperlink"/>
          <w:lang w:val="es-ES" w:eastAsia="en-US"/>
        </w:rPr>
        <w:t xml:space="preserve">, </w:t>
      </w:r>
      <w:hyperlink r:id="rId33" w:history="1">
        <w:r w:rsidRPr="001034AA">
          <w:rPr>
            <w:rStyle w:val="Hyperlink"/>
            <w:rFonts w:eastAsiaTheme="minorHAnsi" w:cstheme="minorBidi"/>
            <w:color w:val="0563C1" w:themeColor="hyperlink"/>
            <w:lang w:val="es-ES" w:eastAsia="en-US"/>
          </w:rPr>
          <w:t>Publica Gobernación convocatoria para nombrar a la nueva persona titular de la CNB,</w:t>
        </w:r>
      </w:hyperlink>
      <w:r w:rsidRPr="00C26987">
        <w:rPr>
          <w:lang w:val="es-US"/>
        </w:rPr>
        <w:t xml:space="preserve"> 5 de octubre de 2023.</w:t>
      </w:r>
    </w:p>
  </w:footnote>
  <w:footnote w:id="42">
    <w:p w14:paraId="500E4AAD" w14:textId="071C7E24" w:rsidR="002332D0" w:rsidRPr="00C26987" w:rsidRDefault="002332D0" w:rsidP="00285F5A">
      <w:pPr>
        <w:pStyle w:val="IANOTAALPIE"/>
        <w:rPr>
          <w:color w:val="0000FF"/>
          <w:u w:val="single"/>
          <w:lang w:val="es-ES"/>
        </w:rPr>
      </w:pPr>
      <w:r w:rsidRPr="00C26987">
        <w:rPr>
          <w:rStyle w:val="FootnoteReference"/>
        </w:rPr>
        <w:footnoteRef/>
      </w:r>
      <w:r w:rsidRPr="00C26987">
        <w:rPr>
          <w:lang w:val="es-ES"/>
        </w:rPr>
        <w:t xml:space="preserve"> </w:t>
      </w:r>
      <w:r w:rsidR="00FB3B4B" w:rsidRPr="00C26987">
        <w:rPr>
          <w:lang w:val="es-ES"/>
        </w:rPr>
        <w:t>SEGOB</w:t>
      </w:r>
      <w:r w:rsidRPr="00C26987">
        <w:rPr>
          <w:lang w:val="es-ES"/>
        </w:rPr>
        <w:t xml:space="preserve">, </w:t>
      </w:r>
      <w:hyperlink r:id="rId34" w:history="1">
        <w:r w:rsidRPr="001034AA">
          <w:rPr>
            <w:rStyle w:val="Hyperlink"/>
            <w:rFonts w:eastAsiaTheme="minorHAnsi" w:cstheme="minorBidi"/>
            <w:color w:val="0563C1" w:themeColor="hyperlink"/>
            <w:lang w:val="es-ES" w:eastAsia="en-US"/>
          </w:rPr>
          <w:t>Gobierno de México designa a Teresa Guadalupe Reyes Sahagún como nueva titular de la CNB</w:t>
        </w:r>
        <w:r w:rsidRPr="00C26987">
          <w:rPr>
            <w:rStyle w:val="Hyperlink"/>
            <w:lang w:val="es-ES"/>
          </w:rPr>
          <w:t>,</w:t>
        </w:r>
      </w:hyperlink>
      <w:r w:rsidRPr="00C26987">
        <w:rPr>
          <w:lang w:val="es-ES"/>
        </w:rPr>
        <w:t xml:space="preserve"> 23 de octubre de 2023. </w:t>
      </w:r>
    </w:p>
  </w:footnote>
  <w:footnote w:id="43">
    <w:p w14:paraId="787B1F6F" w14:textId="1FA90A73" w:rsidR="00FB3B4B" w:rsidRPr="00C26987" w:rsidRDefault="00FB3B4B" w:rsidP="00285F5A">
      <w:pPr>
        <w:pStyle w:val="IANOTAALPIE"/>
        <w:rPr>
          <w:lang w:val="es-ES"/>
        </w:rPr>
      </w:pPr>
      <w:r w:rsidRPr="00C26987">
        <w:rPr>
          <w:rStyle w:val="FootnoteReference"/>
        </w:rPr>
        <w:footnoteRef/>
      </w:r>
      <w:r w:rsidRPr="00C26987">
        <w:rPr>
          <w:lang w:val="es-ES"/>
        </w:rPr>
        <w:t xml:space="preserve"> Organización Ku’kay, Seguimiento sobre el cumplimiento de las recomendaciones del Informe “Situación de Derechos Humanos en México”, octubre de 2024.</w:t>
      </w:r>
    </w:p>
  </w:footnote>
  <w:footnote w:id="44">
    <w:p w14:paraId="14D04389" w14:textId="40508DE2" w:rsidR="008464AA" w:rsidRPr="00C26987" w:rsidRDefault="008464AA" w:rsidP="00285F5A">
      <w:pPr>
        <w:pStyle w:val="IANOTAALPIE"/>
        <w:rPr>
          <w:lang w:val="es-ES"/>
        </w:rPr>
      </w:pPr>
      <w:r w:rsidRPr="00C26987">
        <w:rPr>
          <w:rStyle w:val="FootnoteReference"/>
        </w:rPr>
        <w:footnoteRef/>
      </w:r>
      <w:r w:rsidRPr="00C26987">
        <w:rPr>
          <w:lang w:val="es-ES"/>
        </w:rPr>
        <w:t xml:space="preserve"> </w:t>
      </w:r>
      <w:r w:rsidR="00297B25" w:rsidRPr="00C26987">
        <w:rPr>
          <w:lang w:val="es-ES"/>
        </w:rPr>
        <w:t xml:space="preserve">Centro Prodh, Seguimiento sobre el cumplimiento de las recomendaciones del Informe “Situación de Derechos Humanos en México”, octubre de 2024; </w:t>
      </w:r>
      <w:r w:rsidRPr="00C26987">
        <w:rPr>
          <w:lang w:val="es-ES"/>
        </w:rPr>
        <w:t>OACNUDH</w:t>
      </w:r>
      <w:r w:rsidR="00297B25" w:rsidRPr="00C26987">
        <w:rPr>
          <w:lang w:val="es-ES"/>
        </w:rPr>
        <w:t>,</w:t>
      </w:r>
      <w:r w:rsidRPr="00C26987">
        <w:rPr>
          <w:lang w:val="es-ES"/>
        </w:rPr>
        <w:t xml:space="preserve"> </w:t>
      </w:r>
      <w:hyperlink r:id="rId35" w:history="1">
        <w:r w:rsidR="00A14B74" w:rsidRPr="001034AA">
          <w:rPr>
            <w:rStyle w:val="Hyperlink"/>
            <w:rFonts w:eastAsiaTheme="minorHAnsi" w:cstheme="minorBidi"/>
            <w:color w:val="0563C1" w:themeColor="hyperlink"/>
            <w:lang w:val="es-ES" w:eastAsia="en-US"/>
          </w:rPr>
          <w:t>2/2 Alentamos a que este proceso no impacte aún más y se abran espacios de escucha y participación y, con base en el diálogo, el intercambio y una actitud abierta y profesional, se construya confianza, se eviten regresiones y se profundicen los avances</w:t>
        </w:r>
        <w:r w:rsidR="00A14B74">
          <w:rPr>
            <w:rStyle w:val="Hyperlink"/>
            <w:lang w:val="es-ES"/>
          </w:rPr>
          <w:t>,</w:t>
        </w:r>
      </w:hyperlink>
      <w:r w:rsidRPr="00C26987">
        <w:rPr>
          <w:lang w:val="es-ES"/>
        </w:rPr>
        <w:t xml:space="preserve"> 23 de octubre de 2023. </w:t>
      </w:r>
    </w:p>
  </w:footnote>
  <w:footnote w:id="45">
    <w:p w14:paraId="30DD88ED" w14:textId="4D6AE918" w:rsidR="006A73CE" w:rsidRPr="00C26987" w:rsidRDefault="006A73CE" w:rsidP="00285F5A">
      <w:pPr>
        <w:pStyle w:val="IANOTAALPIE"/>
        <w:rPr>
          <w:lang w:val="es-ES"/>
        </w:rPr>
      </w:pPr>
      <w:r w:rsidRPr="00C26987">
        <w:rPr>
          <w:rStyle w:val="FootnoteReference"/>
        </w:rPr>
        <w:footnoteRef/>
      </w:r>
      <w:r w:rsidRPr="00C26987">
        <w:rPr>
          <w:lang w:val="es-ES"/>
        </w:rPr>
        <w:t xml:space="preserve"> </w:t>
      </w:r>
      <w:r w:rsidR="00297B25" w:rsidRPr="00C26987">
        <w:rPr>
          <w:lang w:val="es-ES"/>
        </w:rPr>
        <w:t xml:space="preserve">Centro Prodh, Seguimiento sobre el cumplimiento de las recomendaciones del Informe “Situación de Derechos Humanos en México”, octubre de 2024; Entorno Político, </w:t>
      </w:r>
      <w:hyperlink r:id="rId36" w:history="1">
        <w:r w:rsidR="00A14B74" w:rsidRPr="001034AA">
          <w:rPr>
            <w:rStyle w:val="Hyperlink"/>
            <w:rFonts w:eastAsiaTheme="minorHAnsi" w:cstheme="minorBidi"/>
            <w:color w:val="0563C1" w:themeColor="hyperlink"/>
            <w:lang w:val="es-ES" w:eastAsia="en-US"/>
          </w:rPr>
          <w:t>Centro Nacional de Identificación Humana, en situación crítica,</w:t>
        </w:r>
      </w:hyperlink>
      <w:r w:rsidR="00297B25" w:rsidRPr="001034AA">
        <w:rPr>
          <w:rStyle w:val="Hyperlink"/>
          <w:rFonts w:eastAsiaTheme="minorHAnsi" w:cstheme="minorBidi"/>
          <w:color w:val="0563C1" w:themeColor="hyperlink"/>
          <w:lang w:val="es-ES" w:eastAsia="en-US"/>
        </w:rPr>
        <w:t>16 de enero de 2024; El Financiero</w:t>
      </w:r>
      <w:hyperlink r:id="rId37" w:history="1">
        <w:r w:rsidR="00297B25" w:rsidRPr="001034AA">
          <w:rPr>
            <w:rStyle w:val="Hyperlink"/>
            <w:rFonts w:eastAsiaTheme="minorHAnsi" w:cstheme="minorBidi"/>
            <w:color w:val="0563C1" w:themeColor="hyperlink"/>
            <w:lang w:val="es-ES" w:eastAsia="en-US"/>
          </w:rPr>
          <w:t>. ¿La CNB emplea a investigado por corrupción?</w:t>
        </w:r>
      </w:hyperlink>
      <w:r w:rsidR="004432FE">
        <w:rPr>
          <w:lang w:val="es-ES"/>
        </w:rPr>
        <w:t>,</w:t>
      </w:r>
      <w:r w:rsidR="00297B25" w:rsidRPr="00C26987">
        <w:rPr>
          <w:lang w:val="es-ES"/>
        </w:rPr>
        <w:t xml:space="preserve"> 10 de noviembre de 2023.</w:t>
      </w:r>
    </w:p>
  </w:footnote>
  <w:footnote w:id="46">
    <w:p w14:paraId="29655CCA" w14:textId="707010FE" w:rsidR="00297B25" w:rsidRPr="00C26987" w:rsidRDefault="00297B25" w:rsidP="00285F5A">
      <w:pPr>
        <w:pStyle w:val="IANOTAALPIE"/>
        <w:rPr>
          <w:lang w:val="es-ES"/>
        </w:rPr>
      </w:pPr>
      <w:r w:rsidRPr="00C26987">
        <w:rPr>
          <w:rStyle w:val="FootnoteReference"/>
        </w:rPr>
        <w:footnoteRef/>
      </w:r>
      <w:r w:rsidR="00A85875">
        <w:rPr>
          <w:lang w:val="es-ES"/>
        </w:rPr>
        <w:t xml:space="preserve"> </w:t>
      </w:r>
      <w:r w:rsidRPr="00C26987">
        <w:rPr>
          <w:lang w:val="es-ES"/>
        </w:rPr>
        <w:t xml:space="preserve">Centro Prodh, Seguimiento sobre el cumplimiento de las recomendaciones del Informe “Situación de Derechos Humanos en México”, de octubre de 2024; A dónde van los desaparecidos, </w:t>
      </w:r>
      <w:hyperlink r:id="rId38" w:history="1">
        <w:r w:rsidR="00A14B74" w:rsidRPr="001034AA">
          <w:rPr>
            <w:rStyle w:val="Hyperlink"/>
            <w:rFonts w:eastAsiaTheme="minorHAnsi" w:cstheme="minorBidi"/>
            <w:color w:val="0563C1" w:themeColor="hyperlink"/>
            <w:lang w:val="es-ES" w:eastAsia="en-US"/>
          </w:rPr>
          <w:t>Acometen despidos masivos en la CNB… y dan direcciones a funcionarios sin experiencia,</w:t>
        </w:r>
      </w:hyperlink>
      <w:r w:rsidRPr="00C26987">
        <w:rPr>
          <w:lang w:val="es-ES"/>
        </w:rPr>
        <w:t xml:space="preserve"> 11 de enero de 2024; La Lista, </w:t>
      </w:r>
      <w:hyperlink r:id="rId39" w:anchor=":~:text=%C2%BFQui%C3%A9nes%20son%20los%20funcionarios%20sin,fue%20colocado%20en%20una%20subdirecci%C3%B3n" w:history="1">
        <w:r w:rsidRPr="001034AA">
          <w:rPr>
            <w:rStyle w:val="Hyperlink"/>
            <w:rFonts w:eastAsiaTheme="minorHAnsi" w:cstheme="minorBidi"/>
            <w:color w:val="0563C1" w:themeColor="hyperlink"/>
            <w:lang w:val="es-ES" w:eastAsia="en-US"/>
          </w:rPr>
          <w:t>Perfiles sin experiencia llegan a la Comisión Nacional de Búsqueda de Personas</w:t>
        </w:r>
      </w:hyperlink>
      <w:r w:rsidR="004432FE">
        <w:rPr>
          <w:lang w:val="es-ES"/>
        </w:rPr>
        <w:t>,</w:t>
      </w:r>
      <w:r w:rsidRPr="00C26987">
        <w:rPr>
          <w:lang w:val="es-ES"/>
        </w:rPr>
        <w:t xml:space="preserve"> 16 de enero de 2024.</w:t>
      </w:r>
    </w:p>
  </w:footnote>
  <w:footnote w:id="47">
    <w:p w14:paraId="136649D2" w14:textId="7C5C6DDA" w:rsidR="00297B25" w:rsidRPr="00C26987" w:rsidRDefault="00297B25" w:rsidP="00285F5A">
      <w:pPr>
        <w:pStyle w:val="IANOTAALPIE"/>
        <w:rPr>
          <w:lang w:val="es-ES"/>
        </w:rPr>
      </w:pPr>
      <w:r w:rsidRPr="00C26987">
        <w:rPr>
          <w:rStyle w:val="FootnoteReference"/>
        </w:rPr>
        <w:footnoteRef/>
      </w:r>
      <w:r w:rsidRPr="00C26987">
        <w:rPr>
          <w:lang w:val="es-ES"/>
        </w:rPr>
        <w:t xml:space="preserve"> Centro Prodh, Seguimiento sobre el cumplimiento de las recomendaciones del Informe “Situación de Derechos Humanos en México”, octubre de 2024; La Lista</w:t>
      </w:r>
      <w:r w:rsidR="00A14B74">
        <w:rPr>
          <w:lang w:val="es-ES"/>
        </w:rPr>
        <w:t>,</w:t>
      </w:r>
      <w:r w:rsidRPr="00C26987">
        <w:rPr>
          <w:lang w:val="es-ES"/>
        </w:rPr>
        <w:t xml:space="preserve"> </w:t>
      </w:r>
      <w:hyperlink r:id="rId40" w:history="1">
        <w:r w:rsidR="00A14B74" w:rsidRPr="001034AA">
          <w:rPr>
            <w:rStyle w:val="Hyperlink"/>
            <w:rFonts w:eastAsiaTheme="minorHAnsi" w:cstheme="minorBidi"/>
            <w:color w:val="0563C1" w:themeColor="hyperlink"/>
            <w:lang w:val="es-ES" w:eastAsia="en-US"/>
          </w:rPr>
          <w:t>La Comisión Nacional de Búsqueda reporta 88% menos trabajadores que en 2023</w:t>
        </w:r>
        <w:r w:rsidR="00A14B74">
          <w:rPr>
            <w:rStyle w:val="Hyperlink"/>
            <w:lang w:val="es-ES"/>
          </w:rPr>
          <w:t>,</w:t>
        </w:r>
      </w:hyperlink>
      <w:r w:rsidRPr="00C26987">
        <w:rPr>
          <w:lang w:val="es-ES"/>
        </w:rPr>
        <w:t xml:space="preserve"> 1 de febrero de 2024. </w:t>
      </w:r>
    </w:p>
  </w:footnote>
  <w:footnote w:id="48">
    <w:p w14:paraId="67933B8C" w14:textId="70C69F46" w:rsidR="007A136D" w:rsidRPr="00C26987" w:rsidRDefault="007A136D" w:rsidP="00285F5A">
      <w:pPr>
        <w:pStyle w:val="IANOTAALPIE"/>
        <w:rPr>
          <w:b/>
          <w:lang w:val="es-US"/>
        </w:rPr>
      </w:pPr>
      <w:r w:rsidRPr="00C26987">
        <w:rPr>
          <w:rStyle w:val="FootnoteReference"/>
        </w:rPr>
        <w:footnoteRef/>
      </w:r>
      <w:r w:rsidRPr="00C26987">
        <w:rPr>
          <w:lang w:val="es-ES"/>
        </w:rPr>
        <w:t xml:space="preserve"> Milenio, </w:t>
      </w:r>
      <w:hyperlink r:id="rId41" w:history="1">
        <w:r w:rsidRPr="001034AA">
          <w:rPr>
            <w:rStyle w:val="Hyperlink"/>
            <w:rFonts w:eastAsiaTheme="minorHAnsi" w:cstheme="minorBidi"/>
            <w:color w:val="0563C1" w:themeColor="hyperlink"/>
            <w:lang w:val="es-ES" w:eastAsia="en-US"/>
          </w:rPr>
          <w:t>Dejan 104 funcionarios la Comisión Nacional de Búsqueda; despidos y renuncias, las causas,</w:t>
        </w:r>
      </w:hyperlink>
      <w:r w:rsidRPr="00C26987">
        <w:rPr>
          <w:lang w:val="es-US"/>
        </w:rPr>
        <w:t xml:space="preserve"> 1 de febrero de 2024.</w:t>
      </w:r>
    </w:p>
  </w:footnote>
  <w:footnote w:id="49">
    <w:p w14:paraId="4AC901AF" w14:textId="74310F0A" w:rsidR="007A136D" w:rsidRPr="00C26987" w:rsidRDefault="007A136D" w:rsidP="00285F5A">
      <w:pPr>
        <w:pStyle w:val="IANOTAALPIE"/>
        <w:rPr>
          <w:b/>
          <w:lang w:val="es-US"/>
        </w:rPr>
      </w:pPr>
      <w:r w:rsidRPr="00C26987">
        <w:rPr>
          <w:rStyle w:val="FootnoteReference"/>
        </w:rPr>
        <w:footnoteRef/>
      </w:r>
      <w:r w:rsidRPr="00C26987">
        <w:rPr>
          <w:lang w:val="es-ES"/>
        </w:rPr>
        <w:t xml:space="preserve"> Animal Político, </w:t>
      </w:r>
      <w:hyperlink r:id="rId42" w:history="1">
        <w:r w:rsidRPr="001034AA">
          <w:rPr>
            <w:rStyle w:val="Hyperlink"/>
            <w:rFonts w:eastAsiaTheme="minorHAnsi" w:cstheme="minorBidi"/>
            <w:color w:val="0563C1" w:themeColor="hyperlink"/>
            <w:lang w:val="es-ES" w:eastAsia="en-US"/>
          </w:rPr>
          <w:t>Más de 100 despidos, presiones y rechazo para renovación de contratos prevalecen en la Comisión Nacional de Búsqueda,</w:t>
        </w:r>
      </w:hyperlink>
      <w:r w:rsidRPr="00C26987">
        <w:rPr>
          <w:lang w:val="es-US"/>
        </w:rPr>
        <w:t xml:space="preserve"> 1 de febrero de 2024.</w:t>
      </w:r>
    </w:p>
  </w:footnote>
  <w:footnote w:id="50">
    <w:p w14:paraId="5CF348D3" w14:textId="11640E3B" w:rsidR="00297B25" w:rsidRPr="00C26987" w:rsidRDefault="00297B25" w:rsidP="00285F5A">
      <w:pPr>
        <w:pStyle w:val="IANOTAALPIE"/>
        <w:rPr>
          <w:lang w:val="es-ES"/>
        </w:rPr>
      </w:pPr>
      <w:r w:rsidRPr="00C26987">
        <w:rPr>
          <w:rStyle w:val="FootnoteReference"/>
        </w:rPr>
        <w:footnoteRef/>
      </w:r>
      <w:r w:rsidRPr="00C26987">
        <w:rPr>
          <w:lang w:val="es-ES"/>
        </w:rPr>
        <w:t xml:space="preserve"> Centro Prodh, Seguimiento sobre el cumplimiento de las recomendaciones del Informe “Situación de Derechos Humanos en México”, octubre de 2024.</w:t>
      </w:r>
    </w:p>
  </w:footnote>
  <w:footnote w:id="51">
    <w:p w14:paraId="236C9609" w14:textId="4682B2E4" w:rsidR="00297B25" w:rsidRPr="00C26987" w:rsidRDefault="00297B25" w:rsidP="00163A9C">
      <w:pPr>
        <w:pStyle w:val="IANOTAALPIE"/>
      </w:pPr>
      <w:r w:rsidRPr="00C26987">
        <w:rPr>
          <w:rStyle w:val="FootnoteReference"/>
        </w:rPr>
        <w:footnoteRef/>
      </w:r>
      <w:r w:rsidRPr="00C26987">
        <w:t xml:space="preserve"> SEGOB, </w:t>
      </w:r>
      <w:hyperlink r:id="rId43" w:history="1">
        <w:r w:rsidRPr="004635A8">
          <w:rPr>
            <w:rStyle w:val="Hyperlink"/>
            <w:rFonts w:eastAsiaTheme="minorHAnsi" w:cstheme="minorBidi"/>
            <w:color w:val="0563C1" w:themeColor="hyperlink"/>
            <w:lang w:val="es-US" w:eastAsia="en-US"/>
          </w:rPr>
          <w:t xml:space="preserve">Segunda Sesión Ordinaria del </w:t>
        </w:r>
        <w:r w:rsidR="00AE1E3A" w:rsidRPr="004635A8">
          <w:rPr>
            <w:rStyle w:val="Hyperlink"/>
            <w:rFonts w:eastAsiaTheme="minorHAnsi" w:cstheme="minorBidi"/>
            <w:color w:val="0563C1" w:themeColor="hyperlink"/>
            <w:lang w:val="es-US" w:eastAsia="en-US"/>
          </w:rPr>
          <w:t>SNB</w:t>
        </w:r>
        <w:r w:rsidRPr="004635A8">
          <w:rPr>
            <w:rStyle w:val="Hyperlink"/>
            <w:rFonts w:eastAsiaTheme="minorHAnsi" w:cstheme="minorBidi"/>
            <w:color w:val="0563C1" w:themeColor="hyperlink"/>
            <w:lang w:val="es-US" w:eastAsia="en-US"/>
          </w:rPr>
          <w:t xml:space="preserve"> de 2024</w:t>
        </w:r>
      </w:hyperlink>
      <w:r w:rsidRPr="00C26987">
        <w:t>, 6 de mayo de 2024</w:t>
      </w:r>
      <w:r w:rsidR="004432FE">
        <w:t>,</w:t>
      </w:r>
      <w:r w:rsidRPr="00C26987">
        <w:t xml:space="preserve"> min. 1:43:00. </w:t>
      </w:r>
    </w:p>
  </w:footnote>
  <w:footnote w:id="52">
    <w:p w14:paraId="62041848" w14:textId="464C48F1" w:rsidR="00C13EC4" w:rsidRPr="00C26987" w:rsidRDefault="00C13EC4" w:rsidP="00163A9C">
      <w:pPr>
        <w:pStyle w:val="IANOTAALPIE"/>
      </w:pPr>
      <w:r w:rsidRPr="00C26987">
        <w:rPr>
          <w:rStyle w:val="FootnoteReference"/>
        </w:rPr>
        <w:footnoteRef/>
      </w:r>
      <w:r w:rsidRPr="00C26987">
        <w:t xml:space="preserve"> Gobierno de México, </w:t>
      </w:r>
      <w:hyperlink r:id="rId44" w:history="1">
        <w:r w:rsidRPr="004635A8">
          <w:rPr>
            <w:rStyle w:val="Hyperlink"/>
            <w:rFonts w:eastAsiaTheme="minorHAnsi" w:cstheme="minorBidi"/>
            <w:color w:val="0563C1" w:themeColor="hyperlink"/>
            <w:lang w:val="es-US" w:eastAsia="en-US"/>
          </w:rPr>
          <w:t>Conferencia del Presidente</w:t>
        </w:r>
        <w:r w:rsidRPr="00C26987">
          <w:rPr>
            <w:rStyle w:val="Hyperlink"/>
            <w:lang w:val="es-ES"/>
          </w:rPr>
          <w:t>,</w:t>
        </w:r>
      </w:hyperlink>
      <w:r w:rsidRPr="00C26987">
        <w:t xml:space="preserve"> 13 de noviembre de 2023.</w:t>
      </w:r>
    </w:p>
  </w:footnote>
  <w:footnote w:id="53">
    <w:p w14:paraId="446FCD87" w14:textId="6329A865" w:rsidR="00C13EC4" w:rsidRPr="00C26987" w:rsidRDefault="00C13EC4" w:rsidP="00163A9C">
      <w:pPr>
        <w:pStyle w:val="IANOTAALPIE"/>
        <w:rPr>
          <w:color w:val="0000FF"/>
          <w:u w:val="single"/>
        </w:rPr>
      </w:pPr>
      <w:r w:rsidRPr="00C26987">
        <w:rPr>
          <w:rStyle w:val="FootnoteReference"/>
        </w:rPr>
        <w:footnoteRef/>
      </w:r>
      <w:r w:rsidRPr="00C26987">
        <w:t xml:space="preserve"> </w:t>
      </w:r>
      <w:hyperlink r:id="rId45" w:history="1">
        <w:r w:rsidRPr="004635A8">
          <w:rPr>
            <w:rStyle w:val="Hyperlink"/>
            <w:rFonts w:eastAsiaTheme="minorHAnsi" w:cstheme="minorBidi"/>
            <w:color w:val="0563C1" w:themeColor="hyperlink"/>
            <w:lang w:val="es-US" w:eastAsia="en-US"/>
          </w:rPr>
          <w:t xml:space="preserve">Ley General en Materia de Desaparición Forzada de Personas, Desaparición Cometida por Particulares y del </w:t>
        </w:r>
        <w:r w:rsidR="00AE1E3A" w:rsidRPr="004635A8">
          <w:rPr>
            <w:rStyle w:val="Hyperlink"/>
            <w:rFonts w:eastAsiaTheme="minorHAnsi" w:cstheme="minorBidi"/>
            <w:color w:val="0563C1" w:themeColor="hyperlink"/>
            <w:lang w:val="es-US" w:eastAsia="en-US"/>
          </w:rPr>
          <w:t>SNB</w:t>
        </w:r>
      </w:hyperlink>
      <w:r w:rsidRPr="00C26987">
        <w:t>, artículo 53.</w:t>
      </w:r>
    </w:p>
  </w:footnote>
  <w:footnote w:id="54">
    <w:p w14:paraId="4DEEB544" w14:textId="1F15BD48" w:rsidR="00F55FC1" w:rsidRPr="00C26987" w:rsidRDefault="00F55FC1" w:rsidP="00163A9C">
      <w:pPr>
        <w:pStyle w:val="IANOTAALPIE"/>
        <w:rPr>
          <w:lang w:val="es-US"/>
        </w:rPr>
      </w:pPr>
      <w:r w:rsidRPr="00C26987">
        <w:rPr>
          <w:rStyle w:val="FootnoteReference"/>
        </w:rPr>
        <w:footnoteRef/>
      </w:r>
      <w:r w:rsidR="78887EE9" w:rsidRPr="00C26987">
        <w:rPr>
          <w:lang w:val="pt-BR"/>
        </w:rPr>
        <w:t xml:space="preserve"> CIDH, </w:t>
      </w:r>
      <w:hyperlink r:id="rId46">
        <w:r w:rsidR="78887EE9" w:rsidRPr="004635A8">
          <w:rPr>
            <w:rStyle w:val="Hyperlink"/>
            <w:rFonts w:eastAsiaTheme="minorHAnsi" w:cstheme="minorBidi"/>
            <w:color w:val="0563C1" w:themeColor="hyperlink"/>
            <w:lang w:val="pt-BR" w:eastAsia="en-US"/>
          </w:rPr>
          <w:t>Informe Anual, Capítulo V, México</w:t>
        </w:r>
      </w:hyperlink>
      <w:r w:rsidR="78887EE9" w:rsidRPr="00C26987">
        <w:rPr>
          <w:lang w:val="pt-BR"/>
        </w:rPr>
        <w:t>, 2023, párr</w:t>
      </w:r>
      <w:r w:rsidR="006B0286">
        <w:rPr>
          <w:lang w:val="pt-BR"/>
        </w:rPr>
        <w:t>s</w:t>
      </w:r>
      <w:r w:rsidR="78887EE9" w:rsidRPr="00C26987">
        <w:rPr>
          <w:lang w:val="pt-BR"/>
        </w:rPr>
        <w:t>.</w:t>
      </w:r>
      <w:r w:rsidR="00A25DCA">
        <w:rPr>
          <w:lang w:val="pt-BR"/>
        </w:rPr>
        <w:t xml:space="preserve"> </w:t>
      </w:r>
      <w:r w:rsidR="78887EE9" w:rsidRPr="00C26987">
        <w:rPr>
          <w:lang w:val="es-US"/>
        </w:rPr>
        <w:t>68-71.</w:t>
      </w:r>
    </w:p>
  </w:footnote>
  <w:footnote w:id="55">
    <w:p w14:paraId="31315D09" w14:textId="223FBE1D" w:rsidR="00745F10" w:rsidRPr="00616692" w:rsidRDefault="00745F10" w:rsidP="00163A9C">
      <w:pPr>
        <w:pStyle w:val="IANOTAALPIE"/>
        <w:rPr>
          <w:lang w:val="es-ES"/>
        </w:rPr>
      </w:pPr>
      <w:r w:rsidRPr="00C26987">
        <w:rPr>
          <w:rStyle w:val="FootnoteReference"/>
        </w:rPr>
        <w:footnoteRef/>
      </w:r>
      <w:r w:rsidRPr="00C26987">
        <w:rPr>
          <w:lang w:val="es-ES"/>
        </w:rPr>
        <w:t xml:space="preserve"> </w:t>
      </w:r>
      <w:r w:rsidR="008B7F43">
        <w:rPr>
          <w:lang w:val="es-ES"/>
        </w:rPr>
        <w:t xml:space="preserve">SIMORE Interamericano, </w:t>
      </w:r>
      <w:hyperlink r:id="rId47" w:history="1">
        <w:r w:rsidR="008B7F43" w:rsidRPr="001034AA">
          <w:rPr>
            <w:rStyle w:val="Hyperlink"/>
            <w:rFonts w:eastAsiaTheme="minorHAnsi" w:cstheme="minorBidi"/>
            <w:color w:val="0563C1" w:themeColor="hyperlink"/>
            <w:lang w:val="es-ES" w:eastAsia="en-US"/>
          </w:rPr>
          <w:t>Informe de avance del Estado mexicano sobre el cumplimiento y seguimiento de las recomendaciones de la CIDH, Recomendación 10</w:t>
        </w:r>
      </w:hyperlink>
      <w:r w:rsidR="008B7F43">
        <w:rPr>
          <w:lang w:val="es-ES"/>
        </w:rPr>
        <w:t xml:space="preserve">, </w:t>
      </w:r>
      <w:r w:rsidR="008B7F43" w:rsidRPr="00C26987">
        <w:rPr>
          <w:lang w:val="es-ES"/>
        </w:rPr>
        <w:t>Capítulo V, 30</w:t>
      </w:r>
      <w:r w:rsidR="008B7F43">
        <w:rPr>
          <w:lang w:val="es-ES"/>
        </w:rPr>
        <w:t xml:space="preserve"> de</w:t>
      </w:r>
      <w:r w:rsidR="008B7F43" w:rsidRPr="00C26987">
        <w:rPr>
          <w:lang w:val="es-ES"/>
        </w:rPr>
        <w:t xml:space="preserve"> septiembre y 1 de octubre de </w:t>
      </w:r>
      <w:r w:rsidR="008B7F43">
        <w:rPr>
          <w:lang w:val="es-ES"/>
        </w:rPr>
        <w:t>2024.</w:t>
      </w:r>
      <w:r w:rsidR="008B7F43" w:rsidRPr="00616692">
        <w:rPr>
          <w:lang w:val="es-ES"/>
        </w:rPr>
        <w:t xml:space="preserve"> </w:t>
      </w:r>
    </w:p>
  </w:footnote>
  <w:footnote w:id="56">
    <w:p w14:paraId="2174131F" w14:textId="79E90A68" w:rsidR="00AB6367" w:rsidRPr="00616692" w:rsidRDefault="00AB6367" w:rsidP="00163A9C">
      <w:pPr>
        <w:pStyle w:val="IANOTAALPIE"/>
        <w:rPr>
          <w:lang w:val="es-ES"/>
        </w:rPr>
      </w:pPr>
      <w:r w:rsidRPr="00616692">
        <w:rPr>
          <w:rStyle w:val="FootnoteReference"/>
        </w:rPr>
        <w:footnoteRef/>
      </w:r>
      <w:r w:rsidRPr="00616692">
        <w:rPr>
          <w:lang w:val="es-ES"/>
        </w:rPr>
        <w:t xml:space="preserve"> El Estado agregó en sus observaciones al presente Informe que, en 2023 se publicó una obra que analiza el marco jurídico en materia de obligaciones estatales respecto a actos de desaparición forzada. </w:t>
      </w:r>
      <w:r w:rsidR="00163A9C" w:rsidRPr="00616692">
        <w:rPr>
          <w:lang w:val="es-ES"/>
        </w:rPr>
        <w:t>Además,</w:t>
      </w:r>
      <w:r w:rsidRPr="00616692">
        <w:rPr>
          <w:lang w:val="es-ES"/>
        </w:rPr>
        <w:t xml:space="preserve"> informó de la resolución de diversas acciones judiciales que desarrollan criterios en materia de desaparición.</w:t>
      </w:r>
    </w:p>
  </w:footnote>
  <w:footnote w:id="57">
    <w:p w14:paraId="0EAD69E9" w14:textId="29ABA216" w:rsidR="005B7446" w:rsidRPr="005B7446" w:rsidRDefault="005B7446" w:rsidP="00163A9C">
      <w:pPr>
        <w:pStyle w:val="IANOTAALPIE"/>
        <w:rPr>
          <w:lang w:val="es-ES"/>
        </w:rPr>
      </w:pPr>
      <w:r w:rsidRPr="00616692">
        <w:rPr>
          <w:rStyle w:val="FootnoteReference"/>
        </w:rPr>
        <w:footnoteRef/>
      </w:r>
      <w:r w:rsidRPr="00616692">
        <w:rPr>
          <w:lang w:val="es-ES"/>
        </w:rPr>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16 de febrero de 2025.</w:t>
      </w:r>
    </w:p>
  </w:footnote>
  <w:footnote w:id="58">
    <w:p w14:paraId="16C5ED6C" w14:textId="59D33411" w:rsidR="00920F13" w:rsidRPr="00C26987" w:rsidRDefault="00920F13" w:rsidP="007B0BAA">
      <w:pPr>
        <w:pStyle w:val="IANOTAALPIE"/>
      </w:pPr>
      <w:r w:rsidRPr="00C26987">
        <w:rPr>
          <w:rStyle w:val="FootnoteReference"/>
        </w:rPr>
        <w:footnoteRef/>
      </w:r>
      <w:r w:rsidRPr="00C26987">
        <w:t xml:space="preserve"> Idheas, Seguimiento sobre el cumplimiento de las recomendaciones del Informe “Situación de Derechos Humanos en México”, octubre de 2024.</w:t>
      </w:r>
    </w:p>
  </w:footnote>
  <w:footnote w:id="59">
    <w:p w14:paraId="4DA4282E" w14:textId="3F00F4B0" w:rsidR="007F752C" w:rsidRPr="00C26987" w:rsidRDefault="007F752C" w:rsidP="007B0BAA">
      <w:pPr>
        <w:pStyle w:val="IANOTAALPIE"/>
      </w:pPr>
      <w:r w:rsidRPr="00C26987">
        <w:rPr>
          <w:rStyle w:val="FootnoteReference"/>
        </w:rPr>
        <w:footnoteRef/>
      </w:r>
      <w:r w:rsidRPr="00C26987">
        <w:t xml:space="preserve"> FIDH, I</w:t>
      </w:r>
      <w:r w:rsidR="00F22721" w:rsidRPr="00C26987">
        <w:t>dh</w:t>
      </w:r>
      <w:r w:rsidRPr="00C26987">
        <w:t>eas, EMAF, Desapariciones de mujeres y violencia por razón de género en Guerrero: el lado invisibilizado de la guerra contra las drogas, 2023, pág</w:t>
      </w:r>
      <w:r w:rsidR="00A14B74">
        <w:t>s</w:t>
      </w:r>
      <w:r w:rsidRPr="00C26987">
        <w:t>. 9-10 y 20-23.</w:t>
      </w:r>
    </w:p>
  </w:footnote>
  <w:footnote w:id="60">
    <w:p w14:paraId="4F35B86C" w14:textId="77777777" w:rsidR="00FB146B" w:rsidRPr="00C26987" w:rsidRDefault="00920F13" w:rsidP="007B0BAA">
      <w:pPr>
        <w:pStyle w:val="IANOTAALPIE"/>
      </w:pPr>
      <w:r w:rsidRPr="00C26987">
        <w:rPr>
          <w:rStyle w:val="FootnoteReference"/>
        </w:rPr>
        <w:footnoteRef/>
      </w:r>
      <w:r w:rsidRPr="00C26987">
        <w:t xml:space="preserve"> </w:t>
      </w:r>
      <w:r w:rsidR="00FB146B" w:rsidRPr="00C26987">
        <w:t>FJEDD, Seguimiento sobre el cumplimiento de las recomendaciones del Informe “Situación de Derechos Humanos en México”,</w:t>
      </w:r>
    </w:p>
    <w:p w14:paraId="10FA99A8" w14:textId="5FAD9F7B" w:rsidR="00920F13" w:rsidRPr="00C26987" w:rsidRDefault="00FB146B" w:rsidP="007B0BAA">
      <w:pPr>
        <w:pStyle w:val="IANOTAALPIE"/>
      </w:pPr>
      <w:r w:rsidRPr="00C26987">
        <w:t>octubre de 2024.</w:t>
      </w:r>
    </w:p>
  </w:footnote>
  <w:footnote w:id="61">
    <w:p w14:paraId="3988F98F" w14:textId="16816524" w:rsidR="00F22721" w:rsidRPr="00C26987" w:rsidRDefault="00F22721" w:rsidP="007B0BAA">
      <w:pPr>
        <w:pStyle w:val="IANOTAALPIE"/>
      </w:pPr>
      <w:r w:rsidRPr="00C26987">
        <w:rPr>
          <w:rStyle w:val="FootnoteReference"/>
        </w:rPr>
        <w:footnoteRef/>
      </w:r>
      <w:r w:rsidRPr="00C26987">
        <w:t xml:space="preserve"> SEGOB, </w:t>
      </w:r>
      <w:hyperlink r:id="rId48" w:history="1">
        <w:r w:rsidRPr="001034AA">
          <w:rPr>
            <w:rStyle w:val="Hyperlink"/>
            <w:rFonts w:eastAsiaTheme="minorHAnsi" w:cstheme="minorBidi"/>
            <w:color w:val="0563C1" w:themeColor="hyperlink"/>
            <w:lang w:val="es-ES" w:eastAsia="en-US"/>
          </w:rPr>
          <w:t xml:space="preserve">Segunda Sesión Ordinaria del </w:t>
        </w:r>
        <w:r w:rsidR="00AE1E3A" w:rsidRPr="001034AA">
          <w:rPr>
            <w:rStyle w:val="Hyperlink"/>
            <w:rFonts w:eastAsiaTheme="minorHAnsi" w:cstheme="minorBidi"/>
            <w:color w:val="0563C1" w:themeColor="hyperlink"/>
            <w:lang w:val="es-ES" w:eastAsia="en-US"/>
          </w:rPr>
          <w:t>SNB</w:t>
        </w:r>
        <w:r w:rsidRPr="001034AA">
          <w:rPr>
            <w:rStyle w:val="Hyperlink"/>
            <w:rFonts w:eastAsiaTheme="minorHAnsi" w:cstheme="minorBidi"/>
            <w:color w:val="0563C1" w:themeColor="hyperlink"/>
            <w:lang w:val="es-ES" w:eastAsia="en-US"/>
          </w:rPr>
          <w:t xml:space="preserve"> de 2024</w:t>
        </w:r>
      </w:hyperlink>
      <w:r w:rsidRPr="00C26987">
        <w:t>, 6 de mayo de 2024</w:t>
      </w:r>
      <w:r w:rsidR="004432FE">
        <w:t>,</w:t>
      </w:r>
      <w:r w:rsidRPr="00C26987">
        <w:t xml:space="preserve"> min. 1:35.00.</w:t>
      </w:r>
    </w:p>
  </w:footnote>
  <w:footnote w:id="62">
    <w:p w14:paraId="033BB790" w14:textId="15411824" w:rsidR="00F22721" w:rsidRPr="00C26987" w:rsidRDefault="00F22721" w:rsidP="007B0BAA">
      <w:pPr>
        <w:pStyle w:val="IANOTAALPIE"/>
        <w:rPr>
          <w:b/>
          <w:bCs/>
        </w:rPr>
      </w:pPr>
      <w:r w:rsidRPr="00C26987">
        <w:rPr>
          <w:rStyle w:val="FootnoteReference"/>
        </w:rPr>
        <w:footnoteRef/>
      </w:r>
      <w:r w:rsidRPr="00C26987">
        <w:t xml:space="preserve"> SEGOB, </w:t>
      </w:r>
      <w:hyperlink r:id="rId49" w:history="1">
        <w:r w:rsidRPr="001034AA">
          <w:rPr>
            <w:rStyle w:val="Hyperlink"/>
            <w:rFonts w:eastAsiaTheme="minorHAnsi" w:cstheme="minorBidi"/>
            <w:color w:val="0563C1" w:themeColor="hyperlink"/>
            <w:lang w:val="es-ES" w:eastAsia="en-US"/>
          </w:rPr>
          <w:t xml:space="preserve">Segunda Sesión Ordinaria del </w:t>
        </w:r>
        <w:r w:rsidR="00AE1E3A" w:rsidRPr="001034AA">
          <w:rPr>
            <w:rStyle w:val="Hyperlink"/>
            <w:rFonts w:eastAsiaTheme="minorHAnsi" w:cstheme="minorBidi"/>
            <w:color w:val="0563C1" w:themeColor="hyperlink"/>
            <w:lang w:val="es-ES" w:eastAsia="en-US"/>
          </w:rPr>
          <w:t>SNB</w:t>
        </w:r>
        <w:r w:rsidRPr="001034AA">
          <w:rPr>
            <w:rStyle w:val="Hyperlink"/>
            <w:rFonts w:eastAsiaTheme="minorHAnsi" w:cstheme="minorBidi"/>
            <w:color w:val="0563C1" w:themeColor="hyperlink"/>
            <w:lang w:val="es-ES" w:eastAsia="en-US"/>
          </w:rPr>
          <w:t xml:space="preserve"> de 2024</w:t>
        </w:r>
      </w:hyperlink>
      <w:r w:rsidRPr="001034AA">
        <w:rPr>
          <w:rStyle w:val="Hyperlink"/>
          <w:rFonts w:eastAsiaTheme="minorHAnsi" w:cstheme="minorBidi"/>
          <w:color w:val="0563C1" w:themeColor="hyperlink"/>
          <w:lang w:val="es-ES" w:eastAsia="en-US"/>
        </w:rPr>
        <w:t>,</w:t>
      </w:r>
      <w:r w:rsidRPr="00C26987">
        <w:t xml:space="preserve"> 6 de mayo de 2024</w:t>
      </w:r>
      <w:r w:rsidR="004432FE">
        <w:t>,</w:t>
      </w:r>
      <w:r w:rsidRPr="00C26987">
        <w:t xml:space="preserve"> min. 1:40.00</w:t>
      </w:r>
      <w:r w:rsidR="00060A58">
        <w:t>.</w:t>
      </w:r>
    </w:p>
  </w:footnote>
  <w:footnote w:id="63">
    <w:p w14:paraId="07F51AFC" w14:textId="5EC58E8A" w:rsidR="00F55FC1" w:rsidRPr="00C26987" w:rsidRDefault="00F55FC1" w:rsidP="002B626E">
      <w:pPr>
        <w:pStyle w:val="IANOTAALPIE"/>
      </w:pPr>
      <w:r w:rsidRPr="00C26987">
        <w:rPr>
          <w:rStyle w:val="FootnoteReference"/>
        </w:rPr>
        <w:footnoteRef/>
      </w:r>
      <w:r w:rsidR="78887EE9" w:rsidRPr="00725972">
        <w:rPr>
          <w:lang w:val="pt-BR"/>
        </w:rPr>
        <w:t xml:space="preserve"> CIDH, </w:t>
      </w:r>
      <w:hyperlink r:id="rId50">
        <w:r w:rsidR="78887EE9" w:rsidRPr="004635A8">
          <w:rPr>
            <w:rStyle w:val="Hyperlink"/>
            <w:rFonts w:eastAsiaTheme="minorHAnsi" w:cstheme="minorBidi"/>
            <w:color w:val="0563C1" w:themeColor="hyperlink"/>
            <w:lang w:val="pt-BR" w:eastAsia="en-US"/>
          </w:rPr>
          <w:t>Informe Anual, Capítulo V, México</w:t>
        </w:r>
      </w:hyperlink>
      <w:r w:rsidR="78887EE9" w:rsidRPr="00725972">
        <w:rPr>
          <w:lang w:val="pt-BR"/>
        </w:rPr>
        <w:t>, 2023, párr</w:t>
      </w:r>
      <w:r w:rsidR="00A14B74" w:rsidRPr="00725972">
        <w:rPr>
          <w:lang w:val="pt-BR"/>
        </w:rPr>
        <w:t>s</w:t>
      </w:r>
      <w:r w:rsidR="78887EE9" w:rsidRPr="00725972">
        <w:rPr>
          <w:lang w:val="pt-BR"/>
        </w:rPr>
        <w:t xml:space="preserve">. </w:t>
      </w:r>
      <w:r w:rsidR="78887EE9" w:rsidRPr="00C26987">
        <w:rPr>
          <w:lang w:val="es-US"/>
        </w:rPr>
        <w:t>73-81</w:t>
      </w:r>
      <w:r w:rsidR="78887EE9" w:rsidRPr="00C26987">
        <w:t>.</w:t>
      </w:r>
    </w:p>
  </w:footnote>
  <w:footnote w:id="64">
    <w:p w14:paraId="208E284B" w14:textId="3957190C" w:rsidR="00745F10" w:rsidRPr="00C26987" w:rsidRDefault="00745F10" w:rsidP="002B626E">
      <w:pPr>
        <w:pStyle w:val="IANOTAALPIE"/>
        <w:rPr>
          <w:lang w:val="es-ES"/>
        </w:rPr>
      </w:pPr>
      <w:r w:rsidRPr="00C26987">
        <w:rPr>
          <w:rStyle w:val="FootnoteReference"/>
        </w:rPr>
        <w:footnoteRef/>
      </w:r>
      <w:r w:rsidRPr="00C26987">
        <w:rPr>
          <w:lang w:val="es-ES"/>
        </w:rPr>
        <w:t xml:space="preserve"> </w:t>
      </w:r>
      <w:r w:rsidR="008B7F43">
        <w:rPr>
          <w:lang w:val="es-ES"/>
        </w:rPr>
        <w:t xml:space="preserve">SIMORE Interamericano, </w:t>
      </w:r>
      <w:hyperlink r:id="rId51" w:history="1">
        <w:r w:rsidR="008B7F43" w:rsidRPr="001034AA">
          <w:rPr>
            <w:rStyle w:val="Hyperlink"/>
            <w:rFonts w:eastAsiaTheme="minorHAnsi" w:cstheme="minorBidi"/>
            <w:color w:val="0563C1" w:themeColor="hyperlink"/>
            <w:lang w:val="es-ES" w:eastAsia="en-US"/>
          </w:rPr>
          <w:t>Informe de avance del Estado mexicano sobre el cumplimiento y seguimiento de las recomendaciones de la CIDH, Recomendación 11</w:t>
        </w:r>
      </w:hyperlink>
      <w:r w:rsidR="008B7F43">
        <w:rPr>
          <w:lang w:val="es-ES"/>
        </w:rPr>
        <w:t xml:space="preserve">, </w:t>
      </w:r>
      <w:r w:rsidR="008B7F43" w:rsidRPr="00C26987">
        <w:rPr>
          <w:lang w:val="es-ES"/>
        </w:rPr>
        <w:t>Capítulo V, 30</w:t>
      </w:r>
      <w:r w:rsidR="008B7F43">
        <w:rPr>
          <w:lang w:val="es-ES"/>
        </w:rPr>
        <w:t xml:space="preserve"> de</w:t>
      </w:r>
      <w:r w:rsidR="008B7F43" w:rsidRPr="00C26987">
        <w:rPr>
          <w:lang w:val="es-ES"/>
        </w:rPr>
        <w:t xml:space="preserve"> septiembre y 1 de octubre de </w:t>
      </w:r>
      <w:r w:rsidR="008B7F43">
        <w:rPr>
          <w:lang w:val="es-ES"/>
        </w:rPr>
        <w:t>2024.</w:t>
      </w:r>
      <w:r w:rsidR="008B7F43" w:rsidRPr="00616692">
        <w:rPr>
          <w:lang w:val="es-ES"/>
        </w:rPr>
        <w:t xml:space="preserve"> </w:t>
      </w:r>
    </w:p>
  </w:footnote>
  <w:footnote w:id="65">
    <w:p w14:paraId="36C7D6DE" w14:textId="77777777" w:rsidR="005B7446" w:rsidRPr="005B7446" w:rsidRDefault="005B7446" w:rsidP="002B626E">
      <w:pPr>
        <w:pStyle w:val="IANOTAALPIE"/>
        <w:rPr>
          <w:lang w:val="es-ES"/>
        </w:rPr>
      </w:pPr>
      <w:r>
        <w:rPr>
          <w:rStyle w:val="FootnoteReference"/>
        </w:rPr>
        <w:footnoteRef/>
      </w:r>
      <w:r w:rsidRPr="005B7446">
        <w:rPr>
          <w:lang w:val="es-ES"/>
        </w:rPr>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66">
    <w:p w14:paraId="5EB45892" w14:textId="20BFA83C" w:rsidR="00411F3E" w:rsidRDefault="00F22721" w:rsidP="002B626E">
      <w:pPr>
        <w:pStyle w:val="IANOTAALPIE"/>
      </w:pPr>
      <w:r w:rsidRPr="00C26987">
        <w:rPr>
          <w:rStyle w:val="FootnoteReference"/>
        </w:rPr>
        <w:footnoteRef/>
      </w:r>
      <w:r w:rsidRPr="00C26987">
        <w:t xml:space="preserve"> Centro Prodh, Seguimiento sobre el cumplimiento de las recomendaciones del Informe “Situación de Derechos Humanos en México”, octubre de 2024</w:t>
      </w:r>
      <w:r w:rsidR="007962A3" w:rsidRPr="00C26987">
        <w:t xml:space="preserve">; </w:t>
      </w:r>
      <w:r w:rsidR="007962A3" w:rsidRPr="00C26987">
        <w:rPr>
          <w:position w:val="-1"/>
          <w:lang w:eastAsia="ja-JP"/>
        </w:rPr>
        <w:t>Quinto Elemento Lab</w:t>
      </w:r>
      <w:r w:rsidR="00A14B74">
        <w:rPr>
          <w:position w:val="-1"/>
          <w:lang w:eastAsia="ja-JP"/>
        </w:rPr>
        <w:t>,</w:t>
      </w:r>
      <w:r w:rsidR="007962A3" w:rsidRPr="00C26987">
        <w:rPr>
          <w:position w:val="-1"/>
          <w:lang w:eastAsia="ja-JP"/>
        </w:rPr>
        <w:t xml:space="preserve"> </w:t>
      </w:r>
      <w:hyperlink r:id="rId52" w:history="1">
        <w:r w:rsidR="006B0286" w:rsidRPr="002B01A1">
          <w:rPr>
            <w:rStyle w:val="Hyperlink"/>
            <w:rFonts w:eastAsiaTheme="minorHAnsi" w:cstheme="minorBidi"/>
            <w:color w:val="0563C1" w:themeColor="hyperlink"/>
            <w:lang w:val="es-ES" w:eastAsia="en-US"/>
          </w:rPr>
          <w:t>México rebasa las 5 mil 600 fosas clandestinas</w:t>
        </w:r>
        <w:r w:rsidR="006B0286">
          <w:rPr>
            <w:rStyle w:val="Hyperlink"/>
            <w:lang w:val="es-ES" w:eastAsia="ja-JP"/>
          </w:rPr>
          <w:t>,</w:t>
        </w:r>
      </w:hyperlink>
      <w:r w:rsidR="007962A3" w:rsidRPr="00C26987">
        <w:rPr>
          <w:position w:val="-1"/>
          <w:lang w:eastAsia="ja-JP"/>
        </w:rPr>
        <w:t xml:space="preserve"> 9 de octubre de 2023.</w:t>
      </w:r>
      <w:r w:rsidR="00A25DCA">
        <w:rPr>
          <w:position w:val="-1"/>
          <w:lang w:eastAsia="ja-JP"/>
        </w:rPr>
        <w:t xml:space="preserve"> </w:t>
      </w:r>
      <w:r w:rsidRPr="00C26987">
        <w:t xml:space="preserve">Al respecto, el Centro Prodh enlistó los siguientes ejemplos: </w:t>
      </w:r>
    </w:p>
    <w:p w14:paraId="32897F05" w14:textId="1C86C323" w:rsidR="007962A3" w:rsidRPr="00290A05" w:rsidRDefault="00411F3E" w:rsidP="002B626E">
      <w:pPr>
        <w:pStyle w:val="IANOTAALPIE"/>
        <w:ind w:firstLine="900"/>
        <w:rPr>
          <w:position w:val="-1"/>
          <w:lang w:eastAsia="ja-JP"/>
        </w:rPr>
      </w:pPr>
      <w:r>
        <w:t xml:space="preserve">I. </w:t>
      </w:r>
      <w:r w:rsidR="007962A3" w:rsidRPr="00C26987">
        <w:t>Registro Nacional de Personas Fallecidas No Identificadas y No Reclamadas. Al corte del 31 de marzo de 2024, se contaba únicamente con 490 registros, frente a los 46</w:t>
      </w:r>
      <w:r w:rsidR="00170408">
        <w:t>.</w:t>
      </w:r>
      <w:r w:rsidR="007962A3" w:rsidRPr="00C26987">
        <w:t>731 cuerpos que, de acuerdo con el último informe del INEGI</w:t>
      </w:r>
      <w:r w:rsidR="0072297F">
        <w:t xml:space="preserve"> </w:t>
      </w:r>
      <w:r w:rsidR="007962A3" w:rsidRPr="00C26987">
        <w:t xml:space="preserve">quedaron rezagados para </w:t>
      </w:r>
      <w:r w:rsidR="007962A3" w:rsidRPr="00290A05">
        <w:t>identificación</w:t>
      </w:r>
      <w:r w:rsidR="00290A05" w:rsidRPr="00290A05">
        <w:t xml:space="preserve">, </w:t>
      </w:r>
      <w:r w:rsidR="007962A3" w:rsidRPr="00290A05">
        <w:t>solo del año 2022. Es decir, el avance es sumamente lento e insuficiente respecto de la dimensión de la crisis forense y en términos de la debida diligencia para la búsqueda e identificación de las personas desaparecidas.</w:t>
      </w:r>
    </w:p>
    <w:p w14:paraId="26023ECF" w14:textId="157B9849" w:rsidR="00290A05" w:rsidRPr="00290A05" w:rsidRDefault="00E53A45" w:rsidP="002B626E">
      <w:pPr>
        <w:pStyle w:val="IANOTAALPIE"/>
        <w:ind w:firstLine="900"/>
      </w:pPr>
      <w:r w:rsidRPr="00290A05">
        <w:t xml:space="preserve">II. </w:t>
      </w:r>
      <w:r w:rsidR="007962A3" w:rsidRPr="00290A05">
        <w:t xml:space="preserve">Base de datos </w:t>
      </w:r>
      <w:r w:rsidR="007962A3" w:rsidRPr="00290A05">
        <w:rPr>
          <w:i/>
          <w:iCs/>
        </w:rPr>
        <w:t>ante mortem</w:t>
      </w:r>
      <w:r w:rsidR="007962A3" w:rsidRPr="00290A05">
        <w:t xml:space="preserve"> y </w:t>
      </w:r>
      <w:r w:rsidR="007962A3" w:rsidRPr="00290A05">
        <w:rPr>
          <w:i/>
          <w:iCs/>
        </w:rPr>
        <w:t>post mortem</w:t>
      </w:r>
      <w:r w:rsidR="007962A3" w:rsidRPr="00290A05">
        <w:t>. De acuerdo con la FGR, al corte del 31 de marzo se contaba con 134</w:t>
      </w:r>
      <w:r w:rsidR="00170408" w:rsidRPr="00290A05">
        <w:t>.</w:t>
      </w:r>
      <w:r w:rsidR="007962A3" w:rsidRPr="00290A05">
        <w:t>449 registros en esta base</w:t>
      </w:r>
      <w:r w:rsidR="006F6BD2">
        <w:t>;</w:t>
      </w:r>
      <w:r w:rsidR="007962A3" w:rsidRPr="00290A05">
        <w:t xml:space="preserve"> sin embargo, no </w:t>
      </w:r>
      <w:r w:rsidRPr="00290A05">
        <w:t>precisa</w:t>
      </w:r>
      <w:r w:rsidR="007962A3" w:rsidRPr="00290A05">
        <w:t xml:space="preserve"> la autoridad responsable </w:t>
      </w:r>
      <w:r w:rsidR="00290A05" w:rsidRPr="00290A05">
        <w:t>que realizó el registro</w:t>
      </w:r>
      <w:r w:rsidR="007962A3" w:rsidRPr="00290A05">
        <w:t xml:space="preserve">. </w:t>
      </w:r>
    </w:p>
    <w:p w14:paraId="65A6C926" w14:textId="6ECDF8FB" w:rsidR="007962A3" w:rsidRPr="00290A05" w:rsidRDefault="0069294F" w:rsidP="002B626E">
      <w:pPr>
        <w:pStyle w:val="IANOTAALPIE"/>
        <w:ind w:firstLine="900"/>
      </w:pPr>
      <w:r w:rsidRPr="00290A05">
        <w:t xml:space="preserve">III. </w:t>
      </w:r>
      <w:r w:rsidR="007962A3" w:rsidRPr="00290A05">
        <w:t xml:space="preserve">Alerta Amber. FGR </w:t>
      </w:r>
      <w:r w:rsidRPr="00290A05">
        <w:t>indica</w:t>
      </w:r>
      <w:r w:rsidR="007962A3" w:rsidRPr="00290A05">
        <w:t xml:space="preserve"> que contará la misma fecha que los registros previos</w:t>
      </w:r>
      <w:r w:rsidR="006F6BD2">
        <w:t>,</w:t>
      </w:r>
      <w:r w:rsidR="007962A3" w:rsidRPr="00290A05">
        <w:t xml:space="preserve"> con 1</w:t>
      </w:r>
      <w:r w:rsidR="00170408" w:rsidRPr="00290A05">
        <w:t>.</w:t>
      </w:r>
      <w:r w:rsidR="007962A3" w:rsidRPr="00290A05">
        <w:t>498 registros sobre niñas, niños o adolescentes desaparecidos o desaparecidas. Sin embargo, de acuerdo con el Registro Nacional de Personas Desaparecidas y No Localizadas, para abril de 2024 había más de 17</w:t>
      </w:r>
      <w:r w:rsidR="00170408" w:rsidRPr="00290A05">
        <w:t>.</w:t>
      </w:r>
      <w:r w:rsidR="007962A3" w:rsidRPr="00290A05">
        <w:t>000 niñas, niños o adolescentes víctimas de desaparición (es decir, no se cuenta con la información de más de 15 mil niños, niñas o adolescentes)</w:t>
      </w:r>
      <w:r w:rsidR="006F6BD2">
        <w:t>.</w:t>
      </w:r>
    </w:p>
    <w:p w14:paraId="4A7FAB78" w14:textId="48DC18C3" w:rsidR="007962A3" w:rsidRPr="00290A05" w:rsidRDefault="0061576D" w:rsidP="002B626E">
      <w:pPr>
        <w:pStyle w:val="IANOTAALPIE"/>
        <w:ind w:firstLine="900"/>
      </w:pPr>
      <w:r w:rsidRPr="00290A05">
        <w:t xml:space="preserve">IV. </w:t>
      </w:r>
      <w:r w:rsidR="007962A3" w:rsidRPr="00290A05">
        <w:t xml:space="preserve">Registro Nacional de Fosas Comunes y Fosas Clandestinas. En particular, la FGR ha informado que, para el fin de marzo de 2024, únicamente se ha interconectado la información de fosas clandestinas, es decir, el Registro de Fosas Comunes establecido en la Ley </w:t>
      </w:r>
      <w:r w:rsidRPr="00290A05">
        <w:t>General</w:t>
      </w:r>
      <w:r w:rsidR="007962A3" w:rsidRPr="00290A05">
        <w:t xml:space="preserve"> continúa sin existir. Adicionalmente, se tiene registro de 1</w:t>
      </w:r>
      <w:r w:rsidR="00170408" w:rsidRPr="00290A05">
        <w:t>.</w:t>
      </w:r>
      <w:r w:rsidR="007962A3" w:rsidRPr="00290A05">
        <w:t>789 fosas clandestinas, cifra que contrasta con la información hecha pública en 2023 por la CNB</w:t>
      </w:r>
      <w:r w:rsidR="000A42F4">
        <w:t>,</w:t>
      </w:r>
      <w:r w:rsidR="007962A3" w:rsidRPr="00290A05">
        <w:t xml:space="preserve"> que tenía registro de</w:t>
      </w:r>
      <w:r w:rsidR="000A42F4">
        <w:t>,</w:t>
      </w:r>
      <w:r w:rsidR="007962A3" w:rsidRPr="00290A05">
        <w:t xml:space="preserve"> al menos</w:t>
      </w:r>
      <w:r w:rsidR="000A42F4">
        <w:t>,</w:t>
      </w:r>
      <w:r w:rsidR="007962A3" w:rsidRPr="00290A05">
        <w:t xml:space="preserve"> 2</w:t>
      </w:r>
      <w:r w:rsidR="00170408" w:rsidRPr="00290A05">
        <w:t>.</w:t>
      </w:r>
      <w:r w:rsidR="007962A3" w:rsidRPr="00290A05">
        <w:t>863 fosas clandestinas desde el año 2006</w:t>
      </w:r>
      <w:r w:rsidR="007D353F">
        <w:t>;</w:t>
      </w:r>
      <w:r w:rsidR="007962A3" w:rsidRPr="00290A05">
        <w:t xml:space="preserve"> mientras que ejercicios académicos y periodísticos dan cuenta de que la cifra es todavía mayor, pues se han documentado inclusive más de 5</w:t>
      </w:r>
      <w:r w:rsidR="00353F4E" w:rsidRPr="00290A05">
        <w:t>.</w:t>
      </w:r>
      <w:r w:rsidR="007962A3" w:rsidRPr="00290A05">
        <w:t>600 fosas clandestinas.</w:t>
      </w:r>
    </w:p>
    <w:p w14:paraId="0A47CE64" w14:textId="3EAEC835" w:rsidR="00F22721" w:rsidRPr="00290A05" w:rsidRDefault="003B7A7D" w:rsidP="002B626E">
      <w:pPr>
        <w:pStyle w:val="IANOTAALPIE"/>
        <w:ind w:firstLine="900"/>
      </w:pPr>
      <w:r w:rsidRPr="00290A05">
        <w:t>V.</w:t>
      </w:r>
      <w:r w:rsidR="00574518" w:rsidRPr="00290A05">
        <w:t xml:space="preserve"> </w:t>
      </w:r>
      <w:r w:rsidR="007962A3" w:rsidRPr="00290A05">
        <w:t>Base Nacional de Información Genética. De acuerdo con la información proveída</w:t>
      </w:r>
      <w:r w:rsidR="007D353F">
        <w:t>,</w:t>
      </w:r>
      <w:r w:rsidR="007962A3" w:rsidRPr="00290A05">
        <w:t xml:space="preserve"> la base cuenta con 9</w:t>
      </w:r>
      <w:r w:rsidR="00170408" w:rsidRPr="00290A05">
        <w:t>.</w:t>
      </w:r>
      <w:r w:rsidR="007962A3" w:rsidRPr="00290A05">
        <w:t>374 registros, sin que se pueda distinguir si se trata de registros de muestras de referencia de familiares de personas desaparecidas o de cuerpos o restos pendientes de identificar. Adicionalmente, la cifra dista de los registros con los que una auténtica base a nivel nacional de información genética debería contar</w:t>
      </w:r>
      <w:r w:rsidR="00024A61">
        <w:t>:</w:t>
      </w:r>
      <w:r w:rsidR="007962A3" w:rsidRPr="00290A05">
        <w:t xml:space="preserve"> es decir, al menos 52 mil registros de cuerpos, así como las muestras de referencia de las familiares de personas desaparecidas.</w:t>
      </w:r>
    </w:p>
  </w:footnote>
  <w:footnote w:id="67">
    <w:p w14:paraId="4926CB67" w14:textId="42F62486" w:rsidR="00522FE8" w:rsidRPr="00290A05" w:rsidRDefault="00522FE8" w:rsidP="002B626E">
      <w:pPr>
        <w:pStyle w:val="IANOTAALPIE"/>
      </w:pPr>
      <w:r w:rsidRPr="00290A05">
        <w:rPr>
          <w:rStyle w:val="FootnoteReference"/>
        </w:rPr>
        <w:footnoteRef/>
      </w:r>
      <w:r w:rsidRPr="00290A05">
        <w:t xml:space="preserve"> Proceso, </w:t>
      </w:r>
      <w:hyperlink r:id="rId53" w:history="1">
        <w:r w:rsidRPr="001034AA">
          <w:rPr>
            <w:rStyle w:val="Hyperlink"/>
            <w:rFonts w:eastAsiaTheme="minorHAnsi" w:cstheme="minorBidi"/>
            <w:color w:val="0563C1" w:themeColor="hyperlink"/>
            <w:lang w:val="es-ES" w:eastAsia="en-US"/>
          </w:rPr>
          <w:t>Tiene censo de AMLO otros datos... equivocados,</w:t>
        </w:r>
      </w:hyperlink>
      <w:r w:rsidRPr="00290A05">
        <w:t xml:space="preserve"> 22 </w:t>
      </w:r>
      <w:r w:rsidR="00460C11" w:rsidRPr="00290A05">
        <w:t xml:space="preserve">de </w:t>
      </w:r>
      <w:r w:rsidRPr="00290A05">
        <w:t xml:space="preserve">enero </w:t>
      </w:r>
      <w:r w:rsidR="00460C11" w:rsidRPr="00290A05">
        <w:t xml:space="preserve">de </w:t>
      </w:r>
      <w:r w:rsidRPr="00290A05">
        <w:t>2024; Aristegui Noticias</w:t>
      </w:r>
      <w:r w:rsidR="0021088C" w:rsidRPr="00290A05">
        <w:t>,</w:t>
      </w:r>
      <w:r w:rsidRPr="00290A05">
        <w:t xml:space="preserve"> </w:t>
      </w:r>
      <w:hyperlink r:id="rId54" w:history="1">
        <w:r w:rsidRPr="001034AA">
          <w:rPr>
            <w:rStyle w:val="Hyperlink"/>
            <w:rFonts w:eastAsiaTheme="minorHAnsi" w:cstheme="minorBidi"/>
            <w:color w:val="0563C1" w:themeColor="hyperlink"/>
            <w:lang w:val="es-ES" w:eastAsia="en-US"/>
          </w:rPr>
          <w:t>Hija de Rafael Ramírez Duarte explica cómo autoridades se disculparon tras informar falsos indicios de localizarlo</w:t>
        </w:r>
      </w:hyperlink>
      <w:r w:rsidR="006B0286" w:rsidRPr="00290A05">
        <w:t>,</w:t>
      </w:r>
      <w:r w:rsidRPr="00290A05">
        <w:t xml:space="preserve"> 29 de marzo de 2024.</w:t>
      </w:r>
    </w:p>
  </w:footnote>
  <w:footnote w:id="68">
    <w:p w14:paraId="2521BB1C" w14:textId="04277ED6" w:rsidR="007962A3" w:rsidRPr="00290A05" w:rsidRDefault="007962A3" w:rsidP="002B626E">
      <w:pPr>
        <w:pStyle w:val="IANOTAALPIE"/>
      </w:pPr>
      <w:r w:rsidRPr="00290A05">
        <w:rPr>
          <w:rStyle w:val="FootnoteReference"/>
        </w:rPr>
        <w:footnoteRef/>
      </w:r>
      <w:r w:rsidRPr="00290A05">
        <w:t xml:space="preserve"> En el caso del Centro Prodh</w:t>
      </w:r>
      <w:r w:rsidR="00024A61">
        <w:t>,</w:t>
      </w:r>
      <w:r w:rsidRPr="00290A05">
        <w:t xml:space="preserve"> informaron que llevaron a cabo una sesión informativa junto al medio digital “A dónde van los desaparecidos”</w:t>
      </w:r>
      <w:r w:rsidR="00024A61">
        <w:t>,</w:t>
      </w:r>
      <w:r w:rsidRPr="00290A05">
        <w:t xml:space="preserve"> para ofrecer herramientas para verificar el estatus del caso de los registros y ofrecer asesorías consecuentes con formatos para presentar solicitudes de revisión ante la CNB. Cfr. Centro Prodh</w:t>
      </w:r>
      <w:r w:rsidR="006B0286" w:rsidRPr="00290A05">
        <w:t>,</w:t>
      </w:r>
      <w:r w:rsidRPr="00290A05">
        <w:t xml:space="preserve"> </w:t>
      </w:r>
      <w:hyperlink r:id="rId55" w:history="1">
        <w:r w:rsidR="0021088C" w:rsidRPr="001034AA">
          <w:rPr>
            <w:rStyle w:val="Hyperlink"/>
            <w:rFonts w:eastAsiaTheme="minorHAnsi" w:cstheme="minorBidi"/>
            <w:color w:val="0563C1" w:themeColor="hyperlink"/>
            <w:lang w:val="es-ES" w:eastAsia="en-US"/>
          </w:rPr>
          <w:t>Cómo buscar y qué hacer en caso de que tu familiar no esté o sus datos sean erróneos en el RNPDNO,</w:t>
        </w:r>
      </w:hyperlink>
      <w:r w:rsidRPr="00290A05">
        <w:t xml:space="preserve"> 15 de febrero de 2024. </w:t>
      </w:r>
    </w:p>
  </w:footnote>
  <w:footnote w:id="69">
    <w:p w14:paraId="6E98C99F" w14:textId="3E797475" w:rsidR="00522FE8" w:rsidRPr="00290A05" w:rsidRDefault="00522FE8" w:rsidP="002B626E">
      <w:pPr>
        <w:pStyle w:val="IANOTAALPIE"/>
      </w:pPr>
      <w:r w:rsidRPr="00290A05">
        <w:rPr>
          <w:rStyle w:val="FootnoteReference"/>
        </w:rPr>
        <w:footnoteRef/>
      </w:r>
      <w:r w:rsidRPr="00290A05">
        <w:t xml:space="preserve"> Gobierno de México, </w:t>
      </w:r>
      <w:hyperlink r:id="rId56" w:history="1">
        <w:r w:rsidRPr="001034AA">
          <w:rPr>
            <w:rStyle w:val="Hyperlink"/>
            <w:rFonts w:eastAsiaTheme="minorHAnsi" w:cstheme="minorBidi"/>
            <w:color w:val="0563C1" w:themeColor="hyperlink"/>
            <w:lang w:val="es-ES" w:eastAsia="en-US"/>
          </w:rPr>
          <w:t>Versión estenográfica. Conferencia de prensa del presidente Andrés Manuel López Obrador</w:t>
        </w:r>
      </w:hyperlink>
      <w:r w:rsidRPr="00290A05">
        <w:t>, 18 de marzo de 2024.</w:t>
      </w:r>
    </w:p>
  </w:footnote>
  <w:footnote w:id="70">
    <w:p w14:paraId="48E7D8A2" w14:textId="6C918130" w:rsidR="00522FE8" w:rsidRPr="00C26987" w:rsidRDefault="00522FE8" w:rsidP="00FD7038">
      <w:pPr>
        <w:pStyle w:val="IANOTAALPIE"/>
      </w:pPr>
      <w:r w:rsidRPr="00290A05">
        <w:rPr>
          <w:rStyle w:val="FootnoteReference"/>
        </w:rPr>
        <w:footnoteRef/>
      </w:r>
      <w:r w:rsidRPr="00290A05">
        <w:t xml:space="preserve"> Centro Prodh, Seguimiento sobre el cumplimiento de las recomendaciones del Informe “Situación de Derechos Humanos en México”, octubre de 2024</w:t>
      </w:r>
      <w:r w:rsidR="00A61C99" w:rsidRPr="00290A05">
        <w:t>.</w:t>
      </w:r>
    </w:p>
  </w:footnote>
  <w:footnote w:id="71">
    <w:p w14:paraId="7292257E" w14:textId="3C6022B7" w:rsidR="005820EE" w:rsidRPr="00C26987" w:rsidRDefault="005820EE" w:rsidP="00FD7038">
      <w:pPr>
        <w:pStyle w:val="IANOTAALPIE"/>
      </w:pPr>
      <w:r w:rsidRPr="00E73208">
        <w:rPr>
          <w:rStyle w:val="FootnoteReference"/>
        </w:rPr>
        <w:footnoteRef/>
      </w:r>
      <w:r w:rsidRPr="00E73208">
        <w:t xml:space="preserve"> </w:t>
      </w:r>
      <w:r w:rsidR="00805E05">
        <w:t xml:space="preserve">ONU, </w:t>
      </w:r>
      <w:r w:rsidRPr="00E73208">
        <w:t xml:space="preserve">Comité </w:t>
      </w:r>
      <w:r w:rsidR="00D11043" w:rsidRPr="00E73208">
        <w:t>c</w:t>
      </w:r>
      <w:r w:rsidRPr="00E73208">
        <w:t xml:space="preserve">ontra la </w:t>
      </w:r>
      <w:r w:rsidR="00D11043" w:rsidRPr="00E73208">
        <w:t>D</w:t>
      </w:r>
      <w:r w:rsidRPr="00E73208">
        <w:t xml:space="preserve">esaparición Forzada, Informe sobre su visita a México </w:t>
      </w:r>
      <w:r w:rsidR="00B51437" w:rsidRPr="00E73208">
        <w:t>en virtud</w:t>
      </w:r>
      <w:r w:rsidRPr="00E73208">
        <w:t xml:space="preserve"> </w:t>
      </w:r>
      <w:r w:rsidR="00C26987" w:rsidRPr="00E73208">
        <w:t>del artículo</w:t>
      </w:r>
      <w:r w:rsidRPr="00E73208">
        <w:t xml:space="preserve"> 33 de la Convención</w:t>
      </w:r>
      <w:r w:rsidR="00B51437" w:rsidRPr="00E73208">
        <w:t xml:space="preserve">, </w:t>
      </w:r>
      <w:r w:rsidR="000F4806" w:rsidRPr="00E73208">
        <w:t>12 de abril de</w:t>
      </w:r>
      <w:r w:rsidRPr="00E73208">
        <w:t xml:space="preserve"> 2022.</w:t>
      </w:r>
    </w:p>
  </w:footnote>
  <w:footnote w:id="72">
    <w:p w14:paraId="33F1524D" w14:textId="4A657514" w:rsidR="00F55FC1" w:rsidRPr="00C26987" w:rsidRDefault="00F55FC1" w:rsidP="00FD7038">
      <w:pPr>
        <w:pStyle w:val="IANOTAALPIE"/>
      </w:pPr>
      <w:r w:rsidRPr="00C26987">
        <w:rPr>
          <w:rStyle w:val="FootnoteReference"/>
        </w:rPr>
        <w:footnoteRef/>
      </w:r>
      <w:r w:rsidR="78887EE9" w:rsidRPr="00C26987">
        <w:rPr>
          <w:lang w:val="pt-BR"/>
        </w:rPr>
        <w:t xml:space="preserve"> CIDH, </w:t>
      </w:r>
      <w:hyperlink r:id="rId57">
        <w:r w:rsidR="78887EE9" w:rsidRPr="004635A8">
          <w:rPr>
            <w:rStyle w:val="Hyperlink"/>
            <w:rFonts w:eastAsiaTheme="minorHAnsi" w:cstheme="minorBidi"/>
            <w:color w:val="0563C1" w:themeColor="hyperlink"/>
            <w:lang w:val="pt-BR" w:eastAsia="en-US"/>
          </w:rPr>
          <w:t>Informe Anual, Capítulo V, México,</w:t>
        </w:r>
      </w:hyperlink>
      <w:r w:rsidR="78887EE9" w:rsidRPr="00C26987">
        <w:rPr>
          <w:lang w:val="pt-BR"/>
        </w:rPr>
        <w:t xml:space="preserve"> 2023, párr</w:t>
      </w:r>
      <w:r w:rsidR="0021088C">
        <w:rPr>
          <w:lang w:val="pt-BR"/>
        </w:rPr>
        <w:t>s</w:t>
      </w:r>
      <w:r w:rsidR="78887EE9" w:rsidRPr="00C26987">
        <w:rPr>
          <w:lang w:val="pt-BR"/>
        </w:rPr>
        <w:t xml:space="preserve">. </w:t>
      </w:r>
      <w:r w:rsidR="78887EE9" w:rsidRPr="00C26987">
        <w:t>84-87.</w:t>
      </w:r>
    </w:p>
  </w:footnote>
  <w:footnote w:id="73">
    <w:p w14:paraId="325EEE14" w14:textId="03043C98" w:rsidR="008577FF" w:rsidRPr="00C26987" w:rsidRDefault="008577FF" w:rsidP="00FD7038">
      <w:pPr>
        <w:pStyle w:val="IANOTAALPIE"/>
        <w:rPr>
          <w:lang w:val="es-ES"/>
        </w:rPr>
      </w:pPr>
      <w:r w:rsidRPr="00C26987">
        <w:rPr>
          <w:rStyle w:val="FootnoteReference"/>
        </w:rPr>
        <w:footnoteRef/>
      </w:r>
      <w:r w:rsidRPr="00C26987">
        <w:rPr>
          <w:lang w:val="es-ES"/>
        </w:rPr>
        <w:t xml:space="preserve"> </w:t>
      </w:r>
      <w:r w:rsidR="008B7F43">
        <w:rPr>
          <w:lang w:val="es-ES"/>
        </w:rPr>
        <w:t xml:space="preserve">SIMORE Interamericano, </w:t>
      </w:r>
      <w:hyperlink r:id="rId58" w:history="1">
        <w:r w:rsidR="008B7F43" w:rsidRPr="001034AA">
          <w:rPr>
            <w:rStyle w:val="Hyperlink"/>
            <w:rFonts w:eastAsiaTheme="minorHAnsi" w:cstheme="minorBidi"/>
            <w:color w:val="0563C1" w:themeColor="hyperlink"/>
            <w:lang w:val="es-ES" w:eastAsia="en-US"/>
          </w:rPr>
          <w:t>Informe de avance del Estado mexicano sobre el cumplimiento y seguimiento de las recomendaciones de la CIDH, Recomendación 12</w:t>
        </w:r>
      </w:hyperlink>
      <w:r w:rsidR="008B7F43">
        <w:rPr>
          <w:lang w:val="es-ES"/>
        </w:rPr>
        <w:t xml:space="preserve">, </w:t>
      </w:r>
      <w:r w:rsidR="008B7F43" w:rsidRPr="00C26987">
        <w:rPr>
          <w:lang w:val="es-ES"/>
        </w:rPr>
        <w:t>Capítulo V, 30</w:t>
      </w:r>
      <w:r w:rsidR="008B7F43">
        <w:rPr>
          <w:lang w:val="es-ES"/>
        </w:rPr>
        <w:t xml:space="preserve"> de</w:t>
      </w:r>
      <w:r w:rsidR="008B7F43" w:rsidRPr="00C26987">
        <w:rPr>
          <w:lang w:val="es-ES"/>
        </w:rPr>
        <w:t xml:space="preserve"> septiembre y 1 de octubre de </w:t>
      </w:r>
      <w:r w:rsidR="008B7F43">
        <w:rPr>
          <w:lang w:val="es-ES"/>
        </w:rPr>
        <w:t>2024.</w:t>
      </w:r>
      <w:r w:rsidR="008B7F43" w:rsidRPr="00616692">
        <w:rPr>
          <w:lang w:val="es-ES"/>
        </w:rPr>
        <w:t xml:space="preserve"> </w:t>
      </w:r>
    </w:p>
  </w:footnote>
  <w:footnote w:id="74">
    <w:p w14:paraId="0BA815CB" w14:textId="24248437" w:rsidR="008577FF" w:rsidRPr="00C26987" w:rsidRDefault="008577FF" w:rsidP="00FD7038">
      <w:pPr>
        <w:pStyle w:val="IANOTAALPIE"/>
        <w:rPr>
          <w:lang w:val="es-ES"/>
        </w:rPr>
      </w:pPr>
      <w:r w:rsidRPr="00C26987">
        <w:rPr>
          <w:rStyle w:val="FootnoteReference"/>
        </w:rPr>
        <w:footnoteRef/>
      </w:r>
      <w:r w:rsidRPr="00C26987">
        <w:rPr>
          <w:lang w:val="es-ES"/>
        </w:rPr>
        <w:t xml:space="preserve"> </w:t>
      </w:r>
      <w:r w:rsidR="008B7F43">
        <w:rPr>
          <w:lang w:val="es-ES"/>
        </w:rPr>
        <w:t xml:space="preserve">SIMORE Interamericano, </w:t>
      </w:r>
      <w:hyperlink r:id="rId59" w:history="1">
        <w:r w:rsidR="008B7F43" w:rsidRPr="001034AA">
          <w:rPr>
            <w:rStyle w:val="Hyperlink"/>
            <w:rFonts w:eastAsiaTheme="minorHAnsi" w:cstheme="minorBidi"/>
            <w:color w:val="0563C1" w:themeColor="hyperlink"/>
            <w:lang w:val="es-ES" w:eastAsia="en-US"/>
          </w:rPr>
          <w:t>Informe de avance del Estado mexicano sobre el cumplimiento y seguimiento de las recomendaciones de la CIDH, Recomendación 12</w:t>
        </w:r>
      </w:hyperlink>
      <w:r w:rsidR="008B7F43">
        <w:rPr>
          <w:lang w:val="es-ES"/>
        </w:rPr>
        <w:t xml:space="preserve">, </w:t>
      </w:r>
      <w:r w:rsidR="008B7F43" w:rsidRPr="00C26987">
        <w:rPr>
          <w:lang w:val="es-ES"/>
        </w:rPr>
        <w:t>Capítulo V, 30</w:t>
      </w:r>
      <w:r w:rsidR="008B7F43">
        <w:rPr>
          <w:lang w:val="es-ES"/>
        </w:rPr>
        <w:t xml:space="preserve"> de</w:t>
      </w:r>
      <w:r w:rsidR="008B7F43" w:rsidRPr="00C26987">
        <w:rPr>
          <w:lang w:val="es-ES"/>
        </w:rPr>
        <w:t xml:space="preserve"> septiembre y 1 de octubre de </w:t>
      </w:r>
      <w:r w:rsidR="008B7F43">
        <w:rPr>
          <w:lang w:val="es-ES"/>
        </w:rPr>
        <w:t>2024.</w:t>
      </w:r>
    </w:p>
  </w:footnote>
  <w:footnote w:id="75">
    <w:p w14:paraId="050B8C35" w14:textId="634B80E2" w:rsidR="008577FF" w:rsidRPr="00C26987" w:rsidRDefault="008577FF" w:rsidP="00FD7038">
      <w:pPr>
        <w:pStyle w:val="IANOTAALPIE"/>
      </w:pPr>
      <w:r w:rsidRPr="00C26987">
        <w:rPr>
          <w:rStyle w:val="FootnoteReference"/>
        </w:rPr>
        <w:footnoteRef/>
      </w:r>
      <w:r w:rsidRPr="00C26987">
        <w:t xml:space="preserve"> </w:t>
      </w:r>
      <w:r w:rsidR="008B7F43">
        <w:rPr>
          <w:lang w:val="es-ES"/>
        </w:rPr>
        <w:t xml:space="preserve">SIMORE Interamericano, </w:t>
      </w:r>
      <w:hyperlink r:id="rId60" w:history="1">
        <w:r w:rsidR="008B7F43" w:rsidRPr="001034AA">
          <w:rPr>
            <w:rStyle w:val="Hyperlink"/>
            <w:rFonts w:eastAsiaTheme="minorHAnsi" w:cstheme="minorBidi"/>
            <w:color w:val="0563C1" w:themeColor="hyperlink"/>
            <w:lang w:val="es-ES" w:eastAsia="en-US"/>
          </w:rPr>
          <w:t>Informe de avance del Estado mexicano sobre el cumplimiento y seguimiento de las recomendaciones de la CIDH, Recomendación 12</w:t>
        </w:r>
      </w:hyperlink>
      <w:r w:rsidR="008B7F43">
        <w:rPr>
          <w:lang w:val="es-ES"/>
        </w:rPr>
        <w:t xml:space="preserve">, </w:t>
      </w:r>
      <w:r w:rsidR="008B7F43" w:rsidRPr="00C26987">
        <w:rPr>
          <w:lang w:val="es-ES"/>
        </w:rPr>
        <w:t>Capítulo V, 30</w:t>
      </w:r>
      <w:r w:rsidR="008B7F43">
        <w:rPr>
          <w:lang w:val="es-ES"/>
        </w:rPr>
        <w:t xml:space="preserve"> de</w:t>
      </w:r>
      <w:r w:rsidR="008B7F43" w:rsidRPr="00C26987">
        <w:rPr>
          <w:lang w:val="es-ES"/>
        </w:rPr>
        <w:t xml:space="preserve"> septiembre y 1 de octubre de </w:t>
      </w:r>
      <w:r w:rsidR="008B7F43">
        <w:rPr>
          <w:lang w:val="es-ES"/>
        </w:rPr>
        <w:t>2024.</w:t>
      </w:r>
    </w:p>
  </w:footnote>
  <w:footnote w:id="76">
    <w:p w14:paraId="5B2FC7BA" w14:textId="5A517144" w:rsidR="009B1845" w:rsidRPr="00C26987" w:rsidRDefault="009B1845" w:rsidP="00FD7038">
      <w:pPr>
        <w:pStyle w:val="IANOTAALPIE"/>
        <w:rPr>
          <w:lang w:val="es-US"/>
        </w:rPr>
      </w:pPr>
      <w:r w:rsidRPr="00C26987">
        <w:rPr>
          <w:rStyle w:val="FootnoteReference"/>
        </w:rPr>
        <w:footnoteRef/>
      </w:r>
      <w:r w:rsidR="78887EE9" w:rsidRPr="00C26987">
        <w:rPr>
          <w:lang w:val="pt-BR"/>
        </w:rPr>
        <w:t xml:space="preserve"> CIDH, </w:t>
      </w:r>
      <w:hyperlink r:id="rId61">
        <w:r w:rsidR="78887EE9" w:rsidRPr="004635A8">
          <w:rPr>
            <w:rStyle w:val="Hyperlink"/>
            <w:rFonts w:eastAsiaTheme="minorHAnsi" w:cstheme="minorBidi"/>
            <w:color w:val="0563C1" w:themeColor="hyperlink"/>
            <w:lang w:val="pt-BR" w:eastAsia="en-US"/>
          </w:rPr>
          <w:t>Informe Anual, Capítulo V, México</w:t>
        </w:r>
      </w:hyperlink>
      <w:r w:rsidR="78887EE9" w:rsidRPr="00C26987">
        <w:rPr>
          <w:lang w:val="pt-BR"/>
        </w:rPr>
        <w:t>, 2023, párr</w:t>
      </w:r>
      <w:r w:rsidR="00113808">
        <w:rPr>
          <w:lang w:val="pt-BR"/>
        </w:rPr>
        <w:t>s</w:t>
      </w:r>
      <w:r w:rsidR="78887EE9" w:rsidRPr="00C26987">
        <w:rPr>
          <w:lang w:val="pt-BR"/>
        </w:rPr>
        <w:t xml:space="preserve">. </w:t>
      </w:r>
      <w:r w:rsidR="78887EE9" w:rsidRPr="00C26987">
        <w:rPr>
          <w:lang w:val="es-US"/>
        </w:rPr>
        <w:t>89-97.</w:t>
      </w:r>
    </w:p>
  </w:footnote>
  <w:footnote w:id="77">
    <w:p w14:paraId="570FC2B3" w14:textId="485452C3" w:rsidR="00E73208" w:rsidRPr="00E73208" w:rsidRDefault="00E73208" w:rsidP="00FD7038">
      <w:pPr>
        <w:pStyle w:val="IANOTAALPIE"/>
      </w:pPr>
      <w:r>
        <w:rPr>
          <w:rStyle w:val="FootnoteReference"/>
        </w:rPr>
        <w:footnoteRef/>
      </w:r>
      <w:r w:rsidRPr="00E73208">
        <w:t xml:space="preserve"> </w:t>
      </w:r>
      <w:r w:rsidR="008B7F43">
        <w:rPr>
          <w:lang w:val="es-ES"/>
        </w:rPr>
        <w:t xml:space="preserve">SIMORE Interamericano, </w:t>
      </w:r>
      <w:hyperlink r:id="rId62" w:history="1">
        <w:r w:rsidR="008B7F43" w:rsidRPr="001034AA">
          <w:rPr>
            <w:rStyle w:val="Hyperlink"/>
            <w:rFonts w:eastAsiaTheme="minorHAnsi" w:cstheme="minorBidi"/>
            <w:color w:val="0563C1" w:themeColor="hyperlink"/>
            <w:lang w:val="es-ES" w:eastAsia="en-US"/>
          </w:rPr>
          <w:t>Informe de avance del Estado mexicano sobre el cumplimiento y seguimiento de las recomendaciones de la CIDH, Recomendación 13</w:t>
        </w:r>
      </w:hyperlink>
      <w:r w:rsidR="008B7F43">
        <w:rPr>
          <w:lang w:val="es-ES"/>
        </w:rPr>
        <w:t xml:space="preserve">, </w:t>
      </w:r>
      <w:r w:rsidR="008B7F43" w:rsidRPr="00C26987">
        <w:rPr>
          <w:lang w:val="es-ES"/>
        </w:rPr>
        <w:t>Capítulo V, 30</w:t>
      </w:r>
      <w:r w:rsidR="008B7F43">
        <w:rPr>
          <w:lang w:val="es-ES"/>
        </w:rPr>
        <w:t xml:space="preserve"> de</w:t>
      </w:r>
      <w:r w:rsidR="008B7F43" w:rsidRPr="00C26987">
        <w:rPr>
          <w:lang w:val="es-ES"/>
        </w:rPr>
        <w:t xml:space="preserve"> septiembre y 1 de octubre de </w:t>
      </w:r>
      <w:r w:rsidR="008B7F43">
        <w:rPr>
          <w:lang w:val="es-ES"/>
        </w:rPr>
        <w:t>2024.</w:t>
      </w:r>
      <w:r w:rsidR="008B7F43" w:rsidRPr="00E73208">
        <w:t xml:space="preserve"> </w:t>
      </w:r>
    </w:p>
  </w:footnote>
  <w:footnote w:id="78">
    <w:p w14:paraId="17755C91" w14:textId="28A415DF" w:rsidR="00522FE8" w:rsidRPr="00C26987" w:rsidRDefault="00522FE8" w:rsidP="00584C12">
      <w:pPr>
        <w:pStyle w:val="IANOTAALPIE"/>
      </w:pPr>
      <w:r w:rsidRPr="00C26987">
        <w:rPr>
          <w:rStyle w:val="FootnoteReference"/>
        </w:rPr>
        <w:footnoteRef/>
      </w:r>
      <w:r w:rsidR="00244B57" w:rsidRPr="00C26987">
        <w:t xml:space="preserve"> </w:t>
      </w:r>
      <w:r w:rsidR="00A61C99" w:rsidRPr="00C26987">
        <w:t>Centro Prodh, Seguimiento sobre el cumplimiento de las recomendaciones del Informe “Situación de Derechos Humanos en México”, octubre de 2024;</w:t>
      </w:r>
      <w:r w:rsidRPr="00C26987">
        <w:t xml:space="preserve"> El País,</w:t>
      </w:r>
      <w:r w:rsidRPr="00C26987">
        <w:rPr>
          <w:i/>
          <w:iCs/>
        </w:rPr>
        <w:t xml:space="preserve"> </w:t>
      </w:r>
      <w:hyperlink r:id="rId63" w:history="1">
        <w:r w:rsidRPr="001034AA">
          <w:rPr>
            <w:rStyle w:val="Hyperlink"/>
            <w:rFonts w:eastAsiaTheme="minorHAnsi" w:cstheme="minorBidi"/>
            <w:color w:val="0563C1" w:themeColor="hyperlink"/>
            <w:lang w:val="es-ES" w:eastAsia="en-US"/>
          </w:rPr>
          <w:t>El GIEI se despide del ‘caso Ayotzinapa’ apuntando nuevamente al Ejército</w:t>
        </w:r>
        <w:r w:rsidRPr="00126316">
          <w:rPr>
            <w:rStyle w:val="Hyperlink"/>
            <w:lang w:val="es-ES"/>
          </w:rPr>
          <w:t>,</w:t>
        </w:r>
      </w:hyperlink>
      <w:r w:rsidRPr="00126316">
        <w:t xml:space="preserve"> 25 de julio de 2023; Centro Prodh, </w:t>
      </w:r>
      <w:hyperlink r:id="rId64" w:history="1">
        <w:r w:rsidRPr="001034AA">
          <w:rPr>
            <w:rStyle w:val="Hyperlink"/>
            <w:rFonts w:eastAsiaTheme="minorHAnsi" w:cstheme="minorBidi"/>
            <w:color w:val="0563C1" w:themeColor="hyperlink"/>
            <w:lang w:val="es-ES" w:eastAsia="en-US"/>
          </w:rPr>
          <w:t>Poder Judicial ordena al Ejército no destruir documentos del caso Ayotzinapa</w:t>
        </w:r>
      </w:hyperlink>
      <w:r w:rsidRPr="00126316">
        <w:t>,</w:t>
      </w:r>
      <w:r w:rsidRPr="00C26987">
        <w:t xml:space="preserve"> 3 de septiembre de 2023. </w:t>
      </w:r>
    </w:p>
  </w:footnote>
  <w:footnote w:id="79">
    <w:p w14:paraId="293DDCD7" w14:textId="39E7C449" w:rsidR="00522FE8" w:rsidRPr="00C26987" w:rsidRDefault="00522FE8" w:rsidP="00584C12">
      <w:pPr>
        <w:pStyle w:val="IANOTAALPIE"/>
      </w:pPr>
      <w:r w:rsidRPr="00C26987">
        <w:rPr>
          <w:rStyle w:val="FootnoteReference"/>
        </w:rPr>
        <w:footnoteRef/>
      </w:r>
      <w:r w:rsidRPr="00C26987">
        <w:t xml:space="preserve"> </w:t>
      </w:r>
      <w:r w:rsidR="00A61C99" w:rsidRPr="00C26987">
        <w:t xml:space="preserve">Centro Prodh, Seguimiento sobre el cumplimiento de las recomendaciones del Informe “Situación de Derechos Humanos en México”, octubre de 2024; </w:t>
      </w:r>
      <w:r w:rsidRPr="00C26987">
        <w:t xml:space="preserve">Centro Prodh, </w:t>
      </w:r>
      <w:hyperlink r:id="rId65" w:history="1">
        <w:r w:rsidRPr="001034AA">
          <w:rPr>
            <w:rStyle w:val="Hyperlink"/>
            <w:rFonts w:eastAsiaTheme="minorHAnsi" w:cstheme="minorBidi"/>
            <w:color w:val="0563C1" w:themeColor="hyperlink"/>
            <w:lang w:val="es-ES" w:eastAsia="en-US"/>
          </w:rPr>
          <w:t>Familiares de Ayotzinapa y organizaciones acompañantes precisan información difundida recientemente sobre el caso Ciudad</w:t>
        </w:r>
        <w:r w:rsidRPr="00C26987">
          <w:rPr>
            <w:rStyle w:val="Hyperlink"/>
            <w:lang w:val="es-ES"/>
          </w:rPr>
          <w:t>,</w:t>
        </w:r>
      </w:hyperlink>
      <w:r w:rsidRPr="00C26987">
        <w:t xml:space="preserve"> 27 de junio de 2024. </w:t>
      </w:r>
    </w:p>
  </w:footnote>
  <w:footnote w:id="80">
    <w:p w14:paraId="21C14DA3" w14:textId="7C2B5556" w:rsidR="00A61C99" w:rsidRPr="00C26987" w:rsidRDefault="00A61C99" w:rsidP="00584C12">
      <w:pPr>
        <w:pStyle w:val="IANOTAALPIE"/>
        <w:rPr>
          <w:b/>
          <w:bCs/>
        </w:rPr>
      </w:pPr>
      <w:r w:rsidRPr="00C26987">
        <w:rPr>
          <w:rStyle w:val="FootnoteReference"/>
        </w:rPr>
        <w:footnoteRef/>
      </w:r>
      <w:r w:rsidRPr="00C26987">
        <w:t xml:space="preserve"> Centro Prodh, Seguimiento sobre el cumplimiento de las recomendaciones del Informe “Situación de Derechos Humanos en México”, octubre de 2024.</w:t>
      </w:r>
    </w:p>
  </w:footnote>
  <w:footnote w:id="81">
    <w:p w14:paraId="2A679152" w14:textId="44548D93" w:rsidR="003E6870" w:rsidRPr="00446F81" w:rsidRDefault="003E6870" w:rsidP="00584C12">
      <w:pPr>
        <w:pStyle w:val="IANOTAALPIE"/>
      </w:pPr>
      <w:r>
        <w:rPr>
          <w:rStyle w:val="FootnoteReference"/>
        </w:rPr>
        <w:footnoteRef/>
      </w:r>
      <w:r w:rsidR="00090E39" w:rsidRPr="00446F81">
        <w:t xml:space="preserve"> </w:t>
      </w:r>
      <w:r w:rsidR="00C63F38" w:rsidRPr="00446F81">
        <w:t xml:space="preserve">La </w:t>
      </w:r>
      <w:r w:rsidR="003149F9" w:rsidRPr="00446F81">
        <w:t>Política</w:t>
      </w:r>
      <w:r w:rsidR="00C63F38" w:rsidRPr="00446F81">
        <w:t xml:space="preserve"> Online, </w:t>
      </w:r>
      <w:hyperlink r:id="rId66" w:history="1">
        <w:r w:rsidR="00937E52" w:rsidRPr="001034AA">
          <w:rPr>
            <w:rStyle w:val="Hyperlink"/>
            <w:rFonts w:eastAsiaTheme="minorHAnsi" w:cstheme="minorBidi"/>
            <w:color w:val="0563C1" w:themeColor="hyperlink"/>
            <w:lang w:val="es-ES" w:eastAsia="en-US"/>
          </w:rPr>
          <w:t>Las familias de Ayotzinapa se reunieron por primera vez con Sheinbaum: "Fue un buen inicio”,</w:t>
        </w:r>
      </w:hyperlink>
      <w:r w:rsidR="00937E52">
        <w:t xml:space="preserve"> </w:t>
      </w:r>
      <w:r w:rsidR="00C63F38" w:rsidRPr="00446F81">
        <w:t xml:space="preserve">4 </w:t>
      </w:r>
      <w:r w:rsidR="003A4DD3" w:rsidRPr="00446F81">
        <w:t>de diciembre de 2024</w:t>
      </w:r>
      <w:r w:rsidR="00937E52">
        <w:t>.</w:t>
      </w:r>
    </w:p>
  </w:footnote>
  <w:footnote w:id="82">
    <w:p w14:paraId="26A143A7" w14:textId="7F6F7C0F" w:rsidR="00DC5CBE" w:rsidRPr="00446F81" w:rsidRDefault="00DC5CBE" w:rsidP="00584C12">
      <w:pPr>
        <w:pStyle w:val="IANOTAALPIE"/>
      </w:pPr>
      <w:r>
        <w:rPr>
          <w:rStyle w:val="FootnoteReference"/>
        </w:rPr>
        <w:footnoteRef/>
      </w:r>
      <w:r w:rsidR="00543D43" w:rsidRPr="00446F81">
        <w:t xml:space="preserve"> El Universal, S</w:t>
      </w:r>
      <w:r w:rsidR="003149F9">
        <w:t>EGOB</w:t>
      </w:r>
      <w:r w:rsidR="00543D43" w:rsidRPr="00446F81">
        <w:t xml:space="preserve"> </w:t>
      </w:r>
      <w:r w:rsidR="00902E2E" w:rsidRPr="00446F81">
        <w:t xml:space="preserve">supervisa búsqueda de </w:t>
      </w:r>
      <w:r w:rsidR="003F10B3" w:rsidRPr="00446F81">
        <w:t xml:space="preserve">los </w:t>
      </w:r>
      <w:r w:rsidR="00902E2E" w:rsidRPr="00446F81">
        <w:t xml:space="preserve">43 normalistas </w:t>
      </w:r>
      <w:r w:rsidR="003F10B3" w:rsidRPr="00446F81">
        <w:t>de Ayotzinapa, 18 de diciembre de 2024.</w:t>
      </w:r>
    </w:p>
  </w:footnote>
  <w:footnote w:id="83">
    <w:p w14:paraId="723A19BC" w14:textId="1F8CB973" w:rsidR="000061F4" w:rsidRPr="000E3E4C" w:rsidRDefault="000061F4" w:rsidP="00584C12">
      <w:pPr>
        <w:pStyle w:val="IANOTAALPIE"/>
        <w:rPr>
          <w:b/>
          <w:bCs/>
        </w:rPr>
      </w:pPr>
      <w:r w:rsidRPr="00C26987">
        <w:rPr>
          <w:rStyle w:val="FootnoteReference"/>
        </w:rPr>
        <w:footnoteRef/>
      </w:r>
      <w:r w:rsidRPr="00C26987">
        <w:t xml:space="preserve"> Animal Político, </w:t>
      </w:r>
      <w:hyperlink r:id="rId67" w:history="1">
        <w:r w:rsidRPr="001034AA">
          <w:rPr>
            <w:rStyle w:val="Hyperlink"/>
            <w:rFonts w:eastAsiaTheme="minorHAnsi" w:cstheme="minorBidi"/>
            <w:color w:val="0563C1" w:themeColor="hyperlink"/>
            <w:lang w:val="es-ES" w:eastAsia="en-US"/>
          </w:rPr>
          <w:t>“Es imposible continuar el trabajo”: GIEI deja caso Ayotzinapa y denuncia obstáculos de militares en la investigación</w:t>
        </w:r>
      </w:hyperlink>
      <w:r w:rsidRPr="001034AA">
        <w:rPr>
          <w:rStyle w:val="Hyperlink"/>
          <w:rFonts w:eastAsiaTheme="minorHAnsi" w:cstheme="minorBidi"/>
          <w:color w:val="0563C1" w:themeColor="hyperlink"/>
          <w:lang w:val="es-ES" w:eastAsia="en-US"/>
        </w:rPr>
        <w:t>,</w:t>
      </w:r>
      <w:r w:rsidRPr="000E3E4C">
        <w:t xml:space="preserve"> 25 de julio de 2023.</w:t>
      </w:r>
    </w:p>
  </w:footnote>
  <w:footnote w:id="84">
    <w:p w14:paraId="4177A7AE" w14:textId="51C1A70C" w:rsidR="00F55FC1" w:rsidRPr="00C26987" w:rsidRDefault="00F55FC1" w:rsidP="007935DE">
      <w:pPr>
        <w:pStyle w:val="IANOTAALPIE"/>
      </w:pPr>
      <w:r w:rsidRPr="00C26987">
        <w:rPr>
          <w:rStyle w:val="FootnoteReference"/>
        </w:rPr>
        <w:footnoteRef/>
      </w:r>
      <w:r w:rsidR="78887EE9" w:rsidRPr="00C26987">
        <w:rPr>
          <w:lang w:val="pt-BR"/>
        </w:rPr>
        <w:t xml:space="preserve"> CIDH, </w:t>
      </w:r>
      <w:hyperlink r:id="rId68">
        <w:r w:rsidR="78887EE9" w:rsidRPr="004635A8">
          <w:rPr>
            <w:rStyle w:val="Hyperlink"/>
            <w:rFonts w:eastAsiaTheme="minorHAnsi" w:cstheme="minorBidi"/>
            <w:color w:val="0563C1" w:themeColor="hyperlink"/>
            <w:lang w:val="pt-BR" w:eastAsia="en-US"/>
          </w:rPr>
          <w:t>Informe Anual. Capítulo V</w:t>
        </w:r>
      </w:hyperlink>
      <w:r w:rsidR="78887EE9" w:rsidRPr="00C26987">
        <w:rPr>
          <w:lang w:val="pt-BR"/>
        </w:rPr>
        <w:t>, México, 2023, párr</w:t>
      </w:r>
      <w:r w:rsidR="00D25457">
        <w:rPr>
          <w:lang w:val="pt-BR"/>
        </w:rPr>
        <w:t>s</w:t>
      </w:r>
      <w:r w:rsidR="78887EE9" w:rsidRPr="00C26987">
        <w:rPr>
          <w:lang w:val="pt-BR"/>
        </w:rPr>
        <w:t xml:space="preserve">. </w:t>
      </w:r>
      <w:r w:rsidR="78887EE9" w:rsidRPr="00C26987">
        <w:rPr>
          <w:lang w:val="es-US"/>
        </w:rPr>
        <w:t>99</w:t>
      </w:r>
      <w:r w:rsidR="78887EE9" w:rsidRPr="00C26987">
        <w:t>-102.</w:t>
      </w:r>
    </w:p>
  </w:footnote>
  <w:footnote w:id="85">
    <w:p w14:paraId="1AC24802" w14:textId="1E7278B4" w:rsidR="008577FF" w:rsidRPr="00C26987" w:rsidRDefault="008577FF" w:rsidP="007935DE">
      <w:pPr>
        <w:pStyle w:val="IANOTAALPIE"/>
        <w:rPr>
          <w:lang w:val="es-ES"/>
        </w:rPr>
      </w:pPr>
      <w:r w:rsidRPr="00C26987">
        <w:rPr>
          <w:rStyle w:val="FootnoteReference"/>
        </w:rPr>
        <w:footnoteRef/>
      </w:r>
      <w:r w:rsidR="008B7F43">
        <w:rPr>
          <w:lang w:val="es-ES"/>
        </w:rPr>
        <w:t xml:space="preserve"> SIMORE Interamericano, </w:t>
      </w:r>
      <w:hyperlink r:id="rId69" w:history="1">
        <w:r w:rsidR="008B7F43" w:rsidRPr="001034AA">
          <w:rPr>
            <w:rStyle w:val="Hyperlink"/>
            <w:rFonts w:eastAsiaTheme="minorHAnsi" w:cstheme="minorBidi"/>
            <w:color w:val="0563C1" w:themeColor="hyperlink"/>
            <w:lang w:val="es-ES" w:eastAsia="en-US"/>
          </w:rPr>
          <w:t>Informe de avance del Estado mexicano sobre el cumplimiento y seguimiento de las recomendaciones de la CIDH, Recomendación 14</w:t>
        </w:r>
      </w:hyperlink>
      <w:r w:rsidR="008B7F43">
        <w:rPr>
          <w:lang w:val="es-ES"/>
        </w:rPr>
        <w:t xml:space="preserve">, </w:t>
      </w:r>
      <w:r w:rsidR="008B7F43" w:rsidRPr="00C26987">
        <w:rPr>
          <w:lang w:val="es-ES"/>
        </w:rPr>
        <w:t>Capítulo V, 30</w:t>
      </w:r>
      <w:r w:rsidR="008B7F43">
        <w:rPr>
          <w:lang w:val="es-ES"/>
        </w:rPr>
        <w:t xml:space="preserve"> de</w:t>
      </w:r>
      <w:r w:rsidR="008B7F43" w:rsidRPr="00C26987">
        <w:rPr>
          <w:lang w:val="es-ES"/>
        </w:rPr>
        <w:t xml:space="preserve"> septiembre y 1 de octubre de </w:t>
      </w:r>
      <w:r w:rsidR="008B7F43">
        <w:rPr>
          <w:lang w:val="es-ES"/>
        </w:rPr>
        <w:t>2024.</w:t>
      </w:r>
      <w:r w:rsidR="008B7F43" w:rsidRPr="00C26987">
        <w:rPr>
          <w:lang w:val="es-ES"/>
        </w:rPr>
        <w:t xml:space="preserve"> </w:t>
      </w:r>
    </w:p>
  </w:footnote>
  <w:footnote w:id="86">
    <w:p w14:paraId="5E82AE8B" w14:textId="0A0578C7" w:rsidR="008577FF" w:rsidRPr="00C26987" w:rsidRDefault="008577FF" w:rsidP="007935DE">
      <w:pPr>
        <w:pStyle w:val="IANOTAALPIE"/>
      </w:pPr>
      <w:r w:rsidRPr="00C26987">
        <w:rPr>
          <w:rStyle w:val="FootnoteReference"/>
        </w:rPr>
        <w:footnoteRef/>
      </w:r>
      <w:r w:rsidRPr="00C26987">
        <w:t xml:space="preserve"> </w:t>
      </w:r>
      <w:r w:rsidR="008B7F43">
        <w:rPr>
          <w:lang w:val="es-ES"/>
        </w:rPr>
        <w:t xml:space="preserve">SIMORE Interamericano, </w:t>
      </w:r>
      <w:hyperlink r:id="rId70" w:history="1">
        <w:r w:rsidR="008B7F43" w:rsidRPr="001034AA">
          <w:rPr>
            <w:rStyle w:val="Hyperlink"/>
            <w:rFonts w:eastAsiaTheme="minorHAnsi" w:cstheme="minorBidi"/>
            <w:color w:val="0563C1" w:themeColor="hyperlink"/>
            <w:lang w:val="es-ES" w:eastAsia="en-US"/>
          </w:rPr>
          <w:t>Informe de avance del Estado mexicano sobre el cumplimiento y seguimiento de las recomendaciones de la CIDH, Recomendación 14</w:t>
        </w:r>
      </w:hyperlink>
      <w:r w:rsidR="008B7F43">
        <w:rPr>
          <w:lang w:val="es-ES"/>
        </w:rPr>
        <w:t xml:space="preserve">, </w:t>
      </w:r>
      <w:r w:rsidR="008B7F43" w:rsidRPr="00C26987">
        <w:rPr>
          <w:lang w:val="es-ES"/>
        </w:rPr>
        <w:t>Capítulo V, 30</w:t>
      </w:r>
      <w:r w:rsidR="008B7F43">
        <w:rPr>
          <w:lang w:val="es-ES"/>
        </w:rPr>
        <w:t xml:space="preserve"> de</w:t>
      </w:r>
      <w:r w:rsidR="008B7F43" w:rsidRPr="00C26987">
        <w:rPr>
          <w:lang w:val="es-ES"/>
        </w:rPr>
        <w:t xml:space="preserve"> septiembre y 1 de octubre de </w:t>
      </w:r>
      <w:r w:rsidR="008B7F43">
        <w:rPr>
          <w:lang w:val="es-ES"/>
        </w:rPr>
        <w:t>2024.</w:t>
      </w:r>
    </w:p>
  </w:footnote>
  <w:footnote w:id="87">
    <w:p w14:paraId="745D81ED" w14:textId="1727B114" w:rsidR="00E05860" w:rsidRPr="00C26987" w:rsidRDefault="00E05860" w:rsidP="007935DE">
      <w:pPr>
        <w:pStyle w:val="IANOTAALPIE"/>
      </w:pPr>
      <w:r w:rsidRPr="00C26987">
        <w:rPr>
          <w:rStyle w:val="FootnoteReference"/>
        </w:rPr>
        <w:footnoteRef/>
      </w:r>
      <w:r w:rsidRPr="00C26987">
        <w:t xml:space="preserve"> SEGOB, </w:t>
      </w:r>
      <w:hyperlink r:id="rId71" w:history="1">
        <w:r w:rsidRPr="001034AA">
          <w:rPr>
            <w:rStyle w:val="Hyperlink"/>
            <w:rFonts w:eastAsiaTheme="minorHAnsi" w:cstheme="minorBidi"/>
            <w:color w:val="0563C1" w:themeColor="hyperlink"/>
            <w:lang w:val="es-ES" w:eastAsia="en-US"/>
          </w:rPr>
          <w:t>Primer Informe anual de actividades 2023-2024, Mecanismo de seguimiento de casos de tortura sexual cometida contra las mujeres</w:t>
        </w:r>
      </w:hyperlink>
      <w:r w:rsidR="0039111B" w:rsidRPr="00C26987">
        <w:t>, 2024.</w:t>
      </w:r>
    </w:p>
  </w:footnote>
  <w:footnote w:id="88">
    <w:p w14:paraId="6C6F1C12" w14:textId="38059DBE" w:rsidR="006B64C7" w:rsidRPr="00C26987" w:rsidRDefault="006B64C7" w:rsidP="007935DE">
      <w:pPr>
        <w:pStyle w:val="IANOTAALPIE"/>
      </w:pPr>
      <w:r w:rsidRPr="00C26987">
        <w:rPr>
          <w:rStyle w:val="FootnoteReference"/>
        </w:rPr>
        <w:footnoteRef/>
      </w:r>
      <w:r w:rsidRPr="00C26987">
        <w:t xml:space="preserve"> CIDH</w:t>
      </w:r>
      <w:r>
        <w:t>,</w:t>
      </w:r>
      <w:r w:rsidRPr="00C26987">
        <w:t xml:space="preserve"> </w:t>
      </w:r>
      <w:hyperlink r:id="rId72" w:history="1">
        <w:r w:rsidRPr="001034AA">
          <w:rPr>
            <w:rStyle w:val="Hyperlink"/>
            <w:rFonts w:eastAsiaTheme="minorHAnsi" w:cstheme="minorBidi"/>
            <w:color w:val="0563C1" w:themeColor="hyperlink"/>
            <w:lang w:val="es-ES" w:eastAsia="en-US"/>
          </w:rPr>
          <w:t>P</w:t>
        </w:r>
        <w:r w:rsidR="0085678E" w:rsidRPr="001034AA">
          <w:rPr>
            <w:rStyle w:val="Hyperlink"/>
            <w:rFonts w:eastAsiaTheme="minorHAnsi" w:cstheme="minorBidi"/>
            <w:color w:val="0563C1" w:themeColor="hyperlink"/>
            <w:lang w:val="es-ES" w:eastAsia="en-US"/>
          </w:rPr>
          <w:t xml:space="preserve">eriodo de Sesiones </w:t>
        </w:r>
        <w:r w:rsidRPr="001034AA">
          <w:rPr>
            <w:rStyle w:val="Hyperlink"/>
            <w:rFonts w:eastAsiaTheme="minorHAnsi" w:cstheme="minorBidi"/>
            <w:color w:val="0563C1" w:themeColor="hyperlink"/>
            <w:lang w:val="es-ES" w:eastAsia="en-US"/>
          </w:rPr>
          <w:t>178 - 8) Combate a la tortura en México</w:t>
        </w:r>
      </w:hyperlink>
      <w:r>
        <w:t>,</w:t>
      </w:r>
      <w:r w:rsidRPr="00C26987">
        <w:t xml:space="preserve"> Audiencia</w:t>
      </w:r>
      <w:r>
        <w:t>,</w:t>
      </w:r>
      <w:r w:rsidRPr="00C26987">
        <w:t xml:space="preserve"> 4 de diciembre de 2023. </w:t>
      </w:r>
    </w:p>
  </w:footnote>
  <w:footnote w:id="89">
    <w:p w14:paraId="06B52468" w14:textId="77777777" w:rsidR="0039111B" w:rsidRPr="00C26987" w:rsidRDefault="0039111B" w:rsidP="007935DE">
      <w:pPr>
        <w:pStyle w:val="IANOTAALPIE"/>
      </w:pPr>
      <w:r w:rsidRPr="00C26987">
        <w:rPr>
          <w:rStyle w:val="FootnoteReference"/>
        </w:rPr>
        <w:footnoteRef/>
      </w:r>
      <w:r w:rsidRPr="00755A25">
        <w:rPr>
          <w:lang w:val="pt-BR"/>
        </w:rPr>
        <w:t xml:space="preserve"> CIDH, </w:t>
      </w:r>
      <w:hyperlink r:id="rId73">
        <w:r w:rsidRPr="004635A8">
          <w:rPr>
            <w:rStyle w:val="Hyperlink"/>
            <w:rFonts w:eastAsiaTheme="minorHAnsi" w:cstheme="minorBidi"/>
            <w:color w:val="0563C1" w:themeColor="hyperlink"/>
            <w:lang w:val="pt-BR" w:eastAsia="en-US"/>
          </w:rPr>
          <w:t>Informe Anual. Capítulo V</w:t>
        </w:r>
      </w:hyperlink>
      <w:r w:rsidRPr="00755A25">
        <w:rPr>
          <w:lang w:val="pt-BR"/>
        </w:rPr>
        <w:t xml:space="preserve">, México, 2023, párr. </w:t>
      </w:r>
      <w:r w:rsidRPr="00C26987">
        <w:rPr>
          <w:lang w:val="es-US"/>
        </w:rPr>
        <w:t>101.</w:t>
      </w:r>
    </w:p>
  </w:footnote>
  <w:footnote w:id="90">
    <w:p w14:paraId="026C5244" w14:textId="36FA5F12" w:rsidR="00E05860" w:rsidRPr="003149F9" w:rsidRDefault="00E05860" w:rsidP="007935DE">
      <w:pPr>
        <w:pStyle w:val="IANOTAALPIE"/>
        <w:rPr>
          <w:rFonts w:ascii="Times New Roman" w:hAnsi="Times New Roman"/>
          <w:color w:val="0000FF"/>
          <w:sz w:val="24"/>
          <w:u w:val="single"/>
        </w:rPr>
      </w:pPr>
      <w:r w:rsidRPr="00C26987">
        <w:rPr>
          <w:rStyle w:val="FootnoteReference"/>
        </w:rPr>
        <w:footnoteRef/>
      </w:r>
      <w:r w:rsidRPr="00C26987">
        <w:t xml:space="preserve"> Diario Oficial de la Federación, </w:t>
      </w:r>
      <w:hyperlink r:id="rId74" w:history="1">
        <w:r w:rsidRPr="001034AA">
          <w:rPr>
            <w:rStyle w:val="Hyperlink"/>
            <w:rFonts w:eastAsiaTheme="minorHAnsi" w:cstheme="minorBidi"/>
            <w:color w:val="0563C1" w:themeColor="hyperlink"/>
            <w:lang w:val="es-ES" w:eastAsia="en-US"/>
          </w:rPr>
          <w:t>Decreto por el que se expide la Ley General para Prevenir, Investigar y Sancionar la Tortura y Otros Tratos o Penas Crueles, Inhumanos o Degradantes; y se reforman, adicionan y derogan diversas disposiciones del Código Penal Federal, de la Ley de la Comisión Nacional de los Derechos Humanos, de la Ley del Sistema Nacional de Seguridad Pública y de la Ley de</w:t>
        </w:r>
        <w:r w:rsidR="003149F9" w:rsidRPr="001034AA">
          <w:rPr>
            <w:rStyle w:val="Hyperlink"/>
            <w:rFonts w:eastAsiaTheme="minorHAnsi" w:cstheme="minorBidi"/>
            <w:color w:val="0563C1" w:themeColor="hyperlink"/>
            <w:lang w:val="es-ES" w:eastAsia="en-US"/>
          </w:rPr>
          <w:t xml:space="preserve"> </w:t>
        </w:r>
        <w:r w:rsidRPr="001034AA">
          <w:rPr>
            <w:rStyle w:val="Hyperlink"/>
            <w:rFonts w:eastAsiaTheme="minorHAnsi" w:cstheme="minorBidi"/>
            <w:color w:val="0563C1" w:themeColor="hyperlink"/>
            <w:lang w:val="es-ES" w:eastAsia="en-US"/>
          </w:rPr>
          <w:t>Extradición Internacional</w:t>
        </w:r>
      </w:hyperlink>
      <w:r w:rsidRPr="00C26987">
        <w:t>, 26 de junio de 2017.</w:t>
      </w:r>
    </w:p>
  </w:footnote>
  <w:footnote w:id="91">
    <w:p w14:paraId="7FB9151E" w14:textId="221DD1FC" w:rsidR="0039111B" w:rsidRPr="00C26987" w:rsidRDefault="0039111B" w:rsidP="007935DE">
      <w:pPr>
        <w:pStyle w:val="IANOTAALPIE"/>
      </w:pPr>
      <w:r w:rsidRPr="00C26987">
        <w:rPr>
          <w:rStyle w:val="FootnoteReference"/>
        </w:rPr>
        <w:footnoteRef/>
      </w:r>
      <w:r w:rsidRPr="00C26987">
        <w:t xml:space="preserve"> SEGOB, </w:t>
      </w:r>
      <w:hyperlink r:id="rId75" w:history="1">
        <w:r w:rsidR="00D25457" w:rsidRPr="001034AA">
          <w:rPr>
            <w:rStyle w:val="Hyperlink"/>
            <w:rFonts w:eastAsiaTheme="minorHAnsi" w:cstheme="minorBidi"/>
            <w:color w:val="0563C1" w:themeColor="hyperlink"/>
            <w:lang w:val="es-ES" w:eastAsia="en-US"/>
          </w:rPr>
          <w:t>Estrategia Nacional contra Tortura</w:t>
        </w:r>
        <w:r w:rsidR="00D25457">
          <w:rPr>
            <w:rStyle w:val="Hyperlink"/>
            <w:lang w:val="es-ES"/>
          </w:rPr>
          <w:t>,</w:t>
        </w:r>
      </w:hyperlink>
      <w:r w:rsidRPr="00C26987">
        <w:t xml:space="preserve"> 27 de junio de 2023, pág. 13.</w:t>
      </w:r>
    </w:p>
  </w:footnote>
  <w:footnote w:id="92">
    <w:p w14:paraId="3C6E96ED" w14:textId="1DD891E7" w:rsidR="0039111B" w:rsidRPr="00C26987" w:rsidRDefault="0039111B" w:rsidP="007935DE">
      <w:pPr>
        <w:pStyle w:val="IANOTAALPIE"/>
      </w:pPr>
      <w:r w:rsidRPr="00C26987">
        <w:rPr>
          <w:rStyle w:val="FootnoteReference"/>
        </w:rPr>
        <w:footnoteRef/>
      </w:r>
      <w:r w:rsidRPr="00755A25">
        <w:rPr>
          <w:lang w:val="es-US"/>
        </w:rPr>
        <w:t xml:space="preserve"> CIDH, </w:t>
      </w:r>
      <w:hyperlink r:id="rId76">
        <w:r w:rsidRPr="001034AA">
          <w:rPr>
            <w:rStyle w:val="Hyperlink"/>
            <w:rFonts w:eastAsiaTheme="minorHAnsi" w:cstheme="minorBidi"/>
            <w:color w:val="0563C1" w:themeColor="hyperlink"/>
            <w:lang w:val="es-ES" w:eastAsia="en-US"/>
          </w:rPr>
          <w:t>Informe Anual. Capítulo V</w:t>
        </w:r>
      </w:hyperlink>
      <w:r w:rsidRPr="00755A25">
        <w:rPr>
          <w:lang w:val="es-US"/>
        </w:rPr>
        <w:t xml:space="preserve">, México, 2023, párr. </w:t>
      </w:r>
      <w:r w:rsidRPr="00C26987">
        <w:rPr>
          <w:lang w:val="es-US"/>
        </w:rPr>
        <w:t>102.</w:t>
      </w:r>
    </w:p>
  </w:footnote>
  <w:footnote w:id="93">
    <w:p w14:paraId="1B00A645" w14:textId="30D9EBFB" w:rsidR="005B7446" w:rsidRPr="005B7446" w:rsidRDefault="005B7446" w:rsidP="007935DE">
      <w:pPr>
        <w:pStyle w:val="IANOTAALPIE"/>
        <w:rPr>
          <w:lang w:val="es-ES"/>
        </w:rPr>
      </w:pPr>
      <w:r>
        <w:rPr>
          <w:rStyle w:val="FootnoteReference"/>
        </w:rPr>
        <w:footnoteRef/>
      </w:r>
      <w:r w:rsidRPr="005B7446">
        <w:rPr>
          <w:lang w:val="es-ES"/>
        </w:rPr>
        <w:t xml:space="preserve"> </w:t>
      </w:r>
      <w:r w:rsidRPr="0038168E">
        <w:t>Estado de México</w:t>
      </w:r>
      <w:r w:rsidR="006D507F">
        <w:t>,</w:t>
      </w:r>
      <w:r w:rsidRPr="0038168E">
        <w:t xml:space="preserve"> </w:t>
      </w:r>
      <w:r w:rsidRPr="00175DE9">
        <w:t xml:space="preserve">Observaciones y comentarios del Estado mexicano al proyecto </w:t>
      </w:r>
      <w:r>
        <w:t>C</w:t>
      </w:r>
      <w:r w:rsidRPr="00175DE9">
        <w:t>apítulo V 202</w:t>
      </w:r>
      <w:r>
        <w:t>4</w:t>
      </w:r>
      <w:r w:rsidRPr="00175DE9">
        <w:t xml:space="preserve"> sobre el seguimiento a las recomendaciones formuladas por la Comisión Interamericana de Derechos Humanos en el informe “Situación de los derechos humanos en México</w:t>
      </w:r>
      <w:r w:rsidRPr="0038168E">
        <w:t xml:space="preserve">”, </w:t>
      </w:r>
      <w:r>
        <w:t>16 de febrero de 2025</w:t>
      </w:r>
      <w:r w:rsidRPr="0038168E">
        <w:t>.</w:t>
      </w:r>
    </w:p>
  </w:footnote>
  <w:footnote w:id="94">
    <w:p w14:paraId="6E425CF4" w14:textId="463D0B2B" w:rsidR="00D4382C" w:rsidRPr="00C26987" w:rsidRDefault="00D4382C" w:rsidP="007935DE">
      <w:pPr>
        <w:pStyle w:val="IANOTAALPIE"/>
        <w:rPr>
          <w:lang w:val="es-ES"/>
        </w:rPr>
      </w:pPr>
      <w:r w:rsidRPr="00C26987">
        <w:rPr>
          <w:rStyle w:val="FootnoteReference"/>
        </w:rPr>
        <w:footnoteRef/>
      </w:r>
      <w:r w:rsidRPr="00C26987">
        <w:rPr>
          <w:lang w:val="es-ES"/>
        </w:rPr>
        <w:t xml:space="preserve"> </w:t>
      </w:r>
      <w:r w:rsidR="008B7F43">
        <w:rPr>
          <w:lang w:val="es-ES"/>
        </w:rPr>
        <w:t xml:space="preserve">SIMORE Interamericano, </w:t>
      </w:r>
      <w:hyperlink r:id="rId77" w:history="1">
        <w:r w:rsidR="008B7F43" w:rsidRPr="00D110E2">
          <w:rPr>
            <w:rStyle w:val="Hyperlink"/>
            <w:rFonts w:eastAsiaTheme="minorHAnsi" w:cstheme="minorBidi"/>
            <w:color w:val="0563C1" w:themeColor="hyperlink"/>
            <w:lang w:val="es-ES" w:eastAsia="en-US"/>
          </w:rPr>
          <w:t>Informe de avance del Estado mexicano sobre el cumplimiento y seguimiento de las recomendaciones de la CIDH, Recomendación 17</w:t>
        </w:r>
      </w:hyperlink>
      <w:r w:rsidR="008B7F43">
        <w:rPr>
          <w:lang w:val="es-ES"/>
        </w:rPr>
        <w:t xml:space="preserve">, </w:t>
      </w:r>
      <w:r w:rsidR="008B7F43" w:rsidRPr="00C26987">
        <w:rPr>
          <w:lang w:val="es-ES"/>
        </w:rPr>
        <w:t>Capítulo V, 30</w:t>
      </w:r>
      <w:r w:rsidR="008B7F43">
        <w:rPr>
          <w:lang w:val="es-ES"/>
        </w:rPr>
        <w:t xml:space="preserve"> de</w:t>
      </w:r>
      <w:r w:rsidR="008B7F43" w:rsidRPr="00C26987">
        <w:rPr>
          <w:lang w:val="es-ES"/>
        </w:rPr>
        <w:t xml:space="preserve"> septiembre y 1 de octubre de </w:t>
      </w:r>
      <w:r w:rsidR="008B7F43">
        <w:rPr>
          <w:lang w:val="es-ES"/>
        </w:rPr>
        <w:t>2024.</w:t>
      </w:r>
      <w:r w:rsidR="008B7F43" w:rsidRPr="00C26987">
        <w:rPr>
          <w:lang w:val="es-ES"/>
        </w:rPr>
        <w:t xml:space="preserve"> </w:t>
      </w:r>
    </w:p>
  </w:footnote>
  <w:footnote w:id="95">
    <w:p w14:paraId="11533610" w14:textId="35912196" w:rsidR="00D4382C" w:rsidRPr="00C26987" w:rsidRDefault="00D4382C" w:rsidP="006D507F">
      <w:pPr>
        <w:pStyle w:val="IANOTAALPIE"/>
        <w:rPr>
          <w:lang w:val="es-ES"/>
        </w:rPr>
      </w:pPr>
      <w:r w:rsidRPr="00C26987">
        <w:rPr>
          <w:rStyle w:val="FootnoteReference"/>
        </w:rPr>
        <w:footnoteRef/>
      </w:r>
      <w:r w:rsidRPr="00C26987">
        <w:rPr>
          <w:lang w:val="pt-BR"/>
        </w:rPr>
        <w:t xml:space="preserve"> CIDH, </w:t>
      </w:r>
      <w:hyperlink r:id="rId78">
        <w:r w:rsidRPr="002B01A1">
          <w:rPr>
            <w:rStyle w:val="Hyperlink"/>
            <w:rFonts w:eastAsiaTheme="minorHAnsi" w:cstheme="minorBidi"/>
            <w:color w:val="0563C1" w:themeColor="hyperlink"/>
            <w:lang w:val="pt-BR" w:eastAsia="en-US"/>
          </w:rPr>
          <w:t>Informe Anual. Capítulo V</w:t>
        </w:r>
      </w:hyperlink>
      <w:r w:rsidRPr="002B01A1">
        <w:rPr>
          <w:rStyle w:val="Hyperlink"/>
          <w:rFonts w:eastAsiaTheme="minorHAnsi" w:cstheme="minorBidi"/>
          <w:color w:val="0563C1" w:themeColor="hyperlink"/>
          <w:lang w:val="pt-BR" w:eastAsia="en-US"/>
        </w:rPr>
        <w:t>,</w:t>
      </w:r>
      <w:r w:rsidRPr="00C26987">
        <w:rPr>
          <w:lang w:val="pt-BR"/>
        </w:rPr>
        <w:t xml:space="preserve"> México, 2023, párr. </w:t>
      </w:r>
      <w:r w:rsidRPr="00C26987">
        <w:rPr>
          <w:lang w:val="es-US"/>
        </w:rPr>
        <w:t>112.</w:t>
      </w:r>
    </w:p>
  </w:footnote>
  <w:footnote w:id="96">
    <w:p w14:paraId="521C0D3D" w14:textId="503952C9" w:rsidR="00126316" w:rsidRPr="00126316" w:rsidRDefault="00126316" w:rsidP="006D507F">
      <w:pPr>
        <w:pStyle w:val="IANOTAALPIE"/>
        <w:rPr>
          <w:lang w:val="es-ES"/>
        </w:rPr>
      </w:pPr>
      <w:r>
        <w:rPr>
          <w:rStyle w:val="FootnoteReference"/>
        </w:rPr>
        <w:footnoteRef/>
      </w:r>
      <w:r w:rsidRPr="00ED649D">
        <w:rPr>
          <w:lang w:val="es-AR"/>
        </w:rPr>
        <w:t xml:space="preserve"> CIDH, </w:t>
      </w:r>
      <w:hyperlink r:id="rId79">
        <w:r w:rsidRPr="00D110E2">
          <w:rPr>
            <w:rStyle w:val="Hyperlink"/>
            <w:rFonts w:eastAsiaTheme="minorHAnsi" w:cstheme="minorBidi"/>
            <w:color w:val="0563C1" w:themeColor="hyperlink"/>
            <w:lang w:val="es-ES" w:eastAsia="en-US"/>
          </w:rPr>
          <w:t>Informe Anual. Capítulo V</w:t>
        </w:r>
      </w:hyperlink>
      <w:r w:rsidRPr="00ED649D">
        <w:rPr>
          <w:lang w:val="es-AR"/>
        </w:rPr>
        <w:t xml:space="preserve">, México, 2023, párr. </w:t>
      </w:r>
      <w:r w:rsidRPr="00C26987">
        <w:rPr>
          <w:lang w:val="es-US"/>
        </w:rPr>
        <w:t>11</w:t>
      </w:r>
      <w:r>
        <w:rPr>
          <w:lang w:val="es-US"/>
        </w:rPr>
        <w:t>4</w:t>
      </w:r>
      <w:r w:rsidRPr="00C26987">
        <w:rPr>
          <w:lang w:val="es-US"/>
        </w:rPr>
        <w:t>.</w:t>
      </w:r>
    </w:p>
  </w:footnote>
  <w:footnote w:id="97">
    <w:p w14:paraId="488EE87E" w14:textId="66EA5739" w:rsidR="00D4382C" w:rsidRPr="00C26987" w:rsidRDefault="00D4382C" w:rsidP="006D507F">
      <w:pPr>
        <w:pStyle w:val="IANOTAALPIE"/>
        <w:rPr>
          <w:lang w:val="es-ES"/>
        </w:rPr>
      </w:pPr>
      <w:r w:rsidRPr="00C26987">
        <w:rPr>
          <w:rStyle w:val="FootnoteReference"/>
        </w:rPr>
        <w:footnoteRef/>
      </w:r>
      <w:r w:rsidRPr="00C26987">
        <w:rPr>
          <w:lang w:val="es-ES"/>
        </w:rPr>
        <w:t xml:space="preserve"> </w:t>
      </w:r>
      <w:r w:rsidR="008B7F43">
        <w:rPr>
          <w:lang w:val="es-ES"/>
        </w:rPr>
        <w:t xml:space="preserve">SIMORE Interamericano, </w:t>
      </w:r>
      <w:hyperlink r:id="rId80" w:history="1">
        <w:r w:rsidR="008B7F43" w:rsidRPr="00D110E2">
          <w:rPr>
            <w:rStyle w:val="Hyperlink"/>
            <w:rFonts w:eastAsiaTheme="minorHAnsi" w:cstheme="minorBidi"/>
            <w:color w:val="0563C1" w:themeColor="hyperlink"/>
            <w:lang w:val="es-ES" w:eastAsia="en-US"/>
          </w:rPr>
          <w:t>Informe de avance del Estado mexicano sobre el cumplimiento y seguimiento de las recomendaciones de la CIDH, Recomendación 18</w:t>
        </w:r>
      </w:hyperlink>
      <w:r w:rsidR="008B7F43">
        <w:rPr>
          <w:lang w:val="es-ES"/>
        </w:rPr>
        <w:t xml:space="preserve">, </w:t>
      </w:r>
      <w:r w:rsidR="008B7F43" w:rsidRPr="00C26987">
        <w:rPr>
          <w:lang w:val="es-ES"/>
        </w:rPr>
        <w:t>Capítulo V, 30</w:t>
      </w:r>
      <w:r w:rsidR="008B7F43">
        <w:rPr>
          <w:lang w:val="es-ES"/>
        </w:rPr>
        <w:t xml:space="preserve"> de</w:t>
      </w:r>
      <w:r w:rsidR="008B7F43" w:rsidRPr="00C26987">
        <w:rPr>
          <w:lang w:val="es-ES"/>
        </w:rPr>
        <w:t xml:space="preserve"> septiembre y 1 de octubre de </w:t>
      </w:r>
      <w:r w:rsidR="008B7F43">
        <w:rPr>
          <w:lang w:val="es-ES"/>
        </w:rPr>
        <w:t>2024.</w:t>
      </w:r>
    </w:p>
  </w:footnote>
  <w:footnote w:id="98">
    <w:p w14:paraId="625C5E88" w14:textId="39E529EF" w:rsidR="00D4382C" w:rsidRPr="00C26987" w:rsidRDefault="00D4382C" w:rsidP="006D507F">
      <w:pPr>
        <w:pStyle w:val="IANOTAALPIE"/>
        <w:rPr>
          <w:lang w:val="pt-BR"/>
        </w:rPr>
      </w:pPr>
      <w:r w:rsidRPr="00C26987">
        <w:rPr>
          <w:rStyle w:val="FootnoteReference"/>
        </w:rPr>
        <w:footnoteRef/>
      </w:r>
      <w:r w:rsidRPr="00C26987">
        <w:rPr>
          <w:lang w:val="pt-BR"/>
        </w:rPr>
        <w:t xml:space="preserve"> CIDH, </w:t>
      </w:r>
      <w:hyperlink r:id="rId81">
        <w:r w:rsidRPr="002B01A1">
          <w:rPr>
            <w:rStyle w:val="Hyperlink"/>
            <w:rFonts w:eastAsiaTheme="minorHAnsi" w:cstheme="minorBidi"/>
            <w:color w:val="0563C1" w:themeColor="hyperlink"/>
            <w:lang w:val="pt-BR" w:eastAsia="en-US"/>
          </w:rPr>
          <w:t>Informe Anual. Capítulo V</w:t>
        </w:r>
      </w:hyperlink>
      <w:r w:rsidRPr="00C26987">
        <w:rPr>
          <w:lang w:val="pt-BR"/>
        </w:rPr>
        <w:t>, México, 2023, párr</w:t>
      </w:r>
      <w:r w:rsidR="00D25457">
        <w:rPr>
          <w:lang w:val="pt-BR"/>
        </w:rPr>
        <w:t>s</w:t>
      </w:r>
      <w:r w:rsidRPr="00C26987">
        <w:rPr>
          <w:lang w:val="pt-BR"/>
        </w:rPr>
        <w:t>. 114 y 115.</w:t>
      </w:r>
    </w:p>
  </w:footnote>
  <w:footnote w:id="99">
    <w:p w14:paraId="5F33D8AE" w14:textId="6112E07A" w:rsidR="00D4382C" w:rsidRPr="00C26987" w:rsidRDefault="00D4382C" w:rsidP="006D507F">
      <w:pPr>
        <w:pStyle w:val="IANOTAALPIE"/>
        <w:rPr>
          <w:lang w:val="pt-BR"/>
        </w:rPr>
      </w:pPr>
      <w:r w:rsidRPr="00C26987">
        <w:rPr>
          <w:rStyle w:val="FootnoteReference"/>
        </w:rPr>
        <w:footnoteRef/>
      </w:r>
      <w:r w:rsidRPr="00C26987">
        <w:rPr>
          <w:lang w:val="pt-BR"/>
        </w:rPr>
        <w:t xml:space="preserve"> CIDH, </w:t>
      </w:r>
      <w:hyperlink r:id="rId82">
        <w:r w:rsidRPr="002B01A1">
          <w:rPr>
            <w:rStyle w:val="Hyperlink"/>
            <w:rFonts w:eastAsiaTheme="minorHAnsi" w:cstheme="minorBidi"/>
            <w:color w:val="0563C1" w:themeColor="hyperlink"/>
            <w:lang w:val="pt-BR" w:eastAsia="en-US"/>
          </w:rPr>
          <w:t>Informe Anual. Capítulo V</w:t>
        </w:r>
      </w:hyperlink>
      <w:r w:rsidRPr="00C26987">
        <w:rPr>
          <w:lang w:val="pt-BR"/>
        </w:rPr>
        <w:t>, México, 2023, párr. 117.</w:t>
      </w:r>
    </w:p>
  </w:footnote>
  <w:footnote w:id="100">
    <w:p w14:paraId="6E5A3E2E" w14:textId="1DA9013C" w:rsidR="00F55FC1" w:rsidRPr="00C26987" w:rsidRDefault="00F55FC1" w:rsidP="006D507F">
      <w:pPr>
        <w:pStyle w:val="IANOTAALPIE"/>
      </w:pPr>
      <w:r w:rsidRPr="00C26987">
        <w:rPr>
          <w:rStyle w:val="FootnoteReference"/>
        </w:rPr>
        <w:footnoteRef/>
      </w:r>
      <w:r w:rsidR="78887EE9" w:rsidRPr="00C26987">
        <w:rPr>
          <w:lang w:val="pt-BR"/>
        </w:rPr>
        <w:t xml:space="preserve"> CIDH, </w:t>
      </w:r>
      <w:hyperlink r:id="rId83">
        <w:r w:rsidR="78887EE9" w:rsidRPr="002B01A1">
          <w:rPr>
            <w:rStyle w:val="Hyperlink"/>
            <w:rFonts w:eastAsiaTheme="minorHAnsi" w:cstheme="minorBidi"/>
            <w:color w:val="0563C1" w:themeColor="hyperlink"/>
            <w:lang w:val="pt-BR" w:eastAsia="en-US"/>
          </w:rPr>
          <w:t xml:space="preserve">Informe Anual. </w:t>
        </w:r>
        <w:r w:rsidR="78887EE9" w:rsidRPr="00D8753A">
          <w:rPr>
            <w:rStyle w:val="Hyperlink"/>
            <w:rFonts w:eastAsiaTheme="minorHAnsi" w:cstheme="minorBidi"/>
            <w:color w:val="0563C1" w:themeColor="hyperlink"/>
            <w:lang w:val="es-US" w:eastAsia="en-US"/>
          </w:rPr>
          <w:t>Capítulo V</w:t>
        </w:r>
      </w:hyperlink>
      <w:r w:rsidR="78887EE9" w:rsidRPr="00D8753A">
        <w:rPr>
          <w:rStyle w:val="Hyperlink"/>
          <w:rFonts w:eastAsiaTheme="minorHAnsi" w:cstheme="minorBidi"/>
          <w:color w:val="0563C1" w:themeColor="hyperlink"/>
          <w:lang w:val="es-US" w:eastAsia="en-US"/>
        </w:rPr>
        <w:t>,</w:t>
      </w:r>
      <w:r w:rsidR="78887EE9" w:rsidRPr="00D8753A">
        <w:rPr>
          <w:lang w:val="es-US"/>
        </w:rPr>
        <w:t xml:space="preserve"> México, 2023, párr</w:t>
      </w:r>
      <w:r w:rsidR="00DD3D65" w:rsidRPr="00D8753A">
        <w:rPr>
          <w:lang w:val="es-US"/>
        </w:rPr>
        <w:t>s</w:t>
      </w:r>
      <w:r w:rsidR="78887EE9" w:rsidRPr="00D8753A">
        <w:rPr>
          <w:lang w:val="es-US"/>
        </w:rPr>
        <w:t xml:space="preserve">. </w:t>
      </w:r>
      <w:r w:rsidR="78887EE9" w:rsidRPr="00C26987">
        <w:t>119-122.</w:t>
      </w:r>
    </w:p>
  </w:footnote>
  <w:footnote w:id="101">
    <w:p w14:paraId="65CCA892" w14:textId="3ECA02A2" w:rsidR="00BA34CB" w:rsidRPr="00C26987" w:rsidRDefault="00BA34CB" w:rsidP="006D507F">
      <w:pPr>
        <w:pStyle w:val="IANOTAALPIE"/>
        <w:rPr>
          <w:lang w:val="es-ES"/>
        </w:rPr>
      </w:pPr>
      <w:r w:rsidRPr="00C26987">
        <w:rPr>
          <w:rStyle w:val="FootnoteReference"/>
        </w:rPr>
        <w:footnoteRef/>
      </w:r>
      <w:r w:rsidR="008B7F43">
        <w:t xml:space="preserve"> </w:t>
      </w:r>
      <w:r w:rsidR="008B7F43">
        <w:rPr>
          <w:lang w:val="es-ES"/>
        </w:rPr>
        <w:t xml:space="preserve">SIMORE Interamericano, </w:t>
      </w:r>
      <w:hyperlink r:id="rId84" w:history="1">
        <w:r w:rsidR="008B7F43" w:rsidRPr="00D110E2">
          <w:rPr>
            <w:rStyle w:val="Hyperlink"/>
            <w:rFonts w:eastAsiaTheme="minorHAnsi" w:cstheme="minorBidi"/>
            <w:color w:val="0563C1" w:themeColor="hyperlink"/>
            <w:lang w:val="es-ES" w:eastAsia="en-US"/>
          </w:rPr>
          <w:t>Informe de avance del Estado mexicano sobre el cumplimiento y seguimiento de las recomendaciones de la CIDH, Recomendación 19</w:t>
        </w:r>
      </w:hyperlink>
      <w:r w:rsidR="008B7F43">
        <w:rPr>
          <w:lang w:val="es-ES"/>
        </w:rPr>
        <w:t xml:space="preserve">, </w:t>
      </w:r>
      <w:r w:rsidR="008B7F43" w:rsidRPr="00C26987">
        <w:rPr>
          <w:lang w:val="es-ES"/>
        </w:rPr>
        <w:t>Capítulo V, 30</w:t>
      </w:r>
      <w:r w:rsidR="008B7F43">
        <w:rPr>
          <w:lang w:val="es-ES"/>
        </w:rPr>
        <w:t xml:space="preserve"> de</w:t>
      </w:r>
      <w:r w:rsidR="008B7F43" w:rsidRPr="00C26987">
        <w:rPr>
          <w:lang w:val="es-ES"/>
        </w:rPr>
        <w:t xml:space="preserve"> septiembre y 1 de octubre de </w:t>
      </w:r>
      <w:r w:rsidR="008B7F43">
        <w:rPr>
          <w:lang w:val="es-ES"/>
        </w:rPr>
        <w:t>2024.</w:t>
      </w:r>
      <w:r w:rsidR="008B7F43" w:rsidRPr="00C26987">
        <w:rPr>
          <w:lang w:val="es-ES"/>
        </w:rPr>
        <w:t xml:space="preserve"> </w:t>
      </w:r>
    </w:p>
  </w:footnote>
  <w:footnote w:id="102">
    <w:p w14:paraId="1F1BD03D" w14:textId="4E4754A3" w:rsidR="00126316" w:rsidRPr="00126316" w:rsidRDefault="00126316" w:rsidP="006D507F">
      <w:pPr>
        <w:pStyle w:val="IANOTAALPIE"/>
      </w:pPr>
      <w:r>
        <w:rPr>
          <w:rStyle w:val="FootnoteReference"/>
        </w:rPr>
        <w:footnoteRef/>
      </w:r>
      <w:r w:rsidRPr="00126316">
        <w:t xml:space="preserve"> Corte IDH</w:t>
      </w:r>
      <w:r w:rsidR="00DD3D65">
        <w:t>.</w:t>
      </w:r>
      <w:r w:rsidRPr="00126316">
        <w:t xml:space="preserve"> Caso</w:t>
      </w:r>
      <w:r w:rsidR="006D507F">
        <w:t>.</w:t>
      </w:r>
      <w:r w:rsidRPr="00126316">
        <w:t xml:space="preserve"> Tzompaxtle Tecpile y otros Vs. México</w:t>
      </w:r>
      <w:r w:rsidR="006D507F">
        <w:t>.</w:t>
      </w:r>
      <w:r w:rsidRPr="00126316">
        <w:t xml:space="preserve"> Excepción Preliminar, Fondo, Reparaciones y Costas</w:t>
      </w:r>
      <w:r w:rsidR="00733C80">
        <w:t>.</w:t>
      </w:r>
      <w:r w:rsidRPr="00126316">
        <w:t xml:space="preserve"> Sentencia de 7 de noviembre de 2022</w:t>
      </w:r>
      <w:r w:rsidR="00733C80">
        <w:t>.</w:t>
      </w:r>
      <w:r w:rsidRPr="00126316">
        <w:t xml:space="preserve"> Serie C No. 470.</w:t>
      </w:r>
    </w:p>
  </w:footnote>
  <w:footnote w:id="103">
    <w:p w14:paraId="3A3B61DA" w14:textId="6EEF650B" w:rsidR="00126316" w:rsidRPr="00126316" w:rsidRDefault="00126316" w:rsidP="006D507F">
      <w:pPr>
        <w:pStyle w:val="IANOTAALPIE"/>
      </w:pPr>
      <w:r>
        <w:rPr>
          <w:rStyle w:val="FootnoteReference"/>
        </w:rPr>
        <w:footnoteRef/>
      </w:r>
      <w:r w:rsidRPr="00126316">
        <w:t xml:space="preserve"> Corte IDH</w:t>
      </w:r>
      <w:r w:rsidR="006D507F">
        <w:t>.</w:t>
      </w:r>
      <w:r w:rsidRPr="00126316">
        <w:t xml:space="preserve"> Caso García Rodríguez y otro Vs. México</w:t>
      </w:r>
      <w:r w:rsidR="006D507F">
        <w:t>.</w:t>
      </w:r>
      <w:r w:rsidRPr="00126316">
        <w:t xml:space="preserve"> Excepciones Preliminares, Fondo, Reparaciones y Costas</w:t>
      </w:r>
      <w:r w:rsidR="00733C80">
        <w:t>.</w:t>
      </w:r>
      <w:r w:rsidRPr="00126316">
        <w:t xml:space="preserve"> Sentencia de 25 de enero de 2023</w:t>
      </w:r>
      <w:r w:rsidR="00733C80">
        <w:t>.</w:t>
      </w:r>
      <w:r w:rsidRPr="00126316">
        <w:t xml:space="preserve"> Serie C No. 482.</w:t>
      </w:r>
    </w:p>
  </w:footnote>
  <w:footnote w:id="104">
    <w:p w14:paraId="128D172A" w14:textId="477DE742" w:rsidR="00F55FC1" w:rsidRPr="00C26987" w:rsidRDefault="00F55FC1" w:rsidP="006D507F">
      <w:pPr>
        <w:pStyle w:val="IANOTAALPIE"/>
        <w:rPr>
          <w:color w:val="000000" w:themeColor="text1"/>
        </w:rPr>
      </w:pPr>
      <w:r w:rsidRPr="00C26987">
        <w:rPr>
          <w:rStyle w:val="FootnoteReference"/>
          <w:color w:val="000000" w:themeColor="text1"/>
        </w:rPr>
        <w:footnoteRef/>
      </w:r>
      <w:r w:rsidR="78887EE9" w:rsidRPr="001034AA">
        <w:rPr>
          <w:color w:val="000000" w:themeColor="text1"/>
          <w:lang w:val="es-ES"/>
        </w:rPr>
        <w:t xml:space="preserve"> CIDH, </w:t>
      </w:r>
      <w:hyperlink r:id="rId85">
        <w:r w:rsidR="78887EE9" w:rsidRPr="00D110E2">
          <w:rPr>
            <w:rStyle w:val="Hyperlink"/>
            <w:rFonts w:eastAsiaTheme="minorHAnsi" w:cstheme="minorBidi"/>
            <w:color w:val="0563C1" w:themeColor="hyperlink"/>
            <w:lang w:val="es-ES" w:eastAsia="en-US"/>
          </w:rPr>
          <w:t>Informe Anual. Capítulo V</w:t>
        </w:r>
      </w:hyperlink>
      <w:r w:rsidR="78887EE9" w:rsidRPr="00D110E2">
        <w:rPr>
          <w:rStyle w:val="Hyperlink"/>
          <w:rFonts w:eastAsiaTheme="minorHAnsi" w:cstheme="minorBidi"/>
          <w:color w:val="0563C1" w:themeColor="hyperlink"/>
          <w:lang w:val="es-ES" w:eastAsia="en-US"/>
        </w:rPr>
        <w:t>,</w:t>
      </w:r>
      <w:r w:rsidR="78887EE9" w:rsidRPr="001034AA">
        <w:rPr>
          <w:color w:val="000000" w:themeColor="text1"/>
          <w:lang w:val="es-ES"/>
        </w:rPr>
        <w:t xml:space="preserve"> México, 2023, párr</w:t>
      </w:r>
      <w:r w:rsidR="00DD3D65" w:rsidRPr="001034AA">
        <w:rPr>
          <w:color w:val="000000" w:themeColor="text1"/>
          <w:lang w:val="es-ES"/>
        </w:rPr>
        <w:t>s</w:t>
      </w:r>
      <w:r w:rsidR="78887EE9" w:rsidRPr="001034AA">
        <w:rPr>
          <w:color w:val="000000" w:themeColor="text1"/>
          <w:lang w:val="es-ES"/>
        </w:rPr>
        <w:t xml:space="preserve">. </w:t>
      </w:r>
      <w:r w:rsidR="78887EE9" w:rsidRPr="00C26987">
        <w:rPr>
          <w:color w:val="000000" w:themeColor="text1"/>
        </w:rPr>
        <w:t>124-126.</w:t>
      </w:r>
    </w:p>
  </w:footnote>
  <w:footnote w:id="105">
    <w:p w14:paraId="02F4FF2B" w14:textId="599E1726" w:rsidR="00BA34CB" w:rsidRPr="00C26987" w:rsidRDefault="00BA34CB" w:rsidP="006D507F">
      <w:pPr>
        <w:pStyle w:val="IANOTAALPIE"/>
      </w:pPr>
      <w:r w:rsidRPr="00C26987">
        <w:rPr>
          <w:rStyle w:val="FootnoteReference"/>
        </w:rPr>
        <w:footnoteRef/>
      </w:r>
      <w:r w:rsidRPr="00C26987">
        <w:t xml:space="preserve"> </w:t>
      </w:r>
      <w:r w:rsidR="00733C80">
        <w:rPr>
          <w:lang w:val="es-ES"/>
        </w:rPr>
        <w:t xml:space="preserve">SIMORE Interamericano, </w:t>
      </w:r>
      <w:hyperlink r:id="rId86" w:history="1">
        <w:r w:rsidR="00733C80" w:rsidRPr="00D110E2">
          <w:rPr>
            <w:rStyle w:val="Hyperlink"/>
            <w:rFonts w:eastAsiaTheme="minorHAnsi" w:cstheme="minorBidi"/>
            <w:color w:val="0563C1" w:themeColor="hyperlink"/>
            <w:lang w:val="es-ES" w:eastAsia="en-US"/>
          </w:rPr>
          <w:t>Informe de avance del Estado mexicano sobre el cumplimiento y seguimiento de las recomendaciones de la CIDH, Recomendación 20</w:t>
        </w:r>
      </w:hyperlink>
      <w:r w:rsidR="00733C80">
        <w:rPr>
          <w:lang w:val="es-ES"/>
        </w:rPr>
        <w:t xml:space="preserve">, </w:t>
      </w:r>
      <w:r w:rsidR="00733C80" w:rsidRPr="00C26987">
        <w:rPr>
          <w:lang w:val="es-ES"/>
        </w:rPr>
        <w:t>Capítulo V, 30</w:t>
      </w:r>
      <w:r w:rsidR="00733C80">
        <w:rPr>
          <w:lang w:val="es-ES"/>
        </w:rPr>
        <w:t xml:space="preserve"> de</w:t>
      </w:r>
      <w:r w:rsidR="00733C80" w:rsidRPr="00C26987">
        <w:rPr>
          <w:lang w:val="es-ES"/>
        </w:rPr>
        <w:t xml:space="preserve"> septiembre y 1 de octubre de </w:t>
      </w:r>
      <w:r w:rsidR="00733C80">
        <w:rPr>
          <w:lang w:val="es-ES"/>
        </w:rPr>
        <w:t>2024.</w:t>
      </w:r>
      <w:r w:rsidR="00733C80" w:rsidRPr="00C26987">
        <w:rPr>
          <w:lang w:val="es-ES"/>
        </w:rPr>
        <w:t xml:space="preserve"> </w:t>
      </w:r>
    </w:p>
  </w:footnote>
  <w:footnote w:id="106">
    <w:p w14:paraId="3E0A5B3D" w14:textId="4691CED7" w:rsidR="00BA34CB" w:rsidRPr="00C26987" w:rsidRDefault="00BA34CB" w:rsidP="006D507F">
      <w:pPr>
        <w:pStyle w:val="IANOTAALPIE"/>
      </w:pPr>
      <w:r w:rsidRPr="00C26987">
        <w:rPr>
          <w:rStyle w:val="FootnoteReference"/>
        </w:rPr>
        <w:footnoteRef/>
      </w:r>
      <w:r w:rsidRPr="00C26987">
        <w:t xml:space="preserve"> Intersecta, Seguimiento sobre el cumplimiento de las recomendaciones del Informe “Situación de Derechos Humanos en</w:t>
      </w:r>
      <w:r w:rsidR="00BB4DC8">
        <w:t xml:space="preserve"> </w:t>
      </w:r>
      <w:r w:rsidRPr="00C26987">
        <w:t>México”, del 11 de septiembre de 202</w:t>
      </w:r>
      <w:r w:rsidR="00BB4DC8">
        <w:t>4</w:t>
      </w:r>
      <w:r w:rsidRPr="00C26987">
        <w:t>; Corte IDH</w:t>
      </w:r>
      <w:r w:rsidR="005A6921">
        <w:t>,</w:t>
      </w:r>
      <w:r w:rsidRPr="00C26987">
        <w:t xml:space="preserve"> Caso García Rodríguez y otro Vs. México</w:t>
      </w:r>
      <w:r w:rsidR="005A6921">
        <w:t>,</w:t>
      </w:r>
      <w:r w:rsidRPr="00C26987">
        <w:t xml:space="preserve"> Excepciones Preliminares, Fondo, Reparaciones</w:t>
      </w:r>
      <w:r w:rsidR="00BB4DC8">
        <w:t xml:space="preserve"> </w:t>
      </w:r>
      <w:r w:rsidRPr="00C26987">
        <w:t>y Costas</w:t>
      </w:r>
      <w:r w:rsidR="005A6921">
        <w:t>,</w:t>
      </w:r>
      <w:r w:rsidRPr="00C26987">
        <w:t xml:space="preserve"> Sentencia de 25 de enero de 2023</w:t>
      </w:r>
      <w:r w:rsidR="005A6921">
        <w:t>,</w:t>
      </w:r>
      <w:r w:rsidRPr="00C26987">
        <w:t xml:space="preserve"> Serie C No. 482.</w:t>
      </w:r>
    </w:p>
  </w:footnote>
  <w:footnote w:id="107">
    <w:p w14:paraId="2557A466" w14:textId="6F5CA276" w:rsidR="00FA1693" w:rsidRPr="00C26987" w:rsidRDefault="00FA1693" w:rsidP="006D507F">
      <w:pPr>
        <w:pStyle w:val="IANOTAALPIE"/>
      </w:pPr>
      <w:r w:rsidRPr="00C26987">
        <w:rPr>
          <w:rStyle w:val="FootnoteReference"/>
        </w:rPr>
        <w:footnoteRef/>
      </w:r>
      <w:r w:rsidRPr="00755A25">
        <w:rPr>
          <w:lang w:val="pt-BR"/>
        </w:rPr>
        <w:t xml:space="preserve"> </w:t>
      </w:r>
      <w:r w:rsidRPr="00755A25">
        <w:rPr>
          <w:color w:val="000000" w:themeColor="text1"/>
          <w:lang w:val="pt-BR"/>
        </w:rPr>
        <w:t xml:space="preserve">CIDH, </w:t>
      </w:r>
      <w:hyperlink r:id="rId87">
        <w:r w:rsidRPr="002B01A1">
          <w:rPr>
            <w:rStyle w:val="Hyperlink"/>
            <w:rFonts w:eastAsiaTheme="minorHAnsi" w:cstheme="minorBidi"/>
            <w:color w:val="0563C1" w:themeColor="hyperlink"/>
            <w:lang w:val="pt-BR" w:eastAsia="en-US"/>
          </w:rPr>
          <w:t>Informe Anual. Capítulo V</w:t>
        </w:r>
      </w:hyperlink>
      <w:r w:rsidRPr="002B01A1">
        <w:rPr>
          <w:rStyle w:val="Hyperlink"/>
          <w:rFonts w:eastAsiaTheme="minorHAnsi" w:cstheme="minorBidi"/>
          <w:color w:val="0563C1" w:themeColor="hyperlink"/>
          <w:lang w:val="pt-BR" w:eastAsia="en-US"/>
        </w:rPr>
        <w:t>,</w:t>
      </w:r>
      <w:r w:rsidRPr="00755A25">
        <w:rPr>
          <w:color w:val="000000" w:themeColor="text1"/>
          <w:lang w:val="pt-BR"/>
        </w:rPr>
        <w:t xml:space="preserve"> México, 2023, párr. </w:t>
      </w:r>
      <w:r w:rsidRPr="00C26987">
        <w:rPr>
          <w:color w:val="000000" w:themeColor="text1"/>
        </w:rPr>
        <w:t>127.</w:t>
      </w:r>
    </w:p>
  </w:footnote>
  <w:footnote w:id="108">
    <w:p w14:paraId="44ED0DCD" w14:textId="7096DF50" w:rsidR="00126316" w:rsidRPr="00126316" w:rsidRDefault="00126316" w:rsidP="006D507F">
      <w:pPr>
        <w:pStyle w:val="IANOTAALPIE"/>
        <w:rPr>
          <w:color w:val="000000" w:themeColor="text1"/>
        </w:rPr>
      </w:pPr>
      <w:r w:rsidRPr="00126316">
        <w:rPr>
          <w:rStyle w:val="FootnoteReference"/>
        </w:rPr>
        <w:footnoteRef/>
      </w:r>
      <w:r w:rsidRPr="00126316">
        <w:t xml:space="preserve"> </w:t>
      </w:r>
      <w:r w:rsidRPr="00882500">
        <w:rPr>
          <w:color w:val="000000" w:themeColor="text1"/>
          <w:lang w:val="es-US"/>
        </w:rPr>
        <w:t xml:space="preserve">CIDH, </w:t>
      </w:r>
      <w:hyperlink r:id="rId88">
        <w:r w:rsidRPr="00D110E2">
          <w:rPr>
            <w:rStyle w:val="Hyperlink"/>
            <w:rFonts w:eastAsiaTheme="minorHAnsi" w:cstheme="minorBidi"/>
            <w:color w:val="0563C1" w:themeColor="hyperlink"/>
            <w:lang w:val="es-ES" w:eastAsia="en-US"/>
          </w:rPr>
          <w:t>Informe Anual. Capítulo V</w:t>
        </w:r>
      </w:hyperlink>
      <w:r w:rsidRPr="00D110E2">
        <w:rPr>
          <w:rStyle w:val="Hyperlink"/>
          <w:rFonts w:eastAsiaTheme="minorHAnsi" w:cstheme="minorBidi"/>
          <w:color w:val="0563C1" w:themeColor="hyperlink"/>
          <w:lang w:val="es-ES" w:eastAsia="en-US"/>
        </w:rPr>
        <w:t xml:space="preserve">, </w:t>
      </w:r>
      <w:r w:rsidRPr="00882500">
        <w:rPr>
          <w:color w:val="000000" w:themeColor="text1"/>
          <w:lang w:val="es-US"/>
        </w:rPr>
        <w:t>México, 2023, párr</w:t>
      </w:r>
      <w:r w:rsidR="004478BB" w:rsidRPr="00882500">
        <w:rPr>
          <w:color w:val="000000" w:themeColor="text1"/>
          <w:lang w:val="es-US"/>
        </w:rPr>
        <w:t>s</w:t>
      </w:r>
      <w:r w:rsidRPr="00882500">
        <w:rPr>
          <w:color w:val="000000" w:themeColor="text1"/>
          <w:lang w:val="es-US"/>
        </w:rPr>
        <w:t xml:space="preserve">. </w:t>
      </w:r>
      <w:r w:rsidRPr="00126316">
        <w:rPr>
          <w:color w:val="000000" w:themeColor="text1"/>
        </w:rPr>
        <w:t>129-130.</w:t>
      </w:r>
    </w:p>
  </w:footnote>
  <w:footnote w:id="109">
    <w:p w14:paraId="1A46222C" w14:textId="10A7880B" w:rsidR="00FA1693" w:rsidRPr="00C26987" w:rsidRDefault="00FA1693" w:rsidP="006D507F">
      <w:pPr>
        <w:pStyle w:val="IANOTAALPIE"/>
        <w:rPr>
          <w:lang w:val="es-ES"/>
        </w:rPr>
      </w:pPr>
      <w:r w:rsidRPr="00C26987">
        <w:rPr>
          <w:rStyle w:val="FootnoteReference"/>
        </w:rPr>
        <w:footnoteRef/>
      </w:r>
      <w:r w:rsidRPr="00C26987">
        <w:rPr>
          <w:lang w:val="es-ES"/>
        </w:rPr>
        <w:t xml:space="preserve"> </w:t>
      </w:r>
      <w:r w:rsidR="00733C80">
        <w:rPr>
          <w:lang w:val="es-ES"/>
        </w:rPr>
        <w:t xml:space="preserve">SIMORE Interamericano, </w:t>
      </w:r>
      <w:hyperlink r:id="rId89" w:history="1">
        <w:r w:rsidR="00733C80" w:rsidRPr="00D110E2">
          <w:rPr>
            <w:rStyle w:val="Hyperlink"/>
            <w:rFonts w:eastAsiaTheme="minorHAnsi" w:cstheme="minorBidi"/>
            <w:color w:val="0563C1" w:themeColor="hyperlink"/>
            <w:lang w:val="es-ES" w:eastAsia="en-US"/>
          </w:rPr>
          <w:t>Informe de avance del Estado mexicano sobre el cumplimiento y seguimiento de las recomendaciones de la CIDH, Recomendación 21</w:t>
        </w:r>
      </w:hyperlink>
      <w:r w:rsidR="00733C80">
        <w:rPr>
          <w:lang w:val="es-ES"/>
        </w:rPr>
        <w:t xml:space="preserve">, </w:t>
      </w:r>
      <w:r w:rsidR="00733C80" w:rsidRPr="00C26987">
        <w:rPr>
          <w:lang w:val="es-ES"/>
        </w:rPr>
        <w:t>Capítulo V, 30</w:t>
      </w:r>
      <w:r w:rsidR="00733C80">
        <w:rPr>
          <w:lang w:val="es-ES"/>
        </w:rPr>
        <w:t xml:space="preserve"> de</w:t>
      </w:r>
      <w:r w:rsidR="00733C80" w:rsidRPr="00C26987">
        <w:rPr>
          <w:lang w:val="es-ES"/>
        </w:rPr>
        <w:t xml:space="preserve"> septiembre y 1 de octubre de </w:t>
      </w:r>
      <w:r w:rsidR="00733C80">
        <w:rPr>
          <w:lang w:val="es-ES"/>
        </w:rPr>
        <w:t>2024.</w:t>
      </w:r>
    </w:p>
  </w:footnote>
  <w:footnote w:id="110">
    <w:p w14:paraId="60C395D4" w14:textId="437DC717" w:rsidR="00FA1693" w:rsidRPr="00AE1E3A" w:rsidRDefault="00FA1693" w:rsidP="006D507F">
      <w:pPr>
        <w:pStyle w:val="IANOTAALPIE"/>
        <w:rPr>
          <w:lang w:val="es-ES"/>
        </w:rPr>
      </w:pPr>
      <w:r w:rsidRPr="00AE1E3A">
        <w:rPr>
          <w:rStyle w:val="FootnoteReference"/>
        </w:rPr>
        <w:footnoteRef/>
      </w:r>
      <w:r w:rsidRPr="00AE1E3A">
        <w:rPr>
          <w:lang w:val="es-ES"/>
        </w:rPr>
        <w:t xml:space="preserve"> </w:t>
      </w:r>
      <w:r w:rsidR="00AE1E3A" w:rsidRPr="00B2272C">
        <w:rPr>
          <w:lang w:val="es-ES"/>
        </w:rPr>
        <w:t>Centro Prodh</w:t>
      </w:r>
      <w:r w:rsidR="00B2272C">
        <w:rPr>
          <w:lang w:val="es-ES"/>
        </w:rPr>
        <w:t>,</w:t>
      </w:r>
      <w:r w:rsidR="00AE1E3A" w:rsidRPr="00B2272C">
        <w:rPr>
          <w:lang w:val="es-ES"/>
        </w:rPr>
        <w:t xml:space="preserve"> FJEDD; Marisol Méndez Cruz, Jerónimo del Río y Fabienne Cabaret</w:t>
      </w:r>
      <w:r w:rsidR="00B2272C">
        <w:rPr>
          <w:lang w:val="es-ES"/>
        </w:rPr>
        <w:t>,</w:t>
      </w:r>
      <w:r w:rsidR="00AE1E3A" w:rsidRPr="00B2272C">
        <w:rPr>
          <w:lang w:val="es-ES"/>
        </w:rPr>
        <w:t xml:space="preserve"> SERAPAZ</w:t>
      </w:r>
      <w:r w:rsidR="00B2272C">
        <w:rPr>
          <w:lang w:val="es-ES"/>
        </w:rPr>
        <w:t>,</w:t>
      </w:r>
      <w:r w:rsidR="00AE1E3A" w:rsidRPr="00B2272C">
        <w:rPr>
          <w:lang w:val="es-ES"/>
        </w:rPr>
        <w:t xml:space="preserve"> Idheas Litigio Estratégico en Derechos Humanos y Organización Ku’kay</w:t>
      </w:r>
      <w:r w:rsidR="00B2272C">
        <w:rPr>
          <w:lang w:val="es-ES"/>
        </w:rPr>
        <w:t>;</w:t>
      </w:r>
      <w:r w:rsidR="00AE1E3A" w:rsidRPr="00B2272C">
        <w:rPr>
          <w:lang w:val="es-ES"/>
        </w:rPr>
        <w:t xml:space="preserve"> Seguimiento sobre el cumplimiento de las recomendaciones del Informe “Situación de Derechos Humanos en México”, octubre de 2024.</w:t>
      </w:r>
    </w:p>
  </w:footnote>
  <w:footnote w:id="111">
    <w:p w14:paraId="0BEDD823" w14:textId="2BD9C865" w:rsidR="00FA1693" w:rsidRPr="00C26987" w:rsidRDefault="00FA1693" w:rsidP="006D507F">
      <w:pPr>
        <w:pStyle w:val="IANOTAALPIE"/>
        <w:rPr>
          <w:lang w:val="es-ES"/>
        </w:rPr>
      </w:pPr>
      <w:r w:rsidRPr="00C26987">
        <w:rPr>
          <w:rStyle w:val="FootnoteReference"/>
        </w:rPr>
        <w:footnoteRef/>
      </w:r>
      <w:r w:rsidRPr="00C26987">
        <w:rPr>
          <w:lang w:val="es-ES"/>
        </w:rPr>
        <w:t xml:space="preserve"> Comité Contra la Desaparición Forzada, Informe sobre su visita a México al amparo del artículo 33 de la Convención. Observaciones y segunda parte de las recomendaciones (art. 33 párr. 5), párr. 50, 12 de abril de 2022;</w:t>
      </w:r>
      <w:r w:rsidR="006D507F">
        <w:rPr>
          <w:lang w:val="es-ES"/>
        </w:rPr>
        <w:t xml:space="preserve"> </w:t>
      </w:r>
      <w:r w:rsidRPr="00C26987">
        <w:rPr>
          <w:lang w:val="es-ES"/>
        </w:rPr>
        <w:t>FJEDD, Seguimiento sobre el cumplimiento de las recomendaciones del Informe “Situación de Derechos Humanos en México”, del 19</w:t>
      </w:r>
      <w:r w:rsidR="00BB4DC8">
        <w:rPr>
          <w:lang w:val="es-ES"/>
        </w:rPr>
        <w:t xml:space="preserve"> </w:t>
      </w:r>
      <w:r w:rsidRPr="00C26987">
        <w:rPr>
          <w:lang w:val="es-ES"/>
        </w:rPr>
        <w:t>septiembre de 2023.</w:t>
      </w:r>
    </w:p>
  </w:footnote>
  <w:footnote w:id="112">
    <w:p w14:paraId="4E18B67A" w14:textId="56CCCF9C" w:rsidR="00FA1693" w:rsidRPr="00C26987" w:rsidRDefault="00FA1693">
      <w:pPr>
        <w:pStyle w:val="FootnoteText"/>
        <w:ind w:firstLine="720"/>
        <w:jc w:val="both"/>
        <w:rPr>
          <w:szCs w:val="16"/>
          <w:lang w:val="es-ES"/>
        </w:rPr>
      </w:pPr>
      <w:r w:rsidRPr="00C26987">
        <w:rPr>
          <w:rStyle w:val="FootnoteReference"/>
          <w:szCs w:val="16"/>
        </w:rPr>
        <w:footnoteRef/>
      </w:r>
      <w:r w:rsidRPr="00755A25">
        <w:rPr>
          <w:szCs w:val="16"/>
          <w:lang w:val="pt-BR"/>
        </w:rPr>
        <w:t xml:space="preserve"> CIDH</w:t>
      </w:r>
      <w:r w:rsidRPr="002B01A1">
        <w:rPr>
          <w:rStyle w:val="Hyperlink"/>
          <w:rFonts w:eastAsiaTheme="minorHAnsi" w:cstheme="minorBidi"/>
          <w:color w:val="0563C1" w:themeColor="hyperlink"/>
          <w:lang w:val="pt-BR"/>
        </w:rPr>
        <w:t xml:space="preserve">, </w:t>
      </w:r>
      <w:hyperlink r:id="rId90">
        <w:r w:rsidRPr="002B01A1">
          <w:rPr>
            <w:rStyle w:val="Hyperlink"/>
            <w:rFonts w:eastAsiaTheme="minorHAnsi" w:cstheme="minorBidi"/>
            <w:color w:val="0563C1" w:themeColor="hyperlink"/>
            <w:szCs w:val="16"/>
            <w:lang w:val="pt-BR"/>
          </w:rPr>
          <w:t>Informe Anual, Capítulo V, México</w:t>
        </w:r>
      </w:hyperlink>
      <w:r w:rsidRPr="00755A25">
        <w:rPr>
          <w:szCs w:val="16"/>
          <w:lang w:val="pt-BR"/>
        </w:rPr>
        <w:t xml:space="preserve">, 2023, párr. </w:t>
      </w:r>
      <w:r w:rsidRPr="00C26987">
        <w:rPr>
          <w:szCs w:val="16"/>
          <w:lang w:val="es-ES"/>
        </w:rPr>
        <w:t>132.</w:t>
      </w:r>
    </w:p>
  </w:footnote>
  <w:footnote w:id="113">
    <w:p w14:paraId="7E598F1C" w14:textId="609D48F3" w:rsidR="00F55FC1" w:rsidRPr="00C26987" w:rsidRDefault="00F55FC1">
      <w:pPr>
        <w:pStyle w:val="NoSpacing"/>
        <w:ind w:firstLine="720"/>
        <w:jc w:val="both"/>
        <w:rPr>
          <w:rFonts w:ascii="Cambria" w:hAnsi="Cambria"/>
          <w:sz w:val="16"/>
          <w:szCs w:val="16"/>
        </w:rPr>
      </w:pPr>
      <w:r w:rsidRPr="00C26987">
        <w:rPr>
          <w:rStyle w:val="FootnoteReference"/>
          <w:rFonts w:ascii="Cambria" w:hAnsi="Cambria"/>
          <w:sz w:val="16"/>
          <w:szCs w:val="16"/>
        </w:rPr>
        <w:footnoteRef/>
      </w:r>
      <w:r w:rsidR="78887EE9" w:rsidRPr="00882500">
        <w:rPr>
          <w:rFonts w:ascii="Cambria" w:hAnsi="Cambria"/>
          <w:sz w:val="16"/>
          <w:szCs w:val="16"/>
          <w:lang w:val="es-US"/>
        </w:rPr>
        <w:t xml:space="preserve"> CIDH, </w:t>
      </w:r>
      <w:hyperlink r:id="rId91">
        <w:r w:rsidR="78887EE9" w:rsidRPr="00D110E2">
          <w:rPr>
            <w:rStyle w:val="Hyperlink"/>
            <w:rFonts w:ascii="Cambria" w:eastAsiaTheme="minorHAnsi" w:hAnsi="Cambria" w:cstheme="minorBidi"/>
            <w:color w:val="0563C1" w:themeColor="hyperlink"/>
            <w:sz w:val="16"/>
            <w:szCs w:val="20"/>
            <w:lang w:eastAsia="en-US"/>
          </w:rPr>
          <w:t>Informe Anual, Capítulo V, México</w:t>
        </w:r>
      </w:hyperlink>
      <w:r w:rsidR="78887EE9" w:rsidRPr="00882500">
        <w:rPr>
          <w:rFonts w:ascii="Cambria" w:hAnsi="Cambria"/>
          <w:sz w:val="16"/>
          <w:szCs w:val="16"/>
          <w:lang w:val="es-US"/>
        </w:rPr>
        <w:t>, 2023, párr</w:t>
      </w:r>
      <w:r w:rsidR="00B2272C" w:rsidRPr="00882500">
        <w:rPr>
          <w:rFonts w:ascii="Cambria" w:hAnsi="Cambria"/>
          <w:sz w:val="16"/>
          <w:szCs w:val="16"/>
          <w:lang w:val="es-US"/>
        </w:rPr>
        <w:t>s</w:t>
      </w:r>
      <w:r w:rsidR="78887EE9" w:rsidRPr="00882500">
        <w:rPr>
          <w:rFonts w:ascii="Cambria" w:hAnsi="Cambria"/>
          <w:sz w:val="16"/>
          <w:szCs w:val="16"/>
          <w:lang w:val="es-US"/>
        </w:rPr>
        <w:t xml:space="preserve">. </w:t>
      </w:r>
      <w:r w:rsidR="78887EE9" w:rsidRPr="00C26987">
        <w:rPr>
          <w:rFonts w:ascii="Cambria" w:hAnsi="Cambria"/>
          <w:sz w:val="16"/>
          <w:szCs w:val="16"/>
        </w:rPr>
        <w:t>134-137</w:t>
      </w:r>
      <w:r w:rsidR="006D507F">
        <w:rPr>
          <w:rFonts w:ascii="Cambria" w:hAnsi="Cambria"/>
          <w:sz w:val="16"/>
          <w:szCs w:val="16"/>
        </w:rPr>
        <w:t>.</w:t>
      </w:r>
    </w:p>
  </w:footnote>
  <w:footnote w:id="114">
    <w:p w14:paraId="3E895D15" w14:textId="3A702665" w:rsidR="00377605" w:rsidRPr="00C26987" w:rsidRDefault="00377605" w:rsidP="001E133B">
      <w:pPr>
        <w:pStyle w:val="IANOTAALPIE"/>
      </w:pPr>
      <w:r w:rsidRPr="00C26987">
        <w:rPr>
          <w:rStyle w:val="FootnoteReference"/>
        </w:rPr>
        <w:footnoteRef/>
      </w:r>
      <w:r w:rsidRPr="00C26987">
        <w:t xml:space="preserve"> </w:t>
      </w:r>
      <w:r w:rsidR="00733C80">
        <w:rPr>
          <w:lang w:val="es-ES"/>
        </w:rPr>
        <w:t xml:space="preserve">SIMORE Interamericano, </w:t>
      </w:r>
      <w:hyperlink r:id="rId92" w:history="1">
        <w:r w:rsidR="00733C80" w:rsidRPr="00D110E2">
          <w:rPr>
            <w:rStyle w:val="Hyperlink"/>
            <w:rFonts w:eastAsiaTheme="minorHAnsi" w:cstheme="minorBidi"/>
            <w:color w:val="0563C1" w:themeColor="hyperlink"/>
            <w:szCs w:val="20"/>
            <w:lang w:val="es-ES" w:eastAsia="en-US"/>
          </w:rPr>
          <w:t>Informe de avance del Estado mexicano sobre el cumplimiento y seguimiento de las recomendaciones de la CIDH, Recomendación 22</w:t>
        </w:r>
      </w:hyperlink>
      <w:r w:rsidR="00733C80">
        <w:rPr>
          <w:lang w:val="es-ES"/>
        </w:rPr>
        <w:t xml:space="preserve">, </w:t>
      </w:r>
      <w:r w:rsidR="00733C80" w:rsidRPr="00C26987">
        <w:rPr>
          <w:lang w:val="es-ES"/>
        </w:rPr>
        <w:t>Capítulo V, 30</w:t>
      </w:r>
      <w:r w:rsidR="00733C80">
        <w:rPr>
          <w:lang w:val="es-ES"/>
        </w:rPr>
        <w:t xml:space="preserve"> de</w:t>
      </w:r>
      <w:r w:rsidR="00733C80" w:rsidRPr="00C26987">
        <w:rPr>
          <w:lang w:val="es-ES"/>
        </w:rPr>
        <w:t xml:space="preserve"> septiembre y 1 de octubre de </w:t>
      </w:r>
      <w:r w:rsidR="00733C80">
        <w:rPr>
          <w:lang w:val="es-ES"/>
        </w:rPr>
        <w:t>2024.</w:t>
      </w:r>
      <w:r w:rsidRPr="00C26987">
        <w:t xml:space="preserve"> </w:t>
      </w:r>
    </w:p>
  </w:footnote>
  <w:footnote w:id="115">
    <w:p w14:paraId="7B0AAE2F" w14:textId="7855A259" w:rsidR="00244B57" w:rsidRPr="00C26987" w:rsidRDefault="00244B57" w:rsidP="001E133B">
      <w:pPr>
        <w:pStyle w:val="IANOTAALPIE"/>
      </w:pPr>
      <w:r w:rsidRPr="00C26987">
        <w:rPr>
          <w:rStyle w:val="FootnoteReference"/>
        </w:rPr>
        <w:footnoteRef/>
      </w:r>
      <w:r w:rsidRPr="00C26987">
        <w:t xml:space="preserve"> </w:t>
      </w:r>
      <w:r w:rsidR="00AE1E3A" w:rsidRPr="00AE1E3A">
        <w:t>Centro Prodh</w:t>
      </w:r>
      <w:r w:rsidR="00B2272C">
        <w:t>,</w:t>
      </w:r>
      <w:r w:rsidR="00AE1E3A" w:rsidRPr="00AE1E3A">
        <w:t xml:space="preserve"> FJEDD</w:t>
      </w:r>
      <w:r w:rsidR="00B2272C">
        <w:t>,</w:t>
      </w:r>
      <w:r w:rsidR="00AE1E3A" w:rsidRPr="00AE1E3A">
        <w:t xml:space="preserve"> Marisol Méndez Cruz, Jerónimo del Río y Fabienne Cabaret; SERAPAZ</w:t>
      </w:r>
      <w:r w:rsidR="00B2272C">
        <w:t>,</w:t>
      </w:r>
      <w:r w:rsidR="00AE1E3A" w:rsidRPr="00AE1E3A">
        <w:t xml:space="preserve"> Idheas Litigio Estratégico en Derechos Humanos y Organización Ku’kay</w:t>
      </w:r>
      <w:r w:rsidR="00B2272C">
        <w:t>;</w:t>
      </w:r>
      <w:r w:rsidR="00AE1E3A" w:rsidRPr="00AE1E3A">
        <w:t xml:space="preserve"> Seguimiento sobre el cumplimiento de las recomendaciones del Informe “Situación de Derechos Humanos en México”, octubre de 2024.</w:t>
      </w:r>
    </w:p>
  </w:footnote>
  <w:footnote w:id="116">
    <w:p w14:paraId="542B66C5" w14:textId="6EA534E3" w:rsidR="00244B57" w:rsidRPr="00C26987" w:rsidRDefault="00244B57" w:rsidP="001E133B">
      <w:pPr>
        <w:pStyle w:val="IANOTAALPIE"/>
      </w:pPr>
      <w:r w:rsidRPr="00C26987">
        <w:rPr>
          <w:rStyle w:val="FootnoteReference"/>
        </w:rPr>
        <w:footnoteRef/>
      </w:r>
      <w:r w:rsidRPr="00C26987">
        <w:rPr>
          <w:lang w:val="pt-BR"/>
        </w:rPr>
        <w:t xml:space="preserve"> CIDH, </w:t>
      </w:r>
      <w:hyperlink r:id="rId93">
        <w:r w:rsidRPr="002B01A1">
          <w:rPr>
            <w:rStyle w:val="Hyperlink"/>
            <w:rFonts w:eastAsiaTheme="minorHAnsi" w:cstheme="minorBidi"/>
            <w:color w:val="0563C1" w:themeColor="hyperlink"/>
            <w:szCs w:val="20"/>
            <w:lang w:val="pt-BR" w:eastAsia="en-US"/>
          </w:rPr>
          <w:t>Informe Anual, Capítulo V, México</w:t>
        </w:r>
      </w:hyperlink>
      <w:r w:rsidRPr="00C26987">
        <w:rPr>
          <w:lang w:val="pt-BR"/>
        </w:rPr>
        <w:t>, 2023, párr</w:t>
      </w:r>
      <w:r w:rsidR="005D02D9">
        <w:rPr>
          <w:lang w:val="pt-BR"/>
        </w:rPr>
        <w:t>s</w:t>
      </w:r>
      <w:r w:rsidRPr="00C26987">
        <w:rPr>
          <w:lang w:val="pt-BR"/>
        </w:rPr>
        <w:t xml:space="preserve">. </w:t>
      </w:r>
      <w:r w:rsidRPr="00C26987">
        <w:t>134-137.</w:t>
      </w:r>
    </w:p>
  </w:footnote>
  <w:footnote w:id="117">
    <w:p w14:paraId="666FC42F" w14:textId="5F2A2AC1" w:rsidR="00244B57" w:rsidRPr="00C26987" w:rsidRDefault="00244B57" w:rsidP="001E133B">
      <w:pPr>
        <w:pStyle w:val="IANOTAALPIE"/>
      </w:pPr>
      <w:r w:rsidRPr="00C26987">
        <w:rPr>
          <w:rStyle w:val="FootnoteReference"/>
        </w:rPr>
        <w:footnoteRef/>
      </w:r>
      <w:r w:rsidRPr="005B0502">
        <w:t xml:space="preserve"> CIDH, </w:t>
      </w:r>
      <w:hyperlink r:id="rId94">
        <w:r w:rsidRPr="00D110E2">
          <w:rPr>
            <w:rStyle w:val="Hyperlink"/>
            <w:rFonts w:eastAsiaTheme="minorHAnsi" w:cstheme="minorBidi"/>
            <w:color w:val="0563C1" w:themeColor="hyperlink"/>
            <w:szCs w:val="20"/>
            <w:lang w:val="es-ES" w:eastAsia="en-US"/>
          </w:rPr>
          <w:t>Informe Anual, Capítulo V, México</w:t>
        </w:r>
      </w:hyperlink>
      <w:r w:rsidRPr="005B0502">
        <w:t>, 2023, párr</w:t>
      </w:r>
      <w:r w:rsidR="005D02D9" w:rsidRPr="005B0502">
        <w:t>s</w:t>
      </w:r>
      <w:r w:rsidRPr="005B0502">
        <w:t xml:space="preserve">. </w:t>
      </w:r>
      <w:r w:rsidRPr="00C26987">
        <w:t>136-137.</w:t>
      </w:r>
    </w:p>
  </w:footnote>
  <w:footnote w:id="118">
    <w:p w14:paraId="2C029CEB" w14:textId="5D016C6E" w:rsidR="00377605" w:rsidRPr="00C26987" w:rsidRDefault="00377605" w:rsidP="005B2614">
      <w:pPr>
        <w:pStyle w:val="IANOTAALPIE"/>
      </w:pPr>
      <w:r w:rsidRPr="00C26987">
        <w:rPr>
          <w:rStyle w:val="FootnoteReference"/>
        </w:rPr>
        <w:footnoteRef/>
      </w:r>
      <w:r w:rsidR="00A62F50">
        <w:t xml:space="preserve"> </w:t>
      </w:r>
      <w:r w:rsidR="00A62F50">
        <w:rPr>
          <w:lang w:val="es-ES"/>
        </w:rPr>
        <w:t xml:space="preserve">SIMORE Interamericano, </w:t>
      </w:r>
      <w:hyperlink r:id="rId95" w:history="1">
        <w:r w:rsidR="00A62F50" w:rsidRPr="00D110E2">
          <w:rPr>
            <w:rStyle w:val="Hyperlink"/>
            <w:rFonts w:eastAsiaTheme="minorHAnsi" w:cstheme="minorBidi"/>
            <w:color w:val="0563C1" w:themeColor="hyperlink"/>
            <w:szCs w:val="20"/>
            <w:lang w:val="es-ES" w:eastAsia="en-US"/>
          </w:rPr>
          <w:t>Informe de avance del Estado mexicano sobre el cumplimiento y seguimiento de las recomendaciones de la CIDH, Recomendación 23</w:t>
        </w:r>
      </w:hyperlink>
      <w:r w:rsidR="00A62F50">
        <w:rPr>
          <w:lang w:val="es-ES"/>
        </w:rPr>
        <w:t xml:space="preserve">, </w:t>
      </w:r>
      <w:r w:rsidR="00A62F50" w:rsidRPr="00C26987">
        <w:rPr>
          <w:lang w:val="es-ES"/>
        </w:rPr>
        <w:t>Capítulo V, 30</w:t>
      </w:r>
      <w:r w:rsidR="00A62F50">
        <w:rPr>
          <w:lang w:val="es-ES"/>
        </w:rPr>
        <w:t xml:space="preserve"> de</w:t>
      </w:r>
      <w:r w:rsidR="00A62F50" w:rsidRPr="00C26987">
        <w:rPr>
          <w:lang w:val="es-ES"/>
        </w:rPr>
        <w:t xml:space="preserve"> septiembre y 1 de octubre de </w:t>
      </w:r>
      <w:r w:rsidR="00A62F50">
        <w:rPr>
          <w:lang w:val="es-ES"/>
        </w:rPr>
        <w:t>2024.</w:t>
      </w:r>
    </w:p>
  </w:footnote>
  <w:footnote w:id="119">
    <w:p w14:paraId="6696F1EB" w14:textId="59FA5025" w:rsidR="0012383C" w:rsidRPr="0012383C" w:rsidRDefault="0012383C" w:rsidP="005B2614">
      <w:pPr>
        <w:pStyle w:val="IANOTAALPIE"/>
      </w:pPr>
      <w:r>
        <w:rPr>
          <w:rStyle w:val="FootnoteReference"/>
        </w:rPr>
        <w:footnoteRef/>
      </w:r>
      <w:r w:rsidRPr="0012383C">
        <w:t xml:space="preserve"> </w:t>
      </w:r>
      <w:r w:rsidRPr="0038168E">
        <w:rPr>
          <w:lang w:val="es-AR"/>
        </w:rPr>
        <w:t>Estado de México</w:t>
      </w:r>
      <w:r w:rsidR="00A62F50">
        <w:rPr>
          <w:lang w:val="es-AR"/>
        </w:rPr>
        <w:t>,</w:t>
      </w:r>
      <w:r w:rsidRPr="0038168E">
        <w:rPr>
          <w:lang w:val="es-AR"/>
        </w:rPr>
        <w:t xml:space="preserve">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120">
    <w:p w14:paraId="09C4B4C8" w14:textId="056A3242" w:rsidR="00377605" w:rsidRPr="00C26987" w:rsidRDefault="00377605" w:rsidP="005B2614">
      <w:pPr>
        <w:pStyle w:val="IANOTAALPIE"/>
      </w:pPr>
      <w:r w:rsidRPr="00C26987">
        <w:rPr>
          <w:rStyle w:val="FootnoteReference"/>
        </w:rPr>
        <w:footnoteRef/>
      </w:r>
      <w:r w:rsidRPr="00C26987">
        <w:t xml:space="preserve"> </w:t>
      </w:r>
      <w:r w:rsidR="00AE1E3A" w:rsidRPr="00AE1E3A">
        <w:t>Centro Prodh</w:t>
      </w:r>
      <w:r w:rsidR="0034139E">
        <w:t>,</w:t>
      </w:r>
      <w:r w:rsidR="00AE1E3A" w:rsidRPr="00AE1E3A">
        <w:t xml:space="preserve"> FJEDD; Marisol Méndez Cruz, Jerónimo del Río y Fabienne Cabaret</w:t>
      </w:r>
      <w:r w:rsidR="000859A6">
        <w:t>,</w:t>
      </w:r>
      <w:r w:rsidR="00AE1E3A" w:rsidRPr="00AE1E3A">
        <w:t xml:space="preserve"> SERAPAZ</w:t>
      </w:r>
      <w:r w:rsidR="000859A6">
        <w:t>,</w:t>
      </w:r>
      <w:r w:rsidR="00AE1E3A" w:rsidRPr="00AE1E3A">
        <w:t xml:space="preserve"> Idheas Litigio Estratégico en Derechos Humanos y Organización Ku’kay</w:t>
      </w:r>
      <w:r w:rsidR="000859A6">
        <w:t>;</w:t>
      </w:r>
      <w:r w:rsidR="00AE1E3A" w:rsidRPr="00AE1E3A">
        <w:t xml:space="preserve"> Seguimiento sobre el cumplimiento de las recomendaciones del Informe “Situación de Derechos Humanos en México”, octubre de 2024.</w:t>
      </w:r>
    </w:p>
  </w:footnote>
  <w:footnote w:id="121">
    <w:p w14:paraId="5063453C" w14:textId="46D768A8" w:rsidR="00B732CE" w:rsidRPr="00C26987" w:rsidRDefault="00B732CE" w:rsidP="005B2614">
      <w:pPr>
        <w:pStyle w:val="IANOTAALPIE"/>
        <w:rPr>
          <w:lang w:val="es-US"/>
        </w:rPr>
      </w:pPr>
      <w:r w:rsidRPr="00C26987">
        <w:rPr>
          <w:rStyle w:val="FootnoteReference"/>
        </w:rPr>
        <w:footnoteRef/>
      </w:r>
      <w:r w:rsidRPr="00C26987">
        <w:rPr>
          <w:lang w:val="pt-BR"/>
        </w:rPr>
        <w:t xml:space="preserve"> CIDH</w:t>
      </w:r>
      <w:r w:rsidRPr="002B01A1">
        <w:rPr>
          <w:rStyle w:val="Hyperlink"/>
          <w:rFonts w:eastAsiaTheme="minorHAnsi" w:cstheme="minorBidi"/>
          <w:color w:val="0563C1" w:themeColor="hyperlink"/>
          <w:szCs w:val="20"/>
          <w:lang w:val="pt-BR" w:eastAsia="en-US"/>
        </w:rPr>
        <w:t xml:space="preserve">, </w:t>
      </w:r>
      <w:hyperlink r:id="rId96">
        <w:r w:rsidRPr="002B01A1">
          <w:rPr>
            <w:rStyle w:val="Hyperlink"/>
            <w:rFonts w:eastAsiaTheme="minorHAnsi" w:cstheme="minorBidi"/>
            <w:color w:val="0563C1" w:themeColor="hyperlink"/>
            <w:szCs w:val="20"/>
            <w:lang w:val="pt-BR" w:eastAsia="en-US"/>
          </w:rPr>
          <w:t>Informe Anual, Capítulo V, México</w:t>
        </w:r>
      </w:hyperlink>
      <w:r w:rsidRPr="00C26987">
        <w:rPr>
          <w:lang w:val="pt-BR"/>
        </w:rPr>
        <w:t xml:space="preserve">, 2023, párr. </w:t>
      </w:r>
      <w:r w:rsidRPr="00C26987">
        <w:rPr>
          <w:lang w:val="es-US"/>
        </w:rPr>
        <w:t>143.</w:t>
      </w:r>
    </w:p>
  </w:footnote>
  <w:footnote w:id="122">
    <w:p w14:paraId="092C2369" w14:textId="781CE340" w:rsidR="00AE1E3A" w:rsidRPr="00AE1E3A" w:rsidRDefault="00AE1E3A" w:rsidP="005B2614">
      <w:pPr>
        <w:pStyle w:val="IANOTAALPIE"/>
        <w:rPr>
          <w:lang w:val="es-ES"/>
        </w:rPr>
      </w:pPr>
      <w:r>
        <w:rPr>
          <w:rStyle w:val="FootnoteReference"/>
        </w:rPr>
        <w:footnoteRef/>
      </w:r>
      <w:r w:rsidRPr="005B0502">
        <w:rPr>
          <w:lang w:val="es-ES"/>
        </w:rPr>
        <w:t xml:space="preserve"> CIDH, </w:t>
      </w:r>
      <w:hyperlink r:id="rId97">
        <w:r w:rsidRPr="00D110E2">
          <w:rPr>
            <w:rStyle w:val="Hyperlink"/>
            <w:rFonts w:eastAsiaTheme="minorHAnsi" w:cstheme="minorBidi"/>
            <w:color w:val="0563C1" w:themeColor="hyperlink"/>
            <w:szCs w:val="20"/>
            <w:lang w:val="es-ES" w:eastAsia="en-US"/>
          </w:rPr>
          <w:t>Informe Anual, Capítulo V, México</w:t>
        </w:r>
      </w:hyperlink>
      <w:r w:rsidRPr="005B0502">
        <w:rPr>
          <w:lang w:val="es-ES"/>
        </w:rPr>
        <w:t>, 2023, párr</w:t>
      </w:r>
      <w:r w:rsidR="000859A6" w:rsidRPr="005B0502">
        <w:rPr>
          <w:lang w:val="es-ES"/>
        </w:rPr>
        <w:t>s</w:t>
      </w:r>
      <w:r w:rsidRPr="005B0502">
        <w:rPr>
          <w:lang w:val="es-ES"/>
        </w:rPr>
        <w:t xml:space="preserve">. </w:t>
      </w:r>
      <w:r w:rsidRPr="00C26987">
        <w:rPr>
          <w:lang w:val="es-US"/>
        </w:rPr>
        <w:t>14</w:t>
      </w:r>
      <w:r>
        <w:rPr>
          <w:lang w:val="es-US"/>
        </w:rPr>
        <w:t>5-147.</w:t>
      </w:r>
    </w:p>
  </w:footnote>
  <w:footnote w:id="123">
    <w:p w14:paraId="7FB3DCA9" w14:textId="79476972" w:rsidR="00AE1E3A" w:rsidRPr="00AE1E3A" w:rsidRDefault="00AE1E3A" w:rsidP="005B2614">
      <w:pPr>
        <w:pStyle w:val="IANOTAALPIE"/>
        <w:rPr>
          <w:lang w:val="es-ES"/>
        </w:rPr>
      </w:pPr>
      <w:r>
        <w:rPr>
          <w:rStyle w:val="FootnoteReference"/>
        </w:rPr>
        <w:footnoteRef/>
      </w:r>
      <w:r w:rsidRPr="00AE1E3A">
        <w:rPr>
          <w:lang w:val="es-ES"/>
        </w:rPr>
        <w:t xml:space="preserve"> </w:t>
      </w:r>
      <w:r w:rsidR="00A62F50">
        <w:rPr>
          <w:lang w:val="es-ES"/>
        </w:rPr>
        <w:t xml:space="preserve">SIMORE Interamericano, </w:t>
      </w:r>
      <w:hyperlink r:id="rId98" w:history="1">
        <w:r w:rsidR="00A62F50" w:rsidRPr="00D110E2">
          <w:rPr>
            <w:rStyle w:val="Hyperlink"/>
            <w:rFonts w:eastAsiaTheme="minorHAnsi" w:cstheme="minorBidi"/>
            <w:color w:val="0563C1" w:themeColor="hyperlink"/>
            <w:szCs w:val="20"/>
            <w:lang w:val="es-ES" w:eastAsia="en-US"/>
          </w:rPr>
          <w:t>Informe de avance del Estado mexicano sobre el cumplimiento y seguimiento de las recomendaciones de la CIDH, Recomendación 24</w:t>
        </w:r>
      </w:hyperlink>
      <w:r w:rsidR="00A62F50">
        <w:rPr>
          <w:lang w:val="es-ES"/>
        </w:rPr>
        <w:t xml:space="preserve">, </w:t>
      </w:r>
      <w:r w:rsidR="00A62F50" w:rsidRPr="00C26987">
        <w:rPr>
          <w:lang w:val="es-ES"/>
        </w:rPr>
        <w:t>Capítulo V, 30</w:t>
      </w:r>
      <w:r w:rsidR="00A62F50">
        <w:rPr>
          <w:lang w:val="es-ES"/>
        </w:rPr>
        <w:t xml:space="preserve"> de</w:t>
      </w:r>
      <w:r w:rsidR="00A62F50" w:rsidRPr="00C26987">
        <w:rPr>
          <w:lang w:val="es-ES"/>
        </w:rPr>
        <w:t xml:space="preserve"> septiembre y 1 de octubre de </w:t>
      </w:r>
      <w:r w:rsidR="00A62F50">
        <w:rPr>
          <w:lang w:val="es-ES"/>
        </w:rPr>
        <w:t>2024.</w:t>
      </w:r>
    </w:p>
  </w:footnote>
  <w:footnote w:id="124">
    <w:p w14:paraId="0F093859" w14:textId="310BCE67" w:rsidR="00B732CE" w:rsidRPr="00725972" w:rsidRDefault="00B732CE" w:rsidP="005B2614">
      <w:pPr>
        <w:pStyle w:val="IANOTAALPIE"/>
        <w:rPr>
          <w:lang w:val="en-US"/>
        </w:rPr>
      </w:pPr>
      <w:r w:rsidRPr="00C26987">
        <w:rPr>
          <w:rStyle w:val="FootnoteReference"/>
        </w:rPr>
        <w:footnoteRef/>
      </w:r>
      <w:r w:rsidRPr="00290A05">
        <w:rPr>
          <w:lang w:val="es-ES"/>
        </w:rPr>
        <w:t xml:space="preserve"> </w:t>
      </w:r>
      <w:r w:rsidR="00290A05" w:rsidRPr="00290A05">
        <w:rPr>
          <w:lang w:val="es-ES"/>
        </w:rPr>
        <w:t>Ley General de Desaparición</w:t>
      </w:r>
      <w:r w:rsidRPr="00290A05">
        <w:rPr>
          <w:lang w:val="es-ES"/>
        </w:rPr>
        <w:t xml:space="preserve">, </w:t>
      </w:r>
      <w:r w:rsidR="00A72268" w:rsidRPr="00290A05">
        <w:rPr>
          <w:lang w:val="es-ES"/>
        </w:rPr>
        <w:t>a</w:t>
      </w:r>
      <w:r w:rsidRPr="00290A05">
        <w:rPr>
          <w:lang w:val="es-ES"/>
        </w:rPr>
        <w:t>rt. 4</w:t>
      </w:r>
      <w:r w:rsidR="000859A6" w:rsidRPr="00290A05">
        <w:rPr>
          <w:lang w:val="es-ES"/>
        </w:rPr>
        <w:t>,</w:t>
      </w:r>
      <w:r w:rsidRPr="00290A05">
        <w:rPr>
          <w:lang w:val="es-ES"/>
        </w:rPr>
        <w:t xml:space="preserve"> párr. </w:t>
      </w:r>
      <w:r w:rsidRPr="00725972">
        <w:rPr>
          <w:lang w:val="en-US"/>
        </w:rPr>
        <w:t xml:space="preserve">V </w:t>
      </w:r>
      <w:r w:rsidRPr="00725972">
        <w:rPr>
          <w:i/>
          <w:lang w:val="en-US"/>
        </w:rPr>
        <w:t>Bis</w:t>
      </w:r>
      <w:r w:rsidRPr="00725972">
        <w:rPr>
          <w:lang w:val="en-US"/>
        </w:rPr>
        <w:t xml:space="preserve"> y art. 53 XXVI, </w:t>
      </w:r>
      <w:r w:rsidRPr="00725972">
        <w:rPr>
          <w:i/>
          <w:lang w:val="en-US"/>
        </w:rPr>
        <w:t>Quarter</w:t>
      </w:r>
      <w:r w:rsidRPr="00725972">
        <w:rPr>
          <w:lang w:val="en-US"/>
        </w:rPr>
        <w:t>.</w:t>
      </w:r>
    </w:p>
  </w:footnote>
  <w:footnote w:id="125">
    <w:p w14:paraId="0C7FDD1E" w14:textId="176AD3F5" w:rsidR="00B732CE" w:rsidRPr="00AE1E3A" w:rsidRDefault="00B732CE" w:rsidP="005B2614">
      <w:pPr>
        <w:pStyle w:val="IANOTAALPIE"/>
        <w:rPr>
          <w:lang w:val="es-ES"/>
        </w:rPr>
      </w:pPr>
      <w:r w:rsidRPr="00C26987">
        <w:rPr>
          <w:rStyle w:val="FootnoteReference"/>
        </w:rPr>
        <w:footnoteRef/>
      </w:r>
      <w:r w:rsidRPr="00C26987">
        <w:rPr>
          <w:lang w:val="es-ES"/>
        </w:rPr>
        <w:t xml:space="preserve"> Gobierno de México, </w:t>
      </w:r>
      <w:hyperlink r:id="rId99" w:history="1">
        <w:r w:rsidRPr="00D110E2">
          <w:rPr>
            <w:rStyle w:val="Hyperlink"/>
            <w:rFonts w:eastAsiaTheme="minorHAnsi" w:cstheme="minorBidi"/>
            <w:color w:val="0563C1" w:themeColor="hyperlink"/>
            <w:szCs w:val="20"/>
            <w:lang w:val="es-ES" w:eastAsia="en-US"/>
          </w:rPr>
          <w:t>Centro Nacional de Identificación Humana, institución única al servicio de la sociedad</w:t>
        </w:r>
        <w:r w:rsidRPr="00AE1E3A">
          <w:rPr>
            <w:rStyle w:val="Hyperlink"/>
            <w:lang w:val="es-ES"/>
          </w:rPr>
          <w:t>,</w:t>
        </w:r>
      </w:hyperlink>
      <w:r w:rsidRPr="00AE1E3A">
        <w:rPr>
          <w:lang w:val="es-ES"/>
        </w:rPr>
        <w:t xml:space="preserve"> 9 de agosto de 2022. </w:t>
      </w:r>
    </w:p>
  </w:footnote>
  <w:footnote w:id="126">
    <w:p w14:paraId="1873A68F" w14:textId="2D332F18" w:rsidR="00B732CE" w:rsidRPr="00C26987" w:rsidRDefault="00B732CE" w:rsidP="005B2614">
      <w:pPr>
        <w:pStyle w:val="IANOTAALPIE"/>
        <w:rPr>
          <w:lang w:val="es-ES"/>
        </w:rPr>
      </w:pPr>
      <w:r w:rsidRPr="00AE1E3A">
        <w:rPr>
          <w:rStyle w:val="FootnoteReference"/>
        </w:rPr>
        <w:footnoteRef/>
      </w:r>
      <w:r w:rsidRPr="00AE1E3A">
        <w:rPr>
          <w:lang w:val="es-ES"/>
        </w:rPr>
        <w:t xml:space="preserve"> SEGOB, </w:t>
      </w:r>
      <w:hyperlink r:id="rId100" w:history="1">
        <w:r w:rsidRPr="00D110E2">
          <w:rPr>
            <w:rStyle w:val="Hyperlink"/>
            <w:rFonts w:eastAsiaTheme="minorHAnsi" w:cstheme="minorBidi"/>
            <w:color w:val="0563C1" w:themeColor="hyperlink"/>
            <w:szCs w:val="20"/>
            <w:lang w:val="es-ES" w:eastAsia="en-US"/>
          </w:rPr>
          <w:t xml:space="preserve">Primera Sesión Ordinaria del </w:t>
        </w:r>
        <w:r w:rsidR="00AE1E3A" w:rsidRPr="00D110E2">
          <w:rPr>
            <w:rStyle w:val="Hyperlink"/>
            <w:rFonts w:eastAsiaTheme="minorHAnsi" w:cstheme="minorBidi"/>
            <w:color w:val="0563C1" w:themeColor="hyperlink"/>
            <w:szCs w:val="20"/>
            <w:lang w:val="es-ES" w:eastAsia="en-US"/>
          </w:rPr>
          <w:t>SNB</w:t>
        </w:r>
        <w:r w:rsidRPr="00D110E2">
          <w:rPr>
            <w:rStyle w:val="Hyperlink"/>
            <w:rFonts w:eastAsiaTheme="minorHAnsi" w:cstheme="minorBidi"/>
            <w:color w:val="0563C1" w:themeColor="hyperlink"/>
            <w:szCs w:val="20"/>
            <w:lang w:val="es-ES" w:eastAsia="en-US"/>
          </w:rPr>
          <w:t xml:space="preserve"> de 2024</w:t>
        </w:r>
      </w:hyperlink>
      <w:r w:rsidRPr="00AE1E3A">
        <w:rPr>
          <w:lang w:val="es-ES"/>
        </w:rPr>
        <w:t>, 2 de febrero de 2024,</w:t>
      </w:r>
      <w:r w:rsidRPr="00C26987">
        <w:rPr>
          <w:lang w:val="es-ES"/>
        </w:rPr>
        <w:t xml:space="preserve"> min. 3:05.00. </w:t>
      </w:r>
    </w:p>
  </w:footnote>
  <w:footnote w:id="127">
    <w:p w14:paraId="52C932DF" w14:textId="024F42DD" w:rsidR="004D62C8" w:rsidRPr="00AE1E3A" w:rsidRDefault="004D62C8" w:rsidP="005B2614">
      <w:pPr>
        <w:pStyle w:val="IANOTAALPIE"/>
        <w:rPr>
          <w:lang w:val="es-ES"/>
        </w:rPr>
      </w:pPr>
      <w:r w:rsidRPr="00AE1E3A">
        <w:rPr>
          <w:rStyle w:val="FootnoteReference"/>
        </w:rPr>
        <w:footnoteRef/>
      </w:r>
      <w:r w:rsidRPr="00AE1E3A">
        <w:rPr>
          <w:lang w:val="es-ES"/>
        </w:rPr>
        <w:t xml:space="preserve"> </w:t>
      </w:r>
      <w:r w:rsidR="00AE1E3A" w:rsidRPr="00AE1E3A">
        <w:rPr>
          <w:lang w:val="es-ES"/>
        </w:rPr>
        <w:t>FJEDD, Seguimiento sobre el cumplimiento de las recomendaciones del Informe “Situación de Derechos Humanos en México”, del 19 septiembre de 2023. Centro Prodh</w:t>
      </w:r>
      <w:r w:rsidR="000859A6">
        <w:rPr>
          <w:lang w:val="es-ES"/>
        </w:rPr>
        <w:t>,</w:t>
      </w:r>
      <w:r w:rsidR="00AE1E3A" w:rsidRPr="00AE1E3A">
        <w:rPr>
          <w:lang w:val="es-ES"/>
        </w:rPr>
        <w:t xml:space="preserve"> FJEDD</w:t>
      </w:r>
      <w:r w:rsidR="000859A6">
        <w:rPr>
          <w:lang w:val="es-ES"/>
        </w:rPr>
        <w:t>,</w:t>
      </w:r>
      <w:r w:rsidR="00AE1E3A" w:rsidRPr="00AE1E3A">
        <w:rPr>
          <w:lang w:val="es-ES"/>
        </w:rPr>
        <w:t xml:space="preserve"> Marisol Méndez Cruz, Jerónimo del Río y Fabienne Cabaret</w:t>
      </w:r>
      <w:r w:rsidR="000859A6">
        <w:rPr>
          <w:lang w:val="es-ES"/>
        </w:rPr>
        <w:t>,</w:t>
      </w:r>
      <w:r w:rsidR="00AE1E3A" w:rsidRPr="00AE1E3A">
        <w:rPr>
          <w:lang w:val="es-ES"/>
        </w:rPr>
        <w:t xml:space="preserve"> SERAPAZ</w:t>
      </w:r>
      <w:r w:rsidR="000859A6">
        <w:rPr>
          <w:lang w:val="es-ES"/>
        </w:rPr>
        <w:t>,</w:t>
      </w:r>
      <w:r w:rsidR="00AE1E3A" w:rsidRPr="00AE1E3A">
        <w:rPr>
          <w:lang w:val="es-ES"/>
        </w:rPr>
        <w:t xml:space="preserve"> Idheas Litigio Estratégico en Derechos Humanos y Organización Ku’kay</w:t>
      </w:r>
      <w:r w:rsidR="000859A6">
        <w:rPr>
          <w:lang w:val="es-ES"/>
        </w:rPr>
        <w:t>;</w:t>
      </w:r>
      <w:r w:rsidR="00AE1E3A" w:rsidRPr="00AE1E3A">
        <w:rPr>
          <w:lang w:val="es-ES"/>
        </w:rPr>
        <w:t xml:space="preserve"> Seguimiento sobre el cumplimiento de las recomendaciones del Informe “Situación de Derechos Humanos en México”, octubre de 2024</w:t>
      </w:r>
      <w:r w:rsidR="00F0078B" w:rsidRPr="00AE1E3A">
        <w:rPr>
          <w:lang w:val="es-ES"/>
        </w:rPr>
        <w:t xml:space="preserve">; </w:t>
      </w:r>
      <w:r w:rsidRPr="00AE1E3A">
        <w:rPr>
          <w:lang w:val="es-ES"/>
        </w:rPr>
        <w:t xml:space="preserve">Milenio, </w:t>
      </w:r>
      <w:hyperlink r:id="rId101" w:history="1">
        <w:r w:rsidRPr="00D110E2">
          <w:rPr>
            <w:rStyle w:val="Hyperlink"/>
            <w:rFonts w:eastAsiaTheme="minorHAnsi" w:cstheme="minorBidi"/>
            <w:color w:val="0563C1" w:themeColor="hyperlink"/>
            <w:szCs w:val="20"/>
            <w:lang w:val="es-ES" w:eastAsia="en-US"/>
          </w:rPr>
          <w:t>Dejan 104 funcionarios la Comisión Nacional de Búsqueda; despidos y renuncias, las causas</w:t>
        </w:r>
        <w:r w:rsidRPr="00AE1E3A">
          <w:rPr>
            <w:rStyle w:val="Hyperlink"/>
            <w:lang w:val="es-US"/>
          </w:rPr>
          <w:t>,</w:t>
        </w:r>
      </w:hyperlink>
      <w:r w:rsidRPr="00AE1E3A">
        <w:rPr>
          <w:lang w:val="es-US"/>
        </w:rPr>
        <w:t xml:space="preserve"> 1 de febrero de 2024; </w:t>
      </w:r>
      <w:r w:rsidRPr="00AE1E3A">
        <w:rPr>
          <w:lang w:val="es-ES"/>
        </w:rPr>
        <w:t xml:space="preserve">Animal Político, </w:t>
      </w:r>
      <w:hyperlink r:id="rId102" w:history="1">
        <w:r w:rsidRPr="00D110E2">
          <w:rPr>
            <w:rStyle w:val="Hyperlink"/>
            <w:rFonts w:eastAsiaTheme="minorHAnsi" w:cstheme="minorBidi"/>
            <w:color w:val="0563C1" w:themeColor="hyperlink"/>
            <w:szCs w:val="20"/>
            <w:lang w:val="es-ES" w:eastAsia="en-US"/>
          </w:rPr>
          <w:t>Más de 100 despidos, presiones y rechazo para renovación de contratos prevalecen en la Comisión Nacional de Búsqueda</w:t>
        </w:r>
        <w:r w:rsidRPr="00AE1E3A">
          <w:rPr>
            <w:rStyle w:val="Hyperlink"/>
            <w:lang w:val="es-US"/>
          </w:rPr>
          <w:t>,</w:t>
        </w:r>
      </w:hyperlink>
      <w:r w:rsidRPr="00AE1E3A">
        <w:rPr>
          <w:lang w:val="es-US"/>
        </w:rPr>
        <w:t xml:space="preserve"> 1 de febrero de 2024; </w:t>
      </w:r>
      <w:r w:rsidRPr="00AE1E3A">
        <w:rPr>
          <w:rStyle w:val="FootnoteReference"/>
          <w:vertAlign w:val="baseline"/>
          <w:lang w:val="es-ES"/>
        </w:rPr>
        <w:t xml:space="preserve">Aristegui Noticias, </w:t>
      </w:r>
      <w:hyperlink r:id="rId103" w:history="1">
        <w:r w:rsidRPr="00AE1E3A">
          <w:rPr>
            <w:rStyle w:val="FootnoteReference"/>
            <w:vertAlign w:val="baseline"/>
            <w:lang w:val="es-ES"/>
          </w:rPr>
          <w:t>Desmantelamiento del CNIH abona a incertidumbre en búsqueda de personas desaparecidas en México,</w:t>
        </w:r>
      </w:hyperlink>
      <w:r w:rsidRPr="00AE1E3A">
        <w:rPr>
          <w:rStyle w:val="FootnoteReference"/>
          <w:vertAlign w:val="baseline"/>
          <w:lang w:val="es-ES"/>
        </w:rPr>
        <w:t xml:space="preserve"> 5 de febrero de 2024.</w:t>
      </w:r>
    </w:p>
  </w:footnote>
  <w:footnote w:id="128">
    <w:p w14:paraId="3DF64C0B" w14:textId="3C5CFCED" w:rsidR="004D62C8" w:rsidRPr="00AE1E3A" w:rsidRDefault="004D62C8" w:rsidP="005B2614">
      <w:pPr>
        <w:pStyle w:val="IANOTAALPIE"/>
        <w:rPr>
          <w:lang w:val="es-ES"/>
        </w:rPr>
      </w:pPr>
      <w:r w:rsidRPr="00AE1E3A">
        <w:rPr>
          <w:rStyle w:val="FootnoteReference"/>
        </w:rPr>
        <w:footnoteRef/>
      </w:r>
      <w:r w:rsidRPr="00AE1E3A">
        <w:rPr>
          <w:lang w:val="es-ES"/>
        </w:rPr>
        <w:t xml:space="preserve"> </w:t>
      </w:r>
      <w:r w:rsidR="00AE1E3A" w:rsidRPr="00AE1E3A">
        <w:rPr>
          <w:lang w:val="es-ES"/>
        </w:rPr>
        <w:t>Centro Prodh</w:t>
      </w:r>
      <w:r w:rsidR="000859A6">
        <w:rPr>
          <w:lang w:val="es-ES"/>
        </w:rPr>
        <w:t>,</w:t>
      </w:r>
      <w:r w:rsidR="00AE1E3A" w:rsidRPr="00AE1E3A">
        <w:rPr>
          <w:lang w:val="es-ES"/>
        </w:rPr>
        <w:t xml:space="preserve"> FJEDD</w:t>
      </w:r>
      <w:r w:rsidR="000859A6">
        <w:rPr>
          <w:lang w:val="es-ES"/>
        </w:rPr>
        <w:t>,</w:t>
      </w:r>
      <w:r w:rsidR="00AE1E3A" w:rsidRPr="00AE1E3A">
        <w:rPr>
          <w:lang w:val="es-ES"/>
        </w:rPr>
        <w:t xml:space="preserve"> Marisol Méndez Cruz, Jerónimo del Río y Fabienne Cabaret</w:t>
      </w:r>
      <w:r w:rsidR="000859A6">
        <w:rPr>
          <w:lang w:val="es-ES"/>
        </w:rPr>
        <w:t>,</w:t>
      </w:r>
      <w:r w:rsidR="00AE1E3A" w:rsidRPr="00AE1E3A">
        <w:rPr>
          <w:lang w:val="es-ES"/>
        </w:rPr>
        <w:t xml:space="preserve"> SERAPAZ</w:t>
      </w:r>
      <w:r w:rsidR="000859A6">
        <w:rPr>
          <w:lang w:val="es-ES"/>
        </w:rPr>
        <w:t>,</w:t>
      </w:r>
      <w:r w:rsidR="00AE1E3A" w:rsidRPr="00AE1E3A">
        <w:rPr>
          <w:lang w:val="es-ES"/>
        </w:rPr>
        <w:t xml:space="preserve"> Idheas Litigio Estratégico en Derechos Humanos y Organización Ku’kay</w:t>
      </w:r>
      <w:r w:rsidR="000859A6">
        <w:rPr>
          <w:lang w:val="es-ES"/>
        </w:rPr>
        <w:t>;</w:t>
      </w:r>
      <w:r w:rsidR="00AE1E3A" w:rsidRPr="00AE1E3A">
        <w:rPr>
          <w:lang w:val="es-ES"/>
        </w:rPr>
        <w:t xml:space="preserve"> Seguimiento sobre el cumplimiento de las recomendaciones del Informe “Situación de Derechos Humanos en México”, octubre de 2024.</w:t>
      </w:r>
    </w:p>
  </w:footnote>
  <w:footnote w:id="129">
    <w:p w14:paraId="3CBB5272" w14:textId="3ED85A7C" w:rsidR="00F0078B" w:rsidRPr="00882500" w:rsidRDefault="00F0078B" w:rsidP="005B2614">
      <w:pPr>
        <w:pStyle w:val="IANOTAALPIE"/>
        <w:rPr>
          <w:lang w:val="es-US"/>
        </w:rPr>
      </w:pPr>
      <w:r w:rsidRPr="00C26987">
        <w:rPr>
          <w:rStyle w:val="FootnoteReference"/>
        </w:rPr>
        <w:footnoteRef/>
      </w:r>
      <w:r w:rsidRPr="00C26987">
        <w:rPr>
          <w:lang w:val="pt-BR"/>
        </w:rPr>
        <w:t xml:space="preserve"> CIDH, </w:t>
      </w:r>
      <w:hyperlink r:id="rId104">
        <w:r w:rsidRPr="002B01A1">
          <w:rPr>
            <w:rStyle w:val="Hyperlink"/>
            <w:rFonts w:eastAsiaTheme="minorHAnsi" w:cstheme="minorBidi"/>
            <w:color w:val="0563C1" w:themeColor="hyperlink"/>
            <w:szCs w:val="20"/>
            <w:lang w:val="pt-BR" w:eastAsia="en-US"/>
          </w:rPr>
          <w:t>Informe Anual, Capítulo V, México</w:t>
        </w:r>
      </w:hyperlink>
      <w:r w:rsidRPr="00C26987">
        <w:rPr>
          <w:lang w:val="pt-BR"/>
        </w:rPr>
        <w:t xml:space="preserve">, 2023, párr. </w:t>
      </w:r>
      <w:r w:rsidRPr="00882500">
        <w:rPr>
          <w:lang w:val="es-US"/>
        </w:rPr>
        <w:t>149.</w:t>
      </w:r>
    </w:p>
  </w:footnote>
  <w:footnote w:id="130">
    <w:p w14:paraId="78EC5FD5" w14:textId="67591176" w:rsidR="00F55FC1" w:rsidRPr="00882500" w:rsidRDefault="00F55FC1" w:rsidP="001E133B">
      <w:pPr>
        <w:pStyle w:val="IANOTAALPIE"/>
        <w:rPr>
          <w:lang w:val="es-US"/>
        </w:rPr>
      </w:pPr>
      <w:r w:rsidRPr="00C26987">
        <w:rPr>
          <w:rStyle w:val="FootnoteReference"/>
        </w:rPr>
        <w:footnoteRef/>
      </w:r>
      <w:r w:rsidR="78887EE9" w:rsidRPr="00882500">
        <w:rPr>
          <w:lang w:val="es-US"/>
        </w:rPr>
        <w:t xml:space="preserve"> CIDH, </w:t>
      </w:r>
      <w:hyperlink r:id="rId105">
        <w:r w:rsidR="78887EE9" w:rsidRPr="00D110E2">
          <w:rPr>
            <w:rStyle w:val="Hyperlink"/>
            <w:rFonts w:eastAsiaTheme="minorHAnsi" w:cstheme="minorBidi"/>
            <w:color w:val="0563C1" w:themeColor="hyperlink"/>
            <w:szCs w:val="20"/>
            <w:lang w:val="es-ES" w:eastAsia="en-US"/>
          </w:rPr>
          <w:t>Informe Anual, Capítulo V, México</w:t>
        </w:r>
      </w:hyperlink>
      <w:r w:rsidR="78887EE9" w:rsidRPr="00882500">
        <w:rPr>
          <w:lang w:val="es-US"/>
        </w:rPr>
        <w:t>, 2023, párr</w:t>
      </w:r>
      <w:r w:rsidR="000859A6" w:rsidRPr="00882500">
        <w:rPr>
          <w:lang w:val="es-US"/>
        </w:rPr>
        <w:t>s</w:t>
      </w:r>
      <w:r w:rsidR="78887EE9" w:rsidRPr="00882500">
        <w:rPr>
          <w:lang w:val="es-US"/>
        </w:rPr>
        <w:t>. 151-154.</w:t>
      </w:r>
    </w:p>
  </w:footnote>
  <w:footnote w:id="131">
    <w:p w14:paraId="2DBE0948" w14:textId="0C8973E4" w:rsidR="00BB4DC8" w:rsidRPr="00BB4DC8" w:rsidRDefault="00BB4DC8" w:rsidP="001E133B">
      <w:pPr>
        <w:pStyle w:val="IANOTAALPIE"/>
        <w:rPr>
          <w:color w:val="0000FF"/>
          <w:u w:val="single"/>
          <w:lang w:val="es-ES"/>
        </w:rPr>
      </w:pPr>
      <w:r>
        <w:rPr>
          <w:rStyle w:val="FootnoteReference"/>
        </w:rPr>
        <w:footnoteRef/>
      </w:r>
      <w:r w:rsidRPr="00BB4DC8">
        <w:rPr>
          <w:lang w:val="es-ES"/>
        </w:rPr>
        <w:t xml:space="preserve"> </w:t>
      </w:r>
      <w:r w:rsidR="00A62F50">
        <w:rPr>
          <w:lang w:val="es-ES"/>
        </w:rPr>
        <w:t xml:space="preserve">SIMORE Interamericano, </w:t>
      </w:r>
      <w:hyperlink r:id="rId106" w:history="1">
        <w:r w:rsidR="00A62F50" w:rsidRPr="00D110E2">
          <w:rPr>
            <w:rStyle w:val="Hyperlink"/>
            <w:rFonts w:eastAsiaTheme="minorHAnsi" w:cstheme="minorBidi"/>
            <w:color w:val="0563C1" w:themeColor="hyperlink"/>
            <w:szCs w:val="20"/>
            <w:lang w:val="es-ES" w:eastAsia="en-US"/>
          </w:rPr>
          <w:t>Informe de avance del Estado mexicano sobre el cumplimiento y seguimiento de las recomendaciones de la CIDH, Recomendación 25</w:t>
        </w:r>
      </w:hyperlink>
      <w:r w:rsidR="00A62F50">
        <w:rPr>
          <w:lang w:val="es-ES"/>
        </w:rPr>
        <w:t xml:space="preserve">, </w:t>
      </w:r>
      <w:r w:rsidR="00A62F50" w:rsidRPr="00C26987">
        <w:rPr>
          <w:lang w:val="es-ES"/>
        </w:rPr>
        <w:t>Capítulo V, 30</w:t>
      </w:r>
      <w:r w:rsidR="00A62F50">
        <w:rPr>
          <w:lang w:val="es-ES"/>
        </w:rPr>
        <w:t xml:space="preserve"> de</w:t>
      </w:r>
      <w:r w:rsidR="00A62F50" w:rsidRPr="00C26987">
        <w:rPr>
          <w:lang w:val="es-ES"/>
        </w:rPr>
        <w:t xml:space="preserve"> septiembre y 1 de octubre de </w:t>
      </w:r>
      <w:r w:rsidR="00A62F50">
        <w:rPr>
          <w:lang w:val="es-ES"/>
        </w:rPr>
        <w:t>2024.</w:t>
      </w:r>
    </w:p>
  </w:footnote>
  <w:footnote w:id="132">
    <w:p w14:paraId="2FE55EEF" w14:textId="77777777" w:rsidR="00AB6367" w:rsidRPr="00AB6367" w:rsidRDefault="00AB6367" w:rsidP="001E133B">
      <w:pPr>
        <w:pStyle w:val="IANOTAALPIE"/>
        <w:rPr>
          <w:lang w:val="es-ES"/>
        </w:rPr>
      </w:pPr>
      <w:r w:rsidRPr="00616692">
        <w:rPr>
          <w:rStyle w:val="FootnoteReference"/>
        </w:rPr>
        <w:footnoteRef/>
      </w:r>
      <w:r w:rsidRPr="00616692">
        <w:rPr>
          <w:lang w:val="es-ES"/>
        </w:rPr>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133">
    <w:p w14:paraId="772C1940" w14:textId="40273BF1" w:rsidR="00F55FC1" w:rsidRPr="00C26987" w:rsidRDefault="00F55FC1" w:rsidP="001E133B">
      <w:pPr>
        <w:pStyle w:val="IANOTAALPIE"/>
      </w:pPr>
      <w:r w:rsidRPr="00C26987">
        <w:rPr>
          <w:rStyle w:val="FootnoteReference"/>
        </w:rPr>
        <w:footnoteRef/>
      </w:r>
      <w:r w:rsidR="78887EE9" w:rsidRPr="00852144">
        <w:rPr>
          <w:lang w:val="pt-BR"/>
        </w:rPr>
        <w:t xml:space="preserve"> CIDH, </w:t>
      </w:r>
      <w:hyperlink r:id="rId107">
        <w:r w:rsidR="78887EE9" w:rsidRPr="002B01A1">
          <w:rPr>
            <w:rStyle w:val="Hyperlink"/>
            <w:rFonts w:eastAsiaTheme="minorHAnsi" w:cstheme="minorBidi"/>
            <w:color w:val="0563C1" w:themeColor="hyperlink"/>
            <w:szCs w:val="20"/>
            <w:lang w:val="pt-BR" w:eastAsia="en-US"/>
          </w:rPr>
          <w:t>Informe Anual, Capítulo V, México</w:t>
        </w:r>
      </w:hyperlink>
      <w:r w:rsidR="78887EE9" w:rsidRPr="00852144">
        <w:rPr>
          <w:lang w:val="pt-BR"/>
        </w:rPr>
        <w:t>, 2023, párr</w:t>
      </w:r>
      <w:r w:rsidR="00B90446" w:rsidRPr="00852144">
        <w:rPr>
          <w:lang w:val="pt-BR"/>
        </w:rPr>
        <w:t>s</w:t>
      </w:r>
      <w:r w:rsidR="78887EE9" w:rsidRPr="00852144">
        <w:rPr>
          <w:lang w:val="pt-BR"/>
        </w:rPr>
        <w:t xml:space="preserve">. </w:t>
      </w:r>
      <w:r w:rsidR="78887EE9" w:rsidRPr="00C26987">
        <w:t>156- 158.</w:t>
      </w:r>
    </w:p>
  </w:footnote>
  <w:footnote w:id="134">
    <w:p w14:paraId="328CA771" w14:textId="387756D8" w:rsidR="00BB4DC8" w:rsidRPr="00BB4DC8" w:rsidRDefault="00BB4DC8" w:rsidP="001E133B">
      <w:pPr>
        <w:pStyle w:val="IANOTAALPIE"/>
        <w:rPr>
          <w:color w:val="0000FF"/>
          <w:u w:val="single"/>
          <w:lang w:val="es-ES"/>
        </w:rPr>
      </w:pPr>
      <w:r>
        <w:rPr>
          <w:rStyle w:val="FootnoteReference"/>
        </w:rPr>
        <w:footnoteRef/>
      </w:r>
      <w:r w:rsidRPr="00BB4DC8">
        <w:rPr>
          <w:lang w:val="es-ES"/>
        </w:rPr>
        <w:t xml:space="preserve"> </w:t>
      </w:r>
      <w:r w:rsidR="00A62F50">
        <w:rPr>
          <w:lang w:val="es-ES"/>
        </w:rPr>
        <w:t xml:space="preserve">SIMORE Interamericano, </w:t>
      </w:r>
      <w:hyperlink r:id="rId108" w:history="1">
        <w:r w:rsidR="00A62F50" w:rsidRPr="00D110E2">
          <w:rPr>
            <w:rStyle w:val="Hyperlink"/>
            <w:rFonts w:eastAsiaTheme="minorHAnsi" w:cstheme="minorBidi"/>
            <w:color w:val="0563C1" w:themeColor="hyperlink"/>
            <w:szCs w:val="20"/>
            <w:lang w:val="es-ES" w:eastAsia="en-US"/>
          </w:rPr>
          <w:t>Informe de avance del Estado mexicano sobre el cumplimiento y seguimiento de las recomendaciones de la CIDH, Recomendación 26</w:t>
        </w:r>
      </w:hyperlink>
      <w:r w:rsidR="00A62F50">
        <w:rPr>
          <w:lang w:val="es-ES"/>
        </w:rPr>
        <w:t xml:space="preserve">, </w:t>
      </w:r>
      <w:r w:rsidR="00A62F50" w:rsidRPr="00C26987">
        <w:rPr>
          <w:lang w:val="es-ES"/>
        </w:rPr>
        <w:t>Capítulo V, 30</w:t>
      </w:r>
      <w:r w:rsidR="00A62F50">
        <w:rPr>
          <w:lang w:val="es-ES"/>
        </w:rPr>
        <w:t xml:space="preserve"> de</w:t>
      </w:r>
      <w:r w:rsidR="00A62F50" w:rsidRPr="00C26987">
        <w:rPr>
          <w:lang w:val="es-ES"/>
        </w:rPr>
        <w:t xml:space="preserve"> septiembre y 1 de octubre de </w:t>
      </w:r>
      <w:r w:rsidR="00A62F50">
        <w:rPr>
          <w:lang w:val="es-ES"/>
        </w:rPr>
        <w:t>2024.</w:t>
      </w:r>
      <w:r w:rsidR="00A62F50" w:rsidRPr="00BB4DC8">
        <w:rPr>
          <w:color w:val="0000FF"/>
          <w:u w:val="single"/>
          <w:lang w:val="es-ES"/>
        </w:rPr>
        <w:t xml:space="preserve"> </w:t>
      </w:r>
    </w:p>
  </w:footnote>
  <w:footnote w:id="135">
    <w:p w14:paraId="28808CFE" w14:textId="794449CE" w:rsidR="00BC6EEA" w:rsidRPr="00C26987" w:rsidRDefault="00BC6EEA" w:rsidP="001E133B">
      <w:pPr>
        <w:pStyle w:val="IANOTAALPIE"/>
        <w:rPr>
          <w:lang w:val="es-ES"/>
        </w:rPr>
      </w:pPr>
      <w:r w:rsidRPr="00C26987">
        <w:rPr>
          <w:rStyle w:val="FootnoteReference"/>
        </w:rPr>
        <w:footnoteRef/>
      </w:r>
      <w:r w:rsidRPr="00C26987">
        <w:rPr>
          <w:lang w:val="es-ES"/>
        </w:rPr>
        <w:t xml:space="preserve"> FJEDD, Seguimiento sobre el cumplimiento de las recomendaciones del Informe “Situación de Derechos Humanos en México”, octubre de 2024.</w:t>
      </w:r>
    </w:p>
  </w:footnote>
  <w:footnote w:id="136">
    <w:p w14:paraId="19179155" w14:textId="02386BFF" w:rsidR="00BB4DC8" w:rsidRPr="00BB4DC8" w:rsidRDefault="00BB4DC8" w:rsidP="001E133B">
      <w:pPr>
        <w:pStyle w:val="IANOTAALPIE"/>
        <w:rPr>
          <w:color w:val="0000FF"/>
          <w:u w:val="single"/>
        </w:rPr>
      </w:pPr>
      <w:r>
        <w:rPr>
          <w:rStyle w:val="FootnoteReference"/>
        </w:rPr>
        <w:footnoteRef/>
      </w:r>
      <w:r w:rsidRPr="00BB4DC8">
        <w:t xml:space="preserve"> </w:t>
      </w:r>
      <w:r w:rsidR="00A62F50">
        <w:rPr>
          <w:lang w:val="es-ES"/>
        </w:rPr>
        <w:t xml:space="preserve">SIMORE Interamericano, </w:t>
      </w:r>
      <w:hyperlink r:id="rId109" w:history="1">
        <w:r w:rsidR="00A62F50" w:rsidRPr="00D110E2">
          <w:rPr>
            <w:rStyle w:val="Hyperlink"/>
            <w:rFonts w:eastAsiaTheme="minorHAnsi" w:cstheme="minorBidi"/>
            <w:color w:val="0563C1" w:themeColor="hyperlink"/>
            <w:szCs w:val="20"/>
            <w:lang w:val="es-ES" w:eastAsia="en-US"/>
          </w:rPr>
          <w:t>Informe de avance del Estado mexicano sobre el cumplimiento y seguimiento de las recomendaciones de la CIDH, Recomendación 28</w:t>
        </w:r>
      </w:hyperlink>
      <w:r w:rsidR="00A62F50">
        <w:rPr>
          <w:lang w:val="es-ES"/>
        </w:rPr>
        <w:t xml:space="preserve">, </w:t>
      </w:r>
      <w:r w:rsidR="00A62F50" w:rsidRPr="00C26987">
        <w:rPr>
          <w:lang w:val="es-ES"/>
        </w:rPr>
        <w:t>Capítulo V, 30</w:t>
      </w:r>
      <w:r w:rsidR="00A62F50">
        <w:rPr>
          <w:lang w:val="es-ES"/>
        </w:rPr>
        <w:t xml:space="preserve"> de</w:t>
      </w:r>
      <w:r w:rsidR="00A62F50" w:rsidRPr="00C26987">
        <w:rPr>
          <w:lang w:val="es-ES"/>
        </w:rPr>
        <w:t xml:space="preserve"> septiembre y 1 de octubre de </w:t>
      </w:r>
      <w:r w:rsidR="00A62F50">
        <w:rPr>
          <w:lang w:val="es-ES"/>
        </w:rPr>
        <w:t>2024.</w:t>
      </w:r>
      <w:r w:rsidR="00A62F50" w:rsidRPr="00BB4DC8">
        <w:rPr>
          <w:color w:val="0000FF"/>
          <w:u w:val="single"/>
          <w:lang w:val="es-ES"/>
        </w:rPr>
        <w:t xml:space="preserve"> </w:t>
      </w:r>
    </w:p>
  </w:footnote>
  <w:footnote w:id="137">
    <w:p w14:paraId="5C5D1556" w14:textId="1D9F2011" w:rsidR="00BB4DC8" w:rsidRPr="00BB4DC8" w:rsidRDefault="00BB4DC8" w:rsidP="001E133B">
      <w:pPr>
        <w:pStyle w:val="IANOTAALPIE"/>
      </w:pPr>
      <w:r>
        <w:rPr>
          <w:rStyle w:val="FootnoteReference"/>
        </w:rPr>
        <w:footnoteRef/>
      </w:r>
      <w:r w:rsidRPr="00BB4DC8">
        <w:t xml:space="preserve"> </w:t>
      </w:r>
      <w:r w:rsidRPr="00902744">
        <w:t>Centro Prodh</w:t>
      </w:r>
      <w:r w:rsidR="006C3FF2">
        <w:t>,</w:t>
      </w:r>
      <w:r w:rsidRPr="00902744">
        <w:t xml:space="preserve"> FJEDD</w:t>
      </w:r>
      <w:r w:rsidR="006C3FF2">
        <w:t>,</w:t>
      </w:r>
      <w:r w:rsidRPr="00902744">
        <w:t xml:space="preserve"> Marisol Méndez Cruz, Jerónimo del Río y Fabienne Cabaret</w:t>
      </w:r>
      <w:r w:rsidR="006C3FF2">
        <w:t>,</w:t>
      </w:r>
      <w:r w:rsidRPr="00902744">
        <w:t xml:space="preserve"> SERAPAZ</w:t>
      </w:r>
      <w:r w:rsidR="006C3FF2">
        <w:t>,</w:t>
      </w:r>
      <w:r w:rsidRPr="00902744">
        <w:t xml:space="preserve"> Idheas Litigio Estratégico en Derechos Humanos y Organización Ku’kay</w:t>
      </w:r>
      <w:r w:rsidR="006C3FF2">
        <w:t>;</w:t>
      </w:r>
      <w:r w:rsidRPr="00902744">
        <w:t xml:space="preserve"> Seguimiento sobre el cumplimiento de las recomendaciones del Informe “Situación de Derechos Humanos en México”, octubre de 2024.</w:t>
      </w:r>
    </w:p>
  </w:footnote>
  <w:footnote w:id="138">
    <w:p w14:paraId="380C8993" w14:textId="4B4F7903" w:rsidR="000A7348" w:rsidRPr="00882500" w:rsidRDefault="000A7348" w:rsidP="006678CB">
      <w:pPr>
        <w:pStyle w:val="IANOTAALPIE"/>
        <w:rPr>
          <w:u w:val="single"/>
          <w:lang w:val="es-US"/>
        </w:rPr>
      </w:pPr>
      <w:r w:rsidRPr="00BB4DC8">
        <w:rPr>
          <w:rStyle w:val="FootnoteReference"/>
        </w:rPr>
        <w:footnoteRef/>
      </w:r>
      <w:r w:rsidRPr="00852144">
        <w:rPr>
          <w:lang w:val="pt-BR"/>
        </w:rPr>
        <w:t xml:space="preserve"> </w:t>
      </w:r>
      <w:r w:rsidR="00BB4DC8" w:rsidRPr="00852144">
        <w:rPr>
          <w:lang w:val="pt-BR"/>
        </w:rPr>
        <w:t xml:space="preserve">CIDH, </w:t>
      </w:r>
      <w:hyperlink r:id="rId110">
        <w:r w:rsidR="00BB4DC8" w:rsidRPr="002B01A1">
          <w:rPr>
            <w:rStyle w:val="Hyperlink"/>
            <w:rFonts w:eastAsiaTheme="minorHAnsi" w:cstheme="minorBidi"/>
            <w:color w:val="0563C1" w:themeColor="hyperlink"/>
            <w:szCs w:val="20"/>
            <w:lang w:val="pt-BR" w:eastAsia="en-US"/>
          </w:rPr>
          <w:t>Informe Anual, Capítulo V, México</w:t>
        </w:r>
      </w:hyperlink>
      <w:r w:rsidR="00BB4DC8" w:rsidRPr="00852144">
        <w:rPr>
          <w:lang w:val="pt-BR"/>
        </w:rPr>
        <w:t>, 2023, párr</w:t>
      </w:r>
      <w:r w:rsidR="006C3FF2" w:rsidRPr="00852144">
        <w:rPr>
          <w:lang w:val="pt-BR"/>
        </w:rPr>
        <w:t>s</w:t>
      </w:r>
      <w:r w:rsidR="00BB4DC8" w:rsidRPr="00852144">
        <w:rPr>
          <w:lang w:val="pt-BR"/>
        </w:rPr>
        <w:t xml:space="preserve">. </w:t>
      </w:r>
      <w:r w:rsidR="00BB4DC8" w:rsidRPr="00882500">
        <w:rPr>
          <w:lang w:val="es-US"/>
        </w:rPr>
        <w:t>168-169.</w:t>
      </w:r>
    </w:p>
  </w:footnote>
  <w:footnote w:id="139">
    <w:p w14:paraId="7E98D1FB" w14:textId="381F651B" w:rsidR="000A7348" w:rsidRPr="000A7348" w:rsidRDefault="000A7348" w:rsidP="006678CB">
      <w:pPr>
        <w:pStyle w:val="IANOTAALPIE"/>
        <w:rPr>
          <w:lang w:val="es-ES"/>
        </w:rPr>
      </w:pPr>
      <w:r>
        <w:rPr>
          <w:rStyle w:val="FootnoteReference"/>
        </w:rPr>
        <w:footnoteRef/>
      </w:r>
      <w:r w:rsidRPr="000A7348">
        <w:rPr>
          <w:lang w:val="es-ES"/>
        </w:rPr>
        <w:t xml:space="preserve"> </w:t>
      </w:r>
      <w:r w:rsidR="00A62F50">
        <w:rPr>
          <w:lang w:val="es-ES"/>
        </w:rPr>
        <w:t xml:space="preserve">SIMORE Interamericano, </w:t>
      </w:r>
      <w:hyperlink r:id="rId111" w:history="1">
        <w:r w:rsidR="00A62F50" w:rsidRPr="00D110E2">
          <w:rPr>
            <w:rStyle w:val="Hyperlink"/>
            <w:rFonts w:eastAsiaTheme="minorHAnsi" w:cstheme="minorBidi"/>
            <w:color w:val="0563C1" w:themeColor="hyperlink"/>
            <w:szCs w:val="20"/>
            <w:lang w:val="es-ES" w:eastAsia="en-US"/>
          </w:rPr>
          <w:t>Informe de avance del Estado mexicano sobre el cumplimiento y seguimiento de las recomendaciones de la CIDH, Recomendación 29</w:t>
        </w:r>
      </w:hyperlink>
      <w:r w:rsidR="00A62F50">
        <w:rPr>
          <w:lang w:val="es-ES"/>
        </w:rPr>
        <w:t xml:space="preserve">, </w:t>
      </w:r>
      <w:r w:rsidR="00A62F50" w:rsidRPr="00C26987">
        <w:rPr>
          <w:lang w:val="es-ES"/>
        </w:rPr>
        <w:t>Capítulo V, 30</w:t>
      </w:r>
      <w:r w:rsidR="00A62F50">
        <w:rPr>
          <w:lang w:val="es-ES"/>
        </w:rPr>
        <w:t xml:space="preserve"> de</w:t>
      </w:r>
      <w:r w:rsidR="00A62F50" w:rsidRPr="00C26987">
        <w:rPr>
          <w:lang w:val="es-ES"/>
        </w:rPr>
        <w:t xml:space="preserve"> septiembre y 1 de octubre de </w:t>
      </w:r>
      <w:r w:rsidR="00A62F50">
        <w:rPr>
          <w:lang w:val="es-ES"/>
        </w:rPr>
        <w:t>2024.</w:t>
      </w:r>
    </w:p>
  </w:footnote>
  <w:footnote w:id="140">
    <w:p w14:paraId="7702CF17" w14:textId="61977D3D" w:rsidR="00BB4DC8" w:rsidRPr="00BB4DC8" w:rsidRDefault="00BB4DC8" w:rsidP="006678CB">
      <w:pPr>
        <w:pStyle w:val="IANOTAALPIE"/>
        <w:rPr>
          <w:lang w:val="es-ES"/>
        </w:rPr>
      </w:pPr>
      <w:r>
        <w:rPr>
          <w:rStyle w:val="FootnoteReference"/>
        </w:rPr>
        <w:footnoteRef/>
      </w:r>
      <w:r w:rsidRPr="00852144">
        <w:rPr>
          <w:lang w:val="pt-BR"/>
        </w:rPr>
        <w:t xml:space="preserve"> CIDH, </w:t>
      </w:r>
      <w:hyperlink r:id="rId112">
        <w:r w:rsidRPr="002B01A1">
          <w:rPr>
            <w:rStyle w:val="Hyperlink"/>
            <w:rFonts w:eastAsiaTheme="minorHAnsi" w:cstheme="minorBidi"/>
            <w:color w:val="0563C1" w:themeColor="hyperlink"/>
            <w:szCs w:val="20"/>
            <w:lang w:val="pt-BR" w:eastAsia="en-US"/>
          </w:rPr>
          <w:t>Informe Anual, Capítulo V, México</w:t>
        </w:r>
      </w:hyperlink>
      <w:r w:rsidRPr="00852144">
        <w:rPr>
          <w:lang w:val="pt-BR"/>
        </w:rPr>
        <w:t>, 2023, párr</w:t>
      </w:r>
      <w:r w:rsidR="006C3FF2" w:rsidRPr="00852144">
        <w:rPr>
          <w:lang w:val="pt-BR"/>
        </w:rPr>
        <w:t>s</w:t>
      </w:r>
      <w:r w:rsidRPr="00852144">
        <w:rPr>
          <w:lang w:val="pt-BR"/>
        </w:rPr>
        <w:t xml:space="preserve">. </w:t>
      </w:r>
      <w:r w:rsidRPr="00882500">
        <w:rPr>
          <w:lang w:val="es-US"/>
        </w:rPr>
        <w:t>173-174.</w:t>
      </w:r>
    </w:p>
  </w:footnote>
  <w:footnote w:id="141">
    <w:p w14:paraId="2C7AA5CF" w14:textId="2302DD8E" w:rsidR="000A7348" w:rsidRPr="00616692" w:rsidRDefault="000A7348" w:rsidP="006678CB">
      <w:pPr>
        <w:pStyle w:val="IANOTAALPIE"/>
        <w:rPr>
          <w:lang w:val="es-ES"/>
        </w:rPr>
      </w:pPr>
      <w:r>
        <w:rPr>
          <w:rStyle w:val="FootnoteReference"/>
        </w:rPr>
        <w:footnoteRef/>
      </w:r>
      <w:r w:rsidRPr="000A7348">
        <w:rPr>
          <w:lang w:val="es-ES"/>
        </w:rPr>
        <w:t xml:space="preserve"> </w:t>
      </w:r>
      <w:r w:rsidR="00A62F50">
        <w:rPr>
          <w:lang w:val="es-ES"/>
        </w:rPr>
        <w:t xml:space="preserve">SIMORE Interamericano, </w:t>
      </w:r>
      <w:hyperlink r:id="rId113" w:history="1">
        <w:r w:rsidR="00A62F50" w:rsidRPr="00D110E2">
          <w:rPr>
            <w:rStyle w:val="Hyperlink"/>
            <w:rFonts w:eastAsiaTheme="minorHAnsi" w:cstheme="minorBidi"/>
            <w:color w:val="0563C1" w:themeColor="hyperlink"/>
            <w:szCs w:val="20"/>
            <w:lang w:val="es-ES" w:eastAsia="en-US"/>
          </w:rPr>
          <w:t>Informe de avance del Estado mexicano sobre el cumplimiento y seguimiento de las recomendaciones de la CIDH, Recomendación 30</w:t>
        </w:r>
      </w:hyperlink>
      <w:r w:rsidR="00A62F50" w:rsidRPr="00D110E2">
        <w:rPr>
          <w:rStyle w:val="Hyperlink"/>
          <w:rFonts w:eastAsiaTheme="minorHAnsi" w:cstheme="minorBidi"/>
          <w:color w:val="0563C1" w:themeColor="hyperlink"/>
          <w:szCs w:val="20"/>
          <w:lang w:eastAsia="en-US"/>
        </w:rPr>
        <w:t>,</w:t>
      </w:r>
      <w:r w:rsidR="00A62F50">
        <w:rPr>
          <w:lang w:val="es-ES"/>
        </w:rPr>
        <w:t xml:space="preserve"> </w:t>
      </w:r>
      <w:r w:rsidR="00A62F50" w:rsidRPr="00C26987">
        <w:rPr>
          <w:lang w:val="es-ES"/>
        </w:rPr>
        <w:t>Capítulo V, 30</w:t>
      </w:r>
      <w:r w:rsidR="00A62F50">
        <w:rPr>
          <w:lang w:val="es-ES"/>
        </w:rPr>
        <w:t xml:space="preserve"> de</w:t>
      </w:r>
      <w:r w:rsidR="00A62F50" w:rsidRPr="00C26987">
        <w:rPr>
          <w:lang w:val="es-ES"/>
        </w:rPr>
        <w:t xml:space="preserve"> septiembre y 1 de octubre de </w:t>
      </w:r>
      <w:r w:rsidR="00A62F50">
        <w:rPr>
          <w:lang w:val="es-ES"/>
        </w:rPr>
        <w:t>2024.</w:t>
      </w:r>
    </w:p>
  </w:footnote>
  <w:footnote w:id="142">
    <w:p w14:paraId="27A5F36B" w14:textId="0A8C981A" w:rsidR="000A7348" w:rsidRPr="00616692" w:rsidRDefault="000A7348" w:rsidP="006678CB">
      <w:pPr>
        <w:pStyle w:val="IANOTAALPIE"/>
        <w:rPr>
          <w:color w:val="0000FF"/>
          <w:u w:val="single"/>
          <w:lang w:val="es-ES"/>
        </w:rPr>
      </w:pPr>
      <w:r w:rsidRPr="00616692">
        <w:rPr>
          <w:rStyle w:val="FootnoteReference"/>
        </w:rPr>
        <w:footnoteRef/>
      </w:r>
      <w:r w:rsidRPr="00616692">
        <w:rPr>
          <w:lang w:val="es-ES"/>
        </w:rPr>
        <w:t xml:space="preserve"> </w:t>
      </w:r>
      <w:r w:rsidR="00A62F50">
        <w:rPr>
          <w:lang w:val="es-ES"/>
        </w:rPr>
        <w:t xml:space="preserve">SIMORE Interamericano, </w:t>
      </w:r>
      <w:hyperlink r:id="rId114" w:history="1">
        <w:r w:rsidR="00A62F50" w:rsidRPr="00D110E2">
          <w:rPr>
            <w:rStyle w:val="Hyperlink"/>
            <w:rFonts w:eastAsiaTheme="minorHAnsi" w:cstheme="minorBidi"/>
            <w:color w:val="0563C1" w:themeColor="hyperlink"/>
            <w:szCs w:val="20"/>
            <w:lang w:val="es-ES" w:eastAsia="en-US"/>
          </w:rPr>
          <w:t>Informe de avance del Estado mexicano sobre el cumplimiento y seguimiento de las recomendaciones de la CIDH, Recomendación 30</w:t>
        </w:r>
      </w:hyperlink>
      <w:r w:rsidR="00A62F50">
        <w:rPr>
          <w:lang w:val="es-ES"/>
        </w:rPr>
        <w:t xml:space="preserve">, </w:t>
      </w:r>
      <w:r w:rsidR="00A62F50" w:rsidRPr="00C26987">
        <w:rPr>
          <w:lang w:val="es-ES"/>
        </w:rPr>
        <w:t>Capítulo V, 30</w:t>
      </w:r>
      <w:r w:rsidR="00A62F50">
        <w:rPr>
          <w:lang w:val="es-ES"/>
        </w:rPr>
        <w:t xml:space="preserve"> de</w:t>
      </w:r>
      <w:r w:rsidR="00A62F50" w:rsidRPr="00C26987">
        <w:rPr>
          <w:lang w:val="es-ES"/>
        </w:rPr>
        <w:t xml:space="preserve"> septiembre y 1 de octubre de </w:t>
      </w:r>
      <w:r w:rsidR="00A62F50">
        <w:rPr>
          <w:lang w:val="es-ES"/>
        </w:rPr>
        <w:t>2024.</w:t>
      </w:r>
    </w:p>
  </w:footnote>
  <w:footnote w:id="143">
    <w:p w14:paraId="3F426771" w14:textId="77777777" w:rsidR="00AB6367" w:rsidRPr="00AB6367" w:rsidRDefault="00AB6367" w:rsidP="006678CB">
      <w:pPr>
        <w:pStyle w:val="IANOTAALPIE"/>
        <w:rPr>
          <w:lang w:val="es-ES"/>
        </w:rPr>
      </w:pPr>
      <w:r w:rsidRPr="00616692">
        <w:rPr>
          <w:rStyle w:val="FootnoteReference"/>
        </w:rPr>
        <w:footnoteRef/>
      </w:r>
      <w:r w:rsidRPr="00616692">
        <w:rPr>
          <w:lang w:val="es-ES"/>
        </w:rPr>
        <w:t xml:space="preserve"> </w:t>
      </w:r>
      <w:r w:rsidRPr="00616692">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144">
    <w:p w14:paraId="225BC3E8" w14:textId="0670684A" w:rsidR="007B7AAF" w:rsidRPr="00882500" w:rsidRDefault="007B7AAF" w:rsidP="006678CB">
      <w:pPr>
        <w:pStyle w:val="IANOTAALPIE"/>
        <w:rPr>
          <w:lang w:val="es-US"/>
        </w:rPr>
      </w:pPr>
      <w:r w:rsidRPr="00C26987">
        <w:rPr>
          <w:rStyle w:val="FootnoteReference"/>
        </w:rPr>
        <w:footnoteRef/>
      </w:r>
      <w:r w:rsidRPr="00C26987">
        <w:rPr>
          <w:lang w:val="pt-BR"/>
        </w:rPr>
        <w:t xml:space="preserve"> CIDH, </w:t>
      </w:r>
      <w:hyperlink r:id="rId115">
        <w:r w:rsidRPr="002B01A1">
          <w:rPr>
            <w:rStyle w:val="Hyperlink"/>
            <w:rFonts w:eastAsiaTheme="minorHAnsi" w:cstheme="minorBidi"/>
            <w:color w:val="0563C1" w:themeColor="hyperlink"/>
            <w:szCs w:val="20"/>
            <w:lang w:val="pt-BR" w:eastAsia="en-US"/>
          </w:rPr>
          <w:t>Informe Anual, Capítulo V, México</w:t>
        </w:r>
      </w:hyperlink>
      <w:r w:rsidRPr="002B01A1">
        <w:rPr>
          <w:rStyle w:val="Hyperlink"/>
          <w:rFonts w:eastAsiaTheme="minorHAnsi" w:cstheme="minorBidi"/>
          <w:color w:val="0563C1" w:themeColor="hyperlink"/>
          <w:szCs w:val="20"/>
          <w:lang w:val="pt-BR" w:eastAsia="en-US"/>
        </w:rPr>
        <w:t>,</w:t>
      </w:r>
      <w:r w:rsidRPr="00C26987">
        <w:rPr>
          <w:lang w:val="pt-BR"/>
        </w:rPr>
        <w:t xml:space="preserve"> 2023, párr</w:t>
      </w:r>
      <w:r w:rsidR="009A7E17">
        <w:rPr>
          <w:lang w:val="pt-BR"/>
        </w:rPr>
        <w:t>s</w:t>
      </w:r>
      <w:r w:rsidRPr="00C26987">
        <w:rPr>
          <w:lang w:val="pt-BR"/>
        </w:rPr>
        <w:t xml:space="preserve">. </w:t>
      </w:r>
      <w:r w:rsidRPr="00882500">
        <w:rPr>
          <w:lang w:val="es-US"/>
        </w:rPr>
        <w:t>180-183.</w:t>
      </w:r>
    </w:p>
  </w:footnote>
  <w:footnote w:id="145">
    <w:p w14:paraId="1F25890D" w14:textId="74B3A9A4" w:rsidR="000A7348" w:rsidRPr="00BB4DC8" w:rsidRDefault="000A7348" w:rsidP="006678CB">
      <w:pPr>
        <w:pStyle w:val="IANOTAALPIE"/>
        <w:rPr>
          <w:color w:val="0000FF"/>
          <w:u w:val="single"/>
          <w:lang w:val="es-ES"/>
        </w:rPr>
      </w:pPr>
      <w:r>
        <w:rPr>
          <w:rStyle w:val="FootnoteReference"/>
        </w:rPr>
        <w:footnoteRef/>
      </w:r>
      <w:r w:rsidRPr="000A7348">
        <w:rPr>
          <w:lang w:val="es-ES"/>
        </w:rPr>
        <w:t xml:space="preserve"> </w:t>
      </w:r>
      <w:r w:rsidR="00A62F50">
        <w:rPr>
          <w:lang w:val="es-ES"/>
        </w:rPr>
        <w:t xml:space="preserve">SIMORE Interamericano, </w:t>
      </w:r>
      <w:hyperlink r:id="rId116" w:history="1">
        <w:r w:rsidR="00A62F50" w:rsidRPr="00D110E2">
          <w:rPr>
            <w:rStyle w:val="Hyperlink"/>
            <w:rFonts w:eastAsiaTheme="minorHAnsi" w:cstheme="minorBidi"/>
            <w:color w:val="0563C1" w:themeColor="hyperlink"/>
            <w:szCs w:val="20"/>
            <w:lang w:val="es-ES" w:eastAsia="en-US"/>
          </w:rPr>
          <w:t>Informe de avance del Estado mexicano sobre el cumplimiento y seguimiento de las recomendaciones de la CIDH, Recomendación 31</w:t>
        </w:r>
      </w:hyperlink>
      <w:r w:rsidR="00A62F50">
        <w:rPr>
          <w:lang w:val="es-ES"/>
        </w:rPr>
        <w:t xml:space="preserve">, </w:t>
      </w:r>
      <w:r w:rsidR="00A62F50" w:rsidRPr="00C26987">
        <w:rPr>
          <w:lang w:val="es-ES"/>
        </w:rPr>
        <w:t>Capítulo V, 30</w:t>
      </w:r>
      <w:r w:rsidR="00A62F50">
        <w:rPr>
          <w:lang w:val="es-ES"/>
        </w:rPr>
        <w:t xml:space="preserve"> de</w:t>
      </w:r>
      <w:r w:rsidR="00A62F50" w:rsidRPr="00C26987">
        <w:rPr>
          <w:lang w:val="es-ES"/>
        </w:rPr>
        <w:t xml:space="preserve"> septiembre y 1 de octubre de </w:t>
      </w:r>
      <w:r w:rsidR="00A62F50">
        <w:rPr>
          <w:lang w:val="es-ES"/>
        </w:rPr>
        <w:t>2024.</w:t>
      </w:r>
      <w:r w:rsidR="00A62F50" w:rsidRPr="00BB4DC8">
        <w:rPr>
          <w:color w:val="0000FF"/>
          <w:u w:val="single"/>
          <w:lang w:val="es-ES"/>
        </w:rPr>
        <w:t xml:space="preserve"> </w:t>
      </w:r>
    </w:p>
  </w:footnote>
  <w:footnote w:id="146">
    <w:p w14:paraId="59BFCC43" w14:textId="30368FAF" w:rsidR="0012383C" w:rsidRPr="002B01A1" w:rsidRDefault="0012383C" w:rsidP="006678CB">
      <w:pPr>
        <w:pStyle w:val="IANOTAALPIE"/>
        <w:rPr>
          <w:lang w:val="es-ES"/>
        </w:rPr>
      </w:pPr>
      <w:r w:rsidRPr="002B01A1">
        <w:rPr>
          <w:rStyle w:val="FootnoteReference"/>
        </w:rPr>
        <w:footnoteRef/>
      </w:r>
      <w:r w:rsidRPr="002B01A1">
        <w:rPr>
          <w:lang w:val="es-ES"/>
        </w:rPr>
        <w:t xml:space="preserve"> </w:t>
      </w:r>
      <w:r w:rsidRPr="002B01A1">
        <w:t>Estado de México. Observaciones y comentarios del Estado mexicano al proyecto Capítulo V 2024 sobre el seguimiento a las recomendaciones formuladas por la Comisión Interamericana de Derechos Humanos en el informe “Situación de los derechos humanos en México”, 16 de febrero de 2025.</w:t>
      </w:r>
    </w:p>
  </w:footnote>
  <w:footnote w:id="147">
    <w:p w14:paraId="357762FD" w14:textId="6E046FE9" w:rsidR="007B7AAF" w:rsidRPr="00882500" w:rsidRDefault="007B7AAF" w:rsidP="006678CB">
      <w:pPr>
        <w:pStyle w:val="IANOTAALPIE"/>
        <w:rPr>
          <w:lang w:val="es-US"/>
        </w:rPr>
      </w:pPr>
      <w:r w:rsidRPr="002B01A1">
        <w:rPr>
          <w:rStyle w:val="FootnoteReference"/>
        </w:rPr>
        <w:footnoteRef/>
      </w:r>
      <w:r w:rsidRPr="002B01A1">
        <w:rPr>
          <w:lang w:val="pt-BR"/>
        </w:rPr>
        <w:t xml:space="preserve"> CIDH, </w:t>
      </w:r>
      <w:hyperlink r:id="rId117">
        <w:r w:rsidRPr="00CC5B9B">
          <w:rPr>
            <w:rStyle w:val="Hyperlink"/>
            <w:rFonts w:eastAsiaTheme="minorHAnsi" w:cstheme="minorBidi"/>
            <w:color w:val="0563C1" w:themeColor="hyperlink"/>
            <w:szCs w:val="20"/>
            <w:lang w:val="pt-BR" w:eastAsia="en-US"/>
          </w:rPr>
          <w:t>Informe Anual, Capítulo V, México</w:t>
        </w:r>
      </w:hyperlink>
      <w:r w:rsidRPr="002B01A1">
        <w:rPr>
          <w:lang w:val="pt-BR"/>
        </w:rPr>
        <w:t>, 2023, párr</w:t>
      </w:r>
      <w:r w:rsidR="00C84C82" w:rsidRPr="002B01A1">
        <w:rPr>
          <w:lang w:val="pt-BR"/>
        </w:rPr>
        <w:t>s</w:t>
      </w:r>
      <w:r w:rsidRPr="002B01A1">
        <w:rPr>
          <w:lang w:val="pt-BR"/>
        </w:rPr>
        <w:t xml:space="preserve">. </w:t>
      </w:r>
      <w:r w:rsidRPr="002B01A1">
        <w:rPr>
          <w:lang w:val="es-US"/>
        </w:rPr>
        <w:t>185-188.</w:t>
      </w:r>
    </w:p>
  </w:footnote>
  <w:footnote w:id="148">
    <w:p w14:paraId="79BE5FCD" w14:textId="67A9264A" w:rsidR="000A7348" w:rsidRPr="000A7348" w:rsidRDefault="000A7348" w:rsidP="006678CB">
      <w:pPr>
        <w:pStyle w:val="IANOTAALPIE"/>
        <w:rPr>
          <w:color w:val="0000FF"/>
          <w:u w:val="single"/>
        </w:rPr>
      </w:pPr>
      <w:r>
        <w:rPr>
          <w:rStyle w:val="FootnoteReference"/>
        </w:rPr>
        <w:footnoteRef/>
      </w:r>
      <w:r w:rsidRPr="000A7348">
        <w:t xml:space="preserve"> </w:t>
      </w:r>
      <w:r w:rsidR="00017324">
        <w:rPr>
          <w:lang w:val="es-ES"/>
        </w:rPr>
        <w:t xml:space="preserve">SIMORE Interamericano, </w:t>
      </w:r>
      <w:hyperlink r:id="rId118" w:history="1">
        <w:r w:rsidR="00017324" w:rsidRPr="002B01A1">
          <w:rPr>
            <w:rStyle w:val="Hyperlink"/>
            <w:rFonts w:eastAsiaTheme="minorHAnsi" w:cstheme="minorBidi"/>
            <w:color w:val="0563C1" w:themeColor="hyperlink"/>
            <w:szCs w:val="20"/>
            <w:lang w:val="es-ES" w:eastAsia="en-US"/>
          </w:rPr>
          <w:t>Informe de avance del Estado mexicano sobre el cumplimiento y seguimiento de las recomendaciones de la CIDH, Recomendación 32</w:t>
        </w:r>
      </w:hyperlink>
      <w:r w:rsidR="00017324">
        <w:rPr>
          <w:lang w:val="es-ES"/>
        </w:rPr>
        <w:t xml:space="preserve">, </w:t>
      </w:r>
      <w:r w:rsidR="00017324" w:rsidRPr="00C26987">
        <w:rPr>
          <w:lang w:val="es-ES"/>
        </w:rPr>
        <w:t>Capítulo V, 30</w:t>
      </w:r>
      <w:r w:rsidR="00017324">
        <w:rPr>
          <w:lang w:val="es-ES"/>
        </w:rPr>
        <w:t xml:space="preserve"> de</w:t>
      </w:r>
      <w:r w:rsidR="00017324" w:rsidRPr="00C26987">
        <w:rPr>
          <w:lang w:val="es-ES"/>
        </w:rPr>
        <w:t xml:space="preserve"> septiembre y 1 de octubre de </w:t>
      </w:r>
      <w:r w:rsidR="00017324">
        <w:rPr>
          <w:lang w:val="es-ES"/>
        </w:rPr>
        <w:t>2024.</w:t>
      </w:r>
      <w:r w:rsidR="00017324" w:rsidRPr="00BB4DC8">
        <w:rPr>
          <w:color w:val="0000FF"/>
          <w:u w:val="single"/>
          <w:lang w:val="es-ES"/>
        </w:rPr>
        <w:t xml:space="preserve"> </w:t>
      </w:r>
    </w:p>
  </w:footnote>
  <w:footnote w:id="149">
    <w:p w14:paraId="504F71B0" w14:textId="77777777" w:rsidR="00AB6367" w:rsidRPr="00616692" w:rsidRDefault="00AB6367" w:rsidP="006678CB">
      <w:pPr>
        <w:pStyle w:val="IANOTAALPIE"/>
      </w:pPr>
      <w:r w:rsidRPr="00616692">
        <w:rPr>
          <w:rStyle w:val="FootnoteReference"/>
        </w:rPr>
        <w:footnoteRef/>
      </w:r>
      <w:r w:rsidRPr="00616692">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150">
    <w:p w14:paraId="1E93C6D8" w14:textId="157650ED" w:rsidR="000A7348" w:rsidRPr="000A7348" w:rsidRDefault="000A7348" w:rsidP="006678CB">
      <w:pPr>
        <w:pStyle w:val="IANOTAALPIE"/>
      </w:pPr>
      <w:r w:rsidRPr="00616692">
        <w:rPr>
          <w:rStyle w:val="FootnoteReference"/>
        </w:rPr>
        <w:footnoteRef/>
      </w:r>
      <w:r w:rsidRPr="00616692">
        <w:t xml:space="preserve"> Centro Prodh</w:t>
      </w:r>
      <w:r w:rsidR="00C84C82" w:rsidRPr="00616692">
        <w:t>,</w:t>
      </w:r>
      <w:r w:rsidRPr="00616692">
        <w:t xml:space="preserve"> FJEDD</w:t>
      </w:r>
      <w:r w:rsidR="00C84C82" w:rsidRPr="00616692">
        <w:t>,</w:t>
      </w:r>
      <w:r w:rsidRPr="00616692">
        <w:t xml:space="preserve"> Marisol Méndez Cruz, Jerónimo del Río y Fabienne Cabaret</w:t>
      </w:r>
      <w:r w:rsidR="00C84C82" w:rsidRPr="00616692">
        <w:t>,</w:t>
      </w:r>
      <w:r w:rsidRPr="00616692">
        <w:t xml:space="preserve"> SERAPAZ</w:t>
      </w:r>
      <w:r w:rsidR="00C84C82" w:rsidRPr="00616692">
        <w:t>,</w:t>
      </w:r>
      <w:r w:rsidRPr="00616692">
        <w:t xml:space="preserve"> Idheas Litigio Estratégico en Derechos Humanos y Organización Ku’kay</w:t>
      </w:r>
      <w:r w:rsidR="00C84C82" w:rsidRPr="00616692">
        <w:t>;</w:t>
      </w:r>
      <w:r w:rsidRPr="00616692">
        <w:t xml:space="preserve"> Seguimiento sobre el cumplimiento de las recomendaciones del Informe “Situación de Derechos Humanos en México”, octubre de 2024.</w:t>
      </w:r>
    </w:p>
  </w:footnote>
  <w:footnote w:id="151">
    <w:p w14:paraId="401D573B" w14:textId="7C712E1F" w:rsidR="007B7AAF" w:rsidRPr="00882500" w:rsidRDefault="007B7AAF" w:rsidP="006678CB">
      <w:pPr>
        <w:pStyle w:val="IANOTAALPIE"/>
        <w:rPr>
          <w:lang w:val="es-US"/>
        </w:rPr>
      </w:pPr>
      <w:r w:rsidRPr="00C26987">
        <w:rPr>
          <w:rStyle w:val="FootnoteReference"/>
        </w:rPr>
        <w:footnoteRef/>
      </w:r>
      <w:r w:rsidRPr="00852144">
        <w:rPr>
          <w:lang w:val="pt-BR"/>
        </w:rPr>
        <w:t xml:space="preserve"> CIDH, </w:t>
      </w:r>
      <w:hyperlink r:id="rId119">
        <w:r w:rsidRPr="002B01A1">
          <w:rPr>
            <w:rStyle w:val="Hyperlink"/>
            <w:rFonts w:eastAsiaTheme="minorHAnsi" w:cstheme="minorBidi"/>
            <w:color w:val="0563C1" w:themeColor="hyperlink"/>
            <w:szCs w:val="20"/>
            <w:lang w:val="pt-BR" w:eastAsia="en-US"/>
          </w:rPr>
          <w:t>Informe Anual, Capítulo V, México</w:t>
        </w:r>
      </w:hyperlink>
      <w:r w:rsidRPr="00852144">
        <w:rPr>
          <w:lang w:val="pt-BR"/>
        </w:rPr>
        <w:t>, 2023, párr</w:t>
      </w:r>
      <w:r w:rsidR="00C84C82" w:rsidRPr="00852144">
        <w:rPr>
          <w:lang w:val="pt-BR"/>
        </w:rPr>
        <w:t>s</w:t>
      </w:r>
      <w:r w:rsidRPr="00852144">
        <w:rPr>
          <w:lang w:val="pt-BR"/>
        </w:rPr>
        <w:t xml:space="preserve">. </w:t>
      </w:r>
      <w:r w:rsidRPr="00882500">
        <w:rPr>
          <w:lang w:val="es-US"/>
        </w:rPr>
        <w:t>190-194.</w:t>
      </w:r>
    </w:p>
  </w:footnote>
  <w:footnote w:id="152">
    <w:p w14:paraId="5C35F82A" w14:textId="2ECC033A" w:rsidR="000A7348" w:rsidRPr="000A7348" w:rsidRDefault="000A7348" w:rsidP="006678CB">
      <w:pPr>
        <w:pStyle w:val="IANOTAALPIE"/>
        <w:rPr>
          <w:lang w:val="es-ES"/>
        </w:rPr>
      </w:pPr>
      <w:r>
        <w:rPr>
          <w:rStyle w:val="FootnoteReference"/>
        </w:rPr>
        <w:footnoteRef/>
      </w:r>
      <w:r w:rsidRPr="000A7348">
        <w:rPr>
          <w:lang w:val="es-ES"/>
        </w:rPr>
        <w:t xml:space="preserve"> </w:t>
      </w:r>
      <w:r w:rsidR="00017324">
        <w:rPr>
          <w:lang w:val="es-ES"/>
        </w:rPr>
        <w:t xml:space="preserve">SIMORE Interamericano, </w:t>
      </w:r>
      <w:hyperlink r:id="rId120" w:history="1">
        <w:r w:rsidR="00017324" w:rsidRPr="002B01A1">
          <w:rPr>
            <w:rStyle w:val="Hyperlink"/>
            <w:rFonts w:eastAsiaTheme="minorHAnsi" w:cstheme="minorBidi"/>
            <w:color w:val="0563C1" w:themeColor="hyperlink"/>
            <w:szCs w:val="20"/>
            <w:lang w:val="es-ES" w:eastAsia="en-US"/>
          </w:rPr>
          <w:t>Informe de avance del Estado mexicano sobre el cumplimiento y seguimiento de las recomendaciones de la CIDH, Recomendación 33</w:t>
        </w:r>
      </w:hyperlink>
      <w:r w:rsidR="00017324">
        <w:rPr>
          <w:lang w:val="es-ES"/>
        </w:rPr>
        <w:t xml:space="preserve">, </w:t>
      </w:r>
      <w:r w:rsidR="00017324" w:rsidRPr="00C26987">
        <w:rPr>
          <w:lang w:val="es-ES"/>
        </w:rPr>
        <w:t>Capítulo V, 30</w:t>
      </w:r>
      <w:r w:rsidR="00017324">
        <w:rPr>
          <w:lang w:val="es-ES"/>
        </w:rPr>
        <w:t xml:space="preserve"> de</w:t>
      </w:r>
      <w:r w:rsidR="00017324" w:rsidRPr="00C26987">
        <w:rPr>
          <w:lang w:val="es-ES"/>
        </w:rPr>
        <w:t xml:space="preserve"> septiembre y 1 de octubre de </w:t>
      </w:r>
      <w:r w:rsidR="00017324">
        <w:rPr>
          <w:lang w:val="es-ES"/>
        </w:rPr>
        <w:t>2024.</w:t>
      </w:r>
      <w:r w:rsidR="00017324" w:rsidRPr="00BB4DC8">
        <w:rPr>
          <w:color w:val="0000FF"/>
          <w:u w:val="single"/>
          <w:lang w:val="es-ES"/>
        </w:rPr>
        <w:t xml:space="preserve"> </w:t>
      </w:r>
    </w:p>
  </w:footnote>
  <w:footnote w:id="153">
    <w:p w14:paraId="4599FCDA" w14:textId="0F2D1392" w:rsidR="000A7348" w:rsidRPr="000A7348" w:rsidRDefault="000A7348" w:rsidP="006678CB">
      <w:pPr>
        <w:pStyle w:val="IANOTAALPIE"/>
      </w:pPr>
      <w:r>
        <w:rPr>
          <w:rStyle w:val="FootnoteReference"/>
        </w:rPr>
        <w:footnoteRef/>
      </w:r>
      <w:r w:rsidRPr="000A7348">
        <w:t xml:space="preserve"> </w:t>
      </w:r>
      <w:r w:rsidRPr="00902744">
        <w:t>Centro Prodh</w:t>
      </w:r>
      <w:r w:rsidR="00E558D7">
        <w:t>,</w:t>
      </w:r>
      <w:r w:rsidRPr="00902744">
        <w:t xml:space="preserve"> FJEDD</w:t>
      </w:r>
      <w:r w:rsidR="00E558D7">
        <w:t>,</w:t>
      </w:r>
      <w:r w:rsidRPr="00902744">
        <w:t xml:space="preserve"> Marisol Méndez Cruz, Jerónimo del Río y Fabienne Cabaret</w:t>
      </w:r>
      <w:r w:rsidR="00E558D7">
        <w:t>,</w:t>
      </w:r>
      <w:r w:rsidRPr="00902744">
        <w:t xml:space="preserve"> SERAPAZ</w:t>
      </w:r>
      <w:r w:rsidR="00E558D7">
        <w:t>,</w:t>
      </w:r>
      <w:r w:rsidRPr="00902744">
        <w:t xml:space="preserve"> Idheas Litigio Estratégico en Derechos Humanos y Organización Ku’kay</w:t>
      </w:r>
      <w:r w:rsidR="00E558D7">
        <w:t>;</w:t>
      </w:r>
      <w:r w:rsidRPr="00902744">
        <w:t xml:space="preserve"> Seguimiento sobre el cumplimiento de las recomendaciones del Informe “Situación de Derechos Humanos en México”, octubre de 2024.</w:t>
      </w:r>
    </w:p>
  </w:footnote>
  <w:footnote w:id="154">
    <w:p w14:paraId="29BE7264" w14:textId="0C1AE7B7" w:rsidR="000A7348" w:rsidRPr="000A7348" w:rsidRDefault="000A7348" w:rsidP="0081344B">
      <w:pPr>
        <w:pStyle w:val="FootnoteText"/>
        <w:ind w:firstLine="720"/>
        <w:jc w:val="both"/>
        <w:rPr>
          <w:lang w:val="es-ES"/>
        </w:rPr>
      </w:pPr>
      <w:r>
        <w:rPr>
          <w:rStyle w:val="FootnoteReference"/>
        </w:rPr>
        <w:footnoteRef/>
      </w:r>
      <w:r w:rsidRPr="000A7348">
        <w:rPr>
          <w:lang w:val="es-ES"/>
        </w:rPr>
        <w:t xml:space="preserve"> </w:t>
      </w:r>
      <w:r w:rsidR="00017324">
        <w:rPr>
          <w:lang w:val="es-ES"/>
        </w:rPr>
        <w:t xml:space="preserve">SIMORE Interamericano, </w:t>
      </w:r>
      <w:hyperlink r:id="rId121" w:history="1">
        <w:r w:rsidR="00017324" w:rsidRPr="002B01A1">
          <w:rPr>
            <w:rStyle w:val="Hyperlink"/>
            <w:rFonts w:eastAsiaTheme="minorHAnsi" w:cstheme="minorBidi"/>
            <w:color w:val="0563C1" w:themeColor="hyperlink"/>
            <w:lang w:val="es-ES"/>
          </w:rPr>
          <w:t>Informe de avance del Estado mexicano sobre el cumplimiento y seguimiento de las recomendaciones de la CIDH, Recomendación 34</w:t>
        </w:r>
      </w:hyperlink>
      <w:r w:rsidR="00017324">
        <w:rPr>
          <w:lang w:val="es-ES"/>
        </w:rPr>
        <w:t xml:space="preserve">, </w:t>
      </w:r>
      <w:r w:rsidR="00017324" w:rsidRPr="00C26987">
        <w:rPr>
          <w:lang w:val="es-ES"/>
        </w:rPr>
        <w:t>Capítulo V, 30</w:t>
      </w:r>
      <w:r w:rsidR="00017324">
        <w:rPr>
          <w:lang w:val="es-ES"/>
        </w:rPr>
        <w:t xml:space="preserve"> de</w:t>
      </w:r>
      <w:r w:rsidR="00017324" w:rsidRPr="00C26987">
        <w:rPr>
          <w:lang w:val="es-ES"/>
        </w:rPr>
        <w:t xml:space="preserve"> septiembre y 1 de octubre de </w:t>
      </w:r>
      <w:r w:rsidR="00017324">
        <w:rPr>
          <w:lang w:val="es-ES"/>
        </w:rPr>
        <w:t>2024.</w:t>
      </w:r>
    </w:p>
  </w:footnote>
  <w:footnote w:id="155">
    <w:p w14:paraId="2574ADC1" w14:textId="01B54079" w:rsidR="000A7348" w:rsidRPr="000A7348" w:rsidRDefault="000A7348" w:rsidP="0081344B">
      <w:pPr>
        <w:pStyle w:val="FootnoteText"/>
        <w:ind w:firstLine="720"/>
        <w:jc w:val="both"/>
        <w:rPr>
          <w:color w:val="0000FF"/>
          <w:szCs w:val="16"/>
          <w:u w:val="single"/>
          <w:lang w:val="es-ES"/>
        </w:rPr>
      </w:pPr>
      <w:r>
        <w:rPr>
          <w:rStyle w:val="FootnoteReference"/>
        </w:rPr>
        <w:footnoteRef/>
      </w:r>
      <w:r w:rsidRPr="000A7348">
        <w:rPr>
          <w:lang w:val="es-ES"/>
        </w:rPr>
        <w:t xml:space="preserve"> </w:t>
      </w:r>
      <w:r w:rsidR="00017324">
        <w:rPr>
          <w:lang w:val="es-ES"/>
        </w:rPr>
        <w:t xml:space="preserve">SIMORE Interamericano, </w:t>
      </w:r>
      <w:hyperlink r:id="rId122" w:history="1">
        <w:r w:rsidR="00017324" w:rsidRPr="002B01A1">
          <w:rPr>
            <w:rStyle w:val="Hyperlink"/>
            <w:rFonts w:eastAsiaTheme="minorHAnsi" w:cstheme="minorBidi"/>
            <w:color w:val="0563C1" w:themeColor="hyperlink"/>
            <w:lang w:val="es-ES"/>
          </w:rPr>
          <w:t>Informe de avance del Estado mexicano sobre el cumplimiento y seguimiento de las recomendaciones de la CIDH, Recomendación 34</w:t>
        </w:r>
      </w:hyperlink>
      <w:r w:rsidR="00017324">
        <w:rPr>
          <w:lang w:val="es-ES"/>
        </w:rPr>
        <w:t xml:space="preserve">, </w:t>
      </w:r>
      <w:r w:rsidR="00017324" w:rsidRPr="00C26987">
        <w:rPr>
          <w:lang w:val="es-ES"/>
        </w:rPr>
        <w:t>Capítulo V, 30</w:t>
      </w:r>
      <w:r w:rsidR="00017324">
        <w:rPr>
          <w:lang w:val="es-ES"/>
        </w:rPr>
        <w:t xml:space="preserve"> de</w:t>
      </w:r>
      <w:r w:rsidR="00017324" w:rsidRPr="00C26987">
        <w:rPr>
          <w:lang w:val="es-ES"/>
        </w:rPr>
        <w:t xml:space="preserve"> septiembre y 1 de octubre de </w:t>
      </w:r>
      <w:r w:rsidR="00017324">
        <w:rPr>
          <w:lang w:val="es-ES"/>
        </w:rPr>
        <w:t>2024.</w:t>
      </w:r>
    </w:p>
  </w:footnote>
  <w:footnote w:id="156">
    <w:p w14:paraId="40A84BAC" w14:textId="6E0155E9" w:rsidR="007B7AAF" w:rsidRPr="00882500" w:rsidRDefault="007B7AAF" w:rsidP="00F02A1B">
      <w:pPr>
        <w:pStyle w:val="NoSpacing"/>
        <w:ind w:firstLine="720"/>
        <w:jc w:val="both"/>
        <w:rPr>
          <w:rFonts w:ascii="Cambria" w:hAnsi="Cambria"/>
          <w:sz w:val="16"/>
          <w:szCs w:val="16"/>
          <w:lang w:val="es-US"/>
        </w:rPr>
      </w:pPr>
      <w:r w:rsidRPr="00616692">
        <w:rPr>
          <w:rStyle w:val="FootnoteReference"/>
          <w:rFonts w:ascii="Cambria" w:hAnsi="Cambria"/>
          <w:sz w:val="16"/>
          <w:szCs w:val="16"/>
        </w:rPr>
        <w:footnoteRef/>
      </w:r>
      <w:r w:rsidRPr="00616692">
        <w:rPr>
          <w:rFonts w:ascii="Cambria" w:hAnsi="Cambria"/>
          <w:sz w:val="16"/>
          <w:szCs w:val="16"/>
          <w:lang w:val="pt-BR"/>
        </w:rPr>
        <w:t xml:space="preserve"> CIDH</w:t>
      </w:r>
      <w:r w:rsidRPr="002B01A1">
        <w:rPr>
          <w:rStyle w:val="Hyperlink"/>
          <w:rFonts w:eastAsiaTheme="minorHAnsi" w:cstheme="minorBidi"/>
          <w:color w:val="0563C1" w:themeColor="hyperlink"/>
          <w:szCs w:val="20"/>
          <w:lang w:val="pt-BR" w:eastAsia="en-US"/>
        </w:rPr>
        <w:t xml:space="preserve">, </w:t>
      </w:r>
      <w:hyperlink r:id="rId123">
        <w:r w:rsidRPr="002B01A1">
          <w:rPr>
            <w:rStyle w:val="Hyperlink"/>
            <w:rFonts w:ascii="Cambria" w:eastAsiaTheme="minorHAnsi" w:hAnsi="Cambria" w:cstheme="minorBidi"/>
            <w:color w:val="0563C1" w:themeColor="hyperlink"/>
            <w:sz w:val="16"/>
            <w:szCs w:val="20"/>
            <w:lang w:val="pt-BR" w:eastAsia="en-US"/>
          </w:rPr>
          <w:t>Informe Anual, Capítulo V, México</w:t>
        </w:r>
      </w:hyperlink>
      <w:r w:rsidRPr="00616692">
        <w:rPr>
          <w:rFonts w:ascii="Cambria" w:hAnsi="Cambria"/>
          <w:sz w:val="16"/>
          <w:szCs w:val="16"/>
          <w:lang w:val="pt-BR"/>
        </w:rPr>
        <w:t>, 2023, párr</w:t>
      </w:r>
      <w:r w:rsidR="00E558D7" w:rsidRPr="00616692">
        <w:rPr>
          <w:rFonts w:ascii="Cambria" w:hAnsi="Cambria"/>
          <w:sz w:val="16"/>
          <w:szCs w:val="16"/>
          <w:lang w:val="pt-BR"/>
        </w:rPr>
        <w:t>s</w:t>
      </w:r>
      <w:r w:rsidRPr="00616692">
        <w:rPr>
          <w:rFonts w:ascii="Cambria" w:hAnsi="Cambria"/>
          <w:sz w:val="16"/>
          <w:szCs w:val="16"/>
          <w:lang w:val="pt-BR"/>
        </w:rPr>
        <w:t xml:space="preserve">. </w:t>
      </w:r>
      <w:r w:rsidRPr="00882500">
        <w:rPr>
          <w:rFonts w:ascii="Cambria" w:hAnsi="Cambria"/>
          <w:sz w:val="16"/>
          <w:szCs w:val="16"/>
          <w:lang w:val="es-US"/>
        </w:rPr>
        <w:t>201-204.</w:t>
      </w:r>
    </w:p>
  </w:footnote>
  <w:footnote w:id="157">
    <w:p w14:paraId="6587400E" w14:textId="7707D9C5" w:rsidR="000A7348" w:rsidRPr="00616692" w:rsidRDefault="000A7348" w:rsidP="00C12852">
      <w:pPr>
        <w:pStyle w:val="FootnoteText"/>
        <w:ind w:firstLine="720"/>
        <w:jc w:val="both"/>
        <w:rPr>
          <w:szCs w:val="16"/>
          <w:lang w:val="es-ES"/>
        </w:rPr>
      </w:pPr>
      <w:r w:rsidRPr="00616692">
        <w:rPr>
          <w:rStyle w:val="FootnoteReference"/>
          <w:szCs w:val="16"/>
        </w:rPr>
        <w:footnoteRef/>
      </w:r>
      <w:r w:rsidRPr="00616692">
        <w:rPr>
          <w:szCs w:val="16"/>
          <w:lang w:val="es-ES"/>
        </w:rPr>
        <w:t xml:space="preserve"> </w:t>
      </w:r>
      <w:r w:rsidR="00017324">
        <w:rPr>
          <w:lang w:val="es-ES"/>
        </w:rPr>
        <w:t xml:space="preserve">SIMORE Interamericano, </w:t>
      </w:r>
      <w:hyperlink r:id="rId124" w:history="1">
        <w:r w:rsidR="00017324" w:rsidRPr="00CC5B9B">
          <w:rPr>
            <w:rStyle w:val="Hyperlink"/>
            <w:rFonts w:eastAsiaTheme="minorHAnsi" w:cstheme="minorBidi"/>
            <w:color w:val="0563C1" w:themeColor="hyperlink"/>
            <w:lang w:val="es-AR"/>
          </w:rPr>
          <w:t>Informe de avance del Estado mexicano sobre el cumplimiento y seguimiento de las recomendaciones de la CIDH, Recomendación 35</w:t>
        </w:r>
      </w:hyperlink>
      <w:r w:rsidR="00017324">
        <w:rPr>
          <w:lang w:val="es-ES"/>
        </w:rPr>
        <w:t xml:space="preserve">, </w:t>
      </w:r>
      <w:r w:rsidR="00017324" w:rsidRPr="00C26987">
        <w:rPr>
          <w:lang w:val="es-ES"/>
        </w:rPr>
        <w:t>Capítulo V, 30</w:t>
      </w:r>
      <w:r w:rsidR="00017324">
        <w:rPr>
          <w:lang w:val="es-ES"/>
        </w:rPr>
        <w:t xml:space="preserve"> de</w:t>
      </w:r>
      <w:r w:rsidR="00017324" w:rsidRPr="00C26987">
        <w:rPr>
          <w:lang w:val="es-ES"/>
        </w:rPr>
        <w:t xml:space="preserve"> septiembre y 1 de octubre de </w:t>
      </w:r>
      <w:r w:rsidR="00017324">
        <w:rPr>
          <w:lang w:val="es-ES"/>
        </w:rPr>
        <w:t>2024.</w:t>
      </w:r>
    </w:p>
  </w:footnote>
  <w:footnote w:id="158">
    <w:p w14:paraId="78625BF4" w14:textId="77777777" w:rsidR="00AB6367" w:rsidRPr="00616692" w:rsidRDefault="00AB6367" w:rsidP="00AB6367">
      <w:pPr>
        <w:pStyle w:val="FootnoteText"/>
        <w:ind w:firstLine="720"/>
        <w:jc w:val="both"/>
        <w:rPr>
          <w:lang w:val="es-ES"/>
        </w:rPr>
      </w:pPr>
      <w:r w:rsidRPr="00616692">
        <w:rPr>
          <w:rStyle w:val="FootnoteReference"/>
        </w:rPr>
        <w:footnoteRef/>
      </w:r>
      <w:r w:rsidRPr="00616692">
        <w:rPr>
          <w:lang w:val="es-ES"/>
        </w:rPr>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159">
    <w:p w14:paraId="3DF985A5" w14:textId="4FEABA41" w:rsidR="000A7348" w:rsidRPr="000A7348" w:rsidRDefault="000A7348" w:rsidP="00C12852">
      <w:pPr>
        <w:pStyle w:val="FootnoteText"/>
        <w:ind w:firstLine="720"/>
        <w:jc w:val="both"/>
        <w:rPr>
          <w:szCs w:val="16"/>
          <w:lang w:val="es-ES"/>
        </w:rPr>
      </w:pPr>
      <w:r w:rsidRPr="00616692">
        <w:rPr>
          <w:rStyle w:val="FootnoteReference"/>
          <w:szCs w:val="16"/>
        </w:rPr>
        <w:footnoteRef/>
      </w:r>
      <w:r w:rsidRPr="00616692">
        <w:rPr>
          <w:szCs w:val="16"/>
          <w:lang w:val="es-ES"/>
        </w:rPr>
        <w:t xml:space="preserve"> Corte IDH</w:t>
      </w:r>
      <w:r w:rsidR="006678CB">
        <w:rPr>
          <w:szCs w:val="16"/>
          <w:lang w:val="es-ES"/>
        </w:rPr>
        <w:t>.</w:t>
      </w:r>
      <w:r w:rsidRPr="00616692">
        <w:rPr>
          <w:szCs w:val="16"/>
          <w:lang w:val="es-ES"/>
        </w:rPr>
        <w:t xml:space="preserve"> Caso Fernández Ortega y otros Vs. México</w:t>
      </w:r>
      <w:r w:rsidR="006678CB">
        <w:rPr>
          <w:szCs w:val="16"/>
          <w:lang w:val="es-ES"/>
        </w:rPr>
        <w:t>.</w:t>
      </w:r>
      <w:r w:rsidRPr="00616692">
        <w:rPr>
          <w:szCs w:val="16"/>
          <w:lang w:val="es-ES"/>
        </w:rPr>
        <w:t xml:space="preserve"> Excepción Preliminar, Fondo, Reparaciones y Costas</w:t>
      </w:r>
      <w:r w:rsidR="006678CB">
        <w:rPr>
          <w:szCs w:val="16"/>
          <w:lang w:val="es-ES"/>
        </w:rPr>
        <w:t>.</w:t>
      </w:r>
      <w:r w:rsidRPr="00616692">
        <w:rPr>
          <w:szCs w:val="16"/>
          <w:lang w:val="es-ES"/>
        </w:rPr>
        <w:t xml:space="preserve"> Sentencia de 30 de agosto de 2010</w:t>
      </w:r>
      <w:r w:rsidR="006678CB">
        <w:rPr>
          <w:szCs w:val="16"/>
          <w:lang w:val="es-ES"/>
        </w:rPr>
        <w:t>.</w:t>
      </w:r>
      <w:r w:rsidRPr="00616692">
        <w:rPr>
          <w:szCs w:val="16"/>
          <w:lang w:val="es-ES"/>
        </w:rPr>
        <w:t xml:space="preserve"> Serie C No. 215.</w:t>
      </w:r>
    </w:p>
  </w:footnote>
  <w:footnote w:id="160">
    <w:p w14:paraId="04B404BC" w14:textId="32613150" w:rsidR="000A7348" w:rsidRPr="000A7348" w:rsidRDefault="000A7348">
      <w:pPr>
        <w:pStyle w:val="FootnoteText"/>
        <w:ind w:firstLine="720"/>
        <w:jc w:val="both"/>
        <w:rPr>
          <w:szCs w:val="16"/>
          <w:lang w:val="es-ES"/>
        </w:rPr>
      </w:pPr>
      <w:r w:rsidRPr="000A7348">
        <w:rPr>
          <w:rStyle w:val="FootnoteReference"/>
          <w:szCs w:val="16"/>
        </w:rPr>
        <w:footnoteRef/>
      </w:r>
      <w:r w:rsidRPr="000A7348">
        <w:rPr>
          <w:szCs w:val="16"/>
          <w:lang w:val="es-ES"/>
        </w:rPr>
        <w:t xml:space="preserve"> Corte IDH</w:t>
      </w:r>
      <w:r w:rsidR="006678CB">
        <w:rPr>
          <w:szCs w:val="16"/>
          <w:lang w:val="es-ES"/>
        </w:rPr>
        <w:t>.</w:t>
      </w:r>
      <w:r w:rsidRPr="000A7348">
        <w:rPr>
          <w:szCs w:val="16"/>
          <w:lang w:val="es-ES"/>
        </w:rPr>
        <w:t xml:space="preserve"> Caso Rosendo Cantú y otra Vs. México</w:t>
      </w:r>
      <w:r w:rsidR="006678CB">
        <w:rPr>
          <w:szCs w:val="16"/>
          <w:lang w:val="es-ES"/>
        </w:rPr>
        <w:t>.</w:t>
      </w:r>
      <w:r w:rsidRPr="000A7348">
        <w:rPr>
          <w:szCs w:val="16"/>
          <w:lang w:val="es-ES"/>
        </w:rPr>
        <w:t xml:space="preserve"> Excepción Preliminar, Fondo, Reparaciones y Costa</w:t>
      </w:r>
      <w:r w:rsidR="006678CB">
        <w:rPr>
          <w:szCs w:val="16"/>
          <w:lang w:val="es-ES"/>
        </w:rPr>
        <w:t xml:space="preserve">s </w:t>
      </w:r>
      <w:r w:rsidRPr="000A7348">
        <w:rPr>
          <w:szCs w:val="16"/>
          <w:lang w:val="es-ES"/>
        </w:rPr>
        <w:t>Sentencia de 31 de agosto de 2010</w:t>
      </w:r>
      <w:r w:rsidR="006678CB">
        <w:rPr>
          <w:szCs w:val="16"/>
          <w:lang w:val="es-ES"/>
        </w:rPr>
        <w:t>.</w:t>
      </w:r>
      <w:r w:rsidRPr="000A7348">
        <w:rPr>
          <w:szCs w:val="16"/>
          <w:lang w:val="es-ES"/>
        </w:rPr>
        <w:t xml:space="preserve"> Serie C No. 216.</w:t>
      </w:r>
    </w:p>
  </w:footnote>
  <w:footnote w:id="161">
    <w:p w14:paraId="2CC97F14" w14:textId="373FF337" w:rsidR="000A7348" w:rsidRPr="000A7348" w:rsidRDefault="000A7348">
      <w:pPr>
        <w:pStyle w:val="FootnoteText"/>
        <w:ind w:firstLine="720"/>
        <w:jc w:val="both"/>
        <w:rPr>
          <w:szCs w:val="16"/>
          <w:lang w:val="es-ES"/>
        </w:rPr>
      </w:pPr>
      <w:r w:rsidRPr="000A7348">
        <w:rPr>
          <w:rStyle w:val="FootnoteReference"/>
          <w:szCs w:val="16"/>
        </w:rPr>
        <w:footnoteRef/>
      </w:r>
      <w:r w:rsidRPr="000A7348">
        <w:rPr>
          <w:szCs w:val="16"/>
          <w:lang w:val="es-ES"/>
        </w:rPr>
        <w:t xml:space="preserve"> Corte IDH</w:t>
      </w:r>
      <w:r w:rsidR="006678CB">
        <w:rPr>
          <w:szCs w:val="16"/>
          <w:lang w:val="es-ES"/>
        </w:rPr>
        <w:t>.</w:t>
      </w:r>
      <w:r w:rsidRPr="000A7348">
        <w:rPr>
          <w:szCs w:val="16"/>
          <w:lang w:val="es-ES"/>
        </w:rPr>
        <w:t xml:space="preserve"> Caso Radilla Pacheco Vs. México</w:t>
      </w:r>
      <w:r w:rsidR="006678CB">
        <w:rPr>
          <w:szCs w:val="16"/>
          <w:lang w:val="es-ES"/>
        </w:rPr>
        <w:t>.</w:t>
      </w:r>
      <w:r w:rsidRPr="000A7348">
        <w:rPr>
          <w:szCs w:val="16"/>
          <w:lang w:val="es-ES"/>
        </w:rPr>
        <w:t xml:space="preserve"> Excepciones Preliminares, Fondo</w:t>
      </w:r>
      <w:r w:rsidR="00EE4BD4">
        <w:rPr>
          <w:szCs w:val="16"/>
          <w:lang w:val="es-ES"/>
        </w:rPr>
        <w:t>.</w:t>
      </w:r>
      <w:r w:rsidRPr="000A7348">
        <w:rPr>
          <w:szCs w:val="16"/>
          <w:lang w:val="es-ES"/>
        </w:rPr>
        <w:t xml:space="preserve"> Reparaciones y Costas</w:t>
      </w:r>
      <w:r w:rsidR="00EE4BD4">
        <w:rPr>
          <w:szCs w:val="16"/>
          <w:lang w:val="es-ES"/>
        </w:rPr>
        <w:t>.</w:t>
      </w:r>
      <w:r w:rsidRPr="000A7348">
        <w:rPr>
          <w:szCs w:val="16"/>
          <w:lang w:val="es-ES"/>
        </w:rPr>
        <w:t xml:space="preserve"> Sentencia de 23 de noviembre de 2009</w:t>
      </w:r>
      <w:r w:rsidR="00EE4BD4">
        <w:rPr>
          <w:szCs w:val="16"/>
          <w:lang w:val="es-ES"/>
        </w:rPr>
        <w:t>.</w:t>
      </w:r>
      <w:r w:rsidRPr="000A7348">
        <w:rPr>
          <w:szCs w:val="16"/>
          <w:lang w:val="es-ES"/>
        </w:rPr>
        <w:t xml:space="preserve"> Serie C No. 209.</w:t>
      </w:r>
    </w:p>
  </w:footnote>
  <w:footnote w:id="162">
    <w:p w14:paraId="31D8FCFF" w14:textId="6332B7AB" w:rsidR="000A7348" w:rsidRPr="000A7348" w:rsidRDefault="000A7348">
      <w:pPr>
        <w:pStyle w:val="FootnoteText"/>
        <w:ind w:firstLine="720"/>
        <w:jc w:val="both"/>
        <w:rPr>
          <w:lang w:val="es-ES"/>
        </w:rPr>
      </w:pPr>
      <w:r w:rsidRPr="000A7348">
        <w:rPr>
          <w:rStyle w:val="FootnoteReference"/>
          <w:szCs w:val="16"/>
        </w:rPr>
        <w:footnoteRef/>
      </w:r>
      <w:r w:rsidRPr="000A7348">
        <w:rPr>
          <w:szCs w:val="16"/>
          <w:lang w:val="es-ES"/>
        </w:rPr>
        <w:t xml:space="preserve"> Corte IDH</w:t>
      </w:r>
      <w:r w:rsidR="00E558D7">
        <w:rPr>
          <w:szCs w:val="16"/>
          <w:lang w:val="es-ES"/>
        </w:rPr>
        <w:t>,</w:t>
      </w:r>
      <w:r w:rsidRPr="000A7348">
        <w:rPr>
          <w:szCs w:val="16"/>
          <w:lang w:val="es-ES"/>
        </w:rPr>
        <w:t xml:space="preserve"> Caso Cabrera García y Montiel Flores Vs. México</w:t>
      </w:r>
      <w:r w:rsidR="00E558D7">
        <w:rPr>
          <w:szCs w:val="16"/>
          <w:lang w:val="es-ES"/>
        </w:rPr>
        <w:t>,</w:t>
      </w:r>
      <w:r w:rsidRPr="000A7348">
        <w:rPr>
          <w:szCs w:val="16"/>
          <w:lang w:val="es-ES"/>
        </w:rPr>
        <w:t xml:space="preserve"> Excepción Preliminar, Fondo, Reparaciones y Costas</w:t>
      </w:r>
      <w:r w:rsidR="00E558D7">
        <w:rPr>
          <w:szCs w:val="16"/>
          <w:lang w:val="es-ES"/>
        </w:rPr>
        <w:t>,</w:t>
      </w:r>
      <w:r w:rsidRPr="000A7348">
        <w:rPr>
          <w:szCs w:val="16"/>
          <w:lang w:val="es-ES"/>
        </w:rPr>
        <w:t xml:space="preserve"> Sentencia de 26 de noviembre de 2010</w:t>
      </w:r>
      <w:r w:rsidR="00E558D7">
        <w:rPr>
          <w:szCs w:val="16"/>
          <w:lang w:val="es-ES"/>
        </w:rPr>
        <w:t>,</w:t>
      </w:r>
      <w:r w:rsidRPr="000A7348">
        <w:rPr>
          <w:szCs w:val="16"/>
          <w:lang w:val="es-ES"/>
        </w:rPr>
        <w:t xml:space="preserve"> Serie C No. 220.</w:t>
      </w:r>
    </w:p>
  </w:footnote>
  <w:footnote w:id="163">
    <w:p w14:paraId="300E856D" w14:textId="291B7E5F" w:rsidR="000A7348" w:rsidRPr="000A7348" w:rsidRDefault="000A7348" w:rsidP="00CD2F81">
      <w:pPr>
        <w:pStyle w:val="IANOTAALPIE"/>
      </w:pPr>
      <w:r>
        <w:rPr>
          <w:rStyle w:val="FootnoteReference"/>
        </w:rPr>
        <w:footnoteRef/>
      </w:r>
      <w:r w:rsidRPr="000A7348">
        <w:t xml:space="preserve"> </w:t>
      </w:r>
      <w:r w:rsidRPr="00902744">
        <w:t>Centro Prodh</w:t>
      </w:r>
      <w:r w:rsidR="00025CFD">
        <w:t>,</w:t>
      </w:r>
      <w:r w:rsidRPr="00902744">
        <w:t xml:space="preserve"> FJEDD</w:t>
      </w:r>
      <w:r w:rsidR="00025CFD">
        <w:t>,</w:t>
      </w:r>
      <w:r w:rsidRPr="00902744">
        <w:t xml:space="preserve"> Marisol Méndez Cruz, Jerónimo del Río y Fabienne Cabaret</w:t>
      </w:r>
      <w:r w:rsidR="00025CFD">
        <w:t>,</w:t>
      </w:r>
      <w:r w:rsidRPr="00902744">
        <w:t xml:space="preserve"> SERAPAZ</w:t>
      </w:r>
      <w:r w:rsidR="00025CFD">
        <w:t>,</w:t>
      </w:r>
      <w:r w:rsidRPr="00902744">
        <w:t xml:space="preserve"> Idheas Litigio Estratégico en Derechos Humanos y Organización Ku’kay</w:t>
      </w:r>
      <w:r w:rsidR="00025CFD">
        <w:t>;</w:t>
      </w:r>
      <w:r w:rsidRPr="00902744">
        <w:t xml:space="preserve"> Seguimiento sobre el cumplimiento de las recomendaciones del Informe “Situación de Derechos Humanos en México”, octubre de 2024.</w:t>
      </w:r>
    </w:p>
  </w:footnote>
  <w:footnote w:id="164">
    <w:p w14:paraId="136BEC24" w14:textId="7CAAB2BA" w:rsidR="007B7AAF" w:rsidRPr="00882500" w:rsidRDefault="007B7AAF" w:rsidP="00CD2F81">
      <w:pPr>
        <w:pStyle w:val="IANOTAALPIE"/>
        <w:rPr>
          <w:lang w:val="es-US"/>
        </w:rPr>
      </w:pPr>
      <w:r w:rsidRPr="00C26987">
        <w:rPr>
          <w:rStyle w:val="FootnoteReference"/>
        </w:rPr>
        <w:footnoteRef/>
      </w:r>
      <w:r w:rsidRPr="00C26987">
        <w:rPr>
          <w:lang w:val="pt-BR"/>
        </w:rPr>
        <w:t xml:space="preserve"> CIDH, </w:t>
      </w:r>
      <w:hyperlink r:id="rId125">
        <w:r w:rsidRPr="002B01A1">
          <w:rPr>
            <w:rStyle w:val="Hyperlink"/>
            <w:rFonts w:eastAsiaTheme="minorHAnsi" w:cstheme="minorBidi"/>
            <w:color w:val="0563C1" w:themeColor="hyperlink"/>
            <w:szCs w:val="20"/>
            <w:lang w:val="pt-BR" w:eastAsia="en-US"/>
          </w:rPr>
          <w:t>Informe Anual, Capítulo V, México, 2023</w:t>
        </w:r>
      </w:hyperlink>
      <w:r w:rsidRPr="002B01A1">
        <w:rPr>
          <w:rStyle w:val="Hyperlink"/>
          <w:rFonts w:eastAsiaTheme="minorHAnsi" w:cstheme="minorBidi"/>
          <w:color w:val="0563C1" w:themeColor="hyperlink"/>
          <w:szCs w:val="20"/>
          <w:lang w:val="pt-BR" w:eastAsia="en-US"/>
        </w:rPr>
        <w:t>,</w:t>
      </w:r>
      <w:r w:rsidRPr="00C26987">
        <w:rPr>
          <w:lang w:val="pt-BR"/>
        </w:rPr>
        <w:t xml:space="preserve"> párr</w:t>
      </w:r>
      <w:r w:rsidR="00025CFD">
        <w:rPr>
          <w:lang w:val="pt-BR"/>
        </w:rPr>
        <w:t>s</w:t>
      </w:r>
      <w:r w:rsidRPr="00C26987">
        <w:rPr>
          <w:lang w:val="pt-BR"/>
        </w:rPr>
        <w:t xml:space="preserve">. </w:t>
      </w:r>
      <w:r w:rsidRPr="00882500">
        <w:rPr>
          <w:lang w:val="es-US"/>
        </w:rPr>
        <w:t>209-211.</w:t>
      </w:r>
    </w:p>
  </w:footnote>
  <w:footnote w:id="165">
    <w:p w14:paraId="0E0D4B7A" w14:textId="3A15615D" w:rsidR="000A7348" w:rsidRPr="000A7348" w:rsidRDefault="000A7348" w:rsidP="00CD2F81">
      <w:pPr>
        <w:pStyle w:val="IANOTAALPIE"/>
      </w:pPr>
      <w:r>
        <w:rPr>
          <w:rStyle w:val="FootnoteReference"/>
        </w:rPr>
        <w:footnoteRef/>
      </w:r>
      <w:r w:rsidRPr="000A7348">
        <w:t xml:space="preserve"> </w:t>
      </w:r>
      <w:r w:rsidR="00017324">
        <w:rPr>
          <w:lang w:val="es-ES"/>
        </w:rPr>
        <w:t xml:space="preserve">SIMORE Interamericano, </w:t>
      </w:r>
      <w:hyperlink r:id="rId126" w:history="1">
        <w:r w:rsidR="00017324" w:rsidRPr="00CC5B9B">
          <w:rPr>
            <w:rStyle w:val="Hyperlink"/>
            <w:rFonts w:eastAsiaTheme="minorHAnsi" w:cstheme="minorBidi"/>
            <w:color w:val="0563C1" w:themeColor="hyperlink"/>
            <w:szCs w:val="20"/>
            <w:lang w:val="es-AR" w:eastAsia="en-US"/>
          </w:rPr>
          <w:t>Informe de avance del Estado mexicano sobre el cumplimiento y seguimiento de las recomendaciones de la CIDH, Recomendación 38</w:t>
        </w:r>
      </w:hyperlink>
      <w:r w:rsidR="00017324">
        <w:rPr>
          <w:lang w:val="es-ES"/>
        </w:rPr>
        <w:t xml:space="preserve">, </w:t>
      </w:r>
      <w:r w:rsidR="00017324" w:rsidRPr="00C26987">
        <w:rPr>
          <w:lang w:val="es-ES"/>
        </w:rPr>
        <w:t>Capítulo V, 30</w:t>
      </w:r>
      <w:r w:rsidR="00017324">
        <w:rPr>
          <w:lang w:val="es-ES"/>
        </w:rPr>
        <w:t xml:space="preserve"> de</w:t>
      </w:r>
      <w:r w:rsidR="00017324" w:rsidRPr="00C26987">
        <w:rPr>
          <w:lang w:val="es-ES"/>
        </w:rPr>
        <w:t xml:space="preserve"> septiembre y 1 de octubre de </w:t>
      </w:r>
      <w:r w:rsidR="00017324">
        <w:rPr>
          <w:lang w:val="es-ES"/>
        </w:rPr>
        <w:t>2024.</w:t>
      </w:r>
      <w:r w:rsidRPr="00C26987">
        <w:t xml:space="preserve"> </w:t>
      </w:r>
    </w:p>
  </w:footnote>
  <w:footnote w:id="166">
    <w:p w14:paraId="559F692D" w14:textId="07C64D68" w:rsidR="0012383C" w:rsidRPr="00616692" w:rsidRDefault="0012383C" w:rsidP="00CD2F81">
      <w:pPr>
        <w:pStyle w:val="IANOTAALPIE"/>
      </w:pPr>
      <w:r>
        <w:rPr>
          <w:rStyle w:val="FootnoteReference"/>
        </w:rPr>
        <w:footnoteRef/>
      </w:r>
      <w:r w:rsidRPr="0012383C">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w:t>
      </w:r>
      <w:r w:rsidRPr="00616692">
        <w:rPr>
          <w:lang w:val="es-AR"/>
        </w:rPr>
        <w:t>recomendaciones formuladas por la Comisión Interamericana de Derechos Humanos en el informe “Situación de los derechos humanos en México”, 16 de febrero de 2025.</w:t>
      </w:r>
    </w:p>
  </w:footnote>
  <w:footnote w:id="167">
    <w:p w14:paraId="7F2DCD95" w14:textId="77777777" w:rsidR="00C01DF7" w:rsidRPr="00AB6367" w:rsidRDefault="00C01DF7" w:rsidP="00CD2F81">
      <w:pPr>
        <w:pStyle w:val="IANOTAALPIE"/>
      </w:pPr>
      <w:r w:rsidRPr="00616692">
        <w:rPr>
          <w:rStyle w:val="FootnoteReference"/>
        </w:rPr>
        <w:footnoteRef/>
      </w:r>
      <w:r w:rsidRPr="00616692">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168">
    <w:p w14:paraId="2E4ECEB6" w14:textId="465E862D" w:rsidR="007B7AAF" w:rsidRPr="00882500" w:rsidRDefault="007B7AAF" w:rsidP="00CD2F81">
      <w:pPr>
        <w:pStyle w:val="IANOTAALPIE"/>
        <w:rPr>
          <w:lang w:val="es-US"/>
        </w:rPr>
      </w:pPr>
      <w:r w:rsidRPr="00616692">
        <w:rPr>
          <w:rStyle w:val="FootnoteReference"/>
        </w:rPr>
        <w:footnoteRef/>
      </w:r>
      <w:r w:rsidRPr="00852144">
        <w:rPr>
          <w:lang w:val="pt-BR"/>
        </w:rPr>
        <w:t xml:space="preserve"> CIDH</w:t>
      </w:r>
      <w:r w:rsidRPr="002B01A1">
        <w:rPr>
          <w:rStyle w:val="Hyperlink"/>
          <w:rFonts w:eastAsiaTheme="minorHAnsi" w:cstheme="minorBidi"/>
          <w:color w:val="0563C1" w:themeColor="hyperlink"/>
          <w:szCs w:val="20"/>
          <w:lang w:val="pt-BR" w:eastAsia="en-US"/>
        </w:rPr>
        <w:t xml:space="preserve">, </w:t>
      </w:r>
      <w:hyperlink r:id="rId127">
        <w:r w:rsidRPr="002B01A1">
          <w:rPr>
            <w:rStyle w:val="Hyperlink"/>
            <w:rFonts w:eastAsiaTheme="minorHAnsi" w:cstheme="minorBidi"/>
            <w:color w:val="0563C1" w:themeColor="hyperlink"/>
            <w:szCs w:val="20"/>
            <w:lang w:val="pt-BR" w:eastAsia="en-US"/>
          </w:rPr>
          <w:t>Informe Anual, Capítulo V, México</w:t>
        </w:r>
      </w:hyperlink>
      <w:r w:rsidRPr="00852144">
        <w:rPr>
          <w:lang w:val="pt-BR"/>
        </w:rPr>
        <w:t>, 2023, párr</w:t>
      </w:r>
      <w:r w:rsidR="00996C49" w:rsidRPr="00852144">
        <w:rPr>
          <w:lang w:val="pt-BR"/>
        </w:rPr>
        <w:t>s</w:t>
      </w:r>
      <w:r w:rsidRPr="00852144">
        <w:rPr>
          <w:lang w:val="pt-BR"/>
        </w:rPr>
        <w:t xml:space="preserve">. </w:t>
      </w:r>
      <w:r w:rsidRPr="00882500">
        <w:rPr>
          <w:lang w:val="es-US"/>
        </w:rPr>
        <w:t>213-215.</w:t>
      </w:r>
    </w:p>
  </w:footnote>
  <w:footnote w:id="169">
    <w:p w14:paraId="0DD3D705" w14:textId="5CF95F1C" w:rsidR="000A7348" w:rsidRDefault="000A7348" w:rsidP="00CD2F81">
      <w:pPr>
        <w:pStyle w:val="IANOTAALPIE"/>
        <w:rPr>
          <w:lang w:val="es-ES"/>
        </w:rPr>
      </w:pPr>
      <w:r w:rsidRPr="00616692">
        <w:rPr>
          <w:rStyle w:val="FootnoteReference"/>
        </w:rPr>
        <w:footnoteRef/>
      </w:r>
      <w:r w:rsidRPr="00616692">
        <w:rPr>
          <w:lang w:val="es-ES"/>
        </w:rPr>
        <w:t xml:space="preserve"> </w:t>
      </w:r>
      <w:r w:rsidR="00145751">
        <w:rPr>
          <w:lang w:val="es-ES"/>
        </w:rPr>
        <w:t xml:space="preserve">SIMORE Interamericano, </w:t>
      </w:r>
      <w:hyperlink r:id="rId128" w:history="1">
        <w:r w:rsidR="00145751" w:rsidRPr="00CC5B9B">
          <w:rPr>
            <w:rStyle w:val="Hyperlink"/>
            <w:rFonts w:eastAsiaTheme="minorHAnsi" w:cstheme="minorBidi"/>
            <w:color w:val="0563C1" w:themeColor="hyperlink"/>
            <w:szCs w:val="20"/>
            <w:lang w:val="es-AR" w:eastAsia="en-US"/>
          </w:rPr>
          <w:t>Informe de avance del Estado mexicano sobre el cumplimiento y seguimiento de las recomendaciones de la CIDH, Recomendación 39</w:t>
        </w:r>
      </w:hyperlink>
      <w:r w:rsidR="00145751">
        <w:rPr>
          <w:lang w:val="es-ES"/>
        </w:rPr>
        <w:t xml:space="preserve">, </w:t>
      </w:r>
      <w:r w:rsidR="00145751" w:rsidRPr="00C26987">
        <w:rPr>
          <w:lang w:val="es-ES"/>
        </w:rPr>
        <w:t>Capítulo V, 30</w:t>
      </w:r>
      <w:r w:rsidR="00145751">
        <w:rPr>
          <w:lang w:val="es-ES"/>
        </w:rPr>
        <w:t xml:space="preserve"> de</w:t>
      </w:r>
      <w:r w:rsidR="00145751" w:rsidRPr="00C26987">
        <w:rPr>
          <w:lang w:val="es-ES"/>
        </w:rPr>
        <w:t xml:space="preserve"> septiembre y 1 de octubre de </w:t>
      </w:r>
      <w:r w:rsidR="00145751">
        <w:rPr>
          <w:lang w:val="es-ES"/>
        </w:rPr>
        <w:t>2024.</w:t>
      </w:r>
    </w:p>
    <w:p w14:paraId="7573868F" w14:textId="77777777" w:rsidR="00145751" w:rsidRPr="00616692" w:rsidRDefault="00145751" w:rsidP="00CD2F81">
      <w:pPr>
        <w:pStyle w:val="IANOTAALPIE"/>
        <w:rPr>
          <w:lang w:val="es-ES"/>
        </w:rPr>
      </w:pPr>
    </w:p>
  </w:footnote>
  <w:footnote w:id="170">
    <w:p w14:paraId="58A33735" w14:textId="77777777" w:rsidR="00C01DF7" w:rsidRPr="00AB6367" w:rsidRDefault="00C01DF7" w:rsidP="00CD2F81">
      <w:pPr>
        <w:pStyle w:val="IANOTAALPIE"/>
        <w:rPr>
          <w:lang w:val="es-ES"/>
        </w:rPr>
      </w:pPr>
      <w:r w:rsidRPr="00616692">
        <w:rPr>
          <w:rStyle w:val="FootnoteReference"/>
        </w:rPr>
        <w:footnoteRef/>
      </w:r>
      <w:r w:rsidRPr="00616692">
        <w:rPr>
          <w:lang w:val="es-ES"/>
        </w:rPr>
        <w:t xml:space="preserve"> </w:t>
      </w:r>
      <w:r w:rsidRPr="00616692">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171">
    <w:p w14:paraId="7E1A46E4" w14:textId="3456097D" w:rsidR="000A7348" w:rsidRPr="000A7348" w:rsidRDefault="000A7348" w:rsidP="00CD2F81">
      <w:pPr>
        <w:pStyle w:val="IANOTAALPIE"/>
      </w:pPr>
      <w:r>
        <w:rPr>
          <w:rStyle w:val="FootnoteReference"/>
        </w:rPr>
        <w:footnoteRef/>
      </w:r>
      <w:r w:rsidR="003A493A">
        <w:t xml:space="preserve"> </w:t>
      </w:r>
      <w:r w:rsidR="003A493A">
        <w:rPr>
          <w:lang w:val="es-ES"/>
        </w:rPr>
        <w:t xml:space="preserve">SIMORE Interamericano, </w:t>
      </w:r>
      <w:hyperlink r:id="rId129" w:history="1">
        <w:r w:rsidR="003A493A" w:rsidRPr="00CC5B9B">
          <w:rPr>
            <w:rStyle w:val="Hyperlink"/>
            <w:rFonts w:eastAsiaTheme="minorHAnsi" w:cstheme="minorBidi"/>
            <w:color w:val="0563C1" w:themeColor="hyperlink"/>
            <w:szCs w:val="20"/>
            <w:lang w:val="es-AR" w:eastAsia="en-US"/>
          </w:rPr>
          <w:t>Informe de avance del Estado mexicano sobre el cumplimiento y seguimiento de las recomendaciones de la CIDH, Recomendación 40</w:t>
        </w:r>
      </w:hyperlink>
      <w:r w:rsidR="003A493A">
        <w:rPr>
          <w:lang w:val="es-ES"/>
        </w:rPr>
        <w:t xml:space="preserve">, </w:t>
      </w:r>
      <w:r w:rsidR="003A493A" w:rsidRPr="00C26987">
        <w:rPr>
          <w:lang w:val="es-ES"/>
        </w:rPr>
        <w:t>Capítulo V, 30</w:t>
      </w:r>
      <w:r w:rsidR="003A493A">
        <w:rPr>
          <w:lang w:val="es-ES"/>
        </w:rPr>
        <w:t xml:space="preserve"> de</w:t>
      </w:r>
      <w:r w:rsidR="003A493A" w:rsidRPr="00C26987">
        <w:rPr>
          <w:lang w:val="es-ES"/>
        </w:rPr>
        <w:t xml:space="preserve"> septiembre y 1 de octubre de </w:t>
      </w:r>
      <w:r w:rsidR="003A493A">
        <w:rPr>
          <w:lang w:val="es-ES"/>
        </w:rPr>
        <w:t>2024.</w:t>
      </w:r>
      <w:r w:rsidRPr="000A7348">
        <w:t xml:space="preserve"> </w:t>
      </w:r>
    </w:p>
  </w:footnote>
  <w:footnote w:id="172">
    <w:p w14:paraId="0F5CDA9C" w14:textId="77777777" w:rsidR="0012383C" w:rsidRPr="0012383C" w:rsidRDefault="0012383C" w:rsidP="00CD2F81">
      <w:pPr>
        <w:pStyle w:val="IANOTAALPIE"/>
      </w:pPr>
      <w:r>
        <w:rPr>
          <w:rStyle w:val="FootnoteReference"/>
        </w:rPr>
        <w:footnoteRef/>
      </w:r>
      <w:r w:rsidRPr="0012383C">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173">
    <w:p w14:paraId="205CE759" w14:textId="4CA621E2" w:rsidR="007B7AAF" w:rsidRPr="00882500" w:rsidRDefault="007B7AAF" w:rsidP="00CD2F81">
      <w:pPr>
        <w:pStyle w:val="IANOTAALPIE"/>
        <w:rPr>
          <w:lang w:val="es-US"/>
        </w:rPr>
      </w:pPr>
      <w:r w:rsidRPr="00C26987">
        <w:rPr>
          <w:rStyle w:val="FootnoteReference"/>
        </w:rPr>
        <w:footnoteRef/>
      </w:r>
      <w:r w:rsidRPr="00852144">
        <w:rPr>
          <w:lang w:val="pt-BR"/>
        </w:rPr>
        <w:t xml:space="preserve"> CIDH, </w:t>
      </w:r>
      <w:hyperlink r:id="rId130">
        <w:r w:rsidRPr="002B01A1">
          <w:rPr>
            <w:rStyle w:val="Hyperlink"/>
            <w:rFonts w:eastAsiaTheme="minorHAnsi" w:cstheme="minorBidi"/>
            <w:color w:val="0563C1" w:themeColor="hyperlink"/>
            <w:szCs w:val="20"/>
            <w:lang w:val="pt-BR" w:eastAsia="en-US"/>
          </w:rPr>
          <w:t>Informe Anual, Capítulo V, México</w:t>
        </w:r>
      </w:hyperlink>
      <w:r w:rsidRPr="00852144">
        <w:rPr>
          <w:lang w:val="pt-BR"/>
        </w:rPr>
        <w:t>, 2023, párr</w:t>
      </w:r>
      <w:r w:rsidR="004A51B5" w:rsidRPr="00852144">
        <w:rPr>
          <w:lang w:val="pt-BR"/>
        </w:rPr>
        <w:t>s</w:t>
      </w:r>
      <w:r w:rsidRPr="00852144">
        <w:rPr>
          <w:lang w:val="pt-BR"/>
        </w:rPr>
        <w:t xml:space="preserve">. </w:t>
      </w:r>
      <w:r w:rsidRPr="00882500">
        <w:rPr>
          <w:lang w:val="es-US"/>
        </w:rPr>
        <w:t>224-226.</w:t>
      </w:r>
    </w:p>
  </w:footnote>
  <w:footnote w:id="174">
    <w:p w14:paraId="2A479E37" w14:textId="2DF4E82A" w:rsidR="00902744" w:rsidRPr="00902744" w:rsidRDefault="00902744" w:rsidP="00CD2F81">
      <w:pPr>
        <w:pStyle w:val="IANOTAALPIE"/>
      </w:pPr>
      <w:r>
        <w:rPr>
          <w:rStyle w:val="FootnoteReference"/>
        </w:rPr>
        <w:footnoteRef/>
      </w:r>
      <w:r w:rsidRPr="00902744">
        <w:t xml:space="preserve"> </w:t>
      </w:r>
      <w:r w:rsidR="003A493A">
        <w:rPr>
          <w:lang w:val="es-ES"/>
        </w:rPr>
        <w:t xml:space="preserve">SIMORE Interamericano, </w:t>
      </w:r>
      <w:hyperlink r:id="rId131" w:history="1">
        <w:r w:rsidR="003A493A" w:rsidRPr="00CC5B9B">
          <w:rPr>
            <w:rStyle w:val="Hyperlink"/>
            <w:rFonts w:eastAsiaTheme="minorHAnsi" w:cstheme="minorBidi"/>
            <w:color w:val="0563C1" w:themeColor="hyperlink"/>
            <w:szCs w:val="20"/>
            <w:lang w:val="es-AR" w:eastAsia="en-US"/>
          </w:rPr>
          <w:t>Informe de avance del Estado mexicano sobre el cumplimiento y seguimiento de las recomendaciones de la CIDH, Recomendación 41</w:t>
        </w:r>
      </w:hyperlink>
      <w:r w:rsidR="003A493A">
        <w:rPr>
          <w:lang w:val="es-ES"/>
        </w:rPr>
        <w:t xml:space="preserve">, </w:t>
      </w:r>
      <w:r w:rsidR="003A493A" w:rsidRPr="00C26987">
        <w:rPr>
          <w:lang w:val="es-ES"/>
        </w:rPr>
        <w:t>Capítulo V, 30</w:t>
      </w:r>
      <w:r w:rsidR="003A493A">
        <w:rPr>
          <w:lang w:val="es-ES"/>
        </w:rPr>
        <w:t xml:space="preserve"> de</w:t>
      </w:r>
      <w:r w:rsidR="003A493A" w:rsidRPr="00C26987">
        <w:rPr>
          <w:lang w:val="es-ES"/>
        </w:rPr>
        <w:t xml:space="preserve"> septiembre y 1 de octubre de </w:t>
      </w:r>
      <w:r w:rsidR="003A493A">
        <w:rPr>
          <w:lang w:val="es-ES"/>
        </w:rPr>
        <w:t>2024.</w:t>
      </w:r>
    </w:p>
  </w:footnote>
  <w:footnote w:id="175">
    <w:p w14:paraId="5B2AF60E" w14:textId="3C637199" w:rsidR="00CF56A9" w:rsidRPr="00CF56A9" w:rsidRDefault="00CF56A9" w:rsidP="00CD2F81">
      <w:pPr>
        <w:pStyle w:val="IANOTAALPIE"/>
      </w:pPr>
      <w:r>
        <w:rPr>
          <w:rStyle w:val="FootnoteReference"/>
        </w:rPr>
        <w:footnoteRef/>
      </w:r>
      <w:r w:rsidRPr="00CF56A9">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176">
    <w:p w14:paraId="272402E5" w14:textId="35E53BD4" w:rsidR="007B7AAF" w:rsidRPr="00882500" w:rsidRDefault="007B7AAF" w:rsidP="00CD2F81">
      <w:pPr>
        <w:pStyle w:val="IANOTAALPIE"/>
        <w:rPr>
          <w:lang w:val="es-US"/>
        </w:rPr>
      </w:pPr>
      <w:r w:rsidRPr="00C26987">
        <w:rPr>
          <w:rStyle w:val="FootnoteReference"/>
        </w:rPr>
        <w:footnoteRef/>
      </w:r>
      <w:r w:rsidRPr="00852144">
        <w:rPr>
          <w:lang w:val="pt-BR"/>
        </w:rPr>
        <w:t xml:space="preserve"> CIDH, </w:t>
      </w:r>
      <w:hyperlink r:id="rId132">
        <w:r w:rsidRPr="002B01A1">
          <w:rPr>
            <w:rStyle w:val="Hyperlink"/>
            <w:rFonts w:eastAsiaTheme="minorHAnsi" w:cstheme="minorBidi"/>
            <w:color w:val="0563C1" w:themeColor="hyperlink"/>
            <w:szCs w:val="20"/>
            <w:lang w:val="pt-BR" w:eastAsia="en-US"/>
          </w:rPr>
          <w:t>Informe Anual, Capítulo V, México</w:t>
        </w:r>
      </w:hyperlink>
      <w:r w:rsidRPr="00852144">
        <w:rPr>
          <w:lang w:val="pt-BR"/>
        </w:rPr>
        <w:t>, 2023, párr</w:t>
      </w:r>
      <w:r w:rsidR="004A51B5" w:rsidRPr="00852144">
        <w:rPr>
          <w:lang w:val="pt-BR"/>
        </w:rPr>
        <w:t>s</w:t>
      </w:r>
      <w:r w:rsidRPr="00852144">
        <w:rPr>
          <w:lang w:val="pt-BR"/>
        </w:rPr>
        <w:t xml:space="preserve">. </w:t>
      </w:r>
      <w:r w:rsidRPr="00882500">
        <w:rPr>
          <w:lang w:val="es-US"/>
        </w:rPr>
        <w:t>231-234.</w:t>
      </w:r>
    </w:p>
  </w:footnote>
  <w:footnote w:id="177">
    <w:p w14:paraId="1FFEA942" w14:textId="30714DDF" w:rsidR="00902744" w:rsidRPr="00902744" w:rsidRDefault="00902744" w:rsidP="00CD2F81">
      <w:pPr>
        <w:pStyle w:val="IANOTAALPIE"/>
        <w:rPr>
          <w:lang w:val="es-ES"/>
        </w:rPr>
      </w:pPr>
      <w:r>
        <w:rPr>
          <w:rStyle w:val="FootnoteReference"/>
        </w:rPr>
        <w:footnoteRef/>
      </w:r>
      <w:r w:rsidRPr="00902744">
        <w:rPr>
          <w:lang w:val="es-ES"/>
        </w:rPr>
        <w:t xml:space="preserve"> </w:t>
      </w:r>
      <w:r w:rsidR="003A493A">
        <w:rPr>
          <w:lang w:val="es-ES"/>
        </w:rPr>
        <w:t xml:space="preserve">SIMORE Interamericano, </w:t>
      </w:r>
      <w:hyperlink r:id="rId133" w:history="1">
        <w:r w:rsidR="003A493A" w:rsidRPr="00CC5B9B">
          <w:rPr>
            <w:rStyle w:val="Hyperlink"/>
            <w:rFonts w:eastAsiaTheme="minorHAnsi" w:cstheme="minorBidi"/>
            <w:color w:val="0563C1" w:themeColor="hyperlink"/>
            <w:szCs w:val="20"/>
            <w:lang w:val="es-AR" w:eastAsia="en-US"/>
          </w:rPr>
          <w:t>Informe de avance del Estado mexicano sobre el cumplimiento y seguimiento de las recomendaciones de la CIDH, Recomendación 43</w:t>
        </w:r>
      </w:hyperlink>
      <w:r w:rsidR="003A493A" w:rsidRPr="00CC5B9B">
        <w:rPr>
          <w:rStyle w:val="Hyperlink"/>
          <w:rFonts w:eastAsiaTheme="minorHAnsi" w:cstheme="minorBidi"/>
          <w:color w:val="0563C1" w:themeColor="hyperlink"/>
          <w:szCs w:val="20"/>
          <w:lang w:val="es-AR" w:eastAsia="en-US"/>
        </w:rPr>
        <w:t>,</w:t>
      </w:r>
      <w:r w:rsidR="003A493A">
        <w:rPr>
          <w:lang w:val="es-ES"/>
        </w:rPr>
        <w:t xml:space="preserve"> </w:t>
      </w:r>
      <w:r w:rsidR="003A493A" w:rsidRPr="00C26987">
        <w:rPr>
          <w:lang w:val="es-ES"/>
        </w:rPr>
        <w:t>Capítulo V, 30</w:t>
      </w:r>
      <w:r w:rsidR="003A493A">
        <w:rPr>
          <w:lang w:val="es-ES"/>
        </w:rPr>
        <w:t xml:space="preserve"> de</w:t>
      </w:r>
      <w:r w:rsidR="003A493A" w:rsidRPr="00C26987">
        <w:rPr>
          <w:lang w:val="es-ES"/>
        </w:rPr>
        <w:t xml:space="preserve"> septiembre y 1 de octubre de </w:t>
      </w:r>
      <w:r w:rsidR="003A493A">
        <w:rPr>
          <w:lang w:val="es-ES"/>
        </w:rPr>
        <w:t>2024.</w:t>
      </w:r>
      <w:r w:rsidR="003A493A" w:rsidRPr="00902744">
        <w:rPr>
          <w:lang w:val="es-ES"/>
        </w:rPr>
        <w:t xml:space="preserve"> </w:t>
      </w:r>
    </w:p>
  </w:footnote>
  <w:footnote w:id="178">
    <w:p w14:paraId="215218C3" w14:textId="70012E4E" w:rsidR="00CF56A9" w:rsidRPr="00CF56A9" w:rsidRDefault="00CF56A9" w:rsidP="00CD2F81">
      <w:pPr>
        <w:pStyle w:val="IANOTAALPIE"/>
        <w:rPr>
          <w:lang w:val="es-ES"/>
        </w:rPr>
      </w:pPr>
      <w:r>
        <w:rPr>
          <w:rStyle w:val="FootnoteReference"/>
        </w:rPr>
        <w:footnoteRef/>
      </w:r>
      <w:r w:rsidRPr="00CF56A9">
        <w:rPr>
          <w:lang w:val="es-ES"/>
        </w:rPr>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179">
    <w:p w14:paraId="7EC8DC9B" w14:textId="1370EAEA" w:rsidR="00902744" w:rsidRPr="00902744" w:rsidRDefault="00902744" w:rsidP="00CD2F81">
      <w:pPr>
        <w:pStyle w:val="IANOTAALPIE"/>
        <w:rPr>
          <w:lang w:val="es-ES"/>
        </w:rPr>
      </w:pPr>
      <w:r>
        <w:rPr>
          <w:rStyle w:val="FootnoteReference"/>
        </w:rPr>
        <w:footnoteRef/>
      </w:r>
      <w:r w:rsidRPr="00902744">
        <w:rPr>
          <w:lang w:val="es-ES"/>
        </w:rPr>
        <w:t xml:space="preserve"> </w:t>
      </w:r>
      <w:r w:rsidR="003A493A">
        <w:rPr>
          <w:lang w:val="es-ES"/>
        </w:rPr>
        <w:t xml:space="preserve">SIMORE Interamericano, </w:t>
      </w:r>
      <w:hyperlink r:id="rId134" w:history="1">
        <w:r w:rsidR="003A493A" w:rsidRPr="00CC5B9B">
          <w:rPr>
            <w:rStyle w:val="Hyperlink"/>
            <w:rFonts w:eastAsiaTheme="minorHAnsi" w:cstheme="minorBidi"/>
            <w:color w:val="0563C1" w:themeColor="hyperlink"/>
            <w:szCs w:val="20"/>
            <w:lang w:val="es-AR" w:eastAsia="en-US"/>
          </w:rPr>
          <w:t>Informe de avance del Estado mexicano sobre el cumplimiento y seguimiento de las recomendaciones de la CIDH, Recomendación 43</w:t>
        </w:r>
      </w:hyperlink>
      <w:r w:rsidR="003A493A">
        <w:rPr>
          <w:lang w:val="es-ES"/>
        </w:rPr>
        <w:t xml:space="preserve">, </w:t>
      </w:r>
      <w:r w:rsidR="003A493A" w:rsidRPr="00C26987">
        <w:rPr>
          <w:lang w:val="es-ES"/>
        </w:rPr>
        <w:t>Capítulo V, 30</w:t>
      </w:r>
      <w:r w:rsidR="003A493A">
        <w:rPr>
          <w:lang w:val="es-ES"/>
        </w:rPr>
        <w:t xml:space="preserve"> de</w:t>
      </w:r>
      <w:r w:rsidR="003A493A" w:rsidRPr="00C26987">
        <w:rPr>
          <w:lang w:val="es-ES"/>
        </w:rPr>
        <w:t xml:space="preserve"> septiembre y 1 de octubre de </w:t>
      </w:r>
      <w:r w:rsidR="003A493A">
        <w:rPr>
          <w:lang w:val="es-ES"/>
        </w:rPr>
        <w:t>2024.</w:t>
      </w:r>
    </w:p>
  </w:footnote>
  <w:footnote w:id="180">
    <w:p w14:paraId="2B8FE28F" w14:textId="570ADCF1" w:rsidR="007B7AAF" w:rsidRPr="00882500" w:rsidRDefault="007B7AAF" w:rsidP="00F02A1B">
      <w:pPr>
        <w:pStyle w:val="NoSpacing"/>
        <w:ind w:firstLine="720"/>
        <w:jc w:val="both"/>
        <w:rPr>
          <w:rFonts w:ascii="Cambria" w:hAnsi="Cambria"/>
          <w:sz w:val="16"/>
          <w:szCs w:val="16"/>
          <w:lang w:val="es-US"/>
        </w:rPr>
      </w:pPr>
      <w:r w:rsidRPr="00C26987">
        <w:rPr>
          <w:rStyle w:val="FootnoteReference"/>
          <w:rFonts w:ascii="Cambria" w:hAnsi="Cambria"/>
          <w:sz w:val="16"/>
          <w:szCs w:val="16"/>
        </w:rPr>
        <w:footnoteRef/>
      </w:r>
      <w:r w:rsidRPr="00C26987">
        <w:rPr>
          <w:rFonts w:ascii="Cambria" w:hAnsi="Cambria"/>
          <w:sz w:val="16"/>
          <w:szCs w:val="16"/>
          <w:lang w:val="pt-BR"/>
        </w:rPr>
        <w:t xml:space="preserve"> </w:t>
      </w:r>
      <w:r w:rsidRPr="00852144">
        <w:rPr>
          <w:rStyle w:val="IANOTAALPIEChar"/>
          <w:lang w:val="pt-BR"/>
        </w:rPr>
        <w:t xml:space="preserve">CIDH, </w:t>
      </w:r>
      <w:hyperlink r:id="rId135">
        <w:r w:rsidRPr="00852144">
          <w:rPr>
            <w:rStyle w:val="IANOTAALPIEChar"/>
            <w:lang w:val="pt-BR"/>
          </w:rPr>
          <w:t>Informe Anual, Capítulo V, México</w:t>
        </w:r>
      </w:hyperlink>
      <w:r w:rsidRPr="00852144">
        <w:rPr>
          <w:rStyle w:val="IANOTAALPIEChar"/>
          <w:lang w:val="pt-BR"/>
        </w:rPr>
        <w:t>, 2023, párr</w:t>
      </w:r>
      <w:r w:rsidR="004A51B5" w:rsidRPr="00852144">
        <w:rPr>
          <w:rStyle w:val="IANOTAALPIEChar"/>
          <w:lang w:val="pt-BR"/>
        </w:rPr>
        <w:t>s</w:t>
      </w:r>
      <w:r w:rsidRPr="00852144">
        <w:rPr>
          <w:rStyle w:val="IANOTAALPIEChar"/>
          <w:lang w:val="pt-BR"/>
        </w:rPr>
        <w:t xml:space="preserve">. </w:t>
      </w:r>
      <w:r w:rsidRPr="00CD2F81">
        <w:rPr>
          <w:rStyle w:val="IANOTAALPIEChar"/>
        </w:rPr>
        <w:t>236-240.</w:t>
      </w:r>
    </w:p>
  </w:footnote>
  <w:footnote w:id="181">
    <w:p w14:paraId="30B2A6A9" w14:textId="5F19E948" w:rsidR="00902744" w:rsidRPr="00902744" w:rsidRDefault="00902744" w:rsidP="000658DB">
      <w:pPr>
        <w:pStyle w:val="IANOTAALPIE"/>
      </w:pPr>
      <w:r>
        <w:rPr>
          <w:rStyle w:val="FootnoteReference"/>
        </w:rPr>
        <w:footnoteRef/>
      </w:r>
      <w:r w:rsidRPr="00902744">
        <w:t xml:space="preserve"> </w:t>
      </w:r>
      <w:r w:rsidR="003A493A">
        <w:rPr>
          <w:lang w:val="es-ES"/>
        </w:rPr>
        <w:t xml:space="preserve">SIMORE Interamericano, </w:t>
      </w:r>
      <w:hyperlink r:id="rId136" w:history="1">
        <w:r w:rsidR="003A493A" w:rsidRPr="00CC5B9B">
          <w:rPr>
            <w:rStyle w:val="Hyperlink"/>
            <w:rFonts w:eastAsiaTheme="minorHAnsi" w:cstheme="minorBidi"/>
            <w:color w:val="0563C1" w:themeColor="hyperlink"/>
            <w:szCs w:val="20"/>
            <w:lang w:val="es-AR" w:eastAsia="en-US"/>
          </w:rPr>
          <w:t>Informe de avance del Estado mexicano sobre el cumplimiento y seguimiento de las recomendaciones de la CIDH, Recomendación 44</w:t>
        </w:r>
      </w:hyperlink>
      <w:r w:rsidR="003A493A">
        <w:rPr>
          <w:lang w:val="es-ES"/>
        </w:rPr>
        <w:t xml:space="preserve">, </w:t>
      </w:r>
      <w:r w:rsidR="003A493A" w:rsidRPr="00C26987">
        <w:rPr>
          <w:lang w:val="es-ES"/>
        </w:rPr>
        <w:t>Capítulo V, 30</w:t>
      </w:r>
      <w:r w:rsidR="003A493A">
        <w:rPr>
          <w:lang w:val="es-ES"/>
        </w:rPr>
        <w:t xml:space="preserve"> de</w:t>
      </w:r>
      <w:r w:rsidR="003A493A" w:rsidRPr="00C26987">
        <w:rPr>
          <w:lang w:val="es-ES"/>
        </w:rPr>
        <w:t xml:space="preserve"> septiembre y 1 de octubre de </w:t>
      </w:r>
      <w:r w:rsidR="003A493A">
        <w:rPr>
          <w:lang w:val="es-ES"/>
        </w:rPr>
        <w:t>2024.</w:t>
      </w:r>
      <w:r w:rsidR="003A493A" w:rsidRPr="00902744">
        <w:rPr>
          <w:lang w:val="es-ES"/>
        </w:rPr>
        <w:t xml:space="preserve"> </w:t>
      </w:r>
    </w:p>
  </w:footnote>
  <w:footnote w:id="182">
    <w:p w14:paraId="3DCCAE30" w14:textId="77777777" w:rsidR="00CF56A9" w:rsidRPr="00CF56A9" w:rsidRDefault="00CF56A9" w:rsidP="000658DB">
      <w:pPr>
        <w:pStyle w:val="IANOTAALPIE"/>
      </w:pPr>
      <w:r>
        <w:rPr>
          <w:rStyle w:val="FootnoteReference"/>
        </w:rPr>
        <w:footnoteRef/>
      </w:r>
      <w:r w:rsidRPr="00CF56A9">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183">
    <w:p w14:paraId="49F359D8" w14:textId="28E29BF1" w:rsidR="007B7AAF" w:rsidRPr="00882500" w:rsidRDefault="007B7AAF" w:rsidP="000658DB">
      <w:pPr>
        <w:pStyle w:val="IANOTAALPIE"/>
        <w:rPr>
          <w:lang w:val="es-US"/>
        </w:rPr>
      </w:pPr>
      <w:r w:rsidRPr="00C26987">
        <w:rPr>
          <w:rStyle w:val="FootnoteReference"/>
        </w:rPr>
        <w:footnoteRef/>
      </w:r>
      <w:r w:rsidRPr="00C26987">
        <w:rPr>
          <w:lang w:val="pt-BR"/>
        </w:rPr>
        <w:t xml:space="preserve"> CIDH</w:t>
      </w:r>
      <w:r w:rsidRPr="002B01A1">
        <w:rPr>
          <w:rStyle w:val="Hyperlink"/>
          <w:rFonts w:eastAsiaTheme="minorHAnsi" w:cstheme="minorBidi"/>
          <w:color w:val="0563C1" w:themeColor="hyperlink"/>
          <w:szCs w:val="20"/>
          <w:lang w:val="pt-BR" w:eastAsia="en-US"/>
        </w:rPr>
        <w:t xml:space="preserve">, </w:t>
      </w:r>
      <w:hyperlink r:id="rId137">
        <w:r w:rsidRPr="002B01A1">
          <w:rPr>
            <w:rStyle w:val="Hyperlink"/>
            <w:rFonts w:eastAsiaTheme="minorHAnsi" w:cstheme="minorBidi"/>
            <w:color w:val="0563C1" w:themeColor="hyperlink"/>
            <w:szCs w:val="20"/>
            <w:lang w:val="pt-BR" w:eastAsia="en-US"/>
          </w:rPr>
          <w:t>Informe Anual, Capítulo V, México</w:t>
        </w:r>
      </w:hyperlink>
      <w:r w:rsidRPr="00C26987">
        <w:rPr>
          <w:lang w:val="pt-BR"/>
        </w:rPr>
        <w:t>, 2023, párr</w:t>
      </w:r>
      <w:r w:rsidR="004A51B5">
        <w:rPr>
          <w:lang w:val="pt-BR"/>
        </w:rPr>
        <w:t>s</w:t>
      </w:r>
      <w:r w:rsidRPr="00C26987">
        <w:rPr>
          <w:lang w:val="pt-BR"/>
        </w:rPr>
        <w:t xml:space="preserve">. </w:t>
      </w:r>
      <w:r w:rsidRPr="00882500">
        <w:rPr>
          <w:lang w:val="es-US"/>
        </w:rPr>
        <w:t>242-245.</w:t>
      </w:r>
    </w:p>
  </w:footnote>
  <w:footnote w:id="184">
    <w:p w14:paraId="30209966" w14:textId="24B12109" w:rsidR="00902744" w:rsidRPr="00902744" w:rsidRDefault="00902744" w:rsidP="000658DB">
      <w:pPr>
        <w:pStyle w:val="IANOTAALPIE"/>
      </w:pPr>
      <w:r>
        <w:rPr>
          <w:rStyle w:val="FootnoteReference"/>
        </w:rPr>
        <w:footnoteRef/>
      </w:r>
      <w:r w:rsidRPr="00902744">
        <w:t xml:space="preserve"> </w:t>
      </w:r>
      <w:r w:rsidR="003A493A">
        <w:rPr>
          <w:lang w:val="es-ES"/>
        </w:rPr>
        <w:t xml:space="preserve">SIMORE Interamericano, </w:t>
      </w:r>
      <w:hyperlink r:id="rId138" w:history="1">
        <w:r w:rsidR="003A493A" w:rsidRPr="00CC5B9B">
          <w:rPr>
            <w:rStyle w:val="Hyperlink"/>
            <w:rFonts w:eastAsiaTheme="minorHAnsi" w:cstheme="minorBidi"/>
            <w:color w:val="0563C1" w:themeColor="hyperlink"/>
            <w:szCs w:val="20"/>
            <w:lang w:val="es-AR" w:eastAsia="en-US"/>
          </w:rPr>
          <w:t>Informe de avance del Estado mexicano sobre el cumplimiento y seguimiento de las recomendaciones de la CIDH, Recomendación 45</w:t>
        </w:r>
      </w:hyperlink>
      <w:r w:rsidR="003A493A">
        <w:rPr>
          <w:lang w:val="es-ES"/>
        </w:rPr>
        <w:t xml:space="preserve">, </w:t>
      </w:r>
      <w:r w:rsidR="003A493A" w:rsidRPr="00C26987">
        <w:rPr>
          <w:lang w:val="es-ES"/>
        </w:rPr>
        <w:t>Capítulo V, 30</w:t>
      </w:r>
      <w:r w:rsidR="003A493A">
        <w:rPr>
          <w:lang w:val="es-ES"/>
        </w:rPr>
        <w:t xml:space="preserve"> de</w:t>
      </w:r>
      <w:r w:rsidR="003A493A" w:rsidRPr="00C26987">
        <w:rPr>
          <w:lang w:val="es-ES"/>
        </w:rPr>
        <w:t xml:space="preserve"> septiembre y 1 de octubre de </w:t>
      </w:r>
      <w:r w:rsidR="003A493A">
        <w:rPr>
          <w:lang w:val="es-ES"/>
        </w:rPr>
        <w:t>2024.</w:t>
      </w:r>
      <w:r w:rsidR="003A493A" w:rsidRPr="00902744">
        <w:rPr>
          <w:lang w:val="es-ES"/>
        </w:rPr>
        <w:t xml:space="preserve"> </w:t>
      </w:r>
    </w:p>
  </w:footnote>
  <w:footnote w:id="185">
    <w:p w14:paraId="17CAA1C4" w14:textId="3ABA31E7" w:rsidR="007B7AAF" w:rsidRPr="00882500" w:rsidRDefault="007B7AAF" w:rsidP="000658DB">
      <w:pPr>
        <w:pStyle w:val="IANOTAALPIE"/>
        <w:rPr>
          <w:lang w:val="es-US"/>
        </w:rPr>
      </w:pPr>
      <w:r w:rsidRPr="00C26987">
        <w:rPr>
          <w:rStyle w:val="FootnoteReference"/>
        </w:rPr>
        <w:footnoteRef/>
      </w:r>
      <w:r w:rsidRPr="00C26987">
        <w:rPr>
          <w:lang w:val="pt-BR"/>
        </w:rPr>
        <w:t xml:space="preserve"> CIDH</w:t>
      </w:r>
      <w:r w:rsidRPr="002B01A1">
        <w:rPr>
          <w:rStyle w:val="Hyperlink"/>
          <w:rFonts w:eastAsiaTheme="minorHAnsi" w:cstheme="minorBidi"/>
          <w:color w:val="0563C1" w:themeColor="hyperlink"/>
          <w:szCs w:val="20"/>
          <w:lang w:val="pt-BR" w:eastAsia="en-US"/>
        </w:rPr>
        <w:t xml:space="preserve">, </w:t>
      </w:r>
      <w:hyperlink r:id="rId139">
        <w:r w:rsidRPr="002B01A1">
          <w:rPr>
            <w:rStyle w:val="Hyperlink"/>
            <w:rFonts w:eastAsiaTheme="minorHAnsi" w:cstheme="minorBidi"/>
            <w:color w:val="0563C1" w:themeColor="hyperlink"/>
            <w:szCs w:val="20"/>
            <w:lang w:val="pt-BR" w:eastAsia="en-US"/>
          </w:rPr>
          <w:t>Informe Anual, Capítulo V, México</w:t>
        </w:r>
      </w:hyperlink>
      <w:r w:rsidRPr="00C26987">
        <w:rPr>
          <w:lang w:val="pt-BR"/>
        </w:rPr>
        <w:t>, 2023, párr</w:t>
      </w:r>
      <w:r w:rsidR="004A51B5">
        <w:rPr>
          <w:lang w:val="pt-BR"/>
        </w:rPr>
        <w:t>s</w:t>
      </w:r>
      <w:r w:rsidRPr="00C26987">
        <w:rPr>
          <w:lang w:val="pt-BR"/>
        </w:rPr>
        <w:t xml:space="preserve">. </w:t>
      </w:r>
      <w:r w:rsidRPr="00882500">
        <w:rPr>
          <w:lang w:val="es-US"/>
        </w:rPr>
        <w:t>247-249.</w:t>
      </w:r>
    </w:p>
  </w:footnote>
  <w:footnote w:id="186">
    <w:p w14:paraId="2A3AC92C" w14:textId="7572B8AF" w:rsidR="00902744" w:rsidRPr="00902744" w:rsidRDefault="00902744" w:rsidP="000658DB">
      <w:pPr>
        <w:pStyle w:val="IANOTAALPIE"/>
      </w:pPr>
      <w:r>
        <w:rPr>
          <w:rStyle w:val="FootnoteReference"/>
        </w:rPr>
        <w:footnoteRef/>
      </w:r>
      <w:r w:rsidRPr="00902744">
        <w:t xml:space="preserve"> </w:t>
      </w:r>
      <w:r w:rsidR="003A493A">
        <w:rPr>
          <w:lang w:val="es-ES"/>
        </w:rPr>
        <w:t xml:space="preserve">SIMORE Interamericano, </w:t>
      </w:r>
      <w:hyperlink r:id="rId140" w:history="1">
        <w:r w:rsidR="003A493A" w:rsidRPr="00CC5B9B">
          <w:rPr>
            <w:rStyle w:val="Hyperlink"/>
            <w:rFonts w:eastAsiaTheme="minorHAnsi" w:cstheme="minorBidi"/>
            <w:color w:val="0563C1" w:themeColor="hyperlink"/>
            <w:szCs w:val="20"/>
            <w:lang w:val="es-AR" w:eastAsia="en-US"/>
          </w:rPr>
          <w:t>Informe de avance del Estado mexicano sobre el cumplimiento y seguimiento de las recomendaciones de la CIDH, Recomendación 46</w:t>
        </w:r>
      </w:hyperlink>
      <w:r w:rsidR="003A493A">
        <w:rPr>
          <w:lang w:val="es-ES"/>
        </w:rPr>
        <w:t xml:space="preserve">, </w:t>
      </w:r>
      <w:r w:rsidR="003A493A" w:rsidRPr="00C26987">
        <w:rPr>
          <w:lang w:val="es-ES"/>
        </w:rPr>
        <w:t>Capítulo V, 30</w:t>
      </w:r>
      <w:r w:rsidR="003A493A">
        <w:rPr>
          <w:lang w:val="es-ES"/>
        </w:rPr>
        <w:t xml:space="preserve"> de</w:t>
      </w:r>
      <w:r w:rsidR="003A493A" w:rsidRPr="00C26987">
        <w:rPr>
          <w:lang w:val="es-ES"/>
        </w:rPr>
        <w:t xml:space="preserve"> septiembre y 1 de octubre de </w:t>
      </w:r>
      <w:r w:rsidR="003A493A">
        <w:rPr>
          <w:lang w:val="es-ES"/>
        </w:rPr>
        <w:t>2024.</w:t>
      </w:r>
      <w:r w:rsidR="003A493A" w:rsidRPr="00902744">
        <w:rPr>
          <w:lang w:val="es-ES"/>
        </w:rPr>
        <w:t xml:space="preserve"> </w:t>
      </w:r>
    </w:p>
  </w:footnote>
  <w:footnote w:id="187">
    <w:p w14:paraId="23BD77E5" w14:textId="77777777" w:rsidR="00CF56A9" w:rsidRPr="00CF56A9" w:rsidRDefault="00CF56A9" w:rsidP="000658DB">
      <w:pPr>
        <w:pStyle w:val="IANOTAALPIE"/>
      </w:pPr>
      <w:r>
        <w:rPr>
          <w:rStyle w:val="FootnoteReference"/>
        </w:rPr>
        <w:footnoteRef/>
      </w:r>
      <w:r w:rsidRPr="00CF56A9">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188">
    <w:p w14:paraId="53AC9E10" w14:textId="3C01B131" w:rsidR="007B7AAF" w:rsidRPr="00882500" w:rsidRDefault="007B7AAF" w:rsidP="000658DB">
      <w:pPr>
        <w:pStyle w:val="IANOTAALPIE"/>
        <w:rPr>
          <w:lang w:val="es-US"/>
        </w:rPr>
      </w:pPr>
      <w:r w:rsidRPr="00C26987">
        <w:rPr>
          <w:rStyle w:val="FootnoteReference"/>
        </w:rPr>
        <w:footnoteRef/>
      </w:r>
      <w:r w:rsidRPr="00852144">
        <w:rPr>
          <w:lang w:val="pt-BR"/>
        </w:rPr>
        <w:t xml:space="preserve"> CIDH, </w:t>
      </w:r>
      <w:hyperlink r:id="rId141">
        <w:r w:rsidRPr="002B01A1">
          <w:rPr>
            <w:rStyle w:val="Hyperlink"/>
            <w:rFonts w:eastAsiaTheme="minorHAnsi" w:cstheme="minorBidi"/>
            <w:color w:val="0563C1" w:themeColor="hyperlink"/>
            <w:szCs w:val="20"/>
            <w:lang w:val="pt-BR" w:eastAsia="en-US"/>
          </w:rPr>
          <w:t>Informe Anual, Capítulo V, México</w:t>
        </w:r>
      </w:hyperlink>
      <w:r w:rsidRPr="00852144">
        <w:rPr>
          <w:lang w:val="pt-BR"/>
        </w:rPr>
        <w:t>, 2023, párr</w:t>
      </w:r>
      <w:r w:rsidR="00C63C30" w:rsidRPr="00852144">
        <w:rPr>
          <w:lang w:val="pt-BR"/>
        </w:rPr>
        <w:t>s</w:t>
      </w:r>
      <w:r w:rsidRPr="00852144">
        <w:rPr>
          <w:lang w:val="pt-BR"/>
        </w:rPr>
        <w:t xml:space="preserve">. </w:t>
      </w:r>
      <w:r w:rsidRPr="00882500">
        <w:rPr>
          <w:lang w:val="es-US"/>
        </w:rPr>
        <w:t>251-257.</w:t>
      </w:r>
    </w:p>
  </w:footnote>
  <w:footnote w:id="189">
    <w:p w14:paraId="1CFF6A46" w14:textId="011D596A" w:rsidR="00902744" w:rsidRPr="00902744" w:rsidRDefault="00902744" w:rsidP="000658DB">
      <w:pPr>
        <w:pStyle w:val="IANOTAALPIE"/>
        <w:rPr>
          <w:lang w:val="es-ES"/>
        </w:rPr>
      </w:pPr>
      <w:r>
        <w:rPr>
          <w:rStyle w:val="FootnoteReference"/>
        </w:rPr>
        <w:footnoteRef/>
      </w:r>
      <w:r w:rsidRPr="00902744">
        <w:rPr>
          <w:lang w:val="es-ES"/>
        </w:rPr>
        <w:t xml:space="preserve"> </w:t>
      </w:r>
      <w:r w:rsidR="003A493A">
        <w:rPr>
          <w:lang w:val="es-ES"/>
        </w:rPr>
        <w:t xml:space="preserve">SIMORE Interamericano, </w:t>
      </w:r>
      <w:hyperlink r:id="rId142" w:history="1">
        <w:r w:rsidR="003A493A" w:rsidRPr="00CC5B9B">
          <w:rPr>
            <w:rStyle w:val="Hyperlink"/>
            <w:rFonts w:eastAsiaTheme="minorHAnsi" w:cstheme="minorBidi"/>
            <w:color w:val="0563C1" w:themeColor="hyperlink"/>
            <w:szCs w:val="20"/>
            <w:lang w:val="es-AR" w:eastAsia="en-US"/>
          </w:rPr>
          <w:t>Informe de avance del Estado mexicano sobre el cumplimiento y seguimiento de las recomendaciones de la CIDH, Recomendación 47</w:t>
        </w:r>
      </w:hyperlink>
      <w:r w:rsidR="003A493A">
        <w:rPr>
          <w:lang w:val="es-ES"/>
        </w:rPr>
        <w:t xml:space="preserve">, </w:t>
      </w:r>
      <w:r w:rsidR="003A493A" w:rsidRPr="00C26987">
        <w:rPr>
          <w:lang w:val="es-ES"/>
        </w:rPr>
        <w:t>Capítulo V, 30</w:t>
      </w:r>
      <w:r w:rsidR="003A493A">
        <w:rPr>
          <w:lang w:val="es-ES"/>
        </w:rPr>
        <w:t xml:space="preserve"> de</w:t>
      </w:r>
      <w:r w:rsidR="003A493A" w:rsidRPr="00C26987">
        <w:rPr>
          <w:lang w:val="es-ES"/>
        </w:rPr>
        <w:t xml:space="preserve"> septiembre y 1 de octubre de </w:t>
      </w:r>
      <w:r w:rsidR="003A493A">
        <w:rPr>
          <w:lang w:val="es-ES"/>
        </w:rPr>
        <w:t>2024.</w:t>
      </w:r>
      <w:r w:rsidR="003A493A" w:rsidRPr="00902744">
        <w:rPr>
          <w:lang w:val="es-ES"/>
        </w:rPr>
        <w:t xml:space="preserve"> </w:t>
      </w:r>
    </w:p>
  </w:footnote>
  <w:footnote w:id="190">
    <w:p w14:paraId="5BCC63F5" w14:textId="77777777" w:rsidR="00CF56A9" w:rsidRPr="00CF56A9" w:rsidRDefault="00CF56A9" w:rsidP="000658DB">
      <w:pPr>
        <w:pStyle w:val="IANOTAALPIE"/>
        <w:rPr>
          <w:lang w:val="es-ES"/>
        </w:rPr>
      </w:pPr>
      <w:r>
        <w:rPr>
          <w:rStyle w:val="FootnoteReference"/>
        </w:rPr>
        <w:footnoteRef/>
      </w:r>
      <w:r w:rsidRPr="00CF56A9">
        <w:rPr>
          <w:lang w:val="es-ES"/>
        </w:rPr>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191">
    <w:p w14:paraId="2038BF0E" w14:textId="097936CF" w:rsidR="007B7AAF" w:rsidRPr="00755A25" w:rsidRDefault="007B7AAF" w:rsidP="000658DB">
      <w:pPr>
        <w:pStyle w:val="IANOTAALPIE"/>
        <w:rPr>
          <w:lang w:val="es-US"/>
        </w:rPr>
      </w:pPr>
      <w:r w:rsidRPr="00C26987">
        <w:rPr>
          <w:rStyle w:val="FootnoteReference"/>
        </w:rPr>
        <w:footnoteRef/>
      </w:r>
      <w:r w:rsidRPr="00852144">
        <w:rPr>
          <w:lang w:val="pt-BR"/>
        </w:rPr>
        <w:t xml:space="preserve"> CIDH, </w:t>
      </w:r>
      <w:hyperlink r:id="rId143">
        <w:r w:rsidRPr="002B01A1">
          <w:rPr>
            <w:rStyle w:val="Hyperlink"/>
            <w:rFonts w:eastAsiaTheme="minorHAnsi" w:cstheme="minorBidi"/>
            <w:color w:val="0563C1" w:themeColor="hyperlink"/>
            <w:szCs w:val="20"/>
            <w:lang w:val="pt-BR" w:eastAsia="en-US"/>
          </w:rPr>
          <w:t>Informe Anual, Capítulo V, México</w:t>
        </w:r>
      </w:hyperlink>
      <w:r w:rsidRPr="00852144">
        <w:rPr>
          <w:lang w:val="pt-BR"/>
        </w:rPr>
        <w:t>, 2023, párr</w:t>
      </w:r>
      <w:r w:rsidR="00C63C30" w:rsidRPr="00852144">
        <w:rPr>
          <w:lang w:val="pt-BR"/>
        </w:rPr>
        <w:t>s</w:t>
      </w:r>
      <w:r w:rsidRPr="00852144">
        <w:rPr>
          <w:lang w:val="pt-BR"/>
        </w:rPr>
        <w:t xml:space="preserve">. </w:t>
      </w:r>
      <w:r w:rsidRPr="00755A25">
        <w:rPr>
          <w:lang w:val="es-US"/>
        </w:rPr>
        <w:t>259-263.</w:t>
      </w:r>
    </w:p>
  </w:footnote>
  <w:footnote w:id="192">
    <w:p w14:paraId="48F3BE48" w14:textId="77777777" w:rsidR="00CF56A9" w:rsidRPr="00CF56A9" w:rsidRDefault="00CF56A9" w:rsidP="000658DB">
      <w:pPr>
        <w:pStyle w:val="IANOTAALPIE"/>
        <w:rPr>
          <w:lang w:val="es-ES"/>
        </w:rPr>
      </w:pPr>
      <w:r>
        <w:rPr>
          <w:rStyle w:val="FootnoteReference"/>
        </w:rPr>
        <w:footnoteRef/>
      </w:r>
      <w:r w:rsidRPr="00CF56A9">
        <w:rPr>
          <w:lang w:val="es-ES"/>
        </w:rPr>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193">
    <w:p w14:paraId="2B78649E" w14:textId="3FD8CC93" w:rsidR="00902744" w:rsidRPr="00902744" w:rsidRDefault="00902744" w:rsidP="000658DB">
      <w:pPr>
        <w:pStyle w:val="IANOTAALPIE"/>
        <w:rPr>
          <w:lang w:val="es-ES"/>
        </w:rPr>
      </w:pPr>
      <w:r>
        <w:rPr>
          <w:rStyle w:val="FootnoteReference"/>
        </w:rPr>
        <w:footnoteRef/>
      </w:r>
      <w:r w:rsidRPr="00902744">
        <w:rPr>
          <w:lang w:val="es-ES"/>
        </w:rPr>
        <w:t xml:space="preserve"> </w:t>
      </w:r>
      <w:r w:rsidR="003A493A">
        <w:rPr>
          <w:lang w:val="es-ES"/>
        </w:rPr>
        <w:t xml:space="preserve">SIMORE Interamericano, </w:t>
      </w:r>
      <w:hyperlink r:id="rId144" w:history="1">
        <w:r w:rsidR="003A493A" w:rsidRPr="00CC5B9B">
          <w:rPr>
            <w:rStyle w:val="Hyperlink"/>
            <w:rFonts w:eastAsiaTheme="minorHAnsi" w:cstheme="minorBidi"/>
            <w:color w:val="0563C1" w:themeColor="hyperlink"/>
            <w:szCs w:val="20"/>
            <w:lang w:val="es-AR" w:eastAsia="en-US"/>
          </w:rPr>
          <w:t>Informe de avance del Estado mexicano sobre el cumplimiento y seguimiento de las recomendaciones de la CIDH, Recomendación 49</w:t>
        </w:r>
      </w:hyperlink>
      <w:r w:rsidR="003A493A">
        <w:rPr>
          <w:lang w:val="es-ES"/>
        </w:rPr>
        <w:t xml:space="preserve">, </w:t>
      </w:r>
      <w:r w:rsidR="003A493A" w:rsidRPr="00C26987">
        <w:rPr>
          <w:lang w:val="es-ES"/>
        </w:rPr>
        <w:t>Capítulo V, 30</w:t>
      </w:r>
      <w:r w:rsidR="003A493A">
        <w:rPr>
          <w:lang w:val="es-ES"/>
        </w:rPr>
        <w:t xml:space="preserve"> de</w:t>
      </w:r>
      <w:r w:rsidR="003A493A" w:rsidRPr="00C26987">
        <w:rPr>
          <w:lang w:val="es-ES"/>
        </w:rPr>
        <w:t xml:space="preserve"> septiembre y 1 de octubre de </w:t>
      </w:r>
      <w:r w:rsidR="003A493A">
        <w:rPr>
          <w:lang w:val="es-ES"/>
        </w:rPr>
        <w:t>2024.</w:t>
      </w:r>
      <w:r w:rsidR="003A493A" w:rsidRPr="00902744">
        <w:rPr>
          <w:lang w:val="es-ES"/>
        </w:rPr>
        <w:t xml:space="preserve"> </w:t>
      </w:r>
    </w:p>
  </w:footnote>
  <w:footnote w:id="194">
    <w:p w14:paraId="71D7BC78" w14:textId="5087688E" w:rsidR="00902744" w:rsidRPr="00902744" w:rsidRDefault="00902744" w:rsidP="000658DB">
      <w:pPr>
        <w:pStyle w:val="IANOTAALPIE"/>
      </w:pPr>
      <w:r w:rsidRPr="00902744">
        <w:rPr>
          <w:rStyle w:val="FootnoteReference"/>
        </w:rPr>
        <w:footnoteRef/>
      </w:r>
      <w:r w:rsidRPr="00902744">
        <w:t xml:space="preserve"> Centro Prodh</w:t>
      </w:r>
      <w:r w:rsidR="00C63C30">
        <w:t>,</w:t>
      </w:r>
      <w:r w:rsidRPr="00902744">
        <w:t xml:space="preserve"> FJEDD</w:t>
      </w:r>
      <w:r w:rsidR="00C63C30">
        <w:t>,</w:t>
      </w:r>
      <w:r w:rsidRPr="00902744">
        <w:t xml:space="preserve"> Marisol Méndez Cruz, Jerónimo del Río y Fabienne Cabaret</w:t>
      </w:r>
      <w:r w:rsidR="00C63C30">
        <w:t>,</w:t>
      </w:r>
      <w:r w:rsidRPr="00902744">
        <w:t xml:space="preserve"> SERAPAZ</w:t>
      </w:r>
      <w:r w:rsidR="00C63C30">
        <w:t>,</w:t>
      </w:r>
      <w:r w:rsidRPr="00902744">
        <w:t xml:space="preserve"> Idheas Litigio Estratégico en Derechos Humanos y Organización Ku’kay</w:t>
      </w:r>
      <w:r w:rsidR="00C63C30">
        <w:t>;</w:t>
      </w:r>
      <w:r w:rsidRPr="00902744">
        <w:t xml:space="preserve"> Seguimiento sobre el cumplimiento de las recomendaciones del Informe “Situación de Derechos Humanos en México”, octubre de 2024.</w:t>
      </w:r>
    </w:p>
  </w:footnote>
  <w:footnote w:id="195">
    <w:p w14:paraId="3C063D80" w14:textId="15C33A74" w:rsidR="007B7AAF" w:rsidRPr="00882500" w:rsidRDefault="007B7AAF" w:rsidP="000658DB">
      <w:pPr>
        <w:pStyle w:val="IANOTAALPIE"/>
        <w:rPr>
          <w:lang w:val="es-US"/>
        </w:rPr>
      </w:pPr>
      <w:r w:rsidRPr="00C26987">
        <w:rPr>
          <w:rStyle w:val="FootnoteReference"/>
        </w:rPr>
        <w:footnoteRef/>
      </w:r>
      <w:r w:rsidRPr="00852144">
        <w:rPr>
          <w:lang w:val="pt-BR"/>
        </w:rPr>
        <w:t xml:space="preserve"> CIDH</w:t>
      </w:r>
      <w:r w:rsidRPr="002B01A1">
        <w:rPr>
          <w:rStyle w:val="Hyperlink"/>
          <w:rFonts w:eastAsiaTheme="minorHAnsi" w:cstheme="minorBidi"/>
          <w:color w:val="0563C1" w:themeColor="hyperlink"/>
          <w:szCs w:val="20"/>
          <w:lang w:val="pt-BR" w:eastAsia="en-US"/>
        </w:rPr>
        <w:t xml:space="preserve">, </w:t>
      </w:r>
      <w:hyperlink r:id="rId145">
        <w:r w:rsidRPr="002B01A1">
          <w:rPr>
            <w:rStyle w:val="Hyperlink"/>
            <w:rFonts w:eastAsiaTheme="minorHAnsi" w:cstheme="minorBidi"/>
            <w:color w:val="0563C1" w:themeColor="hyperlink"/>
            <w:szCs w:val="20"/>
            <w:lang w:val="pt-BR" w:eastAsia="en-US"/>
          </w:rPr>
          <w:t>Informe Anual, Capítulo V, México</w:t>
        </w:r>
      </w:hyperlink>
      <w:r w:rsidRPr="00852144">
        <w:rPr>
          <w:lang w:val="pt-BR"/>
        </w:rPr>
        <w:t>, 2023, párr</w:t>
      </w:r>
      <w:r w:rsidR="00C63C30" w:rsidRPr="00852144">
        <w:rPr>
          <w:lang w:val="pt-BR"/>
        </w:rPr>
        <w:t>s</w:t>
      </w:r>
      <w:r w:rsidRPr="00852144">
        <w:rPr>
          <w:lang w:val="pt-BR"/>
        </w:rPr>
        <w:t xml:space="preserve">. </w:t>
      </w:r>
      <w:r w:rsidRPr="00882500">
        <w:rPr>
          <w:lang w:val="es-US"/>
        </w:rPr>
        <w:t>264-270.</w:t>
      </w:r>
    </w:p>
  </w:footnote>
  <w:footnote w:id="196">
    <w:p w14:paraId="2EFFEEE9" w14:textId="217D447D" w:rsidR="00902744" w:rsidRPr="00902744" w:rsidRDefault="00902744" w:rsidP="000658DB">
      <w:pPr>
        <w:pStyle w:val="IANOTAALPIE"/>
        <w:rPr>
          <w:lang w:val="es-ES"/>
        </w:rPr>
      </w:pPr>
      <w:r>
        <w:rPr>
          <w:rStyle w:val="FootnoteReference"/>
        </w:rPr>
        <w:footnoteRef/>
      </w:r>
      <w:r w:rsidRPr="00902744">
        <w:rPr>
          <w:lang w:val="es-ES"/>
        </w:rPr>
        <w:t xml:space="preserve"> </w:t>
      </w:r>
      <w:r w:rsidR="003A493A">
        <w:rPr>
          <w:lang w:val="es-ES"/>
        </w:rPr>
        <w:t xml:space="preserve">SIMORE Interamericano, </w:t>
      </w:r>
      <w:hyperlink r:id="rId146" w:history="1">
        <w:r w:rsidR="003A493A" w:rsidRPr="00CC5B9B">
          <w:rPr>
            <w:rStyle w:val="Hyperlink"/>
            <w:rFonts w:eastAsiaTheme="minorHAnsi" w:cstheme="minorBidi"/>
            <w:color w:val="0563C1" w:themeColor="hyperlink"/>
            <w:szCs w:val="20"/>
            <w:lang w:val="es-AR" w:eastAsia="en-US"/>
          </w:rPr>
          <w:t>Informe de avance del Estado mexicano sobre el cumplimiento y seguimiento de las recomendaciones de la CIDH, Recomendación 50</w:t>
        </w:r>
      </w:hyperlink>
      <w:r w:rsidR="003A493A">
        <w:rPr>
          <w:lang w:val="es-ES"/>
        </w:rPr>
        <w:t xml:space="preserve">, </w:t>
      </w:r>
      <w:r w:rsidR="003A493A" w:rsidRPr="00C26987">
        <w:rPr>
          <w:lang w:val="es-ES"/>
        </w:rPr>
        <w:t>Capítulo V, 30</w:t>
      </w:r>
      <w:r w:rsidR="003A493A">
        <w:rPr>
          <w:lang w:val="es-ES"/>
        </w:rPr>
        <w:t xml:space="preserve"> de</w:t>
      </w:r>
      <w:r w:rsidR="003A493A" w:rsidRPr="00C26987">
        <w:rPr>
          <w:lang w:val="es-ES"/>
        </w:rPr>
        <w:t xml:space="preserve"> septiembre y 1 de octubre de </w:t>
      </w:r>
      <w:r w:rsidR="003A493A">
        <w:rPr>
          <w:lang w:val="es-ES"/>
        </w:rPr>
        <w:t>2024.</w:t>
      </w:r>
      <w:r w:rsidR="003A493A" w:rsidRPr="00902744">
        <w:rPr>
          <w:lang w:val="es-ES"/>
        </w:rPr>
        <w:t xml:space="preserve"> </w:t>
      </w:r>
    </w:p>
  </w:footnote>
  <w:footnote w:id="197">
    <w:p w14:paraId="6E8E455C" w14:textId="70C96F92" w:rsidR="00AA467F" w:rsidRPr="00616692" w:rsidRDefault="00AA467F" w:rsidP="000658DB">
      <w:pPr>
        <w:pStyle w:val="IANOTAALPIE"/>
        <w:rPr>
          <w:lang w:val="es-ES"/>
        </w:rPr>
      </w:pPr>
      <w:r>
        <w:rPr>
          <w:rStyle w:val="FootnoteReference"/>
        </w:rPr>
        <w:footnoteRef/>
      </w:r>
      <w:r w:rsidRPr="00E44B33">
        <w:rPr>
          <w:lang w:val="es-ES"/>
        </w:rPr>
        <w:t xml:space="preserve"> Ver </w:t>
      </w:r>
      <w:r w:rsidRPr="00616692">
        <w:rPr>
          <w:lang w:val="es-ES"/>
        </w:rPr>
        <w:t>comunicado del Alto Comisionado para los Derechos Humanos de Naciones Unidas del 22 de noviembre de 2024, disponible</w:t>
      </w:r>
      <w:r w:rsidR="000658DB">
        <w:rPr>
          <w:lang w:val="es-ES"/>
        </w:rPr>
        <w:t xml:space="preserve"> </w:t>
      </w:r>
      <w:r w:rsidRPr="00616692">
        <w:rPr>
          <w:lang w:val="es-ES"/>
        </w:rPr>
        <w:t xml:space="preserve">en </w:t>
      </w:r>
      <w:hyperlink r:id="rId147" w:history="1">
        <w:r w:rsidRPr="00CC5B9B">
          <w:rPr>
            <w:rStyle w:val="Hyperlink"/>
            <w:rFonts w:eastAsiaTheme="minorHAnsi" w:cstheme="minorBidi"/>
            <w:color w:val="0563C1" w:themeColor="hyperlink"/>
            <w:szCs w:val="20"/>
            <w:lang w:val="es-AR" w:eastAsia="en-US"/>
          </w:rPr>
          <w:t>https://www.ohchr.org/es/press-releases/2024/11/mexico-un-human-rights-chief-concerned-about-expansion-mandatory-pretrial</w:t>
        </w:r>
      </w:hyperlink>
      <w:r w:rsidR="001034AA" w:rsidRPr="00CC5B9B">
        <w:rPr>
          <w:rStyle w:val="Hyperlink"/>
          <w:rFonts w:eastAsiaTheme="minorHAnsi" w:cstheme="minorBidi"/>
          <w:color w:val="0563C1" w:themeColor="hyperlink"/>
          <w:szCs w:val="20"/>
          <w:lang w:val="es-AR" w:eastAsia="en-US"/>
        </w:rPr>
        <w:t>.</w:t>
      </w:r>
    </w:p>
  </w:footnote>
  <w:footnote w:id="198">
    <w:p w14:paraId="6B9F4B53" w14:textId="77777777" w:rsidR="00C01DF7" w:rsidRPr="00AB6367" w:rsidRDefault="00C01DF7" w:rsidP="000658DB">
      <w:pPr>
        <w:pStyle w:val="IANOTAALPIE"/>
        <w:rPr>
          <w:lang w:val="es-ES"/>
        </w:rPr>
      </w:pPr>
      <w:r w:rsidRPr="00616692">
        <w:rPr>
          <w:rStyle w:val="FootnoteReference"/>
        </w:rPr>
        <w:footnoteRef/>
      </w:r>
      <w:r w:rsidRPr="00616692">
        <w:rPr>
          <w:lang w:val="es-ES"/>
        </w:rPr>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199">
    <w:p w14:paraId="567220EE" w14:textId="74CF7CFE" w:rsidR="007B7AAF" w:rsidRPr="00882500" w:rsidRDefault="007B7AAF" w:rsidP="000658DB">
      <w:pPr>
        <w:pStyle w:val="IANOTAALPIE"/>
        <w:rPr>
          <w:lang w:val="es-US"/>
        </w:rPr>
      </w:pPr>
      <w:r w:rsidRPr="00C26987">
        <w:rPr>
          <w:rStyle w:val="FootnoteReference"/>
        </w:rPr>
        <w:footnoteRef/>
      </w:r>
      <w:r w:rsidRPr="00852144">
        <w:rPr>
          <w:lang w:val="pt-BR"/>
        </w:rPr>
        <w:t xml:space="preserve"> CIDH</w:t>
      </w:r>
      <w:r w:rsidRPr="002B01A1">
        <w:rPr>
          <w:rStyle w:val="Hyperlink"/>
          <w:rFonts w:eastAsiaTheme="minorHAnsi" w:cstheme="minorBidi"/>
          <w:color w:val="0563C1" w:themeColor="hyperlink"/>
          <w:szCs w:val="20"/>
          <w:lang w:val="pt-BR" w:eastAsia="en-US"/>
        </w:rPr>
        <w:t xml:space="preserve">, </w:t>
      </w:r>
      <w:hyperlink r:id="rId148">
        <w:r w:rsidRPr="002B01A1">
          <w:rPr>
            <w:rStyle w:val="Hyperlink"/>
            <w:rFonts w:eastAsiaTheme="minorHAnsi" w:cstheme="minorBidi"/>
            <w:color w:val="0563C1" w:themeColor="hyperlink"/>
            <w:szCs w:val="20"/>
            <w:lang w:val="pt-BR" w:eastAsia="en-US"/>
          </w:rPr>
          <w:t>Informe Anual, Capítulo V, México</w:t>
        </w:r>
      </w:hyperlink>
      <w:r w:rsidRPr="00852144">
        <w:rPr>
          <w:lang w:val="pt-BR"/>
        </w:rPr>
        <w:t>, 2023, párr</w:t>
      </w:r>
      <w:r w:rsidR="00F553D1" w:rsidRPr="00852144">
        <w:rPr>
          <w:lang w:val="pt-BR"/>
        </w:rPr>
        <w:t>s</w:t>
      </w:r>
      <w:r w:rsidRPr="00852144">
        <w:rPr>
          <w:lang w:val="pt-BR"/>
        </w:rPr>
        <w:t xml:space="preserve">. </w:t>
      </w:r>
      <w:r w:rsidRPr="00882500">
        <w:rPr>
          <w:lang w:val="es-US"/>
        </w:rPr>
        <w:t>272-274.</w:t>
      </w:r>
    </w:p>
  </w:footnote>
  <w:footnote w:id="200">
    <w:p w14:paraId="0ED72747" w14:textId="77BFA062" w:rsidR="00902744" w:rsidRPr="00902744" w:rsidRDefault="00902744" w:rsidP="000658DB">
      <w:pPr>
        <w:pStyle w:val="IANOTAALPIE"/>
      </w:pPr>
      <w:r>
        <w:rPr>
          <w:rStyle w:val="FootnoteReference"/>
        </w:rPr>
        <w:footnoteRef/>
      </w:r>
      <w:r w:rsidRPr="00902744">
        <w:t xml:space="preserve"> </w:t>
      </w:r>
      <w:r w:rsidR="003A493A">
        <w:rPr>
          <w:lang w:val="es-ES"/>
        </w:rPr>
        <w:t xml:space="preserve">SIMORE Interamericano, </w:t>
      </w:r>
      <w:hyperlink r:id="rId149" w:history="1">
        <w:r w:rsidR="003A493A" w:rsidRPr="00CC5B9B">
          <w:rPr>
            <w:rStyle w:val="Hyperlink"/>
            <w:rFonts w:eastAsiaTheme="minorHAnsi" w:cstheme="minorBidi"/>
            <w:color w:val="0563C1" w:themeColor="hyperlink"/>
            <w:szCs w:val="20"/>
            <w:lang w:val="es-AR" w:eastAsia="en-US"/>
          </w:rPr>
          <w:t>Informe de avance del Estado mexicano sobre el cumplimiento y seguimiento de las recomendaciones de la CIDH, Recomendación 51</w:t>
        </w:r>
      </w:hyperlink>
      <w:r w:rsidR="003A493A">
        <w:rPr>
          <w:lang w:val="es-ES"/>
        </w:rPr>
        <w:t xml:space="preserve">, </w:t>
      </w:r>
      <w:r w:rsidR="003A493A" w:rsidRPr="00C26987">
        <w:rPr>
          <w:lang w:val="es-ES"/>
        </w:rPr>
        <w:t>Capítulo V, 30</w:t>
      </w:r>
      <w:r w:rsidR="003A493A">
        <w:rPr>
          <w:lang w:val="es-ES"/>
        </w:rPr>
        <w:t xml:space="preserve"> de</w:t>
      </w:r>
      <w:r w:rsidR="003A493A" w:rsidRPr="00C26987">
        <w:rPr>
          <w:lang w:val="es-ES"/>
        </w:rPr>
        <w:t xml:space="preserve"> septiembre y 1 de octubre de </w:t>
      </w:r>
      <w:r w:rsidR="003A493A">
        <w:rPr>
          <w:lang w:val="es-ES"/>
        </w:rPr>
        <w:t>2024.</w:t>
      </w:r>
      <w:r w:rsidR="003A493A" w:rsidRPr="00902744">
        <w:rPr>
          <w:lang w:val="es-ES"/>
        </w:rPr>
        <w:t xml:space="preserve"> </w:t>
      </w:r>
    </w:p>
  </w:footnote>
  <w:footnote w:id="201">
    <w:p w14:paraId="73662499" w14:textId="4F93DA6B" w:rsidR="007B7AAF" w:rsidRPr="00882500" w:rsidRDefault="007B7AAF" w:rsidP="000658DB">
      <w:pPr>
        <w:pStyle w:val="IANOTAALPIE"/>
        <w:rPr>
          <w:lang w:val="es-US"/>
        </w:rPr>
      </w:pPr>
      <w:r w:rsidRPr="00C26987">
        <w:rPr>
          <w:rStyle w:val="FootnoteReference"/>
        </w:rPr>
        <w:footnoteRef/>
      </w:r>
      <w:r w:rsidRPr="00C26987">
        <w:rPr>
          <w:lang w:val="pt-BR"/>
        </w:rPr>
        <w:t xml:space="preserve"> CIDH</w:t>
      </w:r>
      <w:r w:rsidRPr="002B01A1">
        <w:rPr>
          <w:rStyle w:val="Hyperlink"/>
          <w:rFonts w:eastAsiaTheme="minorHAnsi" w:cstheme="minorBidi"/>
          <w:color w:val="0563C1" w:themeColor="hyperlink"/>
          <w:szCs w:val="20"/>
          <w:lang w:val="pt-BR" w:eastAsia="en-US"/>
        </w:rPr>
        <w:t xml:space="preserve">, </w:t>
      </w:r>
      <w:hyperlink r:id="rId150">
        <w:r w:rsidRPr="002B01A1">
          <w:rPr>
            <w:rStyle w:val="Hyperlink"/>
            <w:rFonts w:eastAsiaTheme="minorHAnsi" w:cstheme="minorBidi"/>
            <w:color w:val="0563C1" w:themeColor="hyperlink"/>
            <w:szCs w:val="20"/>
            <w:lang w:val="pt-BR" w:eastAsia="en-US"/>
          </w:rPr>
          <w:t>Informe Anual, Capítulo V, México</w:t>
        </w:r>
      </w:hyperlink>
      <w:r w:rsidRPr="00C26987">
        <w:rPr>
          <w:lang w:val="pt-BR"/>
        </w:rPr>
        <w:t>, 2023, párr</w:t>
      </w:r>
      <w:r w:rsidR="00195832">
        <w:rPr>
          <w:lang w:val="pt-BR"/>
        </w:rPr>
        <w:t>s</w:t>
      </w:r>
      <w:r w:rsidRPr="00C26987">
        <w:rPr>
          <w:lang w:val="pt-BR"/>
        </w:rPr>
        <w:t xml:space="preserve">. </w:t>
      </w:r>
      <w:r w:rsidRPr="00882500">
        <w:rPr>
          <w:lang w:val="es-US"/>
        </w:rPr>
        <w:t>276-278.</w:t>
      </w:r>
    </w:p>
  </w:footnote>
  <w:footnote w:id="202">
    <w:p w14:paraId="5C9B20CF" w14:textId="012A59D0" w:rsidR="00902744" w:rsidRPr="00902744" w:rsidRDefault="00902744" w:rsidP="000658DB">
      <w:pPr>
        <w:pStyle w:val="IANOTAALPIE"/>
      </w:pPr>
      <w:r>
        <w:rPr>
          <w:rStyle w:val="FootnoteReference"/>
        </w:rPr>
        <w:footnoteRef/>
      </w:r>
      <w:r w:rsidRPr="00902744">
        <w:t xml:space="preserve"> </w:t>
      </w:r>
      <w:r w:rsidR="003A493A">
        <w:rPr>
          <w:lang w:val="es-ES"/>
        </w:rPr>
        <w:t xml:space="preserve">SIMORE Interamericano, </w:t>
      </w:r>
      <w:hyperlink r:id="rId151" w:history="1">
        <w:r w:rsidR="003A493A" w:rsidRPr="00CC5B9B">
          <w:rPr>
            <w:rStyle w:val="Hyperlink"/>
            <w:rFonts w:eastAsiaTheme="minorHAnsi" w:cstheme="minorBidi"/>
            <w:color w:val="0563C1" w:themeColor="hyperlink"/>
            <w:szCs w:val="20"/>
            <w:lang w:val="es-AR" w:eastAsia="en-US"/>
          </w:rPr>
          <w:t>Informe de avance del Estado mexicano sobre el cumplimiento y seguimiento de las recomendaciones de la CIDH, Recomendación 52</w:t>
        </w:r>
      </w:hyperlink>
      <w:r w:rsidR="003A493A">
        <w:rPr>
          <w:lang w:val="es-ES"/>
        </w:rPr>
        <w:t xml:space="preserve">, </w:t>
      </w:r>
      <w:r w:rsidR="003A493A" w:rsidRPr="00C26987">
        <w:rPr>
          <w:lang w:val="es-ES"/>
        </w:rPr>
        <w:t>Capítulo V, 30</w:t>
      </w:r>
      <w:r w:rsidR="003A493A">
        <w:rPr>
          <w:lang w:val="es-ES"/>
        </w:rPr>
        <w:t xml:space="preserve"> de</w:t>
      </w:r>
      <w:r w:rsidR="003A493A" w:rsidRPr="00C26987">
        <w:rPr>
          <w:lang w:val="es-ES"/>
        </w:rPr>
        <w:t xml:space="preserve"> septiembre y 1 de octubre de </w:t>
      </w:r>
      <w:r w:rsidR="003A493A">
        <w:rPr>
          <w:lang w:val="es-ES"/>
        </w:rPr>
        <w:t>2024.</w:t>
      </w:r>
    </w:p>
  </w:footnote>
  <w:footnote w:id="203">
    <w:p w14:paraId="3096EF21" w14:textId="7FE2AFBC" w:rsidR="007B7AAF" w:rsidRPr="00882500" w:rsidRDefault="007B7AAF" w:rsidP="000658DB">
      <w:pPr>
        <w:pStyle w:val="IANOTAALPIE"/>
        <w:rPr>
          <w:lang w:val="es-US"/>
        </w:rPr>
      </w:pPr>
      <w:r w:rsidRPr="00C26987">
        <w:rPr>
          <w:rStyle w:val="FootnoteReference"/>
        </w:rPr>
        <w:footnoteRef/>
      </w:r>
      <w:r w:rsidRPr="00C26987">
        <w:rPr>
          <w:lang w:val="pt-BR"/>
        </w:rPr>
        <w:t xml:space="preserve"> CIDH, </w:t>
      </w:r>
      <w:hyperlink r:id="rId152">
        <w:r w:rsidRPr="002B01A1">
          <w:rPr>
            <w:rStyle w:val="Hyperlink"/>
            <w:rFonts w:eastAsiaTheme="minorHAnsi" w:cstheme="minorBidi"/>
            <w:color w:val="0563C1" w:themeColor="hyperlink"/>
            <w:szCs w:val="20"/>
            <w:lang w:val="pt-BR" w:eastAsia="en-US"/>
          </w:rPr>
          <w:t>Informe Anual, Capítulo V, México</w:t>
        </w:r>
      </w:hyperlink>
      <w:r w:rsidRPr="00C26987">
        <w:rPr>
          <w:lang w:val="pt-BR"/>
        </w:rPr>
        <w:t>, 2023, párr</w:t>
      </w:r>
      <w:r w:rsidR="00195832">
        <w:rPr>
          <w:lang w:val="pt-BR"/>
        </w:rPr>
        <w:t>s</w:t>
      </w:r>
      <w:r w:rsidRPr="00C26987">
        <w:rPr>
          <w:lang w:val="pt-BR"/>
        </w:rPr>
        <w:t xml:space="preserve">. </w:t>
      </w:r>
      <w:r w:rsidRPr="00882500">
        <w:rPr>
          <w:lang w:val="es-US"/>
        </w:rPr>
        <w:t>280-284.</w:t>
      </w:r>
    </w:p>
  </w:footnote>
  <w:footnote w:id="204">
    <w:p w14:paraId="19CD85FC" w14:textId="30236B83" w:rsidR="00902744" w:rsidRPr="00902744" w:rsidRDefault="00902744" w:rsidP="00254D0F">
      <w:pPr>
        <w:pStyle w:val="IANOTAALPIE"/>
      </w:pPr>
      <w:r>
        <w:rPr>
          <w:rStyle w:val="FootnoteReference"/>
        </w:rPr>
        <w:footnoteRef/>
      </w:r>
      <w:r w:rsidRPr="00902744">
        <w:t xml:space="preserve"> </w:t>
      </w:r>
      <w:r w:rsidR="003A493A">
        <w:rPr>
          <w:lang w:val="es-ES"/>
        </w:rPr>
        <w:t xml:space="preserve">SIMORE Interamericano, </w:t>
      </w:r>
      <w:hyperlink r:id="rId153" w:history="1">
        <w:r w:rsidR="003A493A" w:rsidRPr="00CC5B9B">
          <w:rPr>
            <w:rStyle w:val="Hyperlink"/>
            <w:rFonts w:eastAsiaTheme="minorHAnsi" w:cstheme="minorBidi"/>
            <w:color w:val="0563C1" w:themeColor="hyperlink"/>
            <w:szCs w:val="20"/>
            <w:lang w:val="es-AR" w:eastAsia="en-US"/>
          </w:rPr>
          <w:t>Informe de avance del Estado mexicano sobre el cumplimiento y seguimiento de las recomendaciones de la CIDH, Recomendación 53</w:t>
        </w:r>
      </w:hyperlink>
      <w:r w:rsidR="003A493A">
        <w:rPr>
          <w:lang w:val="es-ES"/>
        </w:rPr>
        <w:t xml:space="preserve">, </w:t>
      </w:r>
      <w:r w:rsidR="003A493A" w:rsidRPr="00C26987">
        <w:rPr>
          <w:lang w:val="es-ES"/>
        </w:rPr>
        <w:t>Capítulo V, 30</w:t>
      </w:r>
      <w:r w:rsidR="003A493A">
        <w:rPr>
          <w:lang w:val="es-ES"/>
        </w:rPr>
        <w:t xml:space="preserve"> de</w:t>
      </w:r>
      <w:r w:rsidR="003A493A" w:rsidRPr="00C26987">
        <w:rPr>
          <w:lang w:val="es-ES"/>
        </w:rPr>
        <w:t xml:space="preserve"> septiembre y 1 de octubre de </w:t>
      </w:r>
      <w:r w:rsidR="003A493A">
        <w:rPr>
          <w:lang w:val="es-ES"/>
        </w:rPr>
        <w:t>2024.</w:t>
      </w:r>
      <w:r w:rsidR="003A493A" w:rsidRPr="00902744">
        <w:t xml:space="preserve"> </w:t>
      </w:r>
    </w:p>
  </w:footnote>
  <w:footnote w:id="205">
    <w:p w14:paraId="2E623100" w14:textId="5E3BFEBE" w:rsidR="00D42451" w:rsidRPr="00D42451" w:rsidRDefault="00D42451" w:rsidP="00254D0F">
      <w:pPr>
        <w:pStyle w:val="IANOTAALPIE"/>
      </w:pPr>
      <w:r>
        <w:rPr>
          <w:rStyle w:val="FootnoteReference"/>
        </w:rPr>
        <w:footnoteRef/>
      </w:r>
      <w:r w:rsidRPr="00D42451">
        <w:t xml:space="preserve"> </w:t>
      </w:r>
      <w:r>
        <w:t xml:space="preserve">CIDH, Audiencia, </w:t>
      </w:r>
      <w:r w:rsidRPr="00D42451">
        <w:t>México</w:t>
      </w:r>
      <w:hyperlink r:id="rId154" w:history="1">
        <w:r w:rsidRPr="00CC5B9B">
          <w:rPr>
            <w:rStyle w:val="Hyperlink"/>
            <w:rFonts w:eastAsiaTheme="minorHAnsi" w:cstheme="minorBidi"/>
            <w:color w:val="0563C1" w:themeColor="hyperlink"/>
            <w:szCs w:val="20"/>
            <w:lang w:val="es-AR" w:eastAsia="en-US"/>
          </w:rPr>
          <w:t>: Situación de las mujeres privadas de libertad en el CEFERESO 16</w:t>
        </w:r>
      </w:hyperlink>
      <w:r>
        <w:t xml:space="preserve">, </w:t>
      </w:r>
      <w:r w:rsidRPr="00D42451">
        <w:t>12 de noviembre de 2024</w:t>
      </w:r>
      <w:r>
        <w:t xml:space="preserve">; CIDH, Audiencia, </w:t>
      </w:r>
      <w:hyperlink r:id="rId155" w:history="1">
        <w:r w:rsidRPr="00CC5B9B">
          <w:rPr>
            <w:rStyle w:val="Hyperlink"/>
            <w:rFonts w:eastAsiaTheme="minorHAnsi" w:cstheme="minorBidi"/>
            <w:color w:val="0563C1" w:themeColor="hyperlink"/>
            <w:szCs w:val="20"/>
            <w:lang w:val="es-AR" w:eastAsia="en-US"/>
          </w:rPr>
          <w:t>México: Derechos de las mujeres con discapacidad,</w:t>
        </w:r>
      </w:hyperlink>
      <w:r>
        <w:t xml:space="preserve"> 11 de julio de 2024.</w:t>
      </w:r>
    </w:p>
  </w:footnote>
  <w:footnote w:id="206">
    <w:p w14:paraId="29608E0C" w14:textId="240AF5FF" w:rsidR="007B7AAF" w:rsidRPr="00882500" w:rsidRDefault="007B7AAF" w:rsidP="00254D0F">
      <w:pPr>
        <w:pStyle w:val="IANOTAALPIE"/>
        <w:rPr>
          <w:lang w:val="es-US"/>
        </w:rPr>
      </w:pPr>
      <w:r w:rsidRPr="00C26987">
        <w:rPr>
          <w:rStyle w:val="FootnoteReference"/>
        </w:rPr>
        <w:footnoteRef/>
      </w:r>
      <w:r w:rsidRPr="00852144">
        <w:rPr>
          <w:lang w:val="pt-BR"/>
        </w:rPr>
        <w:t xml:space="preserve"> CIDH, </w:t>
      </w:r>
      <w:hyperlink r:id="rId156">
        <w:r w:rsidRPr="002B01A1">
          <w:rPr>
            <w:rStyle w:val="Hyperlink"/>
            <w:rFonts w:eastAsiaTheme="minorHAnsi" w:cstheme="minorBidi"/>
            <w:color w:val="0563C1" w:themeColor="hyperlink"/>
            <w:szCs w:val="20"/>
            <w:lang w:val="pt-BR" w:eastAsia="en-US"/>
          </w:rPr>
          <w:t>Informe Anual, Capítulo V, México</w:t>
        </w:r>
      </w:hyperlink>
      <w:r w:rsidRPr="00852144">
        <w:rPr>
          <w:lang w:val="pt-BR"/>
        </w:rPr>
        <w:t>, 2023, párr</w:t>
      </w:r>
      <w:r w:rsidR="00195832" w:rsidRPr="00852144">
        <w:rPr>
          <w:lang w:val="pt-BR"/>
        </w:rPr>
        <w:t>s</w:t>
      </w:r>
      <w:r w:rsidRPr="00852144">
        <w:rPr>
          <w:lang w:val="pt-BR"/>
        </w:rPr>
        <w:t xml:space="preserve">. </w:t>
      </w:r>
      <w:r w:rsidRPr="00882500">
        <w:rPr>
          <w:lang w:val="es-US"/>
        </w:rPr>
        <w:t>286-289.</w:t>
      </w:r>
    </w:p>
  </w:footnote>
  <w:footnote w:id="207">
    <w:p w14:paraId="3D8E0B1E" w14:textId="52370E1A" w:rsidR="00902744" w:rsidRPr="00616692" w:rsidRDefault="00902744" w:rsidP="00254D0F">
      <w:pPr>
        <w:pStyle w:val="IANOTAALPIE"/>
        <w:rPr>
          <w:lang w:val="es-ES"/>
        </w:rPr>
      </w:pPr>
      <w:r w:rsidRPr="00616692">
        <w:rPr>
          <w:rStyle w:val="FootnoteReference"/>
        </w:rPr>
        <w:footnoteRef/>
      </w:r>
      <w:r w:rsidRPr="00616692">
        <w:rPr>
          <w:lang w:val="es-ES"/>
        </w:rPr>
        <w:t xml:space="preserve"> </w:t>
      </w:r>
      <w:r w:rsidR="003A493A">
        <w:rPr>
          <w:lang w:val="es-ES"/>
        </w:rPr>
        <w:t xml:space="preserve">SIMORE Interamericano, </w:t>
      </w:r>
      <w:hyperlink r:id="rId157" w:history="1">
        <w:r w:rsidR="003A493A" w:rsidRPr="00CC5B9B">
          <w:rPr>
            <w:rStyle w:val="Hyperlink"/>
            <w:rFonts w:eastAsiaTheme="minorHAnsi" w:cstheme="minorBidi"/>
            <w:color w:val="0563C1" w:themeColor="hyperlink"/>
            <w:szCs w:val="20"/>
            <w:lang w:val="es-AR" w:eastAsia="en-US"/>
          </w:rPr>
          <w:t>Informe de avance del Estado mexicano sobre el cumplimiento y seguimiento de las recomendaciones de la CIDH, Recomendación 54</w:t>
        </w:r>
      </w:hyperlink>
      <w:r w:rsidR="003A493A">
        <w:rPr>
          <w:lang w:val="es-ES"/>
        </w:rPr>
        <w:t xml:space="preserve">, </w:t>
      </w:r>
      <w:r w:rsidR="003A493A" w:rsidRPr="00C26987">
        <w:rPr>
          <w:lang w:val="es-ES"/>
        </w:rPr>
        <w:t>Capítulo V, 30</w:t>
      </w:r>
      <w:r w:rsidR="003A493A">
        <w:rPr>
          <w:lang w:val="es-ES"/>
        </w:rPr>
        <w:t xml:space="preserve"> de</w:t>
      </w:r>
      <w:r w:rsidR="003A493A" w:rsidRPr="00C26987">
        <w:rPr>
          <w:lang w:val="es-ES"/>
        </w:rPr>
        <w:t xml:space="preserve"> septiembre y 1 de octubre de </w:t>
      </w:r>
      <w:r w:rsidR="003A493A">
        <w:rPr>
          <w:lang w:val="es-ES"/>
        </w:rPr>
        <w:t>2024.</w:t>
      </w:r>
      <w:r w:rsidR="003A493A" w:rsidRPr="00902744">
        <w:t xml:space="preserve"> </w:t>
      </w:r>
    </w:p>
  </w:footnote>
  <w:footnote w:id="208">
    <w:p w14:paraId="7B02691A" w14:textId="77777777" w:rsidR="00022D03" w:rsidRPr="00616692" w:rsidRDefault="00022D03" w:rsidP="00254D0F">
      <w:pPr>
        <w:pStyle w:val="IANOTAALPIE"/>
        <w:rPr>
          <w:lang w:val="es-ES"/>
        </w:rPr>
      </w:pPr>
      <w:r w:rsidRPr="00616692">
        <w:rPr>
          <w:rStyle w:val="FootnoteReference"/>
        </w:rPr>
        <w:footnoteRef/>
      </w:r>
      <w:r w:rsidRPr="00616692">
        <w:rPr>
          <w:lang w:val="es-ES"/>
        </w:rPr>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209">
    <w:p w14:paraId="4B3B6FE3" w14:textId="1DBFD43C" w:rsidR="00902744" w:rsidRPr="00902744" w:rsidRDefault="00902744" w:rsidP="00254D0F">
      <w:pPr>
        <w:pStyle w:val="IANOTAALPIE"/>
        <w:rPr>
          <w:lang w:val="es-ES"/>
        </w:rPr>
      </w:pPr>
      <w:r w:rsidRPr="00616692">
        <w:rPr>
          <w:rStyle w:val="FootnoteReference"/>
        </w:rPr>
        <w:footnoteRef/>
      </w:r>
      <w:r w:rsidRPr="00616692">
        <w:rPr>
          <w:lang w:val="es-ES"/>
        </w:rPr>
        <w:t xml:space="preserve"> Centro Prodh</w:t>
      </w:r>
      <w:r w:rsidR="00195832" w:rsidRPr="00616692">
        <w:rPr>
          <w:lang w:val="es-ES"/>
        </w:rPr>
        <w:t>,</w:t>
      </w:r>
      <w:r w:rsidRPr="00616692">
        <w:rPr>
          <w:lang w:val="es-ES"/>
        </w:rPr>
        <w:t xml:space="preserve"> FJEDD</w:t>
      </w:r>
      <w:r w:rsidR="00195832" w:rsidRPr="00616692">
        <w:rPr>
          <w:lang w:val="es-ES"/>
        </w:rPr>
        <w:t>,</w:t>
      </w:r>
      <w:r w:rsidRPr="00616692">
        <w:rPr>
          <w:lang w:val="es-ES"/>
        </w:rPr>
        <w:t xml:space="preserve"> Marisol Méndez Cruz, Jerónimo del Río y Fabienne Cabaret</w:t>
      </w:r>
      <w:r w:rsidR="00195832" w:rsidRPr="00616692">
        <w:rPr>
          <w:lang w:val="es-ES"/>
        </w:rPr>
        <w:t>,</w:t>
      </w:r>
      <w:r w:rsidRPr="00616692">
        <w:rPr>
          <w:lang w:val="es-ES"/>
        </w:rPr>
        <w:t xml:space="preserve"> SERAPAZ</w:t>
      </w:r>
      <w:r w:rsidR="00195832" w:rsidRPr="00616692">
        <w:rPr>
          <w:lang w:val="es-ES"/>
        </w:rPr>
        <w:t>,</w:t>
      </w:r>
      <w:r w:rsidRPr="00616692">
        <w:rPr>
          <w:lang w:val="es-ES"/>
        </w:rPr>
        <w:t xml:space="preserve"> Idheas Litigio Estratégico en Derechos Humanos y Organización Ku’kay</w:t>
      </w:r>
      <w:r w:rsidR="00195832" w:rsidRPr="00616692">
        <w:rPr>
          <w:lang w:val="es-ES"/>
        </w:rPr>
        <w:t>;</w:t>
      </w:r>
      <w:r w:rsidRPr="00616692">
        <w:rPr>
          <w:lang w:val="es-ES"/>
        </w:rPr>
        <w:t xml:space="preserve"> Seguimiento sobre el cumplimiento de las recomendaciones del Informe “Situación de Derechos Humanos en México”, octubre de 2024.</w:t>
      </w:r>
    </w:p>
    <w:p w14:paraId="22D92B46" w14:textId="4240252A" w:rsidR="00902744" w:rsidRPr="00902744" w:rsidRDefault="00902744" w:rsidP="0081344B">
      <w:pPr>
        <w:pStyle w:val="FootnoteText"/>
        <w:jc w:val="both"/>
        <w:rPr>
          <w:lang w:val="es-ES"/>
        </w:rPr>
      </w:pPr>
    </w:p>
  </w:footnote>
  <w:footnote w:id="210">
    <w:p w14:paraId="783619A7" w14:textId="49A1A728" w:rsidR="007B7AAF" w:rsidRPr="00882500" w:rsidRDefault="007B7AAF" w:rsidP="00254D0F">
      <w:pPr>
        <w:pStyle w:val="IANOTAALPIE"/>
        <w:rPr>
          <w:lang w:val="es-US"/>
        </w:rPr>
      </w:pPr>
      <w:r w:rsidRPr="00C26987">
        <w:rPr>
          <w:rStyle w:val="FootnoteReference"/>
        </w:rPr>
        <w:footnoteRef/>
      </w:r>
      <w:r w:rsidRPr="00852144">
        <w:rPr>
          <w:lang w:val="pt-BR"/>
        </w:rPr>
        <w:t xml:space="preserve"> CIDH</w:t>
      </w:r>
      <w:r w:rsidRPr="002B01A1">
        <w:rPr>
          <w:rStyle w:val="Hyperlink"/>
          <w:rFonts w:eastAsiaTheme="minorHAnsi" w:cstheme="minorBidi"/>
          <w:color w:val="0563C1" w:themeColor="hyperlink"/>
          <w:szCs w:val="20"/>
          <w:lang w:val="pt-BR" w:eastAsia="en-US"/>
        </w:rPr>
        <w:t xml:space="preserve">, </w:t>
      </w:r>
      <w:hyperlink r:id="rId158">
        <w:r w:rsidRPr="002B01A1">
          <w:rPr>
            <w:rStyle w:val="Hyperlink"/>
            <w:rFonts w:eastAsiaTheme="minorHAnsi" w:cstheme="minorBidi"/>
            <w:color w:val="0563C1" w:themeColor="hyperlink"/>
            <w:szCs w:val="20"/>
            <w:lang w:val="pt-BR" w:eastAsia="en-US"/>
          </w:rPr>
          <w:t>Informe Anual, Capítulo V, México</w:t>
        </w:r>
      </w:hyperlink>
      <w:r w:rsidRPr="00852144">
        <w:rPr>
          <w:lang w:val="pt-BR"/>
        </w:rPr>
        <w:t>, 2023, párr</w:t>
      </w:r>
      <w:r w:rsidR="00195832" w:rsidRPr="00852144">
        <w:rPr>
          <w:lang w:val="pt-BR"/>
        </w:rPr>
        <w:t>s</w:t>
      </w:r>
      <w:r w:rsidRPr="00852144">
        <w:rPr>
          <w:lang w:val="pt-BR"/>
        </w:rPr>
        <w:t xml:space="preserve">. </w:t>
      </w:r>
      <w:r w:rsidRPr="00882500">
        <w:rPr>
          <w:lang w:val="es-US"/>
        </w:rPr>
        <w:t>292-297.</w:t>
      </w:r>
    </w:p>
  </w:footnote>
  <w:footnote w:id="211">
    <w:p w14:paraId="604312D1" w14:textId="3540564C" w:rsidR="00902744" w:rsidRPr="00902744" w:rsidRDefault="00902744" w:rsidP="00254D0F">
      <w:pPr>
        <w:pStyle w:val="IANOTAALPIE"/>
      </w:pPr>
      <w:r>
        <w:rPr>
          <w:rStyle w:val="FootnoteReference"/>
        </w:rPr>
        <w:footnoteRef/>
      </w:r>
      <w:r w:rsidRPr="00902744">
        <w:t xml:space="preserve"> </w:t>
      </w:r>
      <w:r w:rsidR="003A493A">
        <w:rPr>
          <w:lang w:val="es-ES"/>
        </w:rPr>
        <w:t xml:space="preserve">SIMORE Interamericano, </w:t>
      </w:r>
      <w:hyperlink r:id="rId159" w:history="1">
        <w:r w:rsidR="003A493A" w:rsidRPr="00CC5B9B">
          <w:rPr>
            <w:rStyle w:val="Hyperlink"/>
            <w:rFonts w:eastAsiaTheme="minorHAnsi" w:cstheme="minorBidi"/>
            <w:color w:val="0563C1" w:themeColor="hyperlink"/>
            <w:szCs w:val="20"/>
            <w:lang w:val="es-AR" w:eastAsia="en-US"/>
          </w:rPr>
          <w:t>Informe de avance del Estado mexicano sobre el cumplimiento y seguimiento de las recomendaciones de la CIDH, Recomendación 57</w:t>
        </w:r>
      </w:hyperlink>
      <w:r w:rsidR="003A493A">
        <w:rPr>
          <w:lang w:val="es-ES"/>
        </w:rPr>
        <w:t xml:space="preserve">, </w:t>
      </w:r>
      <w:r w:rsidR="003A493A" w:rsidRPr="00C26987">
        <w:rPr>
          <w:lang w:val="es-ES"/>
        </w:rPr>
        <w:t>Capítulo V, 30</w:t>
      </w:r>
      <w:r w:rsidR="003A493A">
        <w:rPr>
          <w:lang w:val="es-ES"/>
        </w:rPr>
        <w:t xml:space="preserve"> de</w:t>
      </w:r>
      <w:r w:rsidR="003A493A" w:rsidRPr="00C26987">
        <w:rPr>
          <w:lang w:val="es-ES"/>
        </w:rPr>
        <w:t xml:space="preserve"> septiembre y 1 de octubre de </w:t>
      </w:r>
      <w:r w:rsidR="003A493A">
        <w:rPr>
          <w:lang w:val="es-ES"/>
        </w:rPr>
        <w:t>2024.</w:t>
      </w:r>
      <w:r w:rsidR="003A493A" w:rsidRPr="00902744">
        <w:t xml:space="preserve"> </w:t>
      </w:r>
    </w:p>
  </w:footnote>
  <w:footnote w:id="212">
    <w:p w14:paraId="1D42C0AB" w14:textId="2B9C5A62" w:rsidR="004B3D21" w:rsidRPr="004B3D21" w:rsidRDefault="004B3D21" w:rsidP="00254D0F">
      <w:pPr>
        <w:pStyle w:val="IANOTAALPIE"/>
      </w:pPr>
      <w:r w:rsidRPr="004B3D21">
        <w:rPr>
          <w:rStyle w:val="FootnoteReference"/>
        </w:rPr>
        <w:footnoteRef/>
      </w:r>
      <w:r w:rsidRPr="004B3D21">
        <w:t xml:space="preserve"> Centro Prodh</w:t>
      </w:r>
      <w:r w:rsidR="008A0C2D">
        <w:t>,</w:t>
      </w:r>
      <w:r w:rsidRPr="004B3D21">
        <w:t xml:space="preserve"> FJEDD</w:t>
      </w:r>
      <w:r w:rsidR="008A0C2D">
        <w:t>,</w:t>
      </w:r>
      <w:r w:rsidRPr="004B3D21">
        <w:t xml:space="preserve"> Marisol Méndez Cruz, Jerónimo del Río y Fabienne Cabaret</w:t>
      </w:r>
      <w:r w:rsidR="008A0C2D">
        <w:t>,</w:t>
      </w:r>
      <w:r w:rsidRPr="004B3D21">
        <w:t xml:space="preserve"> SERAPAZ</w:t>
      </w:r>
      <w:r w:rsidR="008A0C2D">
        <w:t>,</w:t>
      </w:r>
      <w:r w:rsidRPr="004B3D21">
        <w:t xml:space="preserve"> Idheas Litigio Estratégico en Derechos Humanos y Organización Ku’kay</w:t>
      </w:r>
      <w:r w:rsidR="008A0C2D">
        <w:t>;</w:t>
      </w:r>
      <w:r w:rsidRPr="004B3D21">
        <w:t xml:space="preserve"> Seguimiento sobre el cumplimiento de las recomendaciones del Informe “Situación de Derechos Humanos en México”, octubre de 2024.</w:t>
      </w:r>
    </w:p>
  </w:footnote>
  <w:footnote w:id="213">
    <w:p w14:paraId="4E831DD1" w14:textId="7A267903" w:rsidR="007B7AAF" w:rsidRPr="00882500" w:rsidRDefault="007B7AAF" w:rsidP="00254D0F">
      <w:pPr>
        <w:pStyle w:val="IANOTAALPIE"/>
        <w:rPr>
          <w:lang w:val="es-US"/>
        </w:rPr>
      </w:pPr>
      <w:r w:rsidRPr="00C26987">
        <w:rPr>
          <w:rStyle w:val="FootnoteReference"/>
        </w:rPr>
        <w:footnoteRef/>
      </w:r>
      <w:r w:rsidRPr="00C26987">
        <w:rPr>
          <w:lang w:val="pt-BR"/>
        </w:rPr>
        <w:t xml:space="preserve"> CIDH</w:t>
      </w:r>
      <w:r w:rsidRPr="002B01A1">
        <w:rPr>
          <w:rStyle w:val="Hyperlink"/>
          <w:rFonts w:eastAsiaTheme="minorHAnsi" w:cstheme="minorBidi"/>
          <w:color w:val="0563C1" w:themeColor="hyperlink"/>
          <w:szCs w:val="20"/>
          <w:lang w:val="pt-BR" w:eastAsia="en-US"/>
        </w:rPr>
        <w:t xml:space="preserve">, </w:t>
      </w:r>
      <w:hyperlink r:id="rId160">
        <w:r w:rsidRPr="002B01A1">
          <w:rPr>
            <w:rStyle w:val="Hyperlink"/>
            <w:rFonts w:eastAsiaTheme="minorHAnsi" w:cstheme="minorBidi"/>
            <w:color w:val="0563C1" w:themeColor="hyperlink"/>
            <w:szCs w:val="20"/>
            <w:lang w:val="pt-BR" w:eastAsia="en-US"/>
          </w:rPr>
          <w:t>Informe Anual, Capítulo V, México</w:t>
        </w:r>
      </w:hyperlink>
      <w:r w:rsidRPr="00C26987">
        <w:rPr>
          <w:lang w:val="pt-BR"/>
        </w:rPr>
        <w:t>, 2023, párr</w:t>
      </w:r>
      <w:r w:rsidR="008A0C2D">
        <w:rPr>
          <w:lang w:val="pt-BR"/>
        </w:rPr>
        <w:t>s</w:t>
      </w:r>
      <w:r w:rsidRPr="00C26987">
        <w:rPr>
          <w:lang w:val="pt-BR"/>
        </w:rPr>
        <w:t xml:space="preserve">. </w:t>
      </w:r>
      <w:r w:rsidRPr="00882500">
        <w:rPr>
          <w:lang w:val="es-US"/>
        </w:rPr>
        <w:t>299-305.</w:t>
      </w:r>
    </w:p>
  </w:footnote>
  <w:footnote w:id="214">
    <w:p w14:paraId="15E307D0" w14:textId="6B900AF6" w:rsidR="004B3D21" w:rsidRPr="004B3D21" w:rsidRDefault="004B3D21" w:rsidP="00254D0F">
      <w:pPr>
        <w:pStyle w:val="IANOTAALPIE"/>
      </w:pPr>
      <w:r>
        <w:rPr>
          <w:rStyle w:val="FootnoteReference"/>
        </w:rPr>
        <w:footnoteRef/>
      </w:r>
      <w:r w:rsidRPr="004B3D21">
        <w:t xml:space="preserve"> </w:t>
      </w:r>
      <w:r w:rsidR="003A493A">
        <w:rPr>
          <w:lang w:val="es-ES"/>
        </w:rPr>
        <w:t xml:space="preserve">SIMORE Interamericano, </w:t>
      </w:r>
      <w:hyperlink r:id="rId161" w:history="1">
        <w:r w:rsidR="003A493A" w:rsidRPr="00CC5B9B">
          <w:rPr>
            <w:rStyle w:val="Hyperlink"/>
            <w:rFonts w:eastAsiaTheme="minorHAnsi" w:cstheme="minorBidi"/>
            <w:color w:val="0563C1" w:themeColor="hyperlink"/>
            <w:szCs w:val="20"/>
            <w:lang w:val="es-AR" w:eastAsia="en-US"/>
          </w:rPr>
          <w:t>Informe de avance del Estado mexicano sobre el cumplimiento y seguimiento de las recomendaciones de la CIDH, Recomendación 58</w:t>
        </w:r>
      </w:hyperlink>
      <w:r w:rsidR="003A493A">
        <w:rPr>
          <w:lang w:val="es-ES"/>
        </w:rPr>
        <w:t xml:space="preserve">, </w:t>
      </w:r>
      <w:r w:rsidR="003A493A" w:rsidRPr="00C26987">
        <w:rPr>
          <w:lang w:val="es-ES"/>
        </w:rPr>
        <w:t>Capítulo V, 30</w:t>
      </w:r>
      <w:r w:rsidR="003A493A">
        <w:rPr>
          <w:lang w:val="es-ES"/>
        </w:rPr>
        <w:t xml:space="preserve"> de</w:t>
      </w:r>
      <w:r w:rsidR="003A493A" w:rsidRPr="00C26987">
        <w:rPr>
          <w:lang w:val="es-ES"/>
        </w:rPr>
        <w:t xml:space="preserve"> septiembre y 1 de octubre de </w:t>
      </w:r>
      <w:r w:rsidR="003A493A">
        <w:rPr>
          <w:lang w:val="es-ES"/>
        </w:rPr>
        <w:t>2024.</w:t>
      </w:r>
      <w:r w:rsidR="003A493A" w:rsidRPr="00902744">
        <w:t xml:space="preserve"> </w:t>
      </w:r>
    </w:p>
  </w:footnote>
  <w:footnote w:id="215">
    <w:p w14:paraId="171BC866" w14:textId="12F721E0" w:rsidR="007B7AAF" w:rsidRPr="00C26987" w:rsidRDefault="007B7AAF" w:rsidP="00254D0F">
      <w:pPr>
        <w:pStyle w:val="IANOTAALPIE"/>
      </w:pPr>
      <w:r w:rsidRPr="00C26987">
        <w:rPr>
          <w:rStyle w:val="FootnoteReference"/>
        </w:rPr>
        <w:footnoteRef/>
      </w:r>
      <w:r w:rsidRPr="00C26987">
        <w:rPr>
          <w:lang w:val="pt-BR"/>
        </w:rPr>
        <w:t xml:space="preserve"> CIDH, </w:t>
      </w:r>
      <w:hyperlink r:id="rId162">
        <w:r w:rsidRPr="002B01A1">
          <w:rPr>
            <w:rStyle w:val="Hyperlink"/>
            <w:rFonts w:eastAsiaTheme="minorHAnsi" w:cstheme="minorBidi"/>
            <w:color w:val="0563C1" w:themeColor="hyperlink"/>
            <w:szCs w:val="20"/>
            <w:lang w:val="pt-BR" w:eastAsia="en-US"/>
          </w:rPr>
          <w:t>Informe Anual, Capítulo V, México</w:t>
        </w:r>
      </w:hyperlink>
      <w:r w:rsidRPr="00C26987">
        <w:rPr>
          <w:lang w:val="pt-BR"/>
        </w:rPr>
        <w:t>, 2023, párr</w:t>
      </w:r>
      <w:r w:rsidR="008A0C2D">
        <w:rPr>
          <w:lang w:val="pt-BR"/>
        </w:rPr>
        <w:t>s</w:t>
      </w:r>
      <w:r w:rsidRPr="00C26987">
        <w:rPr>
          <w:lang w:val="pt-BR"/>
        </w:rPr>
        <w:t xml:space="preserve">. </w:t>
      </w:r>
      <w:r w:rsidRPr="00C26987">
        <w:t>307-311.</w:t>
      </w:r>
    </w:p>
  </w:footnote>
  <w:footnote w:id="216">
    <w:p w14:paraId="1F579352" w14:textId="7DFDCD22" w:rsidR="004B3D21" w:rsidRPr="004B3D21" w:rsidRDefault="004B3D21" w:rsidP="00254D0F">
      <w:pPr>
        <w:pStyle w:val="IANOTAALPIE"/>
      </w:pPr>
      <w:r>
        <w:rPr>
          <w:rStyle w:val="FootnoteReference"/>
        </w:rPr>
        <w:footnoteRef/>
      </w:r>
      <w:r w:rsidRPr="004B3D21">
        <w:t xml:space="preserve"> </w:t>
      </w:r>
      <w:r w:rsidR="003A493A">
        <w:rPr>
          <w:lang w:val="es-ES"/>
        </w:rPr>
        <w:t xml:space="preserve">SIMORE Interamericano, </w:t>
      </w:r>
      <w:hyperlink r:id="rId163" w:history="1">
        <w:r w:rsidR="003A493A" w:rsidRPr="00CC5B9B">
          <w:rPr>
            <w:rStyle w:val="Hyperlink"/>
            <w:rFonts w:eastAsiaTheme="minorHAnsi" w:cstheme="minorBidi"/>
            <w:color w:val="0563C1" w:themeColor="hyperlink"/>
            <w:szCs w:val="20"/>
            <w:lang w:val="es-AR" w:eastAsia="en-US"/>
          </w:rPr>
          <w:t>Informe de avance del Estado mexicano sobre el cumplimiento y seguimiento de las recomendaciones de la CIDH, Recomendación 59</w:t>
        </w:r>
      </w:hyperlink>
      <w:r w:rsidR="003A493A">
        <w:rPr>
          <w:lang w:val="es-ES"/>
        </w:rPr>
        <w:t xml:space="preserve">, </w:t>
      </w:r>
      <w:r w:rsidR="003A493A" w:rsidRPr="00C26987">
        <w:rPr>
          <w:lang w:val="es-ES"/>
        </w:rPr>
        <w:t>Capítulo V, 30</w:t>
      </w:r>
      <w:r w:rsidR="003A493A">
        <w:rPr>
          <w:lang w:val="es-ES"/>
        </w:rPr>
        <w:t xml:space="preserve"> de</w:t>
      </w:r>
      <w:r w:rsidR="003A493A" w:rsidRPr="00C26987">
        <w:rPr>
          <w:lang w:val="es-ES"/>
        </w:rPr>
        <w:t xml:space="preserve"> septiembre y 1 de octubre de </w:t>
      </w:r>
      <w:r w:rsidR="003A493A">
        <w:rPr>
          <w:lang w:val="es-ES"/>
        </w:rPr>
        <w:t>2024.</w:t>
      </w:r>
      <w:r w:rsidR="003A493A" w:rsidRPr="00902744">
        <w:t xml:space="preserve"> </w:t>
      </w:r>
    </w:p>
  </w:footnote>
  <w:footnote w:id="217">
    <w:p w14:paraId="0FF28C3E" w14:textId="075EABA8" w:rsidR="00105530" w:rsidRPr="00C26987" w:rsidRDefault="00105530" w:rsidP="00254D0F">
      <w:pPr>
        <w:pStyle w:val="IANOTAALPIE"/>
        <w:rPr>
          <w:lang w:val="es-US"/>
        </w:rPr>
      </w:pPr>
      <w:r w:rsidRPr="00C26987">
        <w:rPr>
          <w:rStyle w:val="FootnoteReference"/>
        </w:rPr>
        <w:footnoteRef/>
      </w:r>
      <w:r w:rsidRPr="00C26987">
        <w:rPr>
          <w:lang w:val="pt-BR"/>
        </w:rPr>
        <w:t xml:space="preserve"> CIDH, </w:t>
      </w:r>
      <w:hyperlink r:id="rId164">
        <w:r w:rsidRPr="002B01A1">
          <w:rPr>
            <w:rStyle w:val="Hyperlink"/>
            <w:rFonts w:eastAsiaTheme="minorHAnsi" w:cstheme="minorBidi"/>
            <w:color w:val="0563C1" w:themeColor="hyperlink"/>
            <w:szCs w:val="20"/>
            <w:lang w:val="pt-BR" w:eastAsia="en-US"/>
          </w:rPr>
          <w:t>Informe Anual, Capítulo V, México</w:t>
        </w:r>
      </w:hyperlink>
      <w:r w:rsidRPr="00C26987">
        <w:rPr>
          <w:lang w:val="pt-BR"/>
        </w:rPr>
        <w:t>, 2023, párr</w:t>
      </w:r>
      <w:r w:rsidR="00CA5B76">
        <w:rPr>
          <w:lang w:val="pt-BR"/>
        </w:rPr>
        <w:t>s</w:t>
      </w:r>
      <w:r w:rsidRPr="00C26987">
        <w:rPr>
          <w:lang w:val="pt-BR"/>
        </w:rPr>
        <w:t xml:space="preserve">. </w:t>
      </w:r>
      <w:r w:rsidRPr="00C26987">
        <w:t>313-317.</w:t>
      </w:r>
    </w:p>
  </w:footnote>
  <w:footnote w:id="218">
    <w:p w14:paraId="66FAF0C6" w14:textId="64D6DD1E" w:rsidR="00105530" w:rsidRPr="00C26987" w:rsidRDefault="00105530" w:rsidP="00254D0F">
      <w:pPr>
        <w:pStyle w:val="IANOTAALPIE"/>
      </w:pPr>
      <w:r w:rsidRPr="00C26987">
        <w:rPr>
          <w:rStyle w:val="FootnoteReference"/>
        </w:rPr>
        <w:footnoteRef/>
      </w:r>
      <w:r w:rsidRPr="00C26987">
        <w:rPr>
          <w:lang w:val="es-US"/>
        </w:rPr>
        <w:t xml:space="preserve"> CIDH, </w:t>
      </w:r>
      <w:hyperlink r:id="rId165">
        <w:r w:rsidRPr="00CC5B9B">
          <w:rPr>
            <w:rStyle w:val="Hyperlink"/>
            <w:rFonts w:eastAsiaTheme="minorHAnsi" w:cstheme="minorBidi"/>
            <w:color w:val="0563C1" w:themeColor="hyperlink"/>
            <w:szCs w:val="20"/>
            <w:lang w:val="es-AR" w:eastAsia="en-US"/>
          </w:rPr>
          <w:t>Informe Anual, Capítulo V, México</w:t>
        </w:r>
      </w:hyperlink>
      <w:r w:rsidRPr="00C26987">
        <w:rPr>
          <w:lang w:val="es-US"/>
        </w:rPr>
        <w:t>, 2023, párr</w:t>
      </w:r>
      <w:r w:rsidR="00CA5B76">
        <w:rPr>
          <w:lang w:val="es-US"/>
        </w:rPr>
        <w:t>s</w:t>
      </w:r>
      <w:r w:rsidRPr="00C26987">
        <w:rPr>
          <w:lang w:val="es-US"/>
        </w:rPr>
        <w:t xml:space="preserve">. </w:t>
      </w:r>
      <w:r w:rsidRPr="00C26987">
        <w:t>313-317.</w:t>
      </w:r>
    </w:p>
  </w:footnote>
  <w:footnote w:id="219">
    <w:p w14:paraId="0C31031A" w14:textId="1AD5C1A4" w:rsidR="00291D61" w:rsidRPr="00291D61" w:rsidRDefault="00291D61" w:rsidP="00254D0F">
      <w:pPr>
        <w:pStyle w:val="IANOTAALPIE"/>
      </w:pPr>
      <w:r>
        <w:rPr>
          <w:rStyle w:val="FootnoteReference"/>
        </w:rPr>
        <w:footnoteRef/>
      </w:r>
      <w:r w:rsidRPr="00291D61">
        <w:t xml:space="preserve"> </w:t>
      </w:r>
      <w:r w:rsidR="003A493A">
        <w:rPr>
          <w:lang w:val="es-ES"/>
        </w:rPr>
        <w:t xml:space="preserve">SIMORE Interamericano, </w:t>
      </w:r>
      <w:hyperlink r:id="rId166" w:history="1">
        <w:r w:rsidR="003A493A" w:rsidRPr="00CC5B9B">
          <w:rPr>
            <w:rStyle w:val="Hyperlink"/>
            <w:rFonts w:eastAsiaTheme="minorHAnsi" w:cstheme="minorBidi"/>
            <w:color w:val="0563C1" w:themeColor="hyperlink"/>
            <w:szCs w:val="20"/>
            <w:lang w:val="es-AR" w:eastAsia="en-US"/>
          </w:rPr>
          <w:t>Informe de avance del Estado mexicano sobre el cumplimiento y seguimiento de las recomendaciones de la CIDH, Recomendación 60</w:t>
        </w:r>
      </w:hyperlink>
      <w:r w:rsidR="003A493A">
        <w:rPr>
          <w:lang w:val="es-ES"/>
        </w:rPr>
        <w:t xml:space="preserve">, </w:t>
      </w:r>
      <w:r w:rsidR="003A493A" w:rsidRPr="00C26987">
        <w:rPr>
          <w:lang w:val="es-ES"/>
        </w:rPr>
        <w:t>Capítulo V, 30</w:t>
      </w:r>
      <w:r w:rsidR="003A493A">
        <w:rPr>
          <w:lang w:val="es-ES"/>
        </w:rPr>
        <w:t xml:space="preserve"> de</w:t>
      </w:r>
      <w:r w:rsidR="003A493A" w:rsidRPr="00C26987">
        <w:rPr>
          <w:lang w:val="es-ES"/>
        </w:rPr>
        <w:t xml:space="preserve"> septiembre y 1 de octubre de </w:t>
      </w:r>
      <w:r w:rsidR="003A493A">
        <w:rPr>
          <w:lang w:val="es-ES"/>
        </w:rPr>
        <w:t>2024.</w:t>
      </w:r>
      <w:r w:rsidR="003A493A" w:rsidRPr="00902744">
        <w:t xml:space="preserve"> </w:t>
      </w:r>
    </w:p>
  </w:footnote>
  <w:footnote w:id="220">
    <w:p w14:paraId="43F3DC5B" w14:textId="4FCCD614" w:rsidR="00105530" w:rsidRPr="00C26987" w:rsidRDefault="00105530" w:rsidP="00254D0F">
      <w:pPr>
        <w:pStyle w:val="IANOTAALPIE"/>
      </w:pPr>
      <w:r w:rsidRPr="00C26987">
        <w:rPr>
          <w:rStyle w:val="FootnoteReference"/>
        </w:rPr>
        <w:footnoteRef/>
      </w:r>
      <w:r w:rsidRPr="00C26987">
        <w:t xml:space="preserve"> </w:t>
      </w:r>
      <w:r w:rsidR="003A493A">
        <w:rPr>
          <w:lang w:val="es-ES"/>
        </w:rPr>
        <w:t xml:space="preserve">SIMORE Interamericano, </w:t>
      </w:r>
      <w:hyperlink r:id="rId167" w:history="1">
        <w:r w:rsidR="003A493A" w:rsidRPr="00CC5B9B">
          <w:rPr>
            <w:rStyle w:val="Hyperlink"/>
            <w:rFonts w:eastAsiaTheme="minorHAnsi" w:cstheme="minorBidi"/>
            <w:color w:val="0563C1" w:themeColor="hyperlink"/>
            <w:szCs w:val="20"/>
            <w:lang w:val="es-AR" w:eastAsia="en-US"/>
          </w:rPr>
          <w:t>Informe de avance del Estado mexicano sobre el cumplimiento y seguimiento de las recomendaciones de la CIDH, Recomendación 60</w:t>
        </w:r>
      </w:hyperlink>
      <w:r w:rsidR="003A493A" w:rsidRPr="001034AA">
        <w:rPr>
          <w:rStyle w:val="Hyperlink"/>
        </w:rPr>
        <w:t>,</w:t>
      </w:r>
      <w:r w:rsidR="003A493A">
        <w:rPr>
          <w:lang w:val="es-ES"/>
        </w:rPr>
        <w:t xml:space="preserve"> </w:t>
      </w:r>
      <w:r w:rsidR="003A493A" w:rsidRPr="00C26987">
        <w:rPr>
          <w:lang w:val="es-ES"/>
        </w:rPr>
        <w:t>Capítulo V, 30</w:t>
      </w:r>
      <w:r w:rsidR="003A493A">
        <w:rPr>
          <w:lang w:val="es-ES"/>
        </w:rPr>
        <w:t xml:space="preserve"> de</w:t>
      </w:r>
      <w:r w:rsidR="003A493A" w:rsidRPr="00C26987">
        <w:rPr>
          <w:lang w:val="es-ES"/>
        </w:rPr>
        <w:t xml:space="preserve"> septiembre y 1 de octubre de </w:t>
      </w:r>
      <w:r w:rsidR="003A493A">
        <w:rPr>
          <w:lang w:val="es-ES"/>
        </w:rPr>
        <w:t>2024.</w:t>
      </w:r>
    </w:p>
  </w:footnote>
  <w:footnote w:id="221">
    <w:p w14:paraId="7D5975A2" w14:textId="77777777" w:rsidR="00105530" w:rsidRPr="00C26987" w:rsidRDefault="00105530" w:rsidP="00254D0F">
      <w:pPr>
        <w:pStyle w:val="IANOTAALPIE"/>
      </w:pPr>
      <w:r w:rsidRPr="00C26987">
        <w:rPr>
          <w:rStyle w:val="FootnoteReference"/>
        </w:rPr>
        <w:footnoteRef/>
      </w:r>
      <w:r w:rsidRPr="00C26987">
        <w:t xml:space="preserve"> Centro Prodh, </w:t>
      </w:r>
      <w:hyperlink r:id="rId168" w:history="1">
        <w:r w:rsidRPr="00CC5B9B">
          <w:rPr>
            <w:rStyle w:val="Hyperlink"/>
            <w:rFonts w:eastAsiaTheme="minorHAnsi" w:cstheme="minorBidi"/>
            <w:color w:val="0563C1" w:themeColor="hyperlink"/>
            <w:szCs w:val="20"/>
            <w:lang w:val="es-AR" w:eastAsia="en-US"/>
          </w:rPr>
          <w:t>Buscadoras exigen medidas de seguridad a México en audiencia pública ante la CIDH</w:t>
        </w:r>
        <w:r w:rsidRPr="00C26987">
          <w:rPr>
            <w:rStyle w:val="Hyperlink"/>
            <w:lang w:val="es-ES"/>
          </w:rPr>
          <w:t>,</w:t>
        </w:r>
      </w:hyperlink>
      <w:r w:rsidRPr="00C26987">
        <w:rPr>
          <w:i/>
          <w:iCs/>
        </w:rPr>
        <w:t xml:space="preserve"> </w:t>
      </w:r>
      <w:r w:rsidRPr="00C26987">
        <w:t xml:space="preserve">28 de febrero de 2024. </w:t>
      </w:r>
    </w:p>
  </w:footnote>
  <w:footnote w:id="222">
    <w:p w14:paraId="6C02BB3D" w14:textId="131DDDEB" w:rsidR="00105530" w:rsidRPr="00C26987" w:rsidRDefault="00105530" w:rsidP="00254D0F">
      <w:pPr>
        <w:pStyle w:val="IANOTAALPIE"/>
        <w:rPr>
          <w:lang w:val="es-US"/>
        </w:rPr>
      </w:pPr>
      <w:r w:rsidRPr="00C26987">
        <w:rPr>
          <w:rStyle w:val="FootnoteReference"/>
        </w:rPr>
        <w:footnoteRef/>
      </w:r>
      <w:r w:rsidRPr="00C26987">
        <w:rPr>
          <w:lang w:val="pt-BR"/>
        </w:rPr>
        <w:t xml:space="preserve"> CIDH,</w:t>
      </w:r>
      <w:hyperlink r:id="rId169" w:history="1">
        <w:r w:rsidRPr="002B01A1">
          <w:rPr>
            <w:rStyle w:val="Hyperlink"/>
            <w:rFonts w:eastAsiaTheme="minorHAnsi" w:cstheme="minorBidi"/>
            <w:color w:val="0563C1" w:themeColor="hyperlink"/>
            <w:szCs w:val="20"/>
            <w:lang w:val="pt-BR" w:eastAsia="en-US"/>
          </w:rPr>
          <w:t xml:space="preserve"> Informe Anual, Capítulo V, México</w:t>
        </w:r>
      </w:hyperlink>
      <w:r w:rsidRPr="00C26987">
        <w:rPr>
          <w:lang w:val="pt-BR"/>
        </w:rPr>
        <w:t xml:space="preserve">, 2023, párr. </w:t>
      </w:r>
      <w:r w:rsidRPr="00C26987">
        <w:t>318.</w:t>
      </w:r>
    </w:p>
  </w:footnote>
  <w:footnote w:id="223">
    <w:p w14:paraId="3FD608DF" w14:textId="77777777" w:rsidR="00105530" w:rsidRPr="00C26987" w:rsidRDefault="00105530" w:rsidP="00254D0F">
      <w:pPr>
        <w:pStyle w:val="IANOTAALPIE"/>
        <w:rPr>
          <w:lang w:val="es-US"/>
        </w:rPr>
      </w:pPr>
      <w:r w:rsidRPr="00C26987">
        <w:rPr>
          <w:rStyle w:val="FootnoteReference"/>
        </w:rPr>
        <w:footnoteRef/>
      </w:r>
      <w:r w:rsidRPr="00C26987">
        <w:rPr>
          <w:lang w:val="es-US"/>
        </w:rPr>
        <w:t xml:space="preserve"> </w:t>
      </w:r>
      <w:r w:rsidRPr="00C26987">
        <w:t xml:space="preserve">Centro Prodh, </w:t>
      </w:r>
      <w:hyperlink r:id="rId170" w:history="1">
        <w:r w:rsidRPr="00CC5B9B">
          <w:rPr>
            <w:rStyle w:val="Hyperlink"/>
            <w:rFonts w:eastAsiaTheme="minorHAnsi" w:cstheme="minorBidi"/>
            <w:color w:val="0563C1" w:themeColor="hyperlink"/>
            <w:szCs w:val="20"/>
            <w:lang w:val="es-AR" w:eastAsia="en-US"/>
          </w:rPr>
          <w:t>Suman 92 asesinatos de defensores de derechos humanos: Red</w:t>
        </w:r>
      </w:hyperlink>
      <w:r w:rsidRPr="001034AA">
        <w:rPr>
          <w:rStyle w:val="Hyperlink"/>
          <w:lang w:val="es-ES"/>
        </w:rPr>
        <w:t xml:space="preserve"> </w:t>
      </w:r>
      <w:r w:rsidRPr="00C26987">
        <w:t>TDT, 4 de junio de 2024.</w:t>
      </w:r>
    </w:p>
  </w:footnote>
  <w:footnote w:id="224">
    <w:p w14:paraId="111F3AA4" w14:textId="77777777" w:rsidR="00105530" w:rsidRPr="00C26987" w:rsidRDefault="00105530" w:rsidP="00254D0F">
      <w:pPr>
        <w:pStyle w:val="IANOTAALPIE"/>
        <w:rPr>
          <w:lang w:val="es-US"/>
        </w:rPr>
      </w:pPr>
      <w:r w:rsidRPr="00C26987">
        <w:rPr>
          <w:rStyle w:val="FootnoteReference"/>
        </w:rPr>
        <w:footnoteRef/>
      </w:r>
      <w:r w:rsidRPr="00C26987">
        <w:rPr>
          <w:lang w:val="es-US"/>
        </w:rPr>
        <w:t xml:space="preserve"> </w:t>
      </w:r>
      <w:r w:rsidRPr="00C26987">
        <w:t xml:space="preserve">ONU, </w:t>
      </w:r>
      <w:hyperlink r:id="rId171" w:history="1">
        <w:r w:rsidRPr="00CC5B9B">
          <w:rPr>
            <w:rStyle w:val="Hyperlink"/>
            <w:rFonts w:eastAsiaTheme="minorHAnsi" w:cstheme="minorBidi"/>
            <w:color w:val="0563C1" w:themeColor="hyperlink"/>
            <w:szCs w:val="20"/>
            <w:lang w:val="es-AR" w:eastAsia="en-US"/>
          </w:rPr>
          <w:t>La Oficina de Derechos Humanos en México llama a investigar el asesinato del activista Adolfo Enríquez Vanderkam</w:t>
        </w:r>
      </w:hyperlink>
      <w:r w:rsidRPr="00C26987">
        <w:t>, 23 de noviembre de 2023.</w:t>
      </w:r>
    </w:p>
  </w:footnote>
  <w:footnote w:id="225">
    <w:p w14:paraId="76196111" w14:textId="5AC31F2D" w:rsidR="00105530" w:rsidRPr="00C26987" w:rsidRDefault="00105530" w:rsidP="00254D0F">
      <w:pPr>
        <w:pStyle w:val="IANOTAALPIE"/>
        <w:rPr>
          <w:b/>
          <w:bCs/>
        </w:rPr>
      </w:pPr>
      <w:r w:rsidRPr="00C26987">
        <w:rPr>
          <w:rStyle w:val="FootnoteReference"/>
        </w:rPr>
        <w:footnoteRef/>
      </w:r>
      <w:r w:rsidR="00A25DCA">
        <w:t xml:space="preserve"> </w:t>
      </w:r>
      <w:r w:rsidRPr="00C26987">
        <w:t xml:space="preserve">ONU-DH, </w:t>
      </w:r>
      <w:hyperlink r:id="rId172" w:history="1">
        <w:r w:rsidRPr="00CC5B9B">
          <w:rPr>
            <w:rStyle w:val="Hyperlink"/>
            <w:rFonts w:eastAsiaTheme="minorHAnsi" w:cstheme="minorBidi"/>
            <w:color w:val="0563C1" w:themeColor="hyperlink"/>
            <w:szCs w:val="20"/>
            <w:lang w:val="es-AR" w:eastAsia="en-US"/>
          </w:rPr>
          <w:t>ONU-DH insta a investigar el asesinato del sacerdote y defensor indígena de los derechos humanos, Marcelo Pérez Pérez,</w:t>
        </w:r>
      </w:hyperlink>
      <w:r w:rsidRPr="00CC5B9B">
        <w:rPr>
          <w:rStyle w:val="Hyperlink"/>
          <w:rFonts w:eastAsiaTheme="minorHAnsi" w:cstheme="minorBidi"/>
          <w:color w:val="0563C1" w:themeColor="hyperlink"/>
          <w:szCs w:val="20"/>
          <w:lang w:val="es-AR" w:eastAsia="en-US"/>
        </w:rPr>
        <w:t xml:space="preserve"> </w:t>
      </w:r>
      <w:r w:rsidRPr="00C26987">
        <w:t>20 de octubre de 2024.</w:t>
      </w:r>
      <w:r w:rsidRPr="00C26987">
        <w:rPr>
          <w:b/>
          <w:bCs/>
        </w:rPr>
        <w:t xml:space="preserve"> </w:t>
      </w:r>
      <w:r w:rsidRPr="00C26987">
        <w:t>Las siete personas defensoras asesinadas durante 2024 son: Miriam Noemí Ríos, el 11 de enero, en Zamora, Michoacán; Samantha Gomes Fonseca, el 14 de enero, en Xochimilco, Ciudad de México; Angelita Almeras León, el 7 de febrero, en Tecate, Baja California; Noé Sandoval Adame, el 13 de febrero, en Chilpancingo de los Bravo, Guerrero; Socorro Barrera Sánchez, el 20 de junio, en Izúcar de Matamoros, Puebla; Danna Rodríguez, el 16 de agosto, en Zacapetec, Morelos; y el Padre Marcelo Pérez Pérez, el 20 de octubre, en San Cristóbal de las Casas, Chiapas.</w:t>
      </w:r>
    </w:p>
  </w:footnote>
  <w:footnote w:id="226">
    <w:p w14:paraId="46ADD1EB" w14:textId="3263D67C" w:rsidR="00105530" w:rsidRPr="00C26987" w:rsidRDefault="00105530" w:rsidP="00254D0F">
      <w:pPr>
        <w:pStyle w:val="IANOTAALPIE"/>
      </w:pPr>
      <w:r w:rsidRPr="00C26987">
        <w:rPr>
          <w:vertAlign w:val="superscript"/>
        </w:rPr>
        <w:footnoteRef/>
      </w:r>
      <w:r w:rsidRPr="00C26987">
        <w:rPr>
          <w:vertAlign w:val="superscript"/>
        </w:rPr>
        <w:t xml:space="preserve"> </w:t>
      </w:r>
      <w:r w:rsidRPr="00C26987">
        <w:t>CIDH, Medida cautelar No. 1498-18</w:t>
      </w:r>
      <w:r w:rsidR="009F4244">
        <w:t>,</w:t>
      </w:r>
      <w:r w:rsidRPr="00C26987">
        <w:t xml:space="preserve"> Marcelino Díaz Sánchez y otros respecto de México, 23 de abril de 2019.</w:t>
      </w:r>
    </w:p>
  </w:footnote>
  <w:footnote w:id="227">
    <w:p w14:paraId="155B113F" w14:textId="77777777" w:rsidR="00105530" w:rsidRPr="00C26987" w:rsidRDefault="00105530" w:rsidP="00254D0F">
      <w:pPr>
        <w:pStyle w:val="IANOTAALPIE"/>
      </w:pPr>
      <w:r w:rsidRPr="00C26987">
        <w:rPr>
          <w:rStyle w:val="FootnoteReference"/>
        </w:rPr>
        <w:footnoteRef/>
      </w:r>
      <w:r w:rsidRPr="00C26987">
        <w:t xml:space="preserve"> </w:t>
      </w:r>
      <w:r w:rsidRPr="00C26987">
        <w:rPr>
          <w:lang w:val="es-ES"/>
        </w:rPr>
        <w:t xml:space="preserve">CIDH, </w:t>
      </w:r>
      <w:hyperlink r:id="rId173" w:history="1">
        <w:r w:rsidRPr="00CC5B9B">
          <w:rPr>
            <w:rStyle w:val="Hyperlink"/>
            <w:rFonts w:eastAsiaTheme="minorHAnsi" w:cstheme="minorBidi"/>
            <w:color w:val="0563C1" w:themeColor="hyperlink"/>
            <w:szCs w:val="20"/>
            <w:lang w:val="es-AR" w:eastAsia="en-US"/>
          </w:rPr>
          <w:t>CIDH reconoce el liderazgo de mujeres buscadoras</w:t>
        </w:r>
      </w:hyperlink>
      <w:r w:rsidRPr="00C26987">
        <w:t>, 8 de marzo de 2023.</w:t>
      </w:r>
    </w:p>
  </w:footnote>
  <w:footnote w:id="228">
    <w:p w14:paraId="61B14E70" w14:textId="7347B16A" w:rsidR="00105530" w:rsidRPr="00C26987" w:rsidRDefault="00105530" w:rsidP="00254D0F">
      <w:pPr>
        <w:pStyle w:val="IANOTAALPIE"/>
      </w:pPr>
      <w:r w:rsidRPr="00C26987">
        <w:rPr>
          <w:rStyle w:val="FootnoteReference"/>
        </w:rPr>
        <w:footnoteRef/>
      </w:r>
      <w:r w:rsidRPr="00C26987">
        <w:rPr>
          <w:vertAlign w:val="superscript"/>
          <w:lang w:val="pt-BR"/>
        </w:rPr>
        <w:t xml:space="preserve"> </w:t>
      </w:r>
      <w:r w:rsidRPr="00C26987">
        <w:rPr>
          <w:lang w:val="pt-BR"/>
        </w:rPr>
        <w:t xml:space="preserve">CIDH, </w:t>
      </w:r>
      <w:hyperlink r:id="rId174">
        <w:r w:rsidR="00637CAB" w:rsidRPr="002B01A1">
          <w:rPr>
            <w:rStyle w:val="Hyperlink"/>
            <w:rFonts w:eastAsiaTheme="minorHAnsi" w:cstheme="minorBidi"/>
            <w:color w:val="0563C1" w:themeColor="hyperlink"/>
            <w:szCs w:val="20"/>
            <w:lang w:val="pt-BR" w:eastAsia="en-US"/>
          </w:rPr>
          <w:t>Informe Anual, Capítulo V, México</w:t>
        </w:r>
      </w:hyperlink>
      <w:r w:rsidRPr="00C26987">
        <w:rPr>
          <w:lang w:val="pt-BR"/>
        </w:rPr>
        <w:t>, 2023, párr</w:t>
      </w:r>
      <w:r w:rsidR="00637CAB">
        <w:rPr>
          <w:lang w:val="pt-BR"/>
        </w:rPr>
        <w:t>s</w:t>
      </w:r>
      <w:r w:rsidRPr="00C26987">
        <w:rPr>
          <w:lang w:val="pt-BR"/>
        </w:rPr>
        <w:t xml:space="preserve">. </w:t>
      </w:r>
      <w:r w:rsidRPr="00C26987">
        <w:t>321-327.</w:t>
      </w:r>
    </w:p>
  </w:footnote>
  <w:footnote w:id="229">
    <w:p w14:paraId="6A1B1380" w14:textId="73F33EAF" w:rsidR="00105530" w:rsidRPr="00C26987" w:rsidRDefault="00105530" w:rsidP="00254D0F">
      <w:pPr>
        <w:pStyle w:val="IANOTAALPIE"/>
        <w:rPr>
          <w:lang w:val="es-ES"/>
        </w:rPr>
      </w:pPr>
      <w:r w:rsidRPr="00C26987">
        <w:rPr>
          <w:rStyle w:val="FootnoteReference"/>
        </w:rPr>
        <w:footnoteRef/>
      </w:r>
      <w:r w:rsidRPr="00C26987">
        <w:rPr>
          <w:lang w:val="es-ES"/>
        </w:rPr>
        <w:t xml:space="preserve"> </w:t>
      </w:r>
      <w:r w:rsidR="001469CA">
        <w:rPr>
          <w:lang w:val="es-ES"/>
        </w:rPr>
        <w:t xml:space="preserve">SIMORE Interamericano, </w:t>
      </w:r>
      <w:hyperlink r:id="rId175" w:history="1">
        <w:r w:rsidR="001469CA" w:rsidRPr="00CC5B9B">
          <w:rPr>
            <w:rStyle w:val="Hyperlink"/>
            <w:rFonts w:eastAsiaTheme="minorHAnsi" w:cstheme="minorBidi"/>
            <w:color w:val="0563C1" w:themeColor="hyperlink"/>
            <w:szCs w:val="20"/>
            <w:lang w:val="es-AR" w:eastAsia="en-US"/>
          </w:rPr>
          <w:t>Informe de avance del Estado mexicano sobre el cumplimiento y seguimiento de las recomendaciones de la CIDH, Recomendación 61</w:t>
        </w:r>
      </w:hyperlink>
      <w:r w:rsidR="001469CA">
        <w:rPr>
          <w:lang w:val="es-ES"/>
        </w:rPr>
        <w:t xml:space="preserve">, </w:t>
      </w:r>
      <w:r w:rsidR="001469CA" w:rsidRPr="00C26987">
        <w:rPr>
          <w:lang w:val="es-ES"/>
        </w:rPr>
        <w:t>Capítulo V, 30</w:t>
      </w:r>
      <w:r w:rsidR="001469CA">
        <w:rPr>
          <w:lang w:val="es-ES"/>
        </w:rPr>
        <w:t xml:space="preserve"> de</w:t>
      </w:r>
      <w:r w:rsidR="001469CA" w:rsidRPr="00C26987">
        <w:rPr>
          <w:lang w:val="es-ES"/>
        </w:rPr>
        <w:t xml:space="preserve"> septiembre y 1 de octubre de </w:t>
      </w:r>
      <w:r w:rsidR="001469CA">
        <w:rPr>
          <w:lang w:val="es-ES"/>
        </w:rPr>
        <w:t>2024.</w:t>
      </w:r>
      <w:r w:rsidR="001469CA" w:rsidRPr="00902744">
        <w:t xml:space="preserve"> </w:t>
      </w:r>
    </w:p>
  </w:footnote>
  <w:footnote w:id="230">
    <w:p w14:paraId="2BC7F629" w14:textId="428AB65E" w:rsidR="00105530" w:rsidRPr="00C26987" w:rsidRDefault="00105530" w:rsidP="00254D0F">
      <w:pPr>
        <w:pStyle w:val="IANOTAALPIE"/>
        <w:rPr>
          <w:lang w:val="es-ES"/>
        </w:rPr>
      </w:pPr>
      <w:r w:rsidRPr="00C26987">
        <w:rPr>
          <w:rStyle w:val="FootnoteReference"/>
        </w:rPr>
        <w:footnoteRef/>
      </w:r>
      <w:r w:rsidRPr="00C26987">
        <w:rPr>
          <w:lang w:val="es-ES"/>
        </w:rPr>
        <w:t xml:space="preserve"> Centro Prodh, Seguimiento sobre el cumplimiento de las recomendaciones del Informe “Situación de Derechos Humanos en México</w:t>
      </w:r>
      <w:r w:rsidRPr="00637CAB">
        <w:rPr>
          <w:lang w:val="es-ES"/>
        </w:rPr>
        <w:t xml:space="preserve">”, </w:t>
      </w:r>
      <w:r w:rsidRPr="00C26987">
        <w:rPr>
          <w:lang w:val="es-ES"/>
        </w:rPr>
        <w:t>octubre de 2024.</w:t>
      </w:r>
    </w:p>
  </w:footnote>
  <w:footnote w:id="231">
    <w:p w14:paraId="313B4283" w14:textId="77777777" w:rsidR="00105530" w:rsidRPr="00C26987" w:rsidRDefault="00105530" w:rsidP="00254D0F">
      <w:pPr>
        <w:pStyle w:val="IANOTAALPIE"/>
      </w:pPr>
      <w:r w:rsidRPr="00C26987">
        <w:rPr>
          <w:rStyle w:val="FootnoteReference"/>
        </w:rPr>
        <w:footnoteRef/>
      </w:r>
      <w:r w:rsidRPr="00C26987">
        <w:t xml:space="preserve"> AP, </w:t>
      </w:r>
      <w:hyperlink r:id="rId176" w:history="1">
        <w:r w:rsidRPr="001034AA">
          <w:rPr>
            <w:rStyle w:val="Hyperlink"/>
            <w:rFonts w:eastAsiaTheme="minorHAnsi" w:cstheme="minorBidi"/>
            <w:color w:val="0563C1" w:themeColor="hyperlink"/>
            <w:lang w:eastAsia="en-US"/>
          </w:rPr>
          <w:t>Juicio sobre espionaje con Pegasus en México acaba con una absolución y orden de seguir investigando</w:t>
        </w:r>
      </w:hyperlink>
      <w:r w:rsidRPr="00C26987">
        <w:t xml:space="preserve">, 12 de enero de 2024; Aristegui Noticias, </w:t>
      </w:r>
      <w:hyperlink r:id="rId177" w:history="1">
        <w:r w:rsidRPr="001034AA">
          <w:rPr>
            <w:rStyle w:val="Hyperlink"/>
            <w:rFonts w:eastAsiaTheme="minorHAnsi" w:cstheme="minorBidi"/>
            <w:color w:val="0563C1" w:themeColor="hyperlink"/>
            <w:lang w:eastAsia="en-US"/>
          </w:rPr>
          <w:t>FGR reconoce espionaje con Pegasus a Carmen Aristegui; Juez dictará sentencia a primer acusado</w:t>
        </w:r>
      </w:hyperlink>
      <w:r w:rsidRPr="00C26987">
        <w:t>, 12 de enero de 2024.</w:t>
      </w:r>
    </w:p>
  </w:footnote>
  <w:footnote w:id="232">
    <w:p w14:paraId="4973573C" w14:textId="77777777" w:rsidR="00105530" w:rsidRPr="00C26987" w:rsidRDefault="00105530" w:rsidP="00254D0F">
      <w:pPr>
        <w:pStyle w:val="IANOTAALPIE"/>
        <w:rPr>
          <w:b/>
          <w:bCs/>
        </w:rPr>
      </w:pPr>
      <w:r w:rsidRPr="00C26987">
        <w:rPr>
          <w:rStyle w:val="FootnoteReference"/>
        </w:rPr>
        <w:footnoteRef/>
      </w:r>
      <w:r w:rsidRPr="00C26987">
        <w:t xml:space="preserve"> Animal Político</w:t>
      </w:r>
      <w:hyperlink r:id="rId178" w:history="1">
        <w:r w:rsidRPr="001034AA">
          <w:rPr>
            <w:rStyle w:val="Hyperlink"/>
            <w:rFonts w:eastAsiaTheme="minorHAnsi" w:cstheme="minorBidi"/>
            <w:color w:val="0563C1" w:themeColor="hyperlink"/>
            <w:lang w:eastAsia="en-US"/>
          </w:rPr>
          <w:t>, Único enjuiciado por espionaje a Aristegui reconoce participación en contrato del software espía Pegasus con extinta PGR</w:t>
        </w:r>
      </w:hyperlink>
      <w:r w:rsidRPr="00C26987">
        <w:t>, 8 de enero de 2024.</w:t>
      </w:r>
      <w:r w:rsidRPr="00C26987">
        <w:rPr>
          <w:b/>
          <w:bCs/>
        </w:rPr>
        <w:t xml:space="preserve"> </w:t>
      </w:r>
    </w:p>
  </w:footnote>
  <w:footnote w:id="233">
    <w:p w14:paraId="68E662C0" w14:textId="77777777" w:rsidR="00105530" w:rsidRPr="00C26987" w:rsidRDefault="00105530" w:rsidP="00254D0F">
      <w:pPr>
        <w:pStyle w:val="IANOTAALPIE"/>
      </w:pPr>
      <w:r w:rsidRPr="00C26987">
        <w:rPr>
          <w:rStyle w:val="FootnoteReference"/>
        </w:rPr>
        <w:footnoteRef/>
      </w:r>
      <w:r w:rsidRPr="00C26987">
        <w:t xml:space="preserve"> Milenio, </w:t>
      </w:r>
      <w:hyperlink r:id="rId179" w:history="1">
        <w:r w:rsidRPr="001034AA">
          <w:rPr>
            <w:rStyle w:val="Hyperlink"/>
            <w:rFonts w:eastAsiaTheme="minorHAnsi" w:cstheme="minorBidi"/>
            <w:color w:val="0563C1" w:themeColor="hyperlink"/>
            <w:lang w:eastAsia="en-US"/>
          </w:rPr>
          <w:t>Corte ordena a Hacienda hacer públicos contratos del software Pegasus</w:t>
        </w:r>
      </w:hyperlink>
      <w:r w:rsidRPr="001034AA">
        <w:rPr>
          <w:rStyle w:val="Hyperlink"/>
          <w:rFonts w:eastAsiaTheme="minorHAnsi" w:cstheme="minorBidi"/>
          <w:color w:val="0563C1" w:themeColor="hyperlink"/>
          <w:lang w:eastAsia="en-US"/>
        </w:rPr>
        <w:t xml:space="preserve">, 6 de febrero de 2024; Proceso, </w:t>
      </w:r>
      <w:hyperlink r:id="rId180" w:history="1">
        <w:r w:rsidRPr="001034AA">
          <w:rPr>
            <w:rStyle w:val="Hyperlink"/>
            <w:rFonts w:eastAsiaTheme="minorHAnsi" w:cstheme="minorBidi"/>
            <w:color w:val="0563C1" w:themeColor="hyperlink"/>
            <w:lang w:eastAsia="en-US"/>
          </w:rPr>
          <w:t>Corte ordena a la SHCP transparentar contratos para la compra del software espía Pegasus</w:t>
        </w:r>
      </w:hyperlink>
      <w:r w:rsidRPr="00C26987">
        <w:t xml:space="preserve">, 6 de febrero de 2024. </w:t>
      </w:r>
    </w:p>
  </w:footnote>
  <w:footnote w:id="234">
    <w:p w14:paraId="6967444D" w14:textId="77777777" w:rsidR="00105530" w:rsidRPr="00C26987" w:rsidRDefault="00105530" w:rsidP="00254D0F">
      <w:pPr>
        <w:pStyle w:val="IANOTAALPIE"/>
        <w:rPr>
          <w:b/>
          <w:bCs/>
        </w:rPr>
      </w:pPr>
      <w:r w:rsidRPr="00C26987">
        <w:rPr>
          <w:rStyle w:val="FootnoteReference"/>
        </w:rPr>
        <w:footnoteRef/>
      </w:r>
      <w:r w:rsidRPr="00C26987">
        <w:t xml:space="preserve"> Relatoría Especial para la Libertad de Expresión (RELE), Comunicado de prensa No. 46/24, </w:t>
      </w:r>
      <w:hyperlink r:id="rId181" w:history="1">
        <w:r w:rsidRPr="001034AA">
          <w:rPr>
            <w:rStyle w:val="Hyperlink"/>
            <w:rFonts w:eastAsiaTheme="minorHAnsi" w:cstheme="minorBidi"/>
            <w:color w:val="0563C1" w:themeColor="hyperlink"/>
            <w:lang w:eastAsia="en-US"/>
          </w:rPr>
          <w:t>La RELE expresa su preocupación por la tolerancia institucional a la divulgación de datos personales de periodistas en México</w:t>
        </w:r>
      </w:hyperlink>
      <w:r w:rsidRPr="00C26987">
        <w:t>, 6 de marzo de 2024.</w:t>
      </w:r>
      <w:r w:rsidRPr="00C26987">
        <w:rPr>
          <w:b/>
          <w:bCs/>
        </w:rPr>
        <w:t xml:space="preserve"> </w:t>
      </w:r>
    </w:p>
  </w:footnote>
  <w:footnote w:id="235">
    <w:p w14:paraId="39B43509" w14:textId="18618FBD" w:rsidR="00105530" w:rsidRPr="00755A25" w:rsidRDefault="00105530" w:rsidP="00254D0F">
      <w:pPr>
        <w:pStyle w:val="IANOTAALPIE"/>
        <w:rPr>
          <w:lang w:val="es-US"/>
        </w:rPr>
      </w:pPr>
      <w:r w:rsidRPr="00C26987">
        <w:rPr>
          <w:rStyle w:val="FootnoteReference"/>
        </w:rPr>
        <w:footnoteRef/>
      </w:r>
      <w:r w:rsidRPr="00C26987">
        <w:t xml:space="preserve"> France 24</w:t>
      </w:r>
      <w:r w:rsidR="00592703">
        <w:t>,</w:t>
      </w:r>
      <w:r w:rsidRPr="00C26987">
        <w:t xml:space="preserve"> </w:t>
      </w:r>
      <w:hyperlink r:id="rId182" w:history="1">
        <w:r w:rsidR="00592703" w:rsidRPr="001034AA">
          <w:rPr>
            <w:rStyle w:val="Hyperlink"/>
            <w:rFonts w:eastAsiaTheme="minorHAnsi" w:cstheme="minorBidi"/>
            <w:color w:val="0563C1" w:themeColor="hyperlink"/>
            <w:lang w:eastAsia="en-US"/>
          </w:rPr>
          <w:t>Sheinbaum retoma posturas de AMLO con la prensa y lanza un ‘detector’ de noticias falsas,</w:t>
        </w:r>
      </w:hyperlink>
      <w:r w:rsidRPr="00C26987">
        <w:t xml:space="preserve"> </w:t>
      </w:r>
      <w:r w:rsidRPr="00755A25">
        <w:rPr>
          <w:lang w:val="es-US"/>
        </w:rPr>
        <w:t>10 de octubre de 2024.</w:t>
      </w:r>
    </w:p>
  </w:footnote>
  <w:footnote w:id="236">
    <w:p w14:paraId="516365CC" w14:textId="4B9438E2" w:rsidR="00105530" w:rsidRPr="00C26987" w:rsidRDefault="00105530" w:rsidP="00254D0F">
      <w:pPr>
        <w:pStyle w:val="IANOTAALPIE"/>
        <w:rPr>
          <w:lang w:val="pt-BR"/>
        </w:rPr>
      </w:pPr>
      <w:r w:rsidRPr="00C26987">
        <w:rPr>
          <w:rStyle w:val="FootnoteReference"/>
        </w:rPr>
        <w:footnoteRef/>
      </w:r>
      <w:r w:rsidRPr="00C26987">
        <w:rPr>
          <w:lang w:val="pt-BR"/>
        </w:rPr>
        <w:t xml:space="preserve"> CIDH, </w:t>
      </w:r>
      <w:hyperlink r:id="rId183" w:history="1">
        <w:r w:rsidRPr="002B01A1">
          <w:rPr>
            <w:rStyle w:val="Hyperlink"/>
            <w:rFonts w:eastAsiaTheme="minorHAnsi" w:cstheme="minorBidi"/>
            <w:color w:val="0563C1" w:themeColor="hyperlink"/>
            <w:lang w:val="pt-BR" w:eastAsia="en-US"/>
          </w:rPr>
          <w:t>Informe Anual, Capítulo V, México</w:t>
        </w:r>
        <w:r w:rsidRPr="00592703">
          <w:rPr>
            <w:rStyle w:val="Hyperlink"/>
            <w:lang w:val="pt-BR"/>
          </w:rPr>
          <w:t>,</w:t>
        </w:r>
      </w:hyperlink>
      <w:r w:rsidRPr="00C26987">
        <w:rPr>
          <w:lang w:val="pt-BR"/>
        </w:rPr>
        <w:t xml:space="preserve"> 2022, párr. 392.</w:t>
      </w:r>
    </w:p>
  </w:footnote>
  <w:footnote w:id="237">
    <w:p w14:paraId="6D45208B" w14:textId="77777777" w:rsidR="00105530" w:rsidRPr="000E4E19" w:rsidRDefault="00105530" w:rsidP="00254D0F">
      <w:pPr>
        <w:pStyle w:val="IANOTAALPIE"/>
        <w:rPr>
          <w:lang w:val="es-AR"/>
        </w:rPr>
      </w:pPr>
      <w:r w:rsidRPr="00C26987">
        <w:rPr>
          <w:rStyle w:val="FootnoteReference"/>
        </w:rPr>
        <w:footnoteRef/>
      </w:r>
      <w:r w:rsidRPr="00C26987">
        <w:rPr>
          <w:lang w:val="pt-BR"/>
        </w:rPr>
        <w:t xml:space="preserve"> CIDH, </w:t>
      </w:r>
      <w:r w:rsidRPr="002B01A1">
        <w:rPr>
          <w:rStyle w:val="Hyperlink"/>
          <w:rFonts w:eastAsiaTheme="minorHAnsi" w:cstheme="minorBidi"/>
          <w:color w:val="0563C1" w:themeColor="hyperlink"/>
          <w:lang w:val="pt-BR" w:eastAsia="en-US"/>
        </w:rPr>
        <w:t>I</w:t>
      </w:r>
      <w:hyperlink r:id="rId184">
        <w:r w:rsidRPr="002B01A1">
          <w:rPr>
            <w:rStyle w:val="Hyperlink"/>
            <w:rFonts w:eastAsiaTheme="minorHAnsi" w:cstheme="minorBidi"/>
            <w:color w:val="0563C1" w:themeColor="hyperlink"/>
            <w:lang w:val="pt-BR" w:eastAsia="en-US"/>
          </w:rPr>
          <w:t>nforme Anual, Capítulo V, México</w:t>
        </w:r>
      </w:hyperlink>
      <w:r w:rsidRPr="00C26987">
        <w:rPr>
          <w:lang w:val="pt-BR"/>
        </w:rPr>
        <w:t xml:space="preserve">, 2023, párr. </w:t>
      </w:r>
      <w:r w:rsidRPr="000E4E19">
        <w:rPr>
          <w:lang w:val="es-AR"/>
        </w:rPr>
        <w:t>325.</w:t>
      </w:r>
    </w:p>
  </w:footnote>
  <w:footnote w:id="238">
    <w:p w14:paraId="0FFE61BF" w14:textId="25C5919E" w:rsidR="00105530" w:rsidRPr="00C26987" w:rsidRDefault="00105530" w:rsidP="00254D0F">
      <w:pPr>
        <w:pStyle w:val="IANOTAALPIE"/>
      </w:pPr>
      <w:r w:rsidRPr="00C26987">
        <w:rPr>
          <w:rStyle w:val="FootnoteReference"/>
        </w:rPr>
        <w:footnoteRef/>
      </w:r>
      <w:r w:rsidRPr="00D8753A">
        <w:rPr>
          <w:lang w:val="pt-BR"/>
        </w:rPr>
        <w:t xml:space="preserve"> CIDH, </w:t>
      </w:r>
      <w:hyperlink r:id="rId185" w:history="1">
        <w:r w:rsidRPr="00D8753A">
          <w:rPr>
            <w:rStyle w:val="Hyperlink"/>
            <w:rFonts w:eastAsiaTheme="minorHAnsi" w:cstheme="minorBidi"/>
            <w:color w:val="0563C1" w:themeColor="hyperlink"/>
            <w:lang w:val="pt-BR" w:eastAsia="en-US"/>
          </w:rPr>
          <w:t>Informe Anual, Capítulo V, México</w:t>
        </w:r>
      </w:hyperlink>
      <w:r w:rsidRPr="00D8753A">
        <w:rPr>
          <w:lang w:val="pt-BR"/>
        </w:rPr>
        <w:t xml:space="preserve">, 2022, párr. </w:t>
      </w:r>
      <w:r w:rsidRPr="00C26987">
        <w:t>392.</w:t>
      </w:r>
    </w:p>
  </w:footnote>
  <w:footnote w:id="239">
    <w:p w14:paraId="55BCAE14" w14:textId="4CF0A1CE" w:rsidR="00105530" w:rsidRPr="00C26987" w:rsidRDefault="00105530" w:rsidP="00254D0F">
      <w:pPr>
        <w:pStyle w:val="IANOTAALPIE"/>
      </w:pPr>
      <w:r w:rsidRPr="00C26987">
        <w:rPr>
          <w:rStyle w:val="FootnoteReference"/>
        </w:rPr>
        <w:footnoteRef/>
      </w:r>
      <w:r w:rsidRPr="00C26987">
        <w:t xml:space="preserve"> Comité de Derechos Humanos de Nuevo Laredo, Seguimiento sobre el cumplimiento de las recomendaciones del Informe “Situación de Derechos Humanos en México”, </w:t>
      </w:r>
      <w:r w:rsidR="00291D61">
        <w:t>octubre 2024.</w:t>
      </w:r>
    </w:p>
  </w:footnote>
  <w:footnote w:id="240">
    <w:p w14:paraId="426F17CC" w14:textId="77777777" w:rsidR="00105530" w:rsidRPr="00C26987" w:rsidRDefault="00105530" w:rsidP="00254D0F">
      <w:pPr>
        <w:pStyle w:val="IANOTAALPIE"/>
      </w:pPr>
      <w:r w:rsidRPr="00C26987">
        <w:rPr>
          <w:rStyle w:val="FootnoteReference"/>
        </w:rPr>
        <w:footnoteRef/>
      </w:r>
      <w:r w:rsidRPr="00C26987">
        <w:rPr>
          <w:lang w:val="es-ES"/>
        </w:rPr>
        <w:t xml:space="preserve"> </w:t>
      </w:r>
      <w:r w:rsidRPr="00C26987">
        <w:t>Fiscalía Especial para la Atención de Delitos cometidos contra de la Libertad de Expresión.</w:t>
      </w:r>
    </w:p>
  </w:footnote>
  <w:footnote w:id="241">
    <w:p w14:paraId="3AF0C17B" w14:textId="17BAD24E" w:rsidR="00105530" w:rsidRPr="00C26987" w:rsidRDefault="00105530" w:rsidP="00254D0F">
      <w:pPr>
        <w:pStyle w:val="IANOTAALPIE"/>
      </w:pPr>
      <w:r w:rsidRPr="00C26987">
        <w:rPr>
          <w:rStyle w:val="FootnoteReference"/>
        </w:rPr>
        <w:footnoteRef/>
      </w:r>
      <w:r w:rsidRPr="00C26987">
        <w:rPr>
          <w:lang w:val="pt-BR"/>
        </w:rPr>
        <w:t xml:space="preserve"> CIDH, </w:t>
      </w:r>
      <w:hyperlink r:id="rId186">
        <w:r w:rsidRPr="002B01A1">
          <w:rPr>
            <w:rStyle w:val="Hyperlink"/>
            <w:rFonts w:eastAsiaTheme="minorHAnsi" w:cstheme="minorBidi"/>
            <w:color w:val="0563C1" w:themeColor="hyperlink"/>
            <w:lang w:val="pt-BR" w:eastAsia="en-US"/>
          </w:rPr>
          <w:t>Informe Anual, Capítulo V, México</w:t>
        </w:r>
      </w:hyperlink>
      <w:r w:rsidRPr="00C26987">
        <w:rPr>
          <w:lang w:val="pt-BR"/>
        </w:rPr>
        <w:t>, 2023, párr</w:t>
      </w:r>
      <w:r w:rsidR="00A16CA4">
        <w:rPr>
          <w:lang w:val="pt-BR"/>
        </w:rPr>
        <w:t>s</w:t>
      </w:r>
      <w:r w:rsidRPr="00C26987">
        <w:rPr>
          <w:lang w:val="pt-BR"/>
        </w:rPr>
        <w:t xml:space="preserve">. </w:t>
      </w:r>
      <w:r w:rsidRPr="00C26987">
        <w:t>329-332.</w:t>
      </w:r>
    </w:p>
  </w:footnote>
  <w:footnote w:id="242">
    <w:p w14:paraId="413B5364" w14:textId="0EBB40A7" w:rsidR="00105530" w:rsidRPr="00616692" w:rsidRDefault="00105530" w:rsidP="00254D0F">
      <w:pPr>
        <w:pStyle w:val="IANOTAALPIE"/>
        <w:rPr>
          <w:lang w:val="es-ES"/>
        </w:rPr>
      </w:pPr>
      <w:r w:rsidRPr="00616692">
        <w:rPr>
          <w:rStyle w:val="FootnoteReference"/>
        </w:rPr>
        <w:footnoteRef/>
      </w:r>
      <w:r w:rsidRPr="00616692">
        <w:rPr>
          <w:lang w:val="es-ES"/>
        </w:rPr>
        <w:t xml:space="preserve"> </w:t>
      </w:r>
      <w:r w:rsidR="001469CA">
        <w:rPr>
          <w:lang w:val="es-ES"/>
        </w:rPr>
        <w:t xml:space="preserve">SIMORE Interamericano, </w:t>
      </w:r>
      <w:hyperlink r:id="rId187" w:history="1">
        <w:r w:rsidR="001469CA" w:rsidRPr="001034AA">
          <w:rPr>
            <w:rStyle w:val="Hyperlink"/>
            <w:rFonts w:eastAsiaTheme="minorHAnsi" w:cstheme="minorBidi"/>
            <w:color w:val="0563C1" w:themeColor="hyperlink"/>
            <w:lang w:eastAsia="en-US"/>
          </w:rPr>
          <w:t>Informe de avance del Estado mexicano sobre el cumplimiento y seguimiento de las recomendaciones de la CIDH, Recomendación 62</w:t>
        </w:r>
      </w:hyperlink>
      <w:r w:rsidR="001469CA">
        <w:rPr>
          <w:lang w:val="es-ES"/>
        </w:rPr>
        <w:t xml:space="preserve">, </w:t>
      </w:r>
      <w:r w:rsidR="001469CA" w:rsidRPr="00C26987">
        <w:rPr>
          <w:lang w:val="es-ES"/>
        </w:rPr>
        <w:t>Capítulo V, 30</w:t>
      </w:r>
      <w:r w:rsidR="001469CA">
        <w:rPr>
          <w:lang w:val="es-ES"/>
        </w:rPr>
        <w:t xml:space="preserve"> de</w:t>
      </w:r>
      <w:r w:rsidR="001469CA" w:rsidRPr="00C26987">
        <w:rPr>
          <w:lang w:val="es-ES"/>
        </w:rPr>
        <w:t xml:space="preserve"> septiembre y 1 de octubre de </w:t>
      </w:r>
      <w:r w:rsidR="001469CA">
        <w:rPr>
          <w:lang w:val="es-ES"/>
        </w:rPr>
        <w:t>2024.</w:t>
      </w:r>
      <w:r w:rsidR="001469CA" w:rsidRPr="00902744">
        <w:t xml:space="preserve"> </w:t>
      </w:r>
    </w:p>
  </w:footnote>
  <w:footnote w:id="243">
    <w:p w14:paraId="77BD53DF" w14:textId="77777777" w:rsidR="00022D03" w:rsidRPr="00616692" w:rsidRDefault="00022D03" w:rsidP="00254D0F">
      <w:pPr>
        <w:pStyle w:val="IANOTAALPIE"/>
        <w:rPr>
          <w:lang w:val="es-ES"/>
        </w:rPr>
      </w:pPr>
      <w:r w:rsidRPr="00616692">
        <w:rPr>
          <w:rStyle w:val="FootnoteReference"/>
        </w:rPr>
        <w:footnoteRef/>
      </w:r>
      <w:r w:rsidRPr="00616692">
        <w:rPr>
          <w:lang w:val="es-ES"/>
        </w:rPr>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244">
    <w:p w14:paraId="1BFAF6A7" w14:textId="35DBD1BE" w:rsidR="00105530" w:rsidRPr="002B01A1" w:rsidRDefault="00105530" w:rsidP="00254D0F">
      <w:pPr>
        <w:pStyle w:val="IANOTAALPIE"/>
        <w:rPr>
          <w:lang w:val="es-ES"/>
        </w:rPr>
      </w:pPr>
      <w:r w:rsidRPr="00616692">
        <w:rPr>
          <w:rStyle w:val="FootnoteReference"/>
        </w:rPr>
        <w:footnoteRef/>
      </w:r>
      <w:r w:rsidRPr="00852144">
        <w:rPr>
          <w:lang w:val="pt-BR"/>
        </w:rPr>
        <w:t xml:space="preserve"> CIDH, Informe Anual, </w:t>
      </w:r>
      <w:hyperlink r:id="rId188" w:history="1">
        <w:r w:rsidRPr="002B01A1">
          <w:rPr>
            <w:rStyle w:val="Hyperlink"/>
            <w:rFonts w:eastAsiaTheme="minorHAnsi" w:cstheme="minorBidi"/>
            <w:color w:val="0563C1" w:themeColor="hyperlink"/>
            <w:lang w:val="pt-BR" w:eastAsia="en-US"/>
          </w:rPr>
          <w:t>Informe Anual, Capítulo V</w:t>
        </w:r>
        <w:r w:rsidRPr="00616692">
          <w:rPr>
            <w:rStyle w:val="Hyperlink"/>
            <w:lang w:val="pt-BR"/>
          </w:rPr>
          <w:t>,</w:t>
        </w:r>
      </w:hyperlink>
      <w:r w:rsidRPr="00852144">
        <w:rPr>
          <w:lang w:val="pt-BR"/>
        </w:rPr>
        <w:t xml:space="preserve"> párr</w:t>
      </w:r>
      <w:r w:rsidR="00A16CA4" w:rsidRPr="00852144">
        <w:rPr>
          <w:lang w:val="pt-BR"/>
        </w:rPr>
        <w:t>s</w:t>
      </w:r>
      <w:r w:rsidRPr="00852144">
        <w:rPr>
          <w:lang w:val="pt-BR"/>
        </w:rPr>
        <w:t xml:space="preserve">. </w:t>
      </w:r>
      <w:r w:rsidRPr="002B01A1">
        <w:rPr>
          <w:lang w:val="es-ES"/>
        </w:rPr>
        <w:t xml:space="preserve">407 y 409; CIDH, </w:t>
      </w:r>
      <w:hyperlink r:id="rId189">
        <w:r w:rsidRPr="001034AA">
          <w:rPr>
            <w:rStyle w:val="Hyperlink"/>
            <w:rFonts w:eastAsiaTheme="minorHAnsi" w:cstheme="minorBidi"/>
            <w:color w:val="0563C1" w:themeColor="hyperlink"/>
            <w:lang w:eastAsia="en-US"/>
          </w:rPr>
          <w:t>Informe Anual, Capítulo V, México</w:t>
        </w:r>
      </w:hyperlink>
      <w:r w:rsidRPr="002B01A1">
        <w:rPr>
          <w:lang w:val="es-ES"/>
        </w:rPr>
        <w:t>, 2023, párr. 330.</w:t>
      </w:r>
    </w:p>
  </w:footnote>
  <w:footnote w:id="245">
    <w:p w14:paraId="05D5178C" w14:textId="0F3DEAAA" w:rsidR="00105530" w:rsidRPr="00C26987" w:rsidRDefault="00105530" w:rsidP="00254D0F">
      <w:pPr>
        <w:pStyle w:val="IANOTAALPIE"/>
      </w:pPr>
      <w:r w:rsidRPr="00C26987">
        <w:rPr>
          <w:rStyle w:val="FootnoteReference"/>
        </w:rPr>
        <w:footnoteRef/>
      </w:r>
      <w:r w:rsidRPr="005B3C7E">
        <w:rPr>
          <w:lang w:val="es-AR"/>
        </w:rPr>
        <w:t xml:space="preserve"> CIDH</w:t>
      </w:r>
      <w:r w:rsidRPr="005B3C7E">
        <w:rPr>
          <w:rStyle w:val="Hyperlink"/>
          <w:rFonts w:eastAsiaTheme="minorHAnsi" w:cstheme="minorBidi"/>
          <w:color w:val="0563C1" w:themeColor="hyperlink"/>
          <w:lang w:val="es-AR" w:eastAsia="en-US"/>
        </w:rPr>
        <w:t xml:space="preserve">, </w:t>
      </w:r>
      <w:hyperlink r:id="rId190">
        <w:r w:rsidRPr="005B3C7E">
          <w:rPr>
            <w:rStyle w:val="Hyperlink"/>
            <w:rFonts w:eastAsiaTheme="minorHAnsi" w:cstheme="minorBidi"/>
            <w:color w:val="0563C1" w:themeColor="hyperlink"/>
            <w:lang w:val="es-AR" w:eastAsia="en-US"/>
          </w:rPr>
          <w:t>Informe Anual, Capítulo V, México</w:t>
        </w:r>
      </w:hyperlink>
      <w:r w:rsidRPr="005B3C7E">
        <w:rPr>
          <w:rStyle w:val="Hyperlink"/>
          <w:rFonts w:eastAsiaTheme="minorHAnsi" w:cstheme="minorBidi"/>
          <w:color w:val="0563C1" w:themeColor="hyperlink"/>
          <w:lang w:val="es-AR" w:eastAsia="en-US"/>
        </w:rPr>
        <w:t>,</w:t>
      </w:r>
      <w:r w:rsidRPr="005B3C7E">
        <w:rPr>
          <w:lang w:val="es-AR"/>
        </w:rPr>
        <w:t xml:space="preserve"> 2023, párr</w:t>
      </w:r>
      <w:r w:rsidR="007353BC" w:rsidRPr="005B3C7E">
        <w:rPr>
          <w:lang w:val="es-AR"/>
        </w:rPr>
        <w:t>s</w:t>
      </w:r>
      <w:r w:rsidRPr="005B3C7E">
        <w:rPr>
          <w:lang w:val="es-AR"/>
        </w:rPr>
        <w:t xml:space="preserve">. </w:t>
      </w:r>
      <w:r w:rsidRPr="00C26987">
        <w:rPr>
          <w:lang w:val="es-US"/>
        </w:rPr>
        <w:t>33</w:t>
      </w:r>
      <w:r w:rsidRPr="00C26987">
        <w:t>4-337.</w:t>
      </w:r>
    </w:p>
  </w:footnote>
  <w:footnote w:id="246">
    <w:p w14:paraId="075F83CE" w14:textId="739B8929" w:rsidR="00105530" w:rsidRPr="00C26987" w:rsidRDefault="00105530" w:rsidP="00254D0F">
      <w:pPr>
        <w:pStyle w:val="IANOTAALPIE"/>
        <w:rPr>
          <w:lang w:val="es-ES"/>
        </w:rPr>
      </w:pPr>
      <w:r w:rsidRPr="00C26987">
        <w:rPr>
          <w:rStyle w:val="FootnoteReference"/>
        </w:rPr>
        <w:footnoteRef/>
      </w:r>
      <w:r w:rsidRPr="00C26987">
        <w:rPr>
          <w:lang w:val="es-ES"/>
        </w:rPr>
        <w:t xml:space="preserve"> </w:t>
      </w:r>
      <w:r w:rsidR="001469CA">
        <w:rPr>
          <w:lang w:val="es-ES"/>
        </w:rPr>
        <w:t xml:space="preserve">SIMORE Interamericano, </w:t>
      </w:r>
      <w:hyperlink r:id="rId191" w:history="1">
        <w:r w:rsidR="001469CA" w:rsidRPr="002B01A1">
          <w:rPr>
            <w:rStyle w:val="Hyperlink"/>
            <w:rFonts w:eastAsiaTheme="minorHAnsi" w:cstheme="minorBidi"/>
            <w:color w:val="0563C1" w:themeColor="hyperlink"/>
            <w:lang w:val="es-ES" w:eastAsia="en-US"/>
          </w:rPr>
          <w:t>Informe de avance del Estado mexicano sobre el cumplimiento y seguimiento de las recomendaciones de la CIDH, Recomendación 63</w:t>
        </w:r>
      </w:hyperlink>
      <w:r w:rsidR="001469CA">
        <w:rPr>
          <w:lang w:val="es-ES"/>
        </w:rPr>
        <w:t xml:space="preserve">, </w:t>
      </w:r>
      <w:r w:rsidR="001469CA" w:rsidRPr="00C26987">
        <w:rPr>
          <w:lang w:val="es-ES"/>
        </w:rPr>
        <w:t>Capítulo V, 30</w:t>
      </w:r>
      <w:r w:rsidR="001469CA">
        <w:rPr>
          <w:lang w:val="es-ES"/>
        </w:rPr>
        <w:t xml:space="preserve"> de</w:t>
      </w:r>
      <w:r w:rsidR="001469CA" w:rsidRPr="00C26987">
        <w:rPr>
          <w:lang w:val="es-ES"/>
        </w:rPr>
        <w:t xml:space="preserve"> septiembre y 1 de octubre de </w:t>
      </w:r>
      <w:r w:rsidR="001469CA">
        <w:rPr>
          <w:lang w:val="es-ES"/>
        </w:rPr>
        <w:t>2024.</w:t>
      </w:r>
      <w:r w:rsidR="001469CA" w:rsidRPr="00902744">
        <w:t xml:space="preserve"> </w:t>
      </w:r>
    </w:p>
  </w:footnote>
  <w:footnote w:id="247">
    <w:p w14:paraId="76501AB3" w14:textId="42369B29" w:rsidR="00105530" w:rsidRPr="00C26987" w:rsidRDefault="00105530" w:rsidP="00254D0F">
      <w:pPr>
        <w:pStyle w:val="IANOTAALPIE"/>
        <w:rPr>
          <w:lang w:val="es-ES"/>
        </w:rPr>
      </w:pPr>
      <w:r w:rsidRPr="00C26987">
        <w:rPr>
          <w:rStyle w:val="FootnoteReference"/>
        </w:rPr>
        <w:footnoteRef/>
      </w:r>
      <w:r w:rsidRPr="00C26987">
        <w:rPr>
          <w:lang w:val="es-ES"/>
        </w:rPr>
        <w:t xml:space="preserve"> Organización Ku’kay, Seguimiento sobre el cumplimiento de las recomendaciones del Informe “Situación de Derechos Humanos en México”</w:t>
      </w:r>
      <w:r w:rsidR="00291D61">
        <w:rPr>
          <w:lang w:val="es-ES"/>
        </w:rPr>
        <w:t>,</w:t>
      </w:r>
      <w:r w:rsidRPr="00C26987">
        <w:rPr>
          <w:lang w:val="es-ES"/>
        </w:rPr>
        <w:t xml:space="preserve"> octubre de 2024.</w:t>
      </w:r>
    </w:p>
  </w:footnote>
  <w:footnote w:id="248">
    <w:p w14:paraId="7A1D2CF3" w14:textId="77777777" w:rsidR="00105530" w:rsidRPr="00C26987" w:rsidRDefault="00105530" w:rsidP="00A57671">
      <w:pPr>
        <w:pStyle w:val="IANOTAALPIE"/>
      </w:pPr>
      <w:r w:rsidRPr="00C26987">
        <w:rPr>
          <w:rStyle w:val="FootnoteReference"/>
        </w:rPr>
        <w:footnoteRef/>
      </w:r>
      <w:r w:rsidRPr="00C26987">
        <w:t xml:space="preserve"> Código Nacional de Procedimientos Penales, artículo 21, iv) La vida o integridad física de la víctima u ofendido se encuentre en riesgo real.</w:t>
      </w:r>
    </w:p>
  </w:footnote>
  <w:footnote w:id="249">
    <w:p w14:paraId="4C526415" w14:textId="77777777" w:rsidR="00105530" w:rsidRPr="00C26987" w:rsidRDefault="00105530" w:rsidP="00A57671">
      <w:pPr>
        <w:pStyle w:val="IANOTAALPIE"/>
      </w:pPr>
      <w:r w:rsidRPr="00C26987">
        <w:rPr>
          <w:rStyle w:val="FootnoteReference"/>
        </w:rPr>
        <w:footnoteRef/>
      </w:r>
      <w:r w:rsidRPr="00C26987">
        <w:t xml:space="preserve"> Código Nacional de Procedimientos Penales, artículo 21, vi) Los hechos constitutivos de delito impacten de manera trascendente al ejercicio del derecho a la información o a las libertades de expresión o imprenta</w:t>
      </w:r>
    </w:p>
  </w:footnote>
  <w:footnote w:id="250">
    <w:p w14:paraId="0FD65292" w14:textId="28DA7078" w:rsidR="00105530" w:rsidRPr="00C26987" w:rsidRDefault="00105530" w:rsidP="00A57671">
      <w:pPr>
        <w:pStyle w:val="IANOTAALPIE"/>
      </w:pPr>
      <w:r w:rsidRPr="00C26987">
        <w:rPr>
          <w:rStyle w:val="FootnoteReference"/>
        </w:rPr>
        <w:footnoteRef/>
      </w:r>
      <w:r w:rsidRPr="00C26987">
        <w:rPr>
          <w:lang w:val="pt-BR"/>
        </w:rPr>
        <w:t xml:space="preserve"> CIDH, </w:t>
      </w:r>
      <w:hyperlink r:id="rId192">
        <w:r w:rsidRPr="001034AA">
          <w:rPr>
            <w:rStyle w:val="Hyperlink"/>
            <w:rFonts w:eastAsiaTheme="minorHAnsi" w:cstheme="minorBidi"/>
            <w:color w:val="0563C1" w:themeColor="hyperlink"/>
            <w:lang w:val="pt-BR" w:eastAsia="en-US"/>
          </w:rPr>
          <w:t>Informe Anual, Capítulo V, México</w:t>
        </w:r>
      </w:hyperlink>
      <w:r w:rsidRPr="00C26987">
        <w:rPr>
          <w:lang w:val="pt-BR"/>
        </w:rPr>
        <w:t>, 2023, párr</w:t>
      </w:r>
      <w:r w:rsidR="005D5DE3">
        <w:rPr>
          <w:lang w:val="pt-BR"/>
        </w:rPr>
        <w:t>s</w:t>
      </w:r>
      <w:r w:rsidRPr="00C26987">
        <w:rPr>
          <w:lang w:val="pt-BR"/>
        </w:rPr>
        <w:t xml:space="preserve">. </w:t>
      </w:r>
      <w:r w:rsidRPr="00C26987">
        <w:t>339-342.</w:t>
      </w:r>
    </w:p>
  </w:footnote>
  <w:footnote w:id="251">
    <w:p w14:paraId="73F6B767" w14:textId="06819837" w:rsidR="00105530" w:rsidRPr="00C26987" w:rsidRDefault="00105530" w:rsidP="00A57671">
      <w:pPr>
        <w:pStyle w:val="IANOTAALPIE"/>
        <w:rPr>
          <w:lang w:val="es-ES"/>
        </w:rPr>
      </w:pPr>
      <w:r w:rsidRPr="00C26987">
        <w:rPr>
          <w:rStyle w:val="FootnoteReference"/>
        </w:rPr>
        <w:footnoteRef/>
      </w:r>
      <w:r w:rsidRPr="00C26987">
        <w:rPr>
          <w:lang w:val="es-ES"/>
        </w:rPr>
        <w:t xml:space="preserve"> </w:t>
      </w:r>
      <w:r w:rsidR="00846EBA">
        <w:rPr>
          <w:lang w:val="es-ES"/>
        </w:rPr>
        <w:t xml:space="preserve">SIMORE Interamericano, </w:t>
      </w:r>
      <w:hyperlink r:id="rId193" w:history="1">
        <w:r w:rsidR="00846EBA" w:rsidRPr="002B01A1">
          <w:rPr>
            <w:rStyle w:val="Hyperlink"/>
            <w:rFonts w:eastAsiaTheme="minorHAnsi" w:cstheme="minorBidi"/>
            <w:color w:val="0563C1" w:themeColor="hyperlink"/>
            <w:lang w:val="es-ES" w:eastAsia="en-US"/>
          </w:rPr>
          <w:t>Informe de avance del Estado mexicano sobre el cumplimiento y seguimiento de las recomendaciones de la CIDH, Recomendación 64</w:t>
        </w:r>
      </w:hyperlink>
      <w:r w:rsidR="00846EBA">
        <w:rPr>
          <w:lang w:val="es-ES"/>
        </w:rPr>
        <w:t xml:space="preserve">, </w:t>
      </w:r>
      <w:r w:rsidR="00846EBA" w:rsidRPr="00C26987">
        <w:rPr>
          <w:lang w:val="es-ES"/>
        </w:rPr>
        <w:t>Capítulo V, 30</w:t>
      </w:r>
      <w:r w:rsidR="00846EBA">
        <w:rPr>
          <w:lang w:val="es-ES"/>
        </w:rPr>
        <w:t xml:space="preserve"> de</w:t>
      </w:r>
      <w:r w:rsidR="00846EBA" w:rsidRPr="00C26987">
        <w:rPr>
          <w:lang w:val="es-ES"/>
        </w:rPr>
        <w:t xml:space="preserve"> septiembre y 1 de octubre de </w:t>
      </w:r>
      <w:r w:rsidR="00846EBA">
        <w:rPr>
          <w:lang w:val="es-ES"/>
        </w:rPr>
        <w:t>2024.</w:t>
      </w:r>
      <w:r w:rsidR="00846EBA" w:rsidRPr="00902744">
        <w:t xml:space="preserve"> </w:t>
      </w:r>
    </w:p>
  </w:footnote>
  <w:footnote w:id="252">
    <w:p w14:paraId="5AE6DA82" w14:textId="15EB89EE" w:rsidR="00105530" w:rsidRPr="00C26987" w:rsidRDefault="00105530" w:rsidP="00A57671">
      <w:pPr>
        <w:pStyle w:val="IANOTAALPIE"/>
        <w:rPr>
          <w:lang w:val="es-ES"/>
        </w:rPr>
      </w:pPr>
      <w:r w:rsidRPr="00C26987">
        <w:rPr>
          <w:rStyle w:val="FootnoteReference"/>
        </w:rPr>
        <w:footnoteRef/>
      </w:r>
      <w:r w:rsidRPr="00C26987">
        <w:rPr>
          <w:lang w:val="es-ES"/>
        </w:rPr>
        <w:t xml:space="preserve"> Organización Ku’kay, Seguimiento sobre el cumplimiento de las recomendaciones del Informe “Situación de Derechos Humanos en México”, octubre de 2024; FGR, </w:t>
      </w:r>
      <w:hyperlink r:id="rId194" w:history="1">
        <w:r w:rsidRPr="002B01A1">
          <w:rPr>
            <w:rStyle w:val="Hyperlink"/>
            <w:rFonts w:eastAsiaTheme="minorHAnsi" w:cstheme="minorBidi"/>
            <w:color w:val="0563C1" w:themeColor="hyperlink"/>
            <w:lang w:val="es-ES" w:eastAsia="en-US"/>
          </w:rPr>
          <w:t>Presupuesto total asignado a FEADLE</w:t>
        </w:r>
        <w:r w:rsidRPr="00C26987">
          <w:rPr>
            <w:rStyle w:val="Hyperlink"/>
            <w:lang w:val="es-ES"/>
          </w:rPr>
          <w:t>,</w:t>
        </w:r>
      </w:hyperlink>
      <w:r w:rsidRPr="00C26987">
        <w:rPr>
          <w:lang w:val="es-ES"/>
        </w:rPr>
        <w:t xml:space="preserve"> 2022.</w:t>
      </w:r>
    </w:p>
  </w:footnote>
  <w:footnote w:id="253">
    <w:p w14:paraId="6559A33D" w14:textId="77777777" w:rsidR="00105530" w:rsidRPr="00C26987" w:rsidRDefault="00105530" w:rsidP="00A57671">
      <w:pPr>
        <w:pStyle w:val="IANOTAALPIE"/>
        <w:rPr>
          <w:lang w:val="es-ES"/>
        </w:rPr>
      </w:pPr>
      <w:r w:rsidRPr="00C26987">
        <w:rPr>
          <w:rStyle w:val="FootnoteReference"/>
        </w:rPr>
        <w:footnoteRef/>
      </w:r>
      <w:r w:rsidRPr="00C26987">
        <w:rPr>
          <w:lang w:val="es-ES"/>
        </w:rPr>
        <w:t xml:space="preserve"> Secretaría de Hacienda, </w:t>
      </w:r>
      <w:hyperlink r:id="rId195" w:history="1">
        <w:r w:rsidRPr="002B01A1">
          <w:rPr>
            <w:rStyle w:val="Hyperlink"/>
            <w:rFonts w:eastAsiaTheme="minorHAnsi" w:cstheme="minorBidi"/>
            <w:color w:val="0563C1" w:themeColor="hyperlink"/>
            <w:lang w:val="es-ES" w:eastAsia="en-US"/>
          </w:rPr>
          <w:t>Presupuesto de Egresos de la Federación</w:t>
        </w:r>
      </w:hyperlink>
      <w:r w:rsidRPr="00C26987">
        <w:rPr>
          <w:lang w:val="es-ES"/>
        </w:rPr>
        <w:t>, Ramo II, 2024.</w:t>
      </w:r>
    </w:p>
  </w:footnote>
  <w:footnote w:id="254">
    <w:p w14:paraId="3AD83839" w14:textId="514BD2DE" w:rsidR="00105530" w:rsidRPr="00C26987" w:rsidRDefault="00105530" w:rsidP="00A57671">
      <w:pPr>
        <w:pStyle w:val="IANOTAALPIE"/>
      </w:pPr>
      <w:r w:rsidRPr="00C26987">
        <w:rPr>
          <w:rStyle w:val="FootnoteReference"/>
        </w:rPr>
        <w:footnoteRef/>
      </w:r>
      <w:r w:rsidRPr="00852144">
        <w:rPr>
          <w:lang w:val="pt-BR"/>
        </w:rPr>
        <w:t xml:space="preserve"> CIDH, </w:t>
      </w:r>
      <w:hyperlink r:id="rId196">
        <w:r w:rsidRPr="001034AA">
          <w:rPr>
            <w:rStyle w:val="Hyperlink"/>
            <w:rFonts w:eastAsiaTheme="minorHAnsi" w:cstheme="minorBidi"/>
            <w:color w:val="0563C1" w:themeColor="hyperlink"/>
            <w:lang w:val="pt-BR" w:eastAsia="en-US"/>
          </w:rPr>
          <w:t>Informe Anual, Capítulo V, México</w:t>
        </w:r>
      </w:hyperlink>
      <w:r w:rsidRPr="00852144">
        <w:rPr>
          <w:lang w:val="pt-BR"/>
        </w:rPr>
        <w:t>, 2023, párr</w:t>
      </w:r>
      <w:r w:rsidR="00A31146" w:rsidRPr="00852144">
        <w:rPr>
          <w:lang w:val="pt-BR"/>
        </w:rPr>
        <w:t>s</w:t>
      </w:r>
      <w:r w:rsidRPr="00852144">
        <w:rPr>
          <w:lang w:val="pt-BR"/>
        </w:rPr>
        <w:t xml:space="preserve">. </w:t>
      </w:r>
      <w:r w:rsidRPr="00C26987">
        <w:rPr>
          <w:lang w:val="es-US"/>
        </w:rPr>
        <w:t>349-351</w:t>
      </w:r>
      <w:r w:rsidRPr="00C26987">
        <w:t>.</w:t>
      </w:r>
    </w:p>
  </w:footnote>
  <w:footnote w:id="255">
    <w:p w14:paraId="398AF32C" w14:textId="51738CF4" w:rsidR="00105530" w:rsidRPr="00616692" w:rsidRDefault="00105530" w:rsidP="00A57671">
      <w:pPr>
        <w:pStyle w:val="IANOTAALPIE"/>
        <w:rPr>
          <w:lang w:val="es-ES"/>
        </w:rPr>
      </w:pPr>
      <w:r w:rsidRPr="00C26987">
        <w:rPr>
          <w:rStyle w:val="FootnoteReference"/>
        </w:rPr>
        <w:footnoteRef/>
      </w:r>
      <w:r w:rsidRPr="00C26987">
        <w:rPr>
          <w:lang w:val="es-ES"/>
        </w:rPr>
        <w:t xml:space="preserve"> </w:t>
      </w:r>
      <w:r w:rsidR="00846EBA">
        <w:rPr>
          <w:lang w:val="es-ES"/>
        </w:rPr>
        <w:t xml:space="preserve">SIMORE Interamericano, </w:t>
      </w:r>
      <w:hyperlink r:id="rId197" w:history="1">
        <w:r w:rsidR="00846EBA" w:rsidRPr="002B01A1">
          <w:rPr>
            <w:rStyle w:val="Hyperlink"/>
            <w:rFonts w:eastAsiaTheme="minorHAnsi" w:cstheme="minorBidi"/>
            <w:color w:val="0563C1" w:themeColor="hyperlink"/>
            <w:lang w:val="es-ES" w:eastAsia="en-US"/>
          </w:rPr>
          <w:t>Informe de avance del Estado mexicano sobre el cumplimiento y seguimiento de las recomendaciones de la CIDH, Recomendación 65</w:t>
        </w:r>
      </w:hyperlink>
      <w:r w:rsidR="00846EBA">
        <w:rPr>
          <w:lang w:val="es-ES"/>
        </w:rPr>
        <w:t xml:space="preserve">, </w:t>
      </w:r>
      <w:r w:rsidR="00846EBA" w:rsidRPr="00C26987">
        <w:rPr>
          <w:lang w:val="es-ES"/>
        </w:rPr>
        <w:t>Capítulo V, 30</w:t>
      </w:r>
      <w:r w:rsidR="00846EBA">
        <w:rPr>
          <w:lang w:val="es-ES"/>
        </w:rPr>
        <w:t xml:space="preserve"> de</w:t>
      </w:r>
      <w:r w:rsidR="00846EBA" w:rsidRPr="00C26987">
        <w:rPr>
          <w:lang w:val="es-ES"/>
        </w:rPr>
        <w:t xml:space="preserve"> septiembre y 1 de octubre de </w:t>
      </w:r>
      <w:r w:rsidR="00846EBA">
        <w:rPr>
          <w:lang w:val="es-ES"/>
        </w:rPr>
        <w:t>2024.</w:t>
      </w:r>
      <w:r w:rsidR="00846EBA" w:rsidRPr="00902744">
        <w:t xml:space="preserve"> </w:t>
      </w:r>
    </w:p>
  </w:footnote>
  <w:footnote w:id="256">
    <w:p w14:paraId="59000B15" w14:textId="6A9530DD" w:rsidR="00022D03" w:rsidRPr="00AB6367" w:rsidRDefault="00022D03" w:rsidP="00A57671">
      <w:pPr>
        <w:pStyle w:val="IANOTAALPIE"/>
        <w:rPr>
          <w:lang w:val="es-ES"/>
        </w:rPr>
      </w:pPr>
      <w:r w:rsidRPr="00616692">
        <w:rPr>
          <w:rStyle w:val="FootnoteReference"/>
        </w:rPr>
        <w:footnoteRef/>
      </w:r>
      <w:r w:rsidRPr="00616692">
        <w:rPr>
          <w:lang w:val="es-ES"/>
        </w:rPr>
        <w:t xml:space="preserve"> </w:t>
      </w:r>
      <w:r w:rsidRPr="00616692">
        <w:rPr>
          <w:lang w:val="es-AR"/>
        </w:rPr>
        <w:t>Estado de México</w:t>
      </w:r>
      <w:r w:rsidR="00A57671">
        <w:rPr>
          <w:lang w:val="es-AR"/>
        </w:rPr>
        <w:t>,</w:t>
      </w:r>
      <w:r w:rsidRPr="00616692">
        <w:rPr>
          <w:lang w:val="es-AR"/>
        </w:rPr>
        <w:t xml:space="preserve">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257">
    <w:p w14:paraId="229FBD52" w14:textId="24489CC6" w:rsidR="00105530" w:rsidRPr="00616692" w:rsidRDefault="00105530" w:rsidP="00A57671">
      <w:pPr>
        <w:pStyle w:val="IANOTAALPIE"/>
      </w:pPr>
      <w:r w:rsidRPr="00C26987">
        <w:rPr>
          <w:rStyle w:val="FootnoteReference"/>
        </w:rPr>
        <w:footnoteRef/>
      </w:r>
      <w:r w:rsidRPr="00852144">
        <w:rPr>
          <w:lang w:val="pt-BR"/>
        </w:rPr>
        <w:t xml:space="preserve"> CIDH, </w:t>
      </w:r>
      <w:hyperlink r:id="rId198">
        <w:r w:rsidRPr="001034AA">
          <w:rPr>
            <w:rStyle w:val="Hyperlink"/>
            <w:rFonts w:eastAsiaTheme="minorHAnsi" w:cstheme="minorBidi"/>
            <w:color w:val="0563C1" w:themeColor="hyperlink"/>
            <w:lang w:val="pt-BR" w:eastAsia="en-US"/>
          </w:rPr>
          <w:t>Informe Anual, Capítulo V, México</w:t>
        </w:r>
      </w:hyperlink>
      <w:r w:rsidRPr="00852144">
        <w:rPr>
          <w:lang w:val="pt-BR"/>
        </w:rPr>
        <w:t>, 2023, párr</w:t>
      </w:r>
      <w:r w:rsidR="00276EB7" w:rsidRPr="00852144">
        <w:rPr>
          <w:lang w:val="pt-BR"/>
        </w:rPr>
        <w:t>s</w:t>
      </w:r>
      <w:r w:rsidRPr="00852144">
        <w:rPr>
          <w:lang w:val="pt-BR"/>
        </w:rPr>
        <w:t xml:space="preserve">. </w:t>
      </w:r>
      <w:r w:rsidRPr="00616692">
        <w:t>353-356.</w:t>
      </w:r>
    </w:p>
  </w:footnote>
  <w:footnote w:id="258">
    <w:p w14:paraId="4D9E42FB" w14:textId="4D0119BF" w:rsidR="00105530" w:rsidRPr="00616692" w:rsidRDefault="00105530" w:rsidP="00A57671">
      <w:pPr>
        <w:pStyle w:val="IANOTAALPIE"/>
        <w:rPr>
          <w:lang w:val="es-ES"/>
        </w:rPr>
      </w:pPr>
      <w:r w:rsidRPr="00616692">
        <w:rPr>
          <w:rStyle w:val="FootnoteReference"/>
        </w:rPr>
        <w:footnoteRef/>
      </w:r>
      <w:r w:rsidRPr="00616692">
        <w:rPr>
          <w:lang w:val="es-ES"/>
        </w:rPr>
        <w:t xml:space="preserve"> </w:t>
      </w:r>
      <w:r w:rsidR="00846EBA">
        <w:rPr>
          <w:lang w:val="es-ES"/>
        </w:rPr>
        <w:t xml:space="preserve">SIMORE Interamericano, </w:t>
      </w:r>
      <w:hyperlink r:id="rId199" w:history="1">
        <w:r w:rsidR="00846EBA" w:rsidRPr="001034AA">
          <w:rPr>
            <w:rStyle w:val="Hyperlink"/>
            <w:rFonts w:eastAsiaTheme="minorHAnsi" w:cstheme="minorBidi"/>
            <w:color w:val="0563C1" w:themeColor="hyperlink"/>
            <w:lang w:val="es-US" w:eastAsia="en-US"/>
          </w:rPr>
          <w:t>Informe de avance del Estado mexicano sobre el cumplimiento y seguimiento de las recomendaciones de la CIDH, Recomendación 66</w:t>
        </w:r>
      </w:hyperlink>
      <w:r w:rsidR="00846EBA">
        <w:rPr>
          <w:lang w:val="es-ES"/>
        </w:rPr>
        <w:t xml:space="preserve">, </w:t>
      </w:r>
      <w:r w:rsidR="00846EBA" w:rsidRPr="00C26987">
        <w:rPr>
          <w:lang w:val="es-ES"/>
        </w:rPr>
        <w:t>Capítulo V, 30</w:t>
      </w:r>
      <w:r w:rsidR="00846EBA">
        <w:rPr>
          <w:lang w:val="es-ES"/>
        </w:rPr>
        <w:t xml:space="preserve"> de</w:t>
      </w:r>
      <w:r w:rsidR="00846EBA" w:rsidRPr="00C26987">
        <w:rPr>
          <w:lang w:val="es-ES"/>
        </w:rPr>
        <w:t xml:space="preserve"> septiembre y 1 de octubre de </w:t>
      </w:r>
      <w:r w:rsidR="00846EBA">
        <w:rPr>
          <w:lang w:val="es-ES"/>
        </w:rPr>
        <w:t>2024.</w:t>
      </w:r>
      <w:r w:rsidR="00846EBA" w:rsidRPr="00616692">
        <w:rPr>
          <w:lang w:val="es-ES"/>
        </w:rPr>
        <w:t xml:space="preserve"> </w:t>
      </w:r>
    </w:p>
  </w:footnote>
  <w:footnote w:id="259">
    <w:p w14:paraId="01A9921A" w14:textId="532E5021" w:rsidR="00105530" w:rsidRPr="00616692" w:rsidRDefault="00105530" w:rsidP="00A57671">
      <w:pPr>
        <w:pStyle w:val="IANOTAALPIE"/>
        <w:rPr>
          <w:lang w:val="es-ES"/>
        </w:rPr>
      </w:pPr>
      <w:r w:rsidRPr="00616692">
        <w:rPr>
          <w:rStyle w:val="FootnoteReference"/>
        </w:rPr>
        <w:footnoteRef/>
      </w:r>
      <w:r w:rsidRPr="00616692">
        <w:rPr>
          <w:lang w:val="es-ES"/>
        </w:rPr>
        <w:t xml:space="preserve"> Artículo 19, Seguimiento sobre el cumplimiento de las recomendaciones del Informe “Situación de Derechos Humanos en</w:t>
      </w:r>
      <w:r w:rsidR="004B3D21" w:rsidRPr="00616692">
        <w:rPr>
          <w:lang w:val="es-ES"/>
        </w:rPr>
        <w:t xml:space="preserve"> </w:t>
      </w:r>
      <w:r w:rsidRPr="00616692">
        <w:rPr>
          <w:lang w:val="es-ES"/>
        </w:rPr>
        <w:t>México”, 11 de septiembre de 202</w:t>
      </w:r>
      <w:r w:rsidR="004B3D21" w:rsidRPr="00616692">
        <w:rPr>
          <w:lang w:val="es-ES"/>
        </w:rPr>
        <w:t>4</w:t>
      </w:r>
      <w:r w:rsidRPr="00616692">
        <w:rPr>
          <w:lang w:val="es-ES"/>
        </w:rPr>
        <w:t>.</w:t>
      </w:r>
    </w:p>
  </w:footnote>
  <w:footnote w:id="260">
    <w:p w14:paraId="4B8B0EEA" w14:textId="77777777" w:rsidR="00022D03" w:rsidRPr="00AB6367" w:rsidRDefault="00022D03" w:rsidP="00A57671">
      <w:pPr>
        <w:pStyle w:val="IANOTAALPIE"/>
        <w:rPr>
          <w:lang w:val="es-ES"/>
        </w:rPr>
      </w:pPr>
      <w:r w:rsidRPr="00616692">
        <w:rPr>
          <w:rStyle w:val="FootnoteReference"/>
        </w:rPr>
        <w:footnoteRef/>
      </w:r>
      <w:r w:rsidRPr="00616692">
        <w:rPr>
          <w:lang w:val="es-ES"/>
        </w:rPr>
        <w:t xml:space="preserve"> </w:t>
      </w:r>
      <w:r w:rsidRPr="00616692">
        <w:rPr>
          <w:lang w:val="es-AR"/>
        </w:rPr>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261">
    <w:p w14:paraId="6156B2BB" w14:textId="77777777" w:rsidR="00105530" w:rsidRPr="00C26987" w:rsidRDefault="00105530" w:rsidP="00A57671">
      <w:pPr>
        <w:pStyle w:val="IANOTAALPIE"/>
        <w:rPr>
          <w:lang w:val="es-ES"/>
        </w:rPr>
      </w:pPr>
      <w:r w:rsidRPr="00C26987">
        <w:rPr>
          <w:rStyle w:val="FootnoteReference"/>
        </w:rPr>
        <w:footnoteRef/>
      </w:r>
      <w:r w:rsidRPr="00852144">
        <w:rPr>
          <w:lang w:val="pt-BR"/>
        </w:rPr>
        <w:t xml:space="preserve"> CIDH, </w:t>
      </w:r>
      <w:hyperlink r:id="rId200">
        <w:r w:rsidRPr="002B01A1">
          <w:rPr>
            <w:rStyle w:val="Hyperlink"/>
            <w:rFonts w:eastAsiaTheme="minorHAnsi" w:cstheme="minorBidi"/>
            <w:color w:val="0563C1" w:themeColor="hyperlink"/>
            <w:lang w:val="pt-BR" w:eastAsia="en-US"/>
          </w:rPr>
          <w:t>Informe Anual, Capítulo V, México</w:t>
        </w:r>
      </w:hyperlink>
      <w:r w:rsidRPr="00852144">
        <w:rPr>
          <w:lang w:val="pt-BR"/>
        </w:rPr>
        <w:t xml:space="preserve">, 2023, párr. </w:t>
      </w:r>
      <w:r w:rsidRPr="00C26987">
        <w:rPr>
          <w:lang w:val="es-US"/>
        </w:rPr>
        <w:t>355</w:t>
      </w:r>
    </w:p>
  </w:footnote>
  <w:footnote w:id="262">
    <w:p w14:paraId="56138E1E" w14:textId="1406CB8B" w:rsidR="00105530" w:rsidRPr="00C26987" w:rsidRDefault="00105530" w:rsidP="00A57671">
      <w:pPr>
        <w:pStyle w:val="IANOTAALPIE"/>
      </w:pPr>
      <w:r w:rsidRPr="00C26987">
        <w:rPr>
          <w:rStyle w:val="FootnoteReference"/>
        </w:rPr>
        <w:footnoteRef/>
      </w:r>
      <w:r w:rsidRPr="00C26987">
        <w:rPr>
          <w:lang w:val="es-US"/>
        </w:rPr>
        <w:t xml:space="preserve"> CIDH, </w:t>
      </w:r>
      <w:hyperlink r:id="rId201">
        <w:r w:rsidRPr="001034AA">
          <w:rPr>
            <w:rStyle w:val="Hyperlink"/>
            <w:rFonts w:eastAsiaTheme="minorHAnsi" w:cstheme="minorBidi"/>
            <w:color w:val="0563C1" w:themeColor="hyperlink"/>
            <w:lang w:val="es-US" w:eastAsia="en-US"/>
          </w:rPr>
          <w:t>Informe Anual, Capítulo V, México</w:t>
        </w:r>
      </w:hyperlink>
      <w:r w:rsidRPr="00C26987">
        <w:rPr>
          <w:lang w:val="es-US"/>
        </w:rPr>
        <w:t>, 2023, párr</w:t>
      </w:r>
      <w:r w:rsidR="00717CF2">
        <w:rPr>
          <w:lang w:val="es-US"/>
        </w:rPr>
        <w:t>s</w:t>
      </w:r>
      <w:r w:rsidRPr="00C26987">
        <w:rPr>
          <w:lang w:val="es-US"/>
        </w:rPr>
        <w:t>. 358-361</w:t>
      </w:r>
      <w:r w:rsidRPr="00C26987">
        <w:t>.</w:t>
      </w:r>
    </w:p>
  </w:footnote>
  <w:footnote w:id="263">
    <w:p w14:paraId="7E48B134" w14:textId="421A76AA" w:rsidR="00105530" w:rsidRPr="00C26987" w:rsidRDefault="00105530" w:rsidP="00A57671">
      <w:pPr>
        <w:pStyle w:val="IANOTAALPIE"/>
        <w:rPr>
          <w:lang w:val="es-ES"/>
        </w:rPr>
      </w:pPr>
      <w:r w:rsidRPr="00C26987">
        <w:rPr>
          <w:rStyle w:val="FootnoteReference"/>
        </w:rPr>
        <w:footnoteRef/>
      </w:r>
      <w:r w:rsidRPr="00C26987">
        <w:rPr>
          <w:lang w:val="es-ES"/>
        </w:rPr>
        <w:t xml:space="preserve"> </w:t>
      </w:r>
      <w:r w:rsidR="00846EBA">
        <w:rPr>
          <w:lang w:val="es-ES"/>
        </w:rPr>
        <w:t xml:space="preserve">SIMORE Interamericano, </w:t>
      </w:r>
      <w:hyperlink r:id="rId202" w:history="1">
        <w:r w:rsidR="00846EBA" w:rsidRPr="001034AA">
          <w:rPr>
            <w:rStyle w:val="Hyperlink"/>
            <w:rFonts w:eastAsiaTheme="minorHAnsi" w:cstheme="minorBidi"/>
            <w:color w:val="0563C1" w:themeColor="hyperlink"/>
            <w:lang w:val="es-US" w:eastAsia="en-US"/>
          </w:rPr>
          <w:t>Informe de avance del Estado mexicano sobre el cumplimiento y seguimiento de las recomendaciones de la CIDH, Recomendación 67</w:t>
        </w:r>
      </w:hyperlink>
      <w:r w:rsidR="00846EBA">
        <w:rPr>
          <w:lang w:val="es-ES"/>
        </w:rPr>
        <w:t xml:space="preserve">, </w:t>
      </w:r>
      <w:r w:rsidR="00846EBA" w:rsidRPr="00C26987">
        <w:rPr>
          <w:lang w:val="es-ES"/>
        </w:rPr>
        <w:t>Capítulo V, 30</w:t>
      </w:r>
      <w:r w:rsidR="00846EBA">
        <w:rPr>
          <w:lang w:val="es-ES"/>
        </w:rPr>
        <w:t xml:space="preserve"> de</w:t>
      </w:r>
      <w:r w:rsidR="00846EBA" w:rsidRPr="00C26987">
        <w:rPr>
          <w:lang w:val="es-ES"/>
        </w:rPr>
        <w:t xml:space="preserve"> septiembre y 1 de octubre de </w:t>
      </w:r>
      <w:r w:rsidR="00846EBA">
        <w:rPr>
          <w:lang w:val="es-ES"/>
        </w:rPr>
        <w:t>2024.</w:t>
      </w:r>
    </w:p>
  </w:footnote>
  <w:footnote w:id="264">
    <w:p w14:paraId="45C31180" w14:textId="057B7E2F" w:rsidR="00105530" w:rsidRPr="00C26987" w:rsidRDefault="00105530" w:rsidP="00A57671">
      <w:pPr>
        <w:pStyle w:val="IANOTAALPIE"/>
        <w:rPr>
          <w:lang w:val="es-ES"/>
        </w:rPr>
      </w:pPr>
      <w:r w:rsidRPr="00C26987">
        <w:rPr>
          <w:rStyle w:val="FootnoteReference"/>
        </w:rPr>
        <w:footnoteRef/>
      </w:r>
      <w:r w:rsidRPr="00C26987">
        <w:rPr>
          <w:lang w:val="es-ES"/>
        </w:rPr>
        <w:t xml:space="preserve"> Organización Ku’kay, Seguimiento sobre el cumplimiento de las recomendaciones del Informe “Situación de Derechos Humanos en México”</w:t>
      </w:r>
      <w:r w:rsidR="00E05C93">
        <w:rPr>
          <w:lang w:val="es-ES"/>
        </w:rPr>
        <w:t xml:space="preserve">, </w:t>
      </w:r>
      <w:r w:rsidRPr="00C26987">
        <w:rPr>
          <w:lang w:val="es-ES"/>
        </w:rPr>
        <w:t>octubre de 2024</w:t>
      </w:r>
      <w:r w:rsidR="00A57671">
        <w:rPr>
          <w:lang w:val="es-ES"/>
        </w:rPr>
        <w:t>.</w:t>
      </w:r>
    </w:p>
  </w:footnote>
  <w:footnote w:id="265">
    <w:p w14:paraId="78B052E5" w14:textId="77777777" w:rsidR="00022D03" w:rsidRPr="00AB6367" w:rsidRDefault="00022D03" w:rsidP="00A57671">
      <w:pPr>
        <w:pStyle w:val="IANOTAALPIE"/>
        <w:rPr>
          <w:lang w:val="es-ES"/>
        </w:rPr>
      </w:pPr>
      <w:r w:rsidRPr="00616692">
        <w:rPr>
          <w:rStyle w:val="FootnoteReference"/>
        </w:rPr>
        <w:footnoteRef/>
      </w:r>
      <w:r w:rsidRPr="00616692">
        <w:rPr>
          <w:lang w:val="es-ES"/>
        </w:rPr>
        <w:t xml:space="preserve"> </w:t>
      </w:r>
      <w:r w:rsidRPr="00616692">
        <w:t>Estado de México. Observaciones y comentarios del Estado mexicano al proyecto Capítulo V 2024 sobre el seguimiento a las recomendaciones formuladas por la Comisión Interamericana de Derechos Humanos en el informe “Situación de los derechos humanos en México”, 28 de febrero de 2025.</w:t>
      </w:r>
    </w:p>
  </w:footnote>
  <w:footnote w:id="266">
    <w:p w14:paraId="67832DD8" w14:textId="4FC03EC0" w:rsidR="00105530" w:rsidRPr="00882500" w:rsidRDefault="00105530" w:rsidP="00A57671">
      <w:pPr>
        <w:pStyle w:val="IANOTAALPIE"/>
        <w:rPr>
          <w:lang w:val="es-US"/>
        </w:rPr>
      </w:pPr>
      <w:r w:rsidRPr="00C26987">
        <w:rPr>
          <w:rStyle w:val="FootnoteReference"/>
        </w:rPr>
        <w:footnoteRef/>
      </w:r>
      <w:r w:rsidRPr="00C26987">
        <w:rPr>
          <w:lang w:val="pt-BR"/>
        </w:rPr>
        <w:t xml:space="preserve"> CIDH</w:t>
      </w:r>
      <w:r w:rsidRPr="002B01A1">
        <w:rPr>
          <w:rStyle w:val="Hyperlink"/>
          <w:rFonts w:eastAsiaTheme="minorHAnsi" w:cstheme="minorBidi"/>
          <w:color w:val="0563C1" w:themeColor="hyperlink"/>
          <w:lang w:val="pt-BR" w:eastAsia="en-US"/>
        </w:rPr>
        <w:t xml:space="preserve">, </w:t>
      </w:r>
      <w:hyperlink r:id="rId203" w:history="1">
        <w:r w:rsidRPr="002B01A1">
          <w:rPr>
            <w:rStyle w:val="Hyperlink"/>
            <w:rFonts w:eastAsiaTheme="minorHAnsi" w:cstheme="minorBidi"/>
            <w:color w:val="0563C1" w:themeColor="hyperlink"/>
            <w:lang w:val="pt-BR" w:eastAsia="en-US"/>
          </w:rPr>
          <w:t>Informe Anual, Capítulo V, México</w:t>
        </w:r>
      </w:hyperlink>
      <w:r w:rsidRPr="00C26987">
        <w:rPr>
          <w:lang w:val="pt-BR"/>
        </w:rPr>
        <w:t>, 2023, párr</w:t>
      </w:r>
      <w:r w:rsidR="00BE647D">
        <w:rPr>
          <w:lang w:val="pt-BR"/>
        </w:rPr>
        <w:t>s</w:t>
      </w:r>
      <w:r w:rsidRPr="00C26987">
        <w:rPr>
          <w:lang w:val="pt-BR"/>
        </w:rPr>
        <w:t xml:space="preserve">. </w:t>
      </w:r>
      <w:r w:rsidRPr="00882500">
        <w:rPr>
          <w:lang w:val="es-US"/>
        </w:rPr>
        <w:t>363-369.</w:t>
      </w:r>
    </w:p>
  </w:footnote>
  <w:footnote w:id="267">
    <w:p w14:paraId="1C48509B" w14:textId="77777777" w:rsidR="004F3E06" w:rsidRPr="00203D76" w:rsidRDefault="004F3E06" w:rsidP="00A57671">
      <w:pPr>
        <w:pStyle w:val="IANOTAALPIE"/>
      </w:pPr>
      <w:r>
        <w:rPr>
          <w:rStyle w:val="FootnoteReference"/>
        </w:rPr>
        <w:footnoteRef/>
      </w:r>
      <w:r w:rsidRPr="00203D76">
        <w:t xml:space="preserve"> </w:t>
      </w:r>
      <w:r w:rsidRPr="00846EBA">
        <w:t>Organización de los Estados Americanos</w:t>
      </w:r>
      <w:r>
        <w:t>,</w:t>
      </w:r>
      <w:r w:rsidRPr="00203D76">
        <w:t xml:space="preserve"> </w:t>
      </w:r>
      <w:hyperlink r:id="rId204" w:history="1">
        <w:r w:rsidRPr="001034AA">
          <w:rPr>
            <w:rStyle w:val="Hyperlink"/>
            <w:rFonts w:eastAsiaTheme="minorHAnsi" w:cstheme="minorBidi"/>
            <w:color w:val="0563C1" w:themeColor="hyperlink"/>
            <w:lang w:val="es-US" w:eastAsia="en-US"/>
          </w:rPr>
          <w:t>Principio de Lima sobre Acceso a la Información Pública</w:t>
        </w:r>
        <w:r w:rsidRPr="00203D76">
          <w:rPr>
            <w:rStyle w:val="Hyperlink"/>
            <w:lang w:val="es-ES"/>
          </w:rPr>
          <w:t>,</w:t>
        </w:r>
      </w:hyperlink>
      <w:r>
        <w:t xml:space="preserve"> 2018.</w:t>
      </w:r>
    </w:p>
  </w:footnote>
  <w:footnote w:id="268">
    <w:p w14:paraId="65A24C1D" w14:textId="252FC46B" w:rsidR="00105530" w:rsidRPr="004B3D21" w:rsidRDefault="00105530" w:rsidP="00A57671">
      <w:pPr>
        <w:pStyle w:val="IANOTAALPIE"/>
      </w:pPr>
      <w:r w:rsidRPr="004B3D21">
        <w:rPr>
          <w:rStyle w:val="FootnoteReference"/>
        </w:rPr>
        <w:footnoteRef/>
      </w:r>
      <w:r w:rsidRPr="004B3D21">
        <w:rPr>
          <w:lang w:val="pt-BR"/>
        </w:rPr>
        <w:t xml:space="preserve"> CIDH</w:t>
      </w:r>
      <w:r w:rsidRPr="002B01A1">
        <w:rPr>
          <w:rStyle w:val="Hyperlink"/>
          <w:rFonts w:eastAsiaTheme="minorHAnsi" w:cstheme="minorBidi"/>
          <w:color w:val="0563C1" w:themeColor="hyperlink"/>
          <w:lang w:val="pt-BR" w:eastAsia="en-US"/>
        </w:rPr>
        <w:t xml:space="preserve">, </w:t>
      </w:r>
      <w:hyperlink r:id="rId205">
        <w:r w:rsidRPr="002B01A1">
          <w:rPr>
            <w:rStyle w:val="Hyperlink"/>
            <w:rFonts w:eastAsiaTheme="minorHAnsi" w:cstheme="minorBidi"/>
            <w:color w:val="0563C1" w:themeColor="hyperlink"/>
            <w:lang w:val="pt-BR" w:eastAsia="en-US"/>
          </w:rPr>
          <w:t>Informe Anual, Capítulo V, México</w:t>
        </w:r>
      </w:hyperlink>
      <w:r w:rsidRPr="004B3D21">
        <w:rPr>
          <w:lang w:val="pt-BR"/>
        </w:rPr>
        <w:t>, 2023, párr</w:t>
      </w:r>
      <w:r w:rsidR="00265285">
        <w:rPr>
          <w:lang w:val="pt-BR"/>
        </w:rPr>
        <w:t>s</w:t>
      </w:r>
      <w:r w:rsidRPr="004B3D21">
        <w:rPr>
          <w:lang w:val="pt-BR"/>
        </w:rPr>
        <w:t xml:space="preserve">. </w:t>
      </w:r>
      <w:r w:rsidRPr="004B3D21">
        <w:rPr>
          <w:lang w:val="es-US"/>
        </w:rPr>
        <w:t>371-373</w:t>
      </w:r>
      <w:r w:rsidRPr="004B3D21">
        <w:t>.</w:t>
      </w:r>
    </w:p>
  </w:footnote>
  <w:footnote w:id="269">
    <w:p w14:paraId="5474BAD3" w14:textId="426DE54F" w:rsidR="00105530" w:rsidRPr="004B3D21" w:rsidRDefault="00105530" w:rsidP="00A57671">
      <w:pPr>
        <w:pStyle w:val="IANOTAALPIE"/>
      </w:pPr>
      <w:r w:rsidRPr="004B3D21">
        <w:rPr>
          <w:rStyle w:val="FootnoteReference"/>
        </w:rPr>
        <w:footnoteRef/>
      </w:r>
      <w:r w:rsidRPr="004B3D21">
        <w:t xml:space="preserve"> </w:t>
      </w:r>
      <w:r w:rsidR="00846EBA">
        <w:t xml:space="preserve"> </w:t>
      </w:r>
      <w:r w:rsidR="00846EBA">
        <w:rPr>
          <w:lang w:val="es-ES"/>
        </w:rPr>
        <w:t xml:space="preserve">SIMORE Interamericano, </w:t>
      </w:r>
      <w:hyperlink r:id="rId206" w:history="1">
        <w:r w:rsidR="00846EBA" w:rsidRPr="001034AA">
          <w:rPr>
            <w:rStyle w:val="Hyperlink"/>
            <w:rFonts w:eastAsiaTheme="minorHAnsi" w:cstheme="minorBidi"/>
            <w:color w:val="0563C1" w:themeColor="hyperlink"/>
            <w:lang w:val="es-US" w:eastAsia="en-US"/>
          </w:rPr>
          <w:t>Informe de avance del Estado mexicano sobre el cumplimiento y seguimiento de las recomendaciones de la CIDH, Recomendación 69</w:t>
        </w:r>
      </w:hyperlink>
      <w:r w:rsidR="00846EBA">
        <w:rPr>
          <w:lang w:val="es-ES"/>
        </w:rPr>
        <w:t xml:space="preserve">, </w:t>
      </w:r>
      <w:r w:rsidR="00846EBA" w:rsidRPr="00C26987">
        <w:rPr>
          <w:lang w:val="es-ES"/>
        </w:rPr>
        <w:t>Capítulo V, 30</w:t>
      </w:r>
      <w:r w:rsidR="00846EBA">
        <w:rPr>
          <w:lang w:val="es-ES"/>
        </w:rPr>
        <w:t xml:space="preserve"> de</w:t>
      </w:r>
      <w:r w:rsidR="00846EBA" w:rsidRPr="00C26987">
        <w:rPr>
          <w:lang w:val="es-ES"/>
        </w:rPr>
        <w:t xml:space="preserve"> septiembre y 1 de octubre de </w:t>
      </w:r>
      <w:r w:rsidR="00846EBA">
        <w:rPr>
          <w:lang w:val="es-ES"/>
        </w:rPr>
        <w:t>2024.</w:t>
      </w:r>
    </w:p>
  </w:footnote>
  <w:footnote w:id="270">
    <w:p w14:paraId="1D3017E8" w14:textId="77777777" w:rsidR="00105530" w:rsidRPr="004B3D21" w:rsidRDefault="00105530" w:rsidP="00A57671">
      <w:pPr>
        <w:pStyle w:val="IANOTAALPIE"/>
      </w:pPr>
      <w:r w:rsidRPr="004B3D21">
        <w:rPr>
          <w:rStyle w:val="FootnoteReference"/>
        </w:rPr>
        <w:footnoteRef/>
      </w:r>
      <w:r w:rsidRPr="004B3D21">
        <w:t xml:space="preserve"> Instituto Nacional de Transparencia, Acceso a la Información y Protección de Datos Personales (INAI), Comunicado No. 222/24, </w:t>
      </w:r>
      <w:hyperlink r:id="rId207" w:history="1">
        <w:r w:rsidRPr="001034AA">
          <w:rPr>
            <w:rStyle w:val="Hyperlink"/>
            <w:rFonts w:eastAsiaTheme="minorHAnsi" w:cstheme="minorBidi"/>
            <w:color w:val="0563C1" w:themeColor="hyperlink"/>
            <w:lang w:val="es-US" w:eastAsia="en-US"/>
          </w:rPr>
          <w:t>Desaparecer al INAI es un retroceso para México y sus derechos humanos</w:t>
        </w:r>
      </w:hyperlink>
      <w:r w:rsidRPr="004B3D21">
        <w:t xml:space="preserve">, 23 de agosto de 2024; INAI, Comunicado No. 259/24, </w:t>
      </w:r>
      <w:hyperlink r:id="rId208" w:history="1">
        <w:r w:rsidRPr="001034AA">
          <w:rPr>
            <w:rStyle w:val="Hyperlink"/>
            <w:rFonts w:eastAsiaTheme="minorHAnsi" w:cstheme="minorBidi"/>
            <w:color w:val="0563C1" w:themeColor="hyperlink"/>
            <w:lang w:val="es-US" w:eastAsia="en-US"/>
          </w:rPr>
          <w:t>Eliminar al INAI será una regresión en materia de derechos humanos: Blanca Lilia Ibarra Cadena</w:t>
        </w:r>
      </w:hyperlink>
      <w:r w:rsidRPr="004B3D21">
        <w:t xml:space="preserve">, 24 de septiembre de 2024; Swissinfo.ch, </w:t>
      </w:r>
      <w:hyperlink r:id="rId209" w:history="1">
        <w:r w:rsidRPr="001034AA">
          <w:rPr>
            <w:rStyle w:val="Hyperlink"/>
            <w:rFonts w:eastAsiaTheme="minorHAnsi" w:cstheme="minorBidi"/>
            <w:color w:val="0563C1" w:themeColor="hyperlink"/>
            <w:lang w:val="es-US" w:eastAsia="en-US"/>
          </w:rPr>
          <w:t>Relatoras de la ONU piden a México reconsiderar eliminación del Instituto de Transparencia</w:t>
        </w:r>
      </w:hyperlink>
      <w:r w:rsidRPr="004B3D21">
        <w:t>, 2 de septiembre de 2024.</w:t>
      </w:r>
    </w:p>
  </w:footnote>
  <w:footnote w:id="271">
    <w:p w14:paraId="5911DE4B" w14:textId="77777777" w:rsidR="00105530" w:rsidRPr="00C26987" w:rsidRDefault="00105530" w:rsidP="00A57671">
      <w:pPr>
        <w:pStyle w:val="IANOTAALPIE"/>
      </w:pPr>
      <w:r w:rsidRPr="004B3D21">
        <w:rPr>
          <w:rStyle w:val="FootnoteReference"/>
        </w:rPr>
        <w:footnoteRef/>
      </w:r>
      <w:r w:rsidRPr="004B3D21">
        <w:t xml:space="preserve"> Human Wright Watch, México</w:t>
      </w:r>
      <w:r w:rsidRPr="001034AA">
        <w:rPr>
          <w:rStyle w:val="Hyperlink"/>
          <w:rFonts w:eastAsiaTheme="minorHAnsi" w:cstheme="minorBidi"/>
          <w:color w:val="0563C1" w:themeColor="hyperlink"/>
          <w:lang w:val="es-US" w:eastAsia="en-US"/>
        </w:rPr>
        <w:t xml:space="preserve">: </w:t>
      </w:r>
      <w:hyperlink r:id="rId210" w:anchor=":~:text=El%20INAI%20ha%20sido%20clave,investigaci%C3%B3n%20sobre%20el%20Caso%20Ayotzinapa." w:history="1">
        <w:r w:rsidRPr="001034AA">
          <w:rPr>
            <w:rStyle w:val="Hyperlink"/>
            <w:rFonts w:eastAsiaTheme="minorHAnsi" w:cstheme="minorBidi"/>
            <w:color w:val="0563C1" w:themeColor="hyperlink"/>
            <w:lang w:val="es-US" w:eastAsia="en-US"/>
          </w:rPr>
          <w:t>La transparencia y la privacidad, bajo amenaza,</w:t>
        </w:r>
      </w:hyperlink>
      <w:r w:rsidRPr="004B3D21">
        <w:t xml:space="preserve"> 24 de mayo de 2023. </w:t>
      </w:r>
    </w:p>
  </w:footnote>
  <w:footnote w:id="272">
    <w:p w14:paraId="1D89DA3C" w14:textId="63C66609" w:rsidR="00105530" w:rsidRPr="001034AA" w:rsidRDefault="00105530" w:rsidP="00137C70">
      <w:pPr>
        <w:pStyle w:val="IANOTAALPIE"/>
        <w:rPr>
          <w:lang w:val="es-ES"/>
        </w:rPr>
      </w:pPr>
      <w:r w:rsidRPr="00C26987">
        <w:rPr>
          <w:rStyle w:val="FootnoteReference"/>
        </w:rPr>
        <w:footnoteRef/>
      </w:r>
      <w:r w:rsidRPr="00852144">
        <w:rPr>
          <w:lang w:val="pt-BR"/>
        </w:rPr>
        <w:t xml:space="preserve"> CIDH, </w:t>
      </w:r>
      <w:hyperlink r:id="rId211">
        <w:r w:rsidRPr="002B01A1">
          <w:rPr>
            <w:rStyle w:val="Hyperlink"/>
            <w:rFonts w:eastAsiaTheme="minorHAnsi" w:cstheme="minorBidi"/>
            <w:color w:val="0563C1" w:themeColor="hyperlink"/>
            <w:lang w:val="pt-BR" w:eastAsia="en-US"/>
          </w:rPr>
          <w:t>Informe Anual, Capítulo V, México</w:t>
        </w:r>
      </w:hyperlink>
      <w:r w:rsidRPr="00852144">
        <w:rPr>
          <w:lang w:val="pt-BR"/>
        </w:rPr>
        <w:t>, 2023, párr</w:t>
      </w:r>
      <w:r w:rsidR="00EA2AF0" w:rsidRPr="00852144">
        <w:rPr>
          <w:lang w:val="pt-BR"/>
        </w:rPr>
        <w:t>s</w:t>
      </w:r>
      <w:r w:rsidRPr="00852144">
        <w:rPr>
          <w:lang w:val="pt-BR"/>
        </w:rPr>
        <w:t xml:space="preserve">. </w:t>
      </w:r>
      <w:r w:rsidRPr="001034AA">
        <w:rPr>
          <w:lang w:val="es-ES"/>
        </w:rPr>
        <w:t>375-378.</w:t>
      </w:r>
    </w:p>
  </w:footnote>
  <w:footnote w:id="273">
    <w:p w14:paraId="49FC289D" w14:textId="7CC363ED" w:rsidR="00105530" w:rsidRPr="00C26987" w:rsidRDefault="00105530" w:rsidP="00137C70">
      <w:pPr>
        <w:pStyle w:val="IANOTAALPIE"/>
        <w:rPr>
          <w:lang w:val="es-ES"/>
        </w:rPr>
      </w:pPr>
      <w:r w:rsidRPr="00C26987">
        <w:rPr>
          <w:rStyle w:val="FootnoteReference"/>
        </w:rPr>
        <w:footnoteRef/>
      </w:r>
      <w:r w:rsidRPr="00C26987">
        <w:rPr>
          <w:lang w:val="es-ES"/>
        </w:rPr>
        <w:t xml:space="preserve"> </w:t>
      </w:r>
      <w:r w:rsidR="00032C24">
        <w:rPr>
          <w:lang w:val="es-ES"/>
        </w:rPr>
        <w:t xml:space="preserve">SIMORE Interamericano, </w:t>
      </w:r>
      <w:hyperlink r:id="rId212" w:history="1">
        <w:r w:rsidR="00032C24" w:rsidRPr="001034AA">
          <w:rPr>
            <w:rStyle w:val="Hyperlink"/>
            <w:rFonts w:eastAsiaTheme="minorHAnsi" w:cstheme="minorBidi"/>
            <w:color w:val="0563C1" w:themeColor="hyperlink"/>
            <w:lang w:val="es-US" w:eastAsia="en-US"/>
          </w:rPr>
          <w:t>Informe de avance del Estado mexicano sobre el cumplimiento y seguimiento de las recomendaciones de la CIDH, Recomendación 70</w:t>
        </w:r>
      </w:hyperlink>
      <w:r w:rsidR="00032C24">
        <w:rPr>
          <w:lang w:val="es-ES"/>
        </w:rPr>
        <w:t xml:space="preserve">, </w:t>
      </w:r>
      <w:r w:rsidR="00032C24" w:rsidRPr="00C26987">
        <w:rPr>
          <w:lang w:val="es-ES"/>
        </w:rPr>
        <w:t>Capítulo V, 30</w:t>
      </w:r>
      <w:r w:rsidR="00032C24">
        <w:rPr>
          <w:lang w:val="es-ES"/>
        </w:rPr>
        <w:t xml:space="preserve"> de</w:t>
      </w:r>
      <w:r w:rsidR="00032C24" w:rsidRPr="00C26987">
        <w:rPr>
          <w:lang w:val="es-ES"/>
        </w:rPr>
        <w:t xml:space="preserve"> septiembre y 1 de octubre de </w:t>
      </w:r>
      <w:r w:rsidR="00032C24">
        <w:rPr>
          <w:lang w:val="es-ES"/>
        </w:rPr>
        <w:t>2024.</w:t>
      </w:r>
      <w:r w:rsidR="00032C24" w:rsidRPr="00C26987">
        <w:rPr>
          <w:lang w:val="es-ES"/>
        </w:rPr>
        <w:t xml:space="preserve"> </w:t>
      </w:r>
    </w:p>
  </w:footnote>
  <w:footnote w:id="274">
    <w:p w14:paraId="120816F9" w14:textId="15ECCE21" w:rsidR="00110F2F" w:rsidRPr="00C26987" w:rsidRDefault="00110F2F" w:rsidP="00137C70">
      <w:pPr>
        <w:pStyle w:val="IANOTAALPIE"/>
        <w:rPr>
          <w:lang w:val="es-ES"/>
        </w:rPr>
      </w:pPr>
      <w:r w:rsidRPr="00C26987">
        <w:rPr>
          <w:rStyle w:val="FootnoteReference"/>
        </w:rPr>
        <w:footnoteRef/>
      </w:r>
      <w:r w:rsidRPr="00C26987">
        <w:rPr>
          <w:lang w:val="es-ES"/>
        </w:rPr>
        <w:t xml:space="preserve"> CIDH, </w:t>
      </w:r>
      <w:hyperlink r:id="rId213" w:history="1">
        <w:r w:rsidR="00107C67" w:rsidRPr="001034AA">
          <w:rPr>
            <w:rStyle w:val="Hyperlink"/>
            <w:rFonts w:eastAsiaTheme="minorHAnsi" w:cstheme="minorBidi"/>
            <w:color w:val="0563C1" w:themeColor="hyperlink"/>
            <w:lang w:val="es-US" w:eastAsia="en-US"/>
          </w:rPr>
          <w:t>Relatoría Especial para la Libertad de Expresión (RELE), Informe El derecho de acceso a la información en el marco jurídico interamericano,</w:t>
        </w:r>
      </w:hyperlink>
      <w:r w:rsidRPr="00C26987">
        <w:rPr>
          <w:lang w:val="es-ES"/>
        </w:rPr>
        <w:t xml:space="preserve"> OEA Ser.L/ V/ II CIDH/RELE/INF. 1/09</w:t>
      </w:r>
      <w:r w:rsidR="00107C67">
        <w:rPr>
          <w:lang w:val="es-ES"/>
        </w:rPr>
        <w:t>,</w:t>
      </w:r>
      <w:r w:rsidRPr="00C26987">
        <w:rPr>
          <w:lang w:val="es-ES"/>
        </w:rPr>
        <w:t xml:space="preserve"> 30 de diciembre de 2009.</w:t>
      </w:r>
    </w:p>
  </w:footnote>
  <w:footnote w:id="275">
    <w:p w14:paraId="7B13D4F9" w14:textId="77FA66D5" w:rsidR="00105530" w:rsidRPr="001034AA" w:rsidRDefault="00105530" w:rsidP="00137C70">
      <w:pPr>
        <w:pStyle w:val="IANOTAALPIE"/>
        <w:rPr>
          <w:lang w:val="es-ES"/>
        </w:rPr>
      </w:pPr>
      <w:r w:rsidRPr="00C26987">
        <w:rPr>
          <w:rStyle w:val="FootnoteReference"/>
        </w:rPr>
        <w:footnoteRef/>
      </w:r>
      <w:r w:rsidRPr="00852144">
        <w:rPr>
          <w:lang w:val="pt-BR"/>
        </w:rPr>
        <w:t xml:space="preserve"> CIDH, </w:t>
      </w:r>
      <w:hyperlink r:id="rId214">
        <w:r w:rsidRPr="002B01A1">
          <w:rPr>
            <w:rStyle w:val="Hyperlink"/>
            <w:rFonts w:eastAsiaTheme="minorHAnsi" w:cstheme="minorBidi"/>
            <w:color w:val="0563C1" w:themeColor="hyperlink"/>
            <w:lang w:val="pt-BR" w:eastAsia="en-US"/>
          </w:rPr>
          <w:t>Informe Anual, Capítulo V, México</w:t>
        </w:r>
      </w:hyperlink>
      <w:r w:rsidRPr="00852144">
        <w:rPr>
          <w:lang w:val="pt-BR"/>
        </w:rPr>
        <w:t>, 2023, párr</w:t>
      </w:r>
      <w:r w:rsidR="00077536" w:rsidRPr="00852144">
        <w:rPr>
          <w:lang w:val="pt-BR"/>
        </w:rPr>
        <w:t>s</w:t>
      </w:r>
      <w:r w:rsidRPr="00852144">
        <w:rPr>
          <w:lang w:val="pt-BR"/>
        </w:rPr>
        <w:t xml:space="preserve">. </w:t>
      </w:r>
      <w:r w:rsidRPr="001034AA">
        <w:rPr>
          <w:lang w:val="es-ES"/>
        </w:rPr>
        <w:t>380-383.</w:t>
      </w:r>
    </w:p>
  </w:footnote>
  <w:footnote w:id="276">
    <w:p w14:paraId="676B1D3E" w14:textId="3E8DB2F3" w:rsidR="00105530" w:rsidRPr="00C26987" w:rsidRDefault="00105530" w:rsidP="00137C70">
      <w:pPr>
        <w:pStyle w:val="IANOTAALPIE"/>
        <w:rPr>
          <w:lang w:val="es-ES"/>
        </w:rPr>
      </w:pPr>
      <w:r w:rsidRPr="00C26987">
        <w:rPr>
          <w:rStyle w:val="FootnoteReference"/>
        </w:rPr>
        <w:footnoteRef/>
      </w:r>
      <w:r w:rsidRPr="00C26987">
        <w:rPr>
          <w:lang w:val="es-ES"/>
        </w:rPr>
        <w:t xml:space="preserve"> </w:t>
      </w:r>
      <w:r w:rsidR="00032C24">
        <w:rPr>
          <w:lang w:val="es-ES"/>
        </w:rPr>
        <w:t xml:space="preserve">SIMORE Interamericano, </w:t>
      </w:r>
      <w:hyperlink r:id="rId215" w:history="1">
        <w:r w:rsidR="00032C24" w:rsidRPr="001034AA">
          <w:rPr>
            <w:rStyle w:val="Hyperlink"/>
            <w:rFonts w:eastAsiaTheme="minorHAnsi" w:cstheme="minorBidi"/>
            <w:color w:val="0563C1" w:themeColor="hyperlink"/>
            <w:lang w:val="es-US" w:eastAsia="en-US"/>
          </w:rPr>
          <w:t>Informe de avance del Estado mexicano sobre el cumplimiento y seguimiento de las recomendaciones de la CIDH, Recomendación 71</w:t>
        </w:r>
      </w:hyperlink>
      <w:r w:rsidR="00032C24">
        <w:rPr>
          <w:lang w:val="es-ES"/>
        </w:rPr>
        <w:t xml:space="preserve">, </w:t>
      </w:r>
      <w:r w:rsidR="00032C24" w:rsidRPr="00C26987">
        <w:rPr>
          <w:lang w:val="es-ES"/>
        </w:rPr>
        <w:t>Capítulo V, 30</w:t>
      </w:r>
      <w:r w:rsidR="00032C24">
        <w:rPr>
          <w:lang w:val="es-ES"/>
        </w:rPr>
        <w:t xml:space="preserve"> de</w:t>
      </w:r>
      <w:r w:rsidR="00032C24" w:rsidRPr="00C26987">
        <w:rPr>
          <w:lang w:val="es-ES"/>
        </w:rPr>
        <w:t xml:space="preserve"> septiembre y 1 de octubre de </w:t>
      </w:r>
      <w:r w:rsidR="00032C24">
        <w:rPr>
          <w:lang w:val="es-ES"/>
        </w:rPr>
        <w:t>2024.</w:t>
      </w:r>
      <w:r w:rsidR="00032C24" w:rsidRPr="00C26987">
        <w:rPr>
          <w:lang w:val="es-ES"/>
        </w:rPr>
        <w:t xml:space="preserve"> </w:t>
      </w:r>
    </w:p>
  </w:footnote>
  <w:footnote w:id="277">
    <w:p w14:paraId="5D7A7453" w14:textId="309F3513" w:rsidR="00E05C93" w:rsidRPr="00E05C93" w:rsidRDefault="00E05C93" w:rsidP="00137C70">
      <w:pPr>
        <w:pStyle w:val="IANOTAALPIE"/>
        <w:rPr>
          <w:lang w:val="es-ES"/>
        </w:rPr>
      </w:pPr>
      <w:r>
        <w:rPr>
          <w:rStyle w:val="FootnoteReference"/>
        </w:rPr>
        <w:footnoteRef/>
      </w:r>
      <w:r w:rsidRPr="00E05C93">
        <w:rPr>
          <w:lang w:val="es-ES"/>
        </w:rPr>
        <w:t xml:space="preserve"> </w:t>
      </w:r>
      <w:r w:rsidRPr="00C26987">
        <w:rPr>
          <w:lang w:val="es-ES"/>
        </w:rPr>
        <w:t>Organización Ku’kay, Seguimiento sobre el cumplimiento de las recomendaciones del Informe “Situación de Derechos Humanos en México”</w:t>
      </w:r>
      <w:r>
        <w:rPr>
          <w:lang w:val="es-ES"/>
        </w:rPr>
        <w:t xml:space="preserve">, </w:t>
      </w:r>
      <w:r w:rsidRPr="00C26987">
        <w:rPr>
          <w:lang w:val="es-ES"/>
        </w:rPr>
        <w:t>octubre de 2024</w:t>
      </w:r>
      <w:r>
        <w:rPr>
          <w:lang w:val="es-ES"/>
        </w:rPr>
        <w:t>.</w:t>
      </w:r>
    </w:p>
  </w:footnote>
  <w:footnote w:id="278">
    <w:p w14:paraId="361407D5" w14:textId="0B2997F2" w:rsidR="002374CC" w:rsidRPr="00CF56A9" w:rsidRDefault="002374CC" w:rsidP="00137C70">
      <w:pPr>
        <w:pStyle w:val="IANOTAALPIE"/>
        <w:rPr>
          <w:lang w:val="es-ES"/>
        </w:rPr>
      </w:pPr>
      <w:r>
        <w:rPr>
          <w:rStyle w:val="FootnoteReference"/>
        </w:rPr>
        <w:footnoteRef/>
      </w:r>
      <w:r w:rsidRPr="00CF56A9">
        <w:rPr>
          <w:lang w:val="es-ES"/>
        </w:rPr>
        <w:t xml:space="preserve"> </w:t>
      </w:r>
      <w:r w:rsidRPr="0038168E">
        <w:t>Estado de México</w:t>
      </w:r>
      <w:r w:rsidR="00137C70">
        <w:t>,</w:t>
      </w:r>
      <w:r w:rsidRPr="0038168E">
        <w:t xml:space="preserve"> </w:t>
      </w:r>
      <w:r w:rsidRPr="00175DE9">
        <w:t xml:space="preserve">Observaciones y comentarios del Estado mexicano al proyecto </w:t>
      </w:r>
      <w:r>
        <w:t>C</w:t>
      </w:r>
      <w:r w:rsidRPr="00175DE9">
        <w:t>apítulo V 202</w:t>
      </w:r>
      <w:r>
        <w:t>4</w:t>
      </w:r>
      <w:r w:rsidRPr="00175DE9">
        <w:t xml:space="preserve"> sobre el seguimiento a las recomendaciones formuladas por la Comisión Interamericana de Derechos Humanos en el informe “Situación de los derechos humanos en México</w:t>
      </w:r>
      <w:r w:rsidRPr="0038168E">
        <w:t xml:space="preserve">”, </w:t>
      </w:r>
      <w:r>
        <w:t>16 de febrero de 2025</w:t>
      </w:r>
      <w:r w:rsidRPr="0038168E">
        <w:t>.</w:t>
      </w:r>
    </w:p>
  </w:footnote>
  <w:footnote w:id="279">
    <w:p w14:paraId="134DB861" w14:textId="77777777" w:rsidR="00105530" w:rsidRPr="002B01A1" w:rsidRDefault="00105530" w:rsidP="00137C70">
      <w:pPr>
        <w:pStyle w:val="IANOTAALPIE"/>
        <w:rPr>
          <w:lang w:val="es-ES"/>
        </w:rPr>
      </w:pPr>
      <w:r w:rsidRPr="00C26987">
        <w:rPr>
          <w:rStyle w:val="FootnoteReference"/>
        </w:rPr>
        <w:footnoteRef/>
      </w:r>
      <w:r w:rsidRPr="00C26987">
        <w:rPr>
          <w:lang w:val="pt-BR"/>
        </w:rPr>
        <w:t xml:space="preserve"> CIDH, </w:t>
      </w:r>
      <w:hyperlink r:id="rId216">
        <w:r w:rsidRPr="002B01A1">
          <w:rPr>
            <w:rStyle w:val="Hyperlink"/>
            <w:rFonts w:eastAsiaTheme="minorHAnsi" w:cstheme="minorBidi"/>
            <w:color w:val="0563C1" w:themeColor="hyperlink"/>
            <w:lang w:val="pt-BR" w:eastAsia="en-US"/>
          </w:rPr>
          <w:t>Informe Anual, Capítulo V, México</w:t>
        </w:r>
      </w:hyperlink>
      <w:r w:rsidRPr="00C26987">
        <w:rPr>
          <w:lang w:val="pt-BR"/>
        </w:rPr>
        <w:t xml:space="preserve">, 2023, párr. </w:t>
      </w:r>
      <w:r w:rsidRPr="002B01A1">
        <w:rPr>
          <w:lang w:val="es-ES"/>
        </w:rPr>
        <w:t>83.</w:t>
      </w:r>
    </w:p>
  </w:footnote>
  <w:footnote w:id="280">
    <w:p w14:paraId="27A72773" w14:textId="4909EE81" w:rsidR="00105530" w:rsidRPr="001034AA" w:rsidRDefault="00105530" w:rsidP="00137C70">
      <w:pPr>
        <w:pStyle w:val="IANOTAALPIE"/>
        <w:rPr>
          <w:lang w:val="es-ES"/>
        </w:rPr>
      </w:pPr>
      <w:r w:rsidRPr="00C26987">
        <w:rPr>
          <w:rStyle w:val="FootnoteReference"/>
        </w:rPr>
        <w:footnoteRef/>
      </w:r>
      <w:r w:rsidRPr="002B01A1">
        <w:rPr>
          <w:lang w:val="es-ES"/>
        </w:rPr>
        <w:t xml:space="preserve"> CIDH, </w:t>
      </w:r>
      <w:hyperlink r:id="rId217">
        <w:r w:rsidRPr="001034AA">
          <w:rPr>
            <w:rStyle w:val="Hyperlink"/>
            <w:rFonts w:eastAsiaTheme="minorHAnsi" w:cstheme="minorBidi"/>
            <w:color w:val="0563C1" w:themeColor="hyperlink"/>
            <w:lang w:val="es-US" w:eastAsia="en-US"/>
          </w:rPr>
          <w:t>Informe Anual, Capítulo V, México</w:t>
        </w:r>
      </w:hyperlink>
      <w:r w:rsidRPr="002B01A1">
        <w:rPr>
          <w:lang w:val="es-ES"/>
        </w:rPr>
        <w:t>, 2023, párr</w:t>
      </w:r>
      <w:r w:rsidR="00B14F18" w:rsidRPr="002B01A1">
        <w:rPr>
          <w:lang w:val="es-ES"/>
        </w:rPr>
        <w:t>s</w:t>
      </w:r>
      <w:r w:rsidRPr="002B01A1">
        <w:rPr>
          <w:lang w:val="es-ES"/>
        </w:rPr>
        <w:t xml:space="preserve">. </w:t>
      </w:r>
      <w:r w:rsidRPr="001034AA">
        <w:rPr>
          <w:lang w:val="es-ES"/>
        </w:rPr>
        <w:t>385-388.</w:t>
      </w:r>
    </w:p>
  </w:footnote>
  <w:footnote w:id="281">
    <w:p w14:paraId="280EC7EF" w14:textId="513F9997" w:rsidR="002374CC" w:rsidRPr="00C26987" w:rsidRDefault="002374CC" w:rsidP="00137C70">
      <w:pPr>
        <w:pStyle w:val="IANOTAALPIE"/>
      </w:pPr>
      <w:r w:rsidRPr="00C26987">
        <w:rPr>
          <w:rStyle w:val="FootnoteReference"/>
        </w:rPr>
        <w:footnoteRef/>
      </w:r>
      <w:r w:rsidRPr="00C26987">
        <w:t xml:space="preserve"> </w:t>
      </w:r>
      <w:r w:rsidR="00032C24">
        <w:rPr>
          <w:lang w:val="es-ES"/>
        </w:rPr>
        <w:t xml:space="preserve">SIMORE Interamericano, </w:t>
      </w:r>
      <w:hyperlink r:id="rId218" w:history="1">
        <w:r w:rsidR="00032C24" w:rsidRPr="001034AA">
          <w:rPr>
            <w:rStyle w:val="Hyperlink"/>
            <w:rFonts w:eastAsiaTheme="minorHAnsi" w:cstheme="minorBidi"/>
            <w:color w:val="0563C1" w:themeColor="hyperlink"/>
            <w:lang w:val="es-US" w:eastAsia="en-US"/>
          </w:rPr>
          <w:t>Informe de avance del Estado mexicano sobre el cumplimiento y seguimiento de las recomendaciones de la CIDH, Recomendación 72</w:t>
        </w:r>
      </w:hyperlink>
      <w:r w:rsidR="00032C24">
        <w:rPr>
          <w:lang w:val="es-ES"/>
        </w:rPr>
        <w:t xml:space="preserve">, </w:t>
      </w:r>
      <w:r w:rsidR="00032C24" w:rsidRPr="00C26987">
        <w:rPr>
          <w:lang w:val="es-ES"/>
        </w:rPr>
        <w:t>Capítulo V, 30</w:t>
      </w:r>
      <w:r w:rsidR="00032C24">
        <w:rPr>
          <w:lang w:val="es-ES"/>
        </w:rPr>
        <w:t xml:space="preserve"> de</w:t>
      </w:r>
      <w:r w:rsidR="00032C24" w:rsidRPr="00C26987">
        <w:rPr>
          <w:lang w:val="es-ES"/>
        </w:rPr>
        <w:t xml:space="preserve"> septiembre y 1 de octubre de </w:t>
      </w:r>
      <w:r w:rsidR="00032C24">
        <w:rPr>
          <w:lang w:val="es-ES"/>
        </w:rPr>
        <w:t>2024.</w:t>
      </w:r>
      <w:r w:rsidR="00032C24" w:rsidRPr="00C26987">
        <w:rPr>
          <w:lang w:val="es-ES"/>
        </w:rPr>
        <w:t xml:space="preserve"> </w:t>
      </w:r>
    </w:p>
  </w:footnote>
  <w:footnote w:id="282">
    <w:p w14:paraId="05465C86" w14:textId="77777777" w:rsidR="002374CC" w:rsidRPr="00CF56A9" w:rsidRDefault="002374CC" w:rsidP="00137C70">
      <w:pPr>
        <w:pStyle w:val="IANOTAALPIE"/>
      </w:pPr>
      <w:r>
        <w:rPr>
          <w:rStyle w:val="FootnoteReference"/>
        </w:rPr>
        <w:footnoteRef/>
      </w:r>
      <w:r w:rsidRPr="00CF56A9">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283">
    <w:p w14:paraId="03FAEDDF" w14:textId="5609033E" w:rsidR="00105530" w:rsidRPr="001034AA" w:rsidRDefault="00105530" w:rsidP="00137C70">
      <w:pPr>
        <w:pStyle w:val="IANOTAALPIE"/>
        <w:rPr>
          <w:lang w:val="es-ES"/>
        </w:rPr>
      </w:pPr>
      <w:r w:rsidRPr="00C26987">
        <w:rPr>
          <w:rStyle w:val="FootnoteReference"/>
        </w:rPr>
        <w:footnoteRef/>
      </w:r>
      <w:r w:rsidRPr="00C26987">
        <w:rPr>
          <w:lang w:val="pt-BR"/>
        </w:rPr>
        <w:t xml:space="preserve"> CIDH, </w:t>
      </w:r>
      <w:hyperlink r:id="rId219">
        <w:r w:rsidRPr="002B01A1">
          <w:rPr>
            <w:rStyle w:val="Hyperlink"/>
            <w:rFonts w:eastAsiaTheme="minorHAnsi" w:cstheme="minorBidi"/>
            <w:color w:val="0563C1" w:themeColor="hyperlink"/>
            <w:lang w:val="pt-BR" w:eastAsia="en-US"/>
          </w:rPr>
          <w:t>Informe Anual, Capítulo V, México</w:t>
        </w:r>
      </w:hyperlink>
      <w:r w:rsidRPr="00C26987">
        <w:rPr>
          <w:lang w:val="pt-BR"/>
        </w:rPr>
        <w:t>, 2023, párr</w:t>
      </w:r>
      <w:r w:rsidR="009273E8">
        <w:rPr>
          <w:lang w:val="pt-BR"/>
        </w:rPr>
        <w:t>s</w:t>
      </w:r>
      <w:r w:rsidRPr="00C26987">
        <w:rPr>
          <w:lang w:val="pt-BR"/>
        </w:rPr>
        <w:t xml:space="preserve">. </w:t>
      </w:r>
      <w:r w:rsidRPr="001034AA">
        <w:rPr>
          <w:lang w:val="es-ES"/>
        </w:rPr>
        <w:t>390-394.</w:t>
      </w:r>
    </w:p>
  </w:footnote>
  <w:footnote w:id="284">
    <w:p w14:paraId="057FDD09" w14:textId="2A2F5382" w:rsidR="00105530" w:rsidRPr="00C26987" w:rsidRDefault="00105530" w:rsidP="00137C70">
      <w:pPr>
        <w:pStyle w:val="IANOTAALPIE"/>
      </w:pPr>
      <w:r w:rsidRPr="00C26987">
        <w:rPr>
          <w:rStyle w:val="FootnoteReference"/>
        </w:rPr>
        <w:footnoteRef/>
      </w:r>
      <w:r w:rsidRPr="00C26987">
        <w:t xml:space="preserve"> </w:t>
      </w:r>
      <w:r w:rsidR="00032C24">
        <w:rPr>
          <w:lang w:val="es-ES"/>
        </w:rPr>
        <w:t xml:space="preserve">SIMORE Interamericano, </w:t>
      </w:r>
      <w:hyperlink r:id="rId220" w:history="1">
        <w:r w:rsidR="00032C24" w:rsidRPr="001034AA">
          <w:rPr>
            <w:rStyle w:val="Hyperlink"/>
            <w:rFonts w:eastAsiaTheme="minorHAnsi" w:cstheme="minorBidi"/>
            <w:color w:val="0563C1" w:themeColor="hyperlink"/>
            <w:lang w:val="es-US" w:eastAsia="en-US"/>
          </w:rPr>
          <w:t>Informe de avance del Estado mexicano sobre el cumplimiento y seguimiento de las recomendaciones de la CIDH, Recomendación 73</w:t>
        </w:r>
      </w:hyperlink>
      <w:r w:rsidR="00032C24">
        <w:rPr>
          <w:lang w:val="es-ES"/>
        </w:rPr>
        <w:t xml:space="preserve">, </w:t>
      </w:r>
      <w:r w:rsidR="00032C24" w:rsidRPr="00C26987">
        <w:rPr>
          <w:lang w:val="es-ES"/>
        </w:rPr>
        <w:t>Capítulo V, 30</w:t>
      </w:r>
      <w:r w:rsidR="00032C24">
        <w:rPr>
          <w:lang w:val="es-ES"/>
        </w:rPr>
        <w:t xml:space="preserve"> de</w:t>
      </w:r>
      <w:r w:rsidR="00032C24" w:rsidRPr="00C26987">
        <w:rPr>
          <w:lang w:val="es-ES"/>
        </w:rPr>
        <w:t xml:space="preserve"> septiembre y 1 de octubre de </w:t>
      </w:r>
      <w:r w:rsidR="00032C24">
        <w:rPr>
          <w:lang w:val="es-ES"/>
        </w:rPr>
        <w:t>2024.</w:t>
      </w:r>
      <w:r w:rsidR="00032C24" w:rsidRPr="00C26987">
        <w:rPr>
          <w:lang w:val="es-ES"/>
        </w:rPr>
        <w:t xml:space="preserve"> </w:t>
      </w:r>
    </w:p>
  </w:footnote>
  <w:footnote w:id="285">
    <w:p w14:paraId="0086D450" w14:textId="77777777" w:rsidR="002374CC" w:rsidRPr="00CF56A9" w:rsidRDefault="002374CC" w:rsidP="00137C70">
      <w:pPr>
        <w:pStyle w:val="IANOTAALPIE"/>
      </w:pPr>
      <w:r>
        <w:rPr>
          <w:rStyle w:val="FootnoteReference"/>
        </w:rPr>
        <w:footnoteRef/>
      </w:r>
      <w:r w:rsidRPr="00CF56A9">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286">
    <w:p w14:paraId="154F64BC" w14:textId="77777777" w:rsidR="00105530" w:rsidRPr="001034AA" w:rsidRDefault="00105530" w:rsidP="00137C70">
      <w:pPr>
        <w:pStyle w:val="IANOTAALPIE"/>
        <w:rPr>
          <w:lang w:val="es-ES"/>
        </w:rPr>
      </w:pPr>
      <w:r w:rsidRPr="00C26987">
        <w:rPr>
          <w:rStyle w:val="FootnoteReference"/>
        </w:rPr>
        <w:footnoteRef/>
      </w:r>
      <w:r w:rsidRPr="00C26987">
        <w:rPr>
          <w:lang w:val="pt-BR"/>
        </w:rPr>
        <w:t xml:space="preserve"> CIDH, </w:t>
      </w:r>
      <w:hyperlink r:id="rId221">
        <w:r w:rsidRPr="002B01A1">
          <w:rPr>
            <w:rStyle w:val="Hyperlink"/>
            <w:rFonts w:eastAsiaTheme="minorHAnsi" w:cstheme="minorBidi"/>
            <w:color w:val="0563C1" w:themeColor="hyperlink"/>
            <w:lang w:val="pt-BR" w:eastAsia="en-US"/>
          </w:rPr>
          <w:t>Informe Anual, Capítulo V, México</w:t>
        </w:r>
      </w:hyperlink>
      <w:r w:rsidRPr="00C26987">
        <w:rPr>
          <w:lang w:val="pt-BR"/>
        </w:rPr>
        <w:t xml:space="preserve">, 2023, párr. </w:t>
      </w:r>
      <w:r w:rsidRPr="001034AA">
        <w:rPr>
          <w:lang w:val="es-ES"/>
        </w:rPr>
        <w:t>393.</w:t>
      </w:r>
    </w:p>
  </w:footnote>
  <w:footnote w:id="287">
    <w:p w14:paraId="21D83832" w14:textId="07AE556A" w:rsidR="00105530" w:rsidRPr="001034AA" w:rsidRDefault="00105530" w:rsidP="00137C70">
      <w:pPr>
        <w:pStyle w:val="IANOTAALPIE"/>
        <w:rPr>
          <w:lang w:val="es-ES"/>
        </w:rPr>
      </w:pPr>
      <w:r w:rsidRPr="00C26987">
        <w:rPr>
          <w:rStyle w:val="FootnoteReference"/>
        </w:rPr>
        <w:footnoteRef/>
      </w:r>
      <w:r w:rsidRPr="00CC5B9B">
        <w:rPr>
          <w:lang w:val="es-AR"/>
        </w:rPr>
        <w:t xml:space="preserve"> CIDH, </w:t>
      </w:r>
      <w:hyperlink r:id="rId222">
        <w:r w:rsidRPr="00CC5B9B">
          <w:rPr>
            <w:rStyle w:val="Hyperlink"/>
            <w:rFonts w:eastAsiaTheme="minorHAnsi" w:cstheme="minorBidi"/>
            <w:color w:val="0563C1" w:themeColor="hyperlink"/>
            <w:lang w:val="es-AR" w:eastAsia="en-US"/>
          </w:rPr>
          <w:t>Informe Anual, Capítulo V, México</w:t>
        </w:r>
      </w:hyperlink>
      <w:r w:rsidRPr="00CC5B9B">
        <w:rPr>
          <w:lang w:val="es-AR"/>
        </w:rPr>
        <w:t>, 2023, párr</w:t>
      </w:r>
      <w:r w:rsidR="00993131" w:rsidRPr="00CC5B9B">
        <w:rPr>
          <w:lang w:val="es-AR"/>
        </w:rPr>
        <w:t>s</w:t>
      </w:r>
      <w:r w:rsidRPr="00CC5B9B">
        <w:rPr>
          <w:lang w:val="es-AR"/>
        </w:rPr>
        <w:t xml:space="preserve">. </w:t>
      </w:r>
      <w:r w:rsidRPr="001034AA">
        <w:rPr>
          <w:lang w:val="es-ES"/>
        </w:rPr>
        <w:t>396-400.</w:t>
      </w:r>
    </w:p>
  </w:footnote>
  <w:footnote w:id="288">
    <w:p w14:paraId="6FC2C8E2" w14:textId="23E6F752" w:rsidR="00105530" w:rsidRPr="00C26987" w:rsidRDefault="00105530" w:rsidP="00137C70">
      <w:pPr>
        <w:pStyle w:val="IANOTAALPIE"/>
        <w:rPr>
          <w:lang w:val="es-ES"/>
        </w:rPr>
      </w:pPr>
      <w:r w:rsidRPr="00C26987">
        <w:rPr>
          <w:rStyle w:val="FootnoteReference"/>
        </w:rPr>
        <w:footnoteRef/>
      </w:r>
      <w:r w:rsidRPr="00C26987">
        <w:rPr>
          <w:lang w:val="es-ES"/>
        </w:rPr>
        <w:t xml:space="preserve"> </w:t>
      </w:r>
      <w:r w:rsidR="00032C24">
        <w:rPr>
          <w:lang w:val="es-ES"/>
        </w:rPr>
        <w:t xml:space="preserve">SIMORE Interamericano, </w:t>
      </w:r>
      <w:hyperlink r:id="rId223" w:history="1">
        <w:r w:rsidR="00032C24" w:rsidRPr="001034AA">
          <w:rPr>
            <w:rStyle w:val="Hyperlink"/>
            <w:rFonts w:eastAsiaTheme="minorHAnsi" w:cstheme="minorBidi"/>
            <w:color w:val="0563C1" w:themeColor="hyperlink"/>
            <w:lang w:val="es-US" w:eastAsia="en-US"/>
          </w:rPr>
          <w:t>Informe de avance del Estado mexicano sobre el cumplimiento y seguimiento de las recomendaciones de la CIDH, Recomendación 74</w:t>
        </w:r>
      </w:hyperlink>
      <w:r w:rsidR="00032C24">
        <w:rPr>
          <w:lang w:val="es-ES"/>
        </w:rPr>
        <w:t xml:space="preserve">, </w:t>
      </w:r>
      <w:r w:rsidR="00032C24" w:rsidRPr="00C26987">
        <w:rPr>
          <w:lang w:val="es-ES"/>
        </w:rPr>
        <w:t>Capítulo V, 30</w:t>
      </w:r>
      <w:r w:rsidR="00032C24">
        <w:rPr>
          <w:lang w:val="es-ES"/>
        </w:rPr>
        <w:t xml:space="preserve"> de</w:t>
      </w:r>
      <w:r w:rsidR="00032C24" w:rsidRPr="00C26987">
        <w:rPr>
          <w:lang w:val="es-ES"/>
        </w:rPr>
        <w:t xml:space="preserve"> septiembre y 1 de octubre de </w:t>
      </w:r>
      <w:r w:rsidR="00032C24">
        <w:rPr>
          <w:lang w:val="es-ES"/>
        </w:rPr>
        <w:t>2024.</w:t>
      </w:r>
      <w:r w:rsidR="00032C24" w:rsidRPr="00C26987">
        <w:rPr>
          <w:lang w:val="es-ES"/>
        </w:rPr>
        <w:t xml:space="preserve"> </w:t>
      </w:r>
    </w:p>
  </w:footnote>
  <w:footnote w:id="289">
    <w:p w14:paraId="1EA16A6F" w14:textId="77777777" w:rsidR="00105530" w:rsidRPr="00C26987" w:rsidRDefault="00105530" w:rsidP="00137C70">
      <w:pPr>
        <w:pStyle w:val="IANOTAALPIE"/>
      </w:pPr>
      <w:r w:rsidRPr="00C26987">
        <w:rPr>
          <w:rStyle w:val="FootnoteReference"/>
        </w:rPr>
        <w:footnoteRef/>
      </w:r>
      <w:r w:rsidRPr="00C26987">
        <w:t xml:space="preserve"> Artículo 19, Seguimiento sobre el cumplimiento de las recomendaciones del Informe “Situación de Derechos Humanos en</w:t>
      </w:r>
    </w:p>
    <w:p w14:paraId="317CE031" w14:textId="20808637" w:rsidR="00105530" w:rsidRPr="00C26987" w:rsidRDefault="00105530" w:rsidP="00032C24">
      <w:pPr>
        <w:pStyle w:val="IANOTAALPIE"/>
        <w:ind w:firstLine="0"/>
      </w:pPr>
      <w:r w:rsidRPr="00C26987">
        <w:t>México”, del 11 de septiembre de 202</w:t>
      </w:r>
      <w:r w:rsidR="004B3D21">
        <w:t>4</w:t>
      </w:r>
      <w:r w:rsidRPr="00C26987">
        <w:t>.</w:t>
      </w:r>
    </w:p>
  </w:footnote>
  <w:footnote w:id="290">
    <w:p w14:paraId="1DEDA996" w14:textId="6BCB8A98" w:rsidR="00105530" w:rsidRPr="00C26987" w:rsidRDefault="00105530" w:rsidP="00137C70">
      <w:pPr>
        <w:pStyle w:val="IANOTAALPIE"/>
      </w:pPr>
      <w:r w:rsidRPr="00C26987">
        <w:rPr>
          <w:rStyle w:val="FootnoteReference"/>
        </w:rPr>
        <w:footnoteRef/>
      </w:r>
      <w:r w:rsidRPr="00C26987">
        <w:t xml:space="preserve"> Espacio OSC, Personas defensoras de derechos humanos y periodistas en situación de desplazamiento forzado interno en</w:t>
      </w:r>
      <w:r w:rsidR="004B3D21">
        <w:t xml:space="preserve"> </w:t>
      </w:r>
      <w:r w:rsidRPr="00C26987">
        <w:t>México, 202</w:t>
      </w:r>
      <w:r w:rsidR="00C26987">
        <w:t>4</w:t>
      </w:r>
      <w:r w:rsidRPr="00C26987">
        <w:t>, p. 21.</w:t>
      </w:r>
    </w:p>
  </w:footnote>
  <w:footnote w:id="291">
    <w:p w14:paraId="418FB150" w14:textId="77777777" w:rsidR="00105530" w:rsidRPr="001034AA" w:rsidRDefault="00105530" w:rsidP="00137C70">
      <w:pPr>
        <w:pStyle w:val="IANOTAALPIE"/>
        <w:rPr>
          <w:lang w:val="es-ES"/>
        </w:rPr>
      </w:pPr>
      <w:r w:rsidRPr="00C26987">
        <w:rPr>
          <w:rStyle w:val="FootnoteReference"/>
        </w:rPr>
        <w:footnoteRef/>
      </w:r>
      <w:r w:rsidRPr="00755A25">
        <w:rPr>
          <w:lang w:val="pt-BR"/>
        </w:rPr>
        <w:t xml:space="preserve"> CIDH, </w:t>
      </w:r>
      <w:hyperlink r:id="rId224">
        <w:r w:rsidRPr="002B01A1">
          <w:rPr>
            <w:rStyle w:val="Hyperlink"/>
            <w:rFonts w:eastAsiaTheme="minorHAnsi" w:cstheme="minorBidi"/>
            <w:color w:val="0563C1" w:themeColor="hyperlink"/>
            <w:lang w:val="pt-BR" w:eastAsia="en-US"/>
          </w:rPr>
          <w:t>Informe Anual, Capítulo V, México</w:t>
        </w:r>
      </w:hyperlink>
      <w:r w:rsidRPr="00755A25">
        <w:rPr>
          <w:lang w:val="pt-BR"/>
        </w:rPr>
        <w:t xml:space="preserve">, 2023, párr. </w:t>
      </w:r>
      <w:r w:rsidRPr="001034AA">
        <w:rPr>
          <w:lang w:val="es-ES"/>
        </w:rPr>
        <w:t>400.</w:t>
      </w:r>
    </w:p>
  </w:footnote>
  <w:footnote w:id="292">
    <w:p w14:paraId="437D8F50" w14:textId="2741B6EC" w:rsidR="00105530" w:rsidRPr="00C26987" w:rsidRDefault="00105530" w:rsidP="00137C70">
      <w:pPr>
        <w:pStyle w:val="IANOTAALPIE"/>
      </w:pPr>
      <w:r w:rsidRPr="00C26987">
        <w:rPr>
          <w:rStyle w:val="FootnoteReference"/>
        </w:rPr>
        <w:footnoteRef/>
      </w:r>
      <w:r w:rsidRPr="00C26987">
        <w:t xml:space="preserve"> </w:t>
      </w:r>
      <w:r w:rsidR="00032C24">
        <w:rPr>
          <w:lang w:val="es-ES"/>
        </w:rPr>
        <w:t xml:space="preserve">SIMORE Interamericano, </w:t>
      </w:r>
      <w:hyperlink r:id="rId225" w:history="1">
        <w:r w:rsidR="00032C24" w:rsidRPr="001034AA">
          <w:rPr>
            <w:rStyle w:val="Hyperlink"/>
            <w:rFonts w:eastAsiaTheme="minorHAnsi" w:cstheme="minorBidi"/>
            <w:color w:val="0563C1" w:themeColor="hyperlink"/>
            <w:lang w:val="es-US" w:eastAsia="en-US"/>
          </w:rPr>
          <w:t>Informe de avance del Estado mexicano sobre el cumplimiento y seguimiento de las recomendaciones de la CIDH, Recomendación 74</w:t>
        </w:r>
      </w:hyperlink>
      <w:r w:rsidR="00032C24">
        <w:rPr>
          <w:lang w:val="es-ES"/>
        </w:rPr>
        <w:t xml:space="preserve">, </w:t>
      </w:r>
      <w:r w:rsidR="00032C24" w:rsidRPr="00C26987">
        <w:rPr>
          <w:lang w:val="es-ES"/>
        </w:rPr>
        <w:t>Capítulo V, 30</w:t>
      </w:r>
      <w:r w:rsidR="00032C24">
        <w:rPr>
          <w:lang w:val="es-ES"/>
        </w:rPr>
        <w:t xml:space="preserve"> de</w:t>
      </w:r>
      <w:r w:rsidR="00032C24" w:rsidRPr="00C26987">
        <w:rPr>
          <w:lang w:val="es-ES"/>
        </w:rPr>
        <w:t xml:space="preserve"> septiembre y 1 de octubre de </w:t>
      </w:r>
      <w:r w:rsidR="00032C24">
        <w:rPr>
          <w:lang w:val="es-ES"/>
        </w:rPr>
        <w:t>2024.</w:t>
      </w:r>
    </w:p>
  </w:footnote>
  <w:footnote w:id="293">
    <w:p w14:paraId="42EFBC90" w14:textId="77777777" w:rsidR="00105530" w:rsidRPr="002B01A1" w:rsidRDefault="00105530" w:rsidP="00137C70">
      <w:pPr>
        <w:pStyle w:val="IANOTAALPIE"/>
        <w:rPr>
          <w:lang w:val="es-ES"/>
        </w:rPr>
      </w:pPr>
      <w:r w:rsidRPr="00C26987">
        <w:rPr>
          <w:rStyle w:val="FootnoteReference"/>
        </w:rPr>
        <w:footnoteRef/>
      </w:r>
      <w:r w:rsidRPr="00C26987">
        <w:rPr>
          <w:lang w:val="pt-BR"/>
        </w:rPr>
        <w:t xml:space="preserve"> CIDH, </w:t>
      </w:r>
      <w:hyperlink r:id="rId226">
        <w:r w:rsidRPr="002B01A1">
          <w:rPr>
            <w:rStyle w:val="Hyperlink"/>
            <w:rFonts w:eastAsiaTheme="minorHAnsi" w:cstheme="minorBidi"/>
            <w:color w:val="0563C1" w:themeColor="hyperlink"/>
            <w:lang w:val="pt-BR" w:eastAsia="en-US"/>
          </w:rPr>
          <w:t>Informe Anual, Capítulo V, México</w:t>
        </w:r>
      </w:hyperlink>
      <w:r w:rsidRPr="00C26987">
        <w:rPr>
          <w:lang w:val="pt-BR"/>
        </w:rPr>
        <w:t xml:space="preserve">, 2023, párr. </w:t>
      </w:r>
      <w:r w:rsidRPr="002B01A1">
        <w:rPr>
          <w:lang w:val="es-ES"/>
        </w:rPr>
        <w:t>400.</w:t>
      </w:r>
    </w:p>
  </w:footnote>
  <w:footnote w:id="294">
    <w:p w14:paraId="0221CB9D" w14:textId="4A5270C5" w:rsidR="00105530" w:rsidRPr="001034AA" w:rsidRDefault="00105530" w:rsidP="00137C70">
      <w:pPr>
        <w:pStyle w:val="IANOTAALPIE"/>
        <w:rPr>
          <w:lang w:val="es-ES"/>
        </w:rPr>
      </w:pPr>
      <w:r w:rsidRPr="00C26987">
        <w:rPr>
          <w:rStyle w:val="FootnoteReference"/>
        </w:rPr>
        <w:footnoteRef/>
      </w:r>
      <w:r w:rsidRPr="002B01A1">
        <w:rPr>
          <w:lang w:val="es-ES"/>
        </w:rPr>
        <w:t xml:space="preserve"> CIDH, </w:t>
      </w:r>
      <w:hyperlink r:id="rId227">
        <w:r w:rsidRPr="001034AA">
          <w:rPr>
            <w:rStyle w:val="Hyperlink"/>
            <w:rFonts w:eastAsiaTheme="minorHAnsi" w:cstheme="minorBidi"/>
            <w:color w:val="0563C1" w:themeColor="hyperlink"/>
            <w:lang w:val="es-US" w:eastAsia="en-US"/>
          </w:rPr>
          <w:t>Informe Anual, Capítulo V, México</w:t>
        </w:r>
      </w:hyperlink>
      <w:r w:rsidRPr="002B01A1">
        <w:rPr>
          <w:lang w:val="es-ES"/>
        </w:rPr>
        <w:t>, 2023, párr</w:t>
      </w:r>
      <w:r w:rsidR="005331D6" w:rsidRPr="002B01A1">
        <w:rPr>
          <w:lang w:val="es-ES"/>
        </w:rPr>
        <w:t>s</w:t>
      </w:r>
      <w:r w:rsidRPr="002B01A1">
        <w:rPr>
          <w:lang w:val="es-ES"/>
        </w:rPr>
        <w:t xml:space="preserve">. </w:t>
      </w:r>
      <w:r w:rsidRPr="001034AA">
        <w:rPr>
          <w:lang w:val="es-ES"/>
        </w:rPr>
        <w:t>402-406.</w:t>
      </w:r>
    </w:p>
  </w:footnote>
  <w:footnote w:id="295">
    <w:p w14:paraId="6CEDE105" w14:textId="68025E1E" w:rsidR="00105530" w:rsidRPr="00C26987" w:rsidRDefault="00105530" w:rsidP="00911EA1">
      <w:pPr>
        <w:pStyle w:val="IANOTAALPIE"/>
      </w:pPr>
      <w:r w:rsidRPr="00C26987">
        <w:rPr>
          <w:rStyle w:val="FootnoteReference"/>
        </w:rPr>
        <w:footnoteRef/>
      </w:r>
      <w:r w:rsidRPr="00C26987">
        <w:t xml:space="preserve"> </w:t>
      </w:r>
      <w:r w:rsidR="00032C24">
        <w:rPr>
          <w:lang w:val="es-ES"/>
        </w:rPr>
        <w:t xml:space="preserve">SIMORE Interamericano, </w:t>
      </w:r>
      <w:hyperlink r:id="rId228" w:history="1">
        <w:r w:rsidR="00032C24" w:rsidRPr="001034AA">
          <w:rPr>
            <w:rStyle w:val="Hyperlink"/>
            <w:rFonts w:eastAsiaTheme="minorHAnsi" w:cstheme="minorBidi"/>
            <w:color w:val="0563C1" w:themeColor="hyperlink"/>
            <w:lang w:val="es-US" w:eastAsia="en-US"/>
          </w:rPr>
          <w:t>Informe de avance del Estado mexicano sobre el cumplimiento y seguimiento de las recomendaciones de la CIDH, Recomendación 75</w:t>
        </w:r>
      </w:hyperlink>
      <w:r w:rsidR="00032C24">
        <w:rPr>
          <w:lang w:val="es-ES"/>
        </w:rPr>
        <w:t xml:space="preserve">, </w:t>
      </w:r>
      <w:r w:rsidR="00032C24" w:rsidRPr="00C26987">
        <w:rPr>
          <w:lang w:val="es-ES"/>
        </w:rPr>
        <w:t>Capítulo V, 30</w:t>
      </w:r>
      <w:r w:rsidR="00032C24">
        <w:rPr>
          <w:lang w:val="es-ES"/>
        </w:rPr>
        <w:t xml:space="preserve"> de</w:t>
      </w:r>
      <w:r w:rsidR="00032C24" w:rsidRPr="00C26987">
        <w:rPr>
          <w:lang w:val="es-ES"/>
        </w:rPr>
        <w:t xml:space="preserve"> septiembre y 1 de octubre de </w:t>
      </w:r>
      <w:r w:rsidR="00032C24">
        <w:rPr>
          <w:lang w:val="es-ES"/>
        </w:rPr>
        <w:t>2024.</w:t>
      </w:r>
      <w:r w:rsidR="00032C24" w:rsidRPr="00C26987">
        <w:rPr>
          <w:lang w:val="es-ES"/>
        </w:rPr>
        <w:t xml:space="preserve"> </w:t>
      </w:r>
    </w:p>
  </w:footnote>
  <w:footnote w:id="296">
    <w:p w14:paraId="2C4FD0D2" w14:textId="3A21D6EA" w:rsidR="00105530" w:rsidRPr="00C26987" w:rsidRDefault="00105530" w:rsidP="00911EA1">
      <w:pPr>
        <w:pStyle w:val="IANOTAALPIE"/>
      </w:pPr>
      <w:r w:rsidRPr="00C26987">
        <w:rPr>
          <w:rStyle w:val="FootnoteReference"/>
        </w:rPr>
        <w:footnoteRef/>
      </w:r>
      <w:r w:rsidRPr="00C26987">
        <w:t xml:space="preserve"> </w:t>
      </w:r>
      <w:r w:rsidR="00032C24">
        <w:rPr>
          <w:lang w:val="es-ES"/>
        </w:rPr>
        <w:t xml:space="preserve">SIMORE Interamericano, </w:t>
      </w:r>
      <w:hyperlink r:id="rId229" w:history="1">
        <w:r w:rsidR="00032C24" w:rsidRPr="001034AA">
          <w:rPr>
            <w:rStyle w:val="Hyperlink"/>
            <w:rFonts w:eastAsiaTheme="minorHAnsi" w:cstheme="minorBidi"/>
            <w:color w:val="0563C1" w:themeColor="hyperlink"/>
            <w:lang w:val="es-US" w:eastAsia="en-US"/>
          </w:rPr>
          <w:t>Informe de avance del Estado mexicano sobre el cumplimiento y seguimiento de las recomendaciones de la CIDH, Recomendación 75</w:t>
        </w:r>
      </w:hyperlink>
      <w:r w:rsidR="00032C24">
        <w:rPr>
          <w:lang w:val="es-ES"/>
        </w:rPr>
        <w:t xml:space="preserve">, </w:t>
      </w:r>
      <w:r w:rsidR="00032C24" w:rsidRPr="00C26987">
        <w:rPr>
          <w:lang w:val="es-ES"/>
        </w:rPr>
        <w:t>Capítulo V, 30</w:t>
      </w:r>
      <w:r w:rsidR="00032C24">
        <w:rPr>
          <w:lang w:val="es-ES"/>
        </w:rPr>
        <w:t xml:space="preserve"> de</w:t>
      </w:r>
      <w:r w:rsidR="00032C24" w:rsidRPr="00C26987">
        <w:rPr>
          <w:lang w:val="es-ES"/>
        </w:rPr>
        <w:t xml:space="preserve"> septiembre y 1 de octubre de </w:t>
      </w:r>
      <w:r w:rsidR="00032C24">
        <w:rPr>
          <w:lang w:val="es-ES"/>
        </w:rPr>
        <w:t>2024.</w:t>
      </w:r>
    </w:p>
  </w:footnote>
  <w:footnote w:id="297">
    <w:p w14:paraId="0D0AD83E" w14:textId="573B9C7D" w:rsidR="00105530" w:rsidRPr="00C26987" w:rsidRDefault="00105530" w:rsidP="00911EA1">
      <w:pPr>
        <w:pStyle w:val="IANOTAALPIE"/>
      </w:pPr>
      <w:r w:rsidRPr="00C26987">
        <w:rPr>
          <w:rStyle w:val="FootnoteReference"/>
        </w:rPr>
        <w:footnoteRef/>
      </w:r>
      <w:r w:rsidRPr="001034AA">
        <w:rPr>
          <w:lang w:val="pt-BR"/>
        </w:rPr>
        <w:t xml:space="preserve"> CIDH, </w:t>
      </w:r>
      <w:hyperlink r:id="rId230">
        <w:r w:rsidRPr="002B01A1">
          <w:rPr>
            <w:rStyle w:val="Hyperlink"/>
            <w:rFonts w:eastAsiaTheme="minorHAnsi" w:cstheme="minorBidi"/>
            <w:color w:val="0563C1" w:themeColor="hyperlink"/>
            <w:lang w:val="pt-BR" w:eastAsia="en-US"/>
          </w:rPr>
          <w:t>Informe Anual, Capítulo V, México</w:t>
        </w:r>
      </w:hyperlink>
      <w:r w:rsidRPr="001034AA">
        <w:rPr>
          <w:lang w:val="pt-BR"/>
        </w:rPr>
        <w:t>, 2023, párr</w:t>
      </w:r>
      <w:r w:rsidR="001D0C4B" w:rsidRPr="001034AA">
        <w:rPr>
          <w:lang w:val="pt-BR"/>
        </w:rPr>
        <w:t>s</w:t>
      </w:r>
      <w:r w:rsidRPr="001034AA">
        <w:rPr>
          <w:lang w:val="pt-BR"/>
        </w:rPr>
        <w:t xml:space="preserve">. </w:t>
      </w:r>
      <w:r w:rsidRPr="00C26987">
        <w:t>408-412.</w:t>
      </w:r>
    </w:p>
  </w:footnote>
  <w:footnote w:id="298">
    <w:p w14:paraId="74166EBA" w14:textId="517CFC68" w:rsidR="00105530" w:rsidRPr="00C26987" w:rsidRDefault="00105530" w:rsidP="00911EA1">
      <w:pPr>
        <w:pStyle w:val="IANOTAALPIE"/>
        <w:rPr>
          <w:lang w:val="es-ES"/>
        </w:rPr>
      </w:pPr>
      <w:r w:rsidRPr="00C26987">
        <w:rPr>
          <w:rStyle w:val="FootnoteReference"/>
        </w:rPr>
        <w:footnoteRef/>
      </w:r>
      <w:r w:rsidRPr="00882500">
        <w:rPr>
          <w:lang w:val="es-US"/>
        </w:rPr>
        <w:t xml:space="preserve"> CIDH, </w:t>
      </w:r>
      <w:hyperlink r:id="rId231" w:history="1">
        <w:r w:rsidRPr="001034AA">
          <w:rPr>
            <w:rStyle w:val="Hyperlink"/>
            <w:rFonts w:eastAsiaTheme="minorHAnsi" w:cstheme="minorBidi"/>
            <w:color w:val="0563C1" w:themeColor="hyperlink"/>
            <w:lang w:val="es-US" w:eastAsia="en-US"/>
          </w:rPr>
          <w:t>Informe Anual, Capítulo V, México</w:t>
        </w:r>
        <w:r w:rsidRPr="00882500">
          <w:rPr>
            <w:rStyle w:val="Hyperlink"/>
            <w:lang w:val="es-US"/>
          </w:rPr>
          <w:t>,</w:t>
        </w:r>
      </w:hyperlink>
      <w:r w:rsidRPr="00882500">
        <w:rPr>
          <w:lang w:val="es-US"/>
        </w:rPr>
        <w:t xml:space="preserve"> 2022, párr</w:t>
      </w:r>
      <w:r w:rsidR="001D0C4B" w:rsidRPr="00882500">
        <w:rPr>
          <w:lang w:val="es-US"/>
        </w:rPr>
        <w:t>s</w:t>
      </w:r>
      <w:r w:rsidRPr="00882500">
        <w:rPr>
          <w:lang w:val="es-US"/>
        </w:rPr>
        <w:t xml:space="preserve">. </w:t>
      </w:r>
      <w:r w:rsidRPr="00C26987">
        <w:rPr>
          <w:lang w:val="es-ES"/>
        </w:rPr>
        <w:t>461 y 465.</w:t>
      </w:r>
    </w:p>
  </w:footnote>
  <w:footnote w:id="299">
    <w:p w14:paraId="1BA2DC38" w14:textId="77777777" w:rsidR="00105530" w:rsidRPr="00C26987" w:rsidRDefault="00105530" w:rsidP="00911EA1">
      <w:pPr>
        <w:pStyle w:val="IANOTAALPIE"/>
        <w:rPr>
          <w:lang w:val="es-ES"/>
        </w:rPr>
      </w:pPr>
      <w:r w:rsidRPr="00C26987">
        <w:rPr>
          <w:rStyle w:val="FootnoteReference"/>
        </w:rPr>
        <w:footnoteRef/>
      </w:r>
      <w:r w:rsidRPr="00882500">
        <w:rPr>
          <w:lang w:val="es-US"/>
        </w:rPr>
        <w:t xml:space="preserve"> CIDH, </w:t>
      </w:r>
      <w:hyperlink r:id="rId232">
        <w:r w:rsidRPr="001034AA">
          <w:rPr>
            <w:rStyle w:val="Hyperlink"/>
            <w:rFonts w:eastAsiaTheme="minorHAnsi" w:cstheme="minorBidi"/>
            <w:color w:val="0563C1" w:themeColor="hyperlink"/>
            <w:lang w:val="es-US" w:eastAsia="en-US"/>
          </w:rPr>
          <w:t>Informe Anual, Capítulo V, México</w:t>
        </w:r>
      </w:hyperlink>
      <w:r w:rsidRPr="00882500">
        <w:rPr>
          <w:lang w:val="es-US"/>
        </w:rPr>
        <w:t xml:space="preserve">, 2023, párr. </w:t>
      </w:r>
      <w:r w:rsidRPr="00C26987">
        <w:rPr>
          <w:lang w:val="es-ES"/>
        </w:rPr>
        <w:t>408.</w:t>
      </w:r>
    </w:p>
  </w:footnote>
  <w:footnote w:id="300">
    <w:p w14:paraId="28E605CE" w14:textId="79B936F9" w:rsidR="00105530" w:rsidRPr="00C26987" w:rsidRDefault="00105530" w:rsidP="00911EA1">
      <w:pPr>
        <w:pStyle w:val="IANOTAALPIE"/>
        <w:rPr>
          <w:lang w:val="es-ES"/>
        </w:rPr>
      </w:pPr>
      <w:r w:rsidRPr="00C26987">
        <w:rPr>
          <w:rStyle w:val="FootnoteReference"/>
        </w:rPr>
        <w:footnoteRef/>
      </w:r>
      <w:r w:rsidRPr="00C26987">
        <w:rPr>
          <w:lang w:val="es-ES"/>
        </w:rPr>
        <w:t xml:space="preserve"> </w:t>
      </w:r>
      <w:r w:rsidR="00032C24">
        <w:rPr>
          <w:lang w:val="es-ES"/>
        </w:rPr>
        <w:t xml:space="preserve">SIMORE Interamericano, </w:t>
      </w:r>
      <w:hyperlink r:id="rId233" w:history="1">
        <w:r w:rsidR="00032C24" w:rsidRPr="001034AA">
          <w:rPr>
            <w:rStyle w:val="Hyperlink"/>
            <w:rFonts w:eastAsiaTheme="minorHAnsi" w:cstheme="minorBidi"/>
            <w:color w:val="0563C1" w:themeColor="hyperlink"/>
            <w:lang w:val="es-US" w:eastAsia="en-US"/>
          </w:rPr>
          <w:t>Informe de avance del Estado mexicano sobre el cumplimiento y seguimiento de las recomendaciones de la CIDH, Recomendación 76</w:t>
        </w:r>
      </w:hyperlink>
      <w:r w:rsidR="00032C24">
        <w:rPr>
          <w:lang w:val="es-ES"/>
        </w:rPr>
        <w:t xml:space="preserve">, </w:t>
      </w:r>
      <w:r w:rsidR="00032C24" w:rsidRPr="00C26987">
        <w:rPr>
          <w:lang w:val="es-ES"/>
        </w:rPr>
        <w:t>Capítulo V, 30</w:t>
      </w:r>
      <w:r w:rsidR="00032C24">
        <w:rPr>
          <w:lang w:val="es-ES"/>
        </w:rPr>
        <w:t xml:space="preserve"> de</w:t>
      </w:r>
      <w:r w:rsidR="00032C24" w:rsidRPr="00C26987">
        <w:rPr>
          <w:lang w:val="es-ES"/>
        </w:rPr>
        <w:t xml:space="preserve"> septiembre y 1 de octubre de </w:t>
      </w:r>
      <w:r w:rsidR="00032C24">
        <w:rPr>
          <w:lang w:val="es-ES"/>
        </w:rPr>
        <w:t>2024.</w:t>
      </w:r>
      <w:r w:rsidR="00032C24" w:rsidRPr="00C26987">
        <w:rPr>
          <w:lang w:val="es-ES"/>
        </w:rPr>
        <w:t xml:space="preserve"> </w:t>
      </w:r>
    </w:p>
  </w:footnote>
  <w:footnote w:id="301">
    <w:p w14:paraId="2A45EB9F" w14:textId="77777777" w:rsidR="002374CC" w:rsidRPr="00CF56A9" w:rsidRDefault="002374CC" w:rsidP="00911EA1">
      <w:pPr>
        <w:pStyle w:val="IANOTAALPIE"/>
        <w:rPr>
          <w:lang w:val="es-ES"/>
        </w:rPr>
      </w:pPr>
      <w:r>
        <w:rPr>
          <w:rStyle w:val="FootnoteReference"/>
        </w:rPr>
        <w:footnoteRef/>
      </w:r>
      <w:r w:rsidRPr="00CF56A9">
        <w:rPr>
          <w:lang w:val="es-ES"/>
        </w:rPr>
        <w:t xml:space="preserve"> </w:t>
      </w:r>
      <w:r w:rsidRPr="0038168E">
        <w:rPr>
          <w:lang w:val="es-AR"/>
        </w:rPr>
        <w:t xml:space="preserve">Estado de México. </w:t>
      </w:r>
      <w:r w:rsidRPr="00175DE9">
        <w:rPr>
          <w:lang w:val="es-AR"/>
        </w:rPr>
        <w:t xml:space="preserve">Observaciones y comentarios del Estado mexicano al proyecto </w:t>
      </w:r>
      <w:r>
        <w:rPr>
          <w:lang w:val="es-AR"/>
        </w:rPr>
        <w:t>C</w:t>
      </w:r>
      <w:r w:rsidRPr="00175DE9">
        <w:rPr>
          <w:lang w:val="es-AR"/>
        </w:rPr>
        <w:t>apítulo V 202</w:t>
      </w:r>
      <w:r>
        <w:rPr>
          <w:lang w:val="es-AR"/>
        </w:rPr>
        <w:t>4</w:t>
      </w:r>
      <w:r w:rsidRPr="00175DE9">
        <w:rPr>
          <w:lang w:val="es-AR"/>
        </w:rPr>
        <w:t xml:space="preserve"> sobre el seguimiento a las recomendaciones formuladas por la Comisión Interamericana de Derechos Humanos en el informe “Situación de los derechos humanos en México</w:t>
      </w:r>
      <w:r w:rsidRPr="0038168E">
        <w:rPr>
          <w:lang w:val="es-AR"/>
        </w:rPr>
        <w:t xml:space="preserve">”, </w:t>
      </w:r>
      <w:r>
        <w:rPr>
          <w:lang w:val="es-AR"/>
        </w:rPr>
        <w:t>16 de febrero de 2025</w:t>
      </w:r>
      <w:r w:rsidRPr="0038168E">
        <w:rPr>
          <w:lang w:val="es-AR"/>
        </w:rPr>
        <w:t>.</w:t>
      </w:r>
    </w:p>
  </w:footnote>
  <w:footnote w:id="302">
    <w:p w14:paraId="1B7973CC" w14:textId="77777777" w:rsidR="00105530" w:rsidRPr="00C26987" w:rsidRDefault="00105530" w:rsidP="00911EA1">
      <w:pPr>
        <w:pStyle w:val="IANOTAALPIE"/>
        <w:rPr>
          <w:lang w:val="es-ES"/>
        </w:rPr>
      </w:pPr>
      <w:r w:rsidRPr="00C26987">
        <w:rPr>
          <w:rStyle w:val="FootnoteReference"/>
        </w:rPr>
        <w:footnoteRef/>
      </w:r>
      <w:r w:rsidRPr="00C26987">
        <w:rPr>
          <w:lang w:val="es-ES"/>
        </w:rPr>
        <w:t xml:space="preserve"> Artículo 19, Seguimiento sobre el cumplimiento de las recomendaciones del Informe “Situación de Derechos Humanos en</w:t>
      </w:r>
    </w:p>
    <w:p w14:paraId="1D5C2949" w14:textId="03F79C18" w:rsidR="00105530" w:rsidRPr="00C26987" w:rsidRDefault="00105530" w:rsidP="00032C24">
      <w:pPr>
        <w:pStyle w:val="IANOTAALPIE"/>
        <w:ind w:firstLine="0"/>
        <w:rPr>
          <w:lang w:val="es-ES"/>
        </w:rPr>
      </w:pPr>
      <w:r w:rsidRPr="00C26987">
        <w:rPr>
          <w:lang w:val="es-ES"/>
        </w:rPr>
        <w:t>México”, del 11 de septiembre de 202</w:t>
      </w:r>
      <w:r w:rsidR="004B3D21">
        <w:rPr>
          <w:lang w:val="es-ES"/>
        </w:rPr>
        <w:t>4</w:t>
      </w:r>
      <w:r w:rsidRPr="00C26987">
        <w:rPr>
          <w:lang w:val="es-ES"/>
        </w:rPr>
        <w:t>.</w:t>
      </w:r>
    </w:p>
  </w:footnote>
  <w:footnote w:id="303">
    <w:p w14:paraId="73A896A1" w14:textId="77777777" w:rsidR="00105530" w:rsidRPr="00C26987" w:rsidRDefault="00105530" w:rsidP="00911EA1">
      <w:pPr>
        <w:pStyle w:val="IANOTAALPIE"/>
      </w:pPr>
      <w:r w:rsidRPr="00C26987">
        <w:rPr>
          <w:rStyle w:val="FootnoteReference"/>
        </w:rPr>
        <w:footnoteRef/>
      </w:r>
      <w:r w:rsidRPr="00C26987">
        <w:t xml:space="preserve"> Espacio OSC, Personas defensoras de derechos humanos y periodistas en situación de desplazamiento forzado interno en</w:t>
      </w:r>
    </w:p>
    <w:p w14:paraId="25A798C6" w14:textId="77777777" w:rsidR="00105530" w:rsidRPr="00C26987" w:rsidRDefault="00105530" w:rsidP="00911EA1">
      <w:pPr>
        <w:pStyle w:val="IANOTAALPIE"/>
        <w:ind w:firstLine="0"/>
      </w:pPr>
      <w:r w:rsidRPr="00C26987">
        <w:t>México, 2023, pp. 24-26.</w:t>
      </w:r>
    </w:p>
  </w:footnote>
  <w:footnote w:id="304">
    <w:p w14:paraId="19C3DD0B" w14:textId="03CC5AA9" w:rsidR="00105530" w:rsidRPr="00C26987" w:rsidRDefault="00105530" w:rsidP="00911EA1">
      <w:pPr>
        <w:pStyle w:val="IANOTAALPIE"/>
      </w:pPr>
      <w:r w:rsidRPr="00C26987">
        <w:rPr>
          <w:rStyle w:val="FootnoteReference"/>
        </w:rPr>
        <w:footnoteRef/>
      </w:r>
      <w:r w:rsidRPr="00C26987">
        <w:t xml:space="preserve"> </w:t>
      </w:r>
      <w:r w:rsidR="00032C24">
        <w:rPr>
          <w:lang w:val="es-ES"/>
        </w:rPr>
        <w:t xml:space="preserve">SIMORE Interamericano, </w:t>
      </w:r>
      <w:hyperlink r:id="rId234" w:history="1">
        <w:r w:rsidR="00032C24" w:rsidRPr="001034AA">
          <w:rPr>
            <w:rStyle w:val="Hyperlink"/>
            <w:rFonts w:eastAsiaTheme="minorHAnsi" w:cstheme="minorBidi"/>
            <w:color w:val="0563C1" w:themeColor="hyperlink"/>
            <w:lang w:val="es-US" w:eastAsia="en-US"/>
          </w:rPr>
          <w:t>Informe de avance del Estado mexicano sobre el cumplimiento y seguimiento de las recomendaciones de la CIDH, Recomendación 77</w:t>
        </w:r>
      </w:hyperlink>
      <w:r w:rsidR="00032C24">
        <w:rPr>
          <w:lang w:val="es-ES"/>
        </w:rPr>
        <w:t xml:space="preserve">, </w:t>
      </w:r>
      <w:r w:rsidR="00032C24" w:rsidRPr="00C26987">
        <w:rPr>
          <w:lang w:val="es-ES"/>
        </w:rPr>
        <w:t>Capítulo V, 30</w:t>
      </w:r>
      <w:r w:rsidR="00032C24">
        <w:rPr>
          <w:lang w:val="es-ES"/>
        </w:rPr>
        <w:t xml:space="preserve"> de</w:t>
      </w:r>
      <w:r w:rsidR="00032C24" w:rsidRPr="00C26987">
        <w:rPr>
          <w:lang w:val="es-ES"/>
        </w:rPr>
        <w:t xml:space="preserve"> septiembre y 1 de octubre de </w:t>
      </w:r>
      <w:r w:rsidR="00032C24">
        <w:rPr>
          <w:lang w:val="es-ES"/>
        </w:rPr>
        <w:t>2024.</w:t>
      </w:r>
    </w:p>
  </w:footnote>
  <w:footnote w:id="305">
    <w:p w14:paraId="0A039E21" w14:textId="7AB2337B" w:rsidR="00105530" w:rsidRPr="00C26987" w:rsidRDefault="00105530" w:rsidP="00911EA1">
      <w:pPr>
        <w:pStyle w:val="IANOTAALPIE"/>
      </w:pPr>
      <w:r w:rsidRPr="00C26987">
        <w:rPr>
          <w:rStyle w:val="FootnoteReference"/>
        </w:rPr>
        <w:footnoteRef/>
      </w:r>
      <w:r w:rsidRPr="00C26987">
        <w:rPr>
          <w:lang w:val="pt-BR"/>
        </w:rPr>
        <w:t xml:space="preserve"> CIDH, </w:t>
      </w:r>
      <w:hyperlink r:id="rId235">
        <w:r w:rsidRPr="002B01A1">
          <w:rPr>
            <w:rStyle w:val="Hyperlink"/>
            <w:rFonts w:eastAsiaTheme="minorHAnsi" w:cstheme="minorBidi"/>
            <w:color w:val="0563C1" w:themeColor="hyperlink"/>
            <w:lang w:val="pt-BR" w:eastAsia="en-US"/>
          </w:rPr>
          <w:t>Informe Anual, Capítulo V, México</w:t>
        </w:r>
      </w:hyperlink>
      <w:r w:rsidRPr="00C26987">
        <w:rPr>
          <w:lang w:val="pt-BR"/>
        </w:rPr>
        <w:t>, 2023, párr</w:t>
      </w:r>
      <w:r w:rsidR="00A95231">
        <w:rPr>
          <w:lang w:val="pt-BR"/>
        </w:rPr>
        <w:t>s</w:t>
      </w:r>
      <w:r w:rsidRPr="00C26987">
        <w:rPr>
          <w:lang w:val="pt-BR"/>
        </w:rPr>
        <w:t xml:space="preserve">. </w:t>
      </w:r>
      <w:r w:rsidRPr="00C26987">
        <w:rPr>
          <w:lang w:val="es-US"/>
        </w:rPr>
        <w:t>419-422</w:t>
      </w:r>
      <w:r w:rsidRPr="00C26987">
        <w:t>.</w:t>
      </w:r>
    </w:p>
  </w:footnote>
  <w:footnote w:id="306">
    <w:p w14:paraId="47D61521" w14:textId="1A90AF3B" w:rsidR="00105530" w:rsidRPr="00C26987" w:rsidRDefault="00105530" w:rsidP="00911EA1">
      <w:pPr>
        <w:pStyle w:val="IANOTAALPIE"/>
      </w:pPr>
      <w:r w:rsidRPr="00C26987">
        <w:rPr>
          <w:rStyle w:val="FootnoteReference"/>
        </w:rPr>
        <w:footnoteRef/>
      </w:r>
      <w:r w:rsidR="00A25DCA">
        <w:t xml:space="preserve"> </w:t>
      </w:r>
      <w:r w:rsidRPr="00C26987">
        <w:t>Organización Ku’kay, Seguimiento sobre el cumplimiento de las recomendaciones del Informe “Situación de Derechos Humanos en México”, octubre de 2024.</w:t>
      </w:r>
    </w:p>
  </w:footnote>
  <w:footnote w:id="307">
    <w:p w14:paraId="7AF57537" w14:textId="2A4C61A6" w:rsidR="00105530" w:rsidRPr="001034AA" w:rsidRDefault="00105530" w:rsidP="00911EA1">
      <w:pPr>
        <w:pStyle w:val="IANOTAALPIE"/>
        <w:rPr>
          <w:lang w:val="es-ES"/>
        </w:rPr>
      </w:pPr>
      <w:r w:rsidRPr="00C26987">
        <w:rPr>
          <w:rStyle w:val="FootnoteReference"/>
        </w:rPr>
        <w:footnoteRef/>
      </w:r>
      <w:r w:rsidRPr="00852144">
        <w:rPr>
          <w:lang w:val="pt-BR"/>
        </w:rPr>
        <w:t xml:space="preserve"> CIDH</w:t>
      </w:r>
      <w:r w:rsidRPr="002B01A1">
        <w:rPr>
          <w:rStyle w:val="Hyperlink"/>
          <w:rFonts w:eastAsiaTheme="minorHAnsi" w:cstheme="minorBidi"/>
          <w:color w:val="0563C1" w:themeColor="hyperlink"/>
          <w:lang w:val="pt-BR" w:eastAsia="en-US"/>
        </w:rPr>
        <w:t xml:space="preserve">, </w:t>
      </w:r>
      <w:hyperlink r:id="rId236">
        <w:r w:rsidRPr="002B01A1">
          <w:rPr>
            <w:rStyle w:val="Hyperlink"/>
            <w:rFonts w:eastAsiaTheme="minorHAnsi" w:cstheme="minorBidi"/>
            <w:color w:val="0563C1" w:themeColor="hyperlink"/>
            <w:lang w:val="pt-BR" w:eastAsia="en-US"/>
          </w:rPr>
          <w:t>Informe Anual, Capítulo V, México</w:t>
        </w:r>
      </w:hyperlink>
      <w:r w:rsidRPr="00852144">
        <w:rPr>
          <w:lang w:val="pt-BR"/>
        </w:rPr>
        <w:t>, 2023, párr</w:t>
      </w:r>
      <w:r w:rsidR="0069157D" w:rsidRPr="00852144">
        <w:rPr>
          <w:lang w:val="pt-BR"/>
        </w:rPr>
        <w:t>s</w:t>
      </w:r>
      <w:r w:rsidRPr="00852144">
        <w:rPr>
          <w:lang w:val="pt-BR"/>
        </w:rPr>
        <w:t xml:space="preserve">. </w:t>
      </w:r>
      <w:r w:rsidRPr="001034AA">
        <w:rPr>
          <w:lang w:val="es-ES"/>
        </w:rPr>
        <w:t>424-427.</w:t>
      </w:r>
    </w:p>
  </w:footnote>
  <w:footnote w:id="308">
    <w:p w14:paraId="26D9D715" w14:textId="1FDA25DD" w:rsidR="00105530" w:rsidRPr="00C26987" w:rsidRDefault="00105530" w:rsidP="00911EA1">
      <w:pPr>
        <w:pStyle w:val="IANOTAALPIE"/>
        <w:rPr>
          <w:lang w:val="es-ES"/>
        </w:rPr>
      </w:pPr>
      <w:r w:rsidRPr="00C26987">
        <w:rPr>
          <w:rStyle w:val="FootnoteReference"/>
        </w:rPr>
        <w:footnoteRef/>
      </w:r>
      <w:r w:rsidRPr="00C26987">
        <w:rPr>
          <w:lang w:val="es-ES"/>
        </w:rPr>
        <w:t xml:space="preserve"> </w:t>
      </w:r>
      <w:r w:rsidR="00032C24">
        <w:rPr>
          <w:lang w:val="es-ES"/>
        </w:rPr>
        <w:t xml:space="preserve">SIMORE Interamericano, </w:t>
      </w:r>
      <w:hyperlink r:id="rId237" w:history="1">
        <w:r w:rsidR="00032C24" w:rsidRPr="001034AA">
          <w:rPr>
            <w:rStyle w:val="Hyperlink"/>
            <w:rFonts w:eastAsiaTheme="minorHAnsi" w:cstheme="minorBidi"/>
            <w:color w:val="0563C1" w:themeColor="hyperlink"/>
            <w:lang w:val="es-US" w:eastAsia="en-US"/>
          </w:rPr>
          <w:t>Informe de avance del Estado mexicano sobre el cumplimiento y seguimiento de las recomendaciones de la CIDH, Recomendación 79</w:t>
        </w:r>
      </w:hyperlink>
      <w:r w:rsidR="00032C24">
        <w:rPr>
          <w:lang w:val="es-ES"/>
        </w:rPr>
        <w:t xml:space="preserve">, </w:t>
      </w:r>
      <w:r w:rsidR="00032C24" w:rsidRPr="00C26987">
        <w:rPr>
          <w:lang w:val="es-ES"/>
        </w:rPr>
        <w:t>Capítulo V, 30</w:t>
      </w:r>
      <w:r w:rsidR="00032C24">
        <w:rPr>
          <w:lang w:val="es-ES"/>
        </w:rPr>
        <w:t xml:space="preserve"> de</w:t>
      </w:r>
      <w:r w:rsidR="00032C24" w:rsidRPr="00C26987">
        <w:rPr>
          <w:lang w:val="es-ES"/>
        </w:rPr>
        <w:t xml:space="preserve"> septiembre y 1 de octubre de </w:t>
      </w:r>
      <w:r w:rsidR="00032C24">
        <w:rPr>
          <w:lang w:val="es-ES"/>
        </w:rPr>
        <w:t>2024.</w:t>
      </w:r>
    </w:p>
  </w:footnote>
  <w:footnote w:id="309">
    <w:p w14:paraId="0E1D1274" w14:textId="5C566AB6" w:rsidR="00105530" w:rsidRPr="00C26987" w:rsidRDefault="00105530" w:rsidP="00911EA1">
      <w:pPr>
        <w:pStyle w:val="IANOTAALPIE"/>
      </w:pPr>
      <w:r w:rsidRPr="00C26987">
        <w:rPr>
          <w:rStyle w:val="FootnoteReference"/>
        </w:rPr>
        <w:footnoteRef/>
      </w:r>
      <w:r w:rsidRPr="00C26987">
        <w:t xml:space="preserve"> Organización Ku’kay, Seguimiento sobre el cumplimiento de las recomendaciones del Informe “Situación de Derechos Humanos en México”, octubre de 2024.</w:t>
      </w:r>
    </w:p>
  </w:footnote>
  <w:footnote w:id="310">
    <w:p w14:paraId="0C59AD1B" w14:textId="3066A9E2" w:rsidR="00105530" w:rsidRPr="00C26987" w:rsidRDefault="00105530" w:rsidP="00911EA1">
      <w:pPr>
        <w:pStyle w:val="IANOTAALPIE"/>
      </w:pPr>
      <w:r w:rsidRPr="00C26987">
        <w:rPr>
          <w:rStyle w:val="FootnoteReference"/>
        </w:rPr>
        <w:footnoteRef/>
      </w:r>
      <w:r w:rsidRPr="00C26987">
        <w:rPr>
          <w:lang w:val="pt-BR"/>
        </w:rPr>
        <w:t xml:space="preserve"> CIDH, </w:t>
      </w:r>
      <w:hyperlink r:id="rId238">
        <w:r w:rsidRPr="002B01A1">
          <w:rPr>
            <w:rStyle w:val="Hyperlink"/>
            <w:rFonts w:eastAsiaTheme="minorHAnsi" w:cstheme="minorBidi"/>
            <w:color w:val="0563C1" w:themeColor="hyperlink"/>
            <w:lang w:val="pt-BR" w:eastAsia="en-US"/>
          </w:rPr>
          <w:t>Informe Anual, Capítulo V, México</w:t>
        </w:r>
      </w:hyperlink>
      <w:r w:rsidRPr="00C26987">
        <w:rPr>
          <w:lang w:val="pt-BR"/>
        </w:rPr>
        <w:t>, 2023, párr</w:t>
      </w:r>
      <w:r w:rsidR="00AD6C58">
        <w:rPr>
          <w:lang w:val="pt-BR"/>
        </w:rPr>
        <w:t>s</w:t>
      </w:r>
      <w:r w:rsidRPr="00C26987">
        <w:rPr>
          <w:lang w:val="pt-BR"/>
        </w:rPr>
        <w:t xml:space="preserve">. </w:t>
      </w:r>
      <w:r w:rsidRPr="00C26987">
        <w:rPr>
          <w:lang w:val="es-US"/>
        </w:rPr>
        <w:t>429-432</w:t>
      </w:r>
      <w:r w:rsidRPr="00C26987">
        <w:t>.</w:t>
      </w:r>
    </w:p>
  </w:footnote>
  <w:footnote w:id="311">
    <w:p w14:paraId="696EFA3F" w14:textId="37775804" w:rsidR="00105530" w:rsidRPr="00C26987" w:rsidRDefault="00105530" w:rsidP="00911EA1">
      <w:pPr>
        <w:pStyle w:val="IANOTAALPIE"/>
      </w:pPr>
      <w:r w:rsidRPr="00C26987">
        <w:rPr>
          <w:rStyle w:val="FootnoteReference"/>
        </w:rPr>
        <w:footnoteRef/>
      </w:r>
      <w:r w:rsidRPr="00C26987">
        <w:t xml:space="preserve"> </w:t>
      </w:r>
      <w:r w:rsidR="00032C24">
        <w:rPr>
          <w:lang w:val="es-ES"/>
        </w:rPr>
        <w:t xml:space="preserve">SIMORE Interamericano, </w:t>
      </w:r>
      <w:hyperlink r:id="rId239" w:history="1">
        <w:r w:rsidR="00032C24" w:rsidRPr="001034AA">
          <w:rPr>
            <w:rStyle w:val="Hyperlink"/>
            <w:rFonts w:eastAsiaTheme="minorHAnsi" w:cstheme="minorBidi"/>
            <w:color w:val="0563C1" w:themeColor="hyperlink"/>
            <w:lang w:val="es-US" w:eastAsia="en-US"/>
          </w:rPr>
          <w:t>Informe de avance del Estado mexicano sobre el cumplimiento y seguimiento de las recomendaciones de la CIDH, Recomendación 80</w:t>
        </w:r>
      </w:hyperlink>
      <w:r w:rsidR="00032C24">
        <w:rPr>
          <w:lang w:val="es-ES"/>
        </w:rPr>
        <w:t xml:space="preserve">, </w:t>
      </w:r>
      <w:r w:rsidR="00032C24" w:rsidRPr="00C26987">
        <w:rPr>
          <w:lang w:val="es-ES"/>
        </w:rPr>
        <w:t>Capítulo V, 30</w:t>
      </w:r>
      <w:r w:rsidR="00032C24">
        <w:rPr>
          <w:lang w:val="es-ES"/>
        </w:rPr>
        <w:t xml:space="preserve"> de</w:t>
      </w:r>
      <w:r w:rsidR="00032C24" w:rsidRPr="00C26987">
        <w:rPr>
          <w:lang w:val="es-ES"/>
        </w:rPr>
        <w:t xml:space="preserve"> septiembre y 1 de octubre de </w:t>
      </w:r>
      <w:r w:rsidR="00032C24">
        <w:rPr>
          <w:lang w:val="es-ES"/>
        </w:rPr>
        <w:t>2024.</w:t>
      </w:r>
      <w:r w:rsidR="00032C24" w:rsidRPr="00C2698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B598D" w14:paraId="762B9420" w14:textId="77777777" w:rsidTr="01FA94F7">
      <w:trPr>
        <w:trHeight w:hRule="exact" w:val="860"/>
        <w:jc w:val="center"/>
      </w:trPr>
      <w:tc>
        <w:tcPr>
          <w:tcW w:w="4675" w:type="dxa"/>
          <w:shd w:val="clear" w:color="auto" w:fill="auto"/>
        </w:tcPr>
        <w:p w14:paraId="405E7CD6" w14:textId="22FB357B" w:rsidR="00FB598D" w:rsidRDefault="01FA94F7" w:rsidP="00FB598D">
          <w:pPr>
            <w:pStyle w:val="Header"/>
          </w:pPr>
          <w:r>
            <w:rPr>
              <w:noProof/>
            </w:rPr>
            <w:drawing>
              <wp:inline distT="0" distB="0" distL="0" distR="0" wp14:anchorId="57AE6A1F" wp14:editId="1A16C30E">
                <wp:extent cx="819150" cy="314325"/>
                <wp:effectExtent l="0" t="0" r="0" b="0"/>
                <wp:docPr id="1218177248" name="Picture 1218177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19150" cy="314325"/>
                        </a:xfrm>
                        <a:prstGeom prst="rect">
                          <a:avLst/>
                        </a:prstGeom>
                      </pic:spPr>
                    </pic:pic>
                  </a:graphicData>
                </a:graphic>
              </wp:inline>
            </w:drawing>
          </w:r>
          <w:r w:rsidR="00FB598D">
            <w:br/>
          </w:r>
          <w:r w:rsidR="00FB598D">
            <w:br/>
          </w:r>
        </w:p>
      </w:tc>
      <w:tc>
        <w:tcPr>
          <w:tcW w:w="4675" w:type="dxa"/>
          <w:shd w:val="clear" w:color="auto" w:fill="auto"/>
        </w:tcPr>
        <w:p w14:paraId="03E7FEEE" w14:textId="18BFB61B" w:rsidR="00FB598D" w:rsidRDefault="01FA94F7" w:rsidP="00FB598D">
          <w:pPr>
            <w:pStyle w:val="Header"/>
            <w:jc w:val="right"/>
          </w:pPr>
          <w:r>
            <w:rPr>
              <w:noProof/>
            </w:rPr>
            <w:drawing>
              <wp:inline distT="0" distB="0" distL="0" distR="0" wp14:anchorId="10D735C9" wp14:editId="103156F5">
                <wp:extent cx="1352550" cy="314325"/>
                <wp:effectExtent l="0" t="0" r="0" b="0"/>
                <wp:docPr id="818713035" name="Picture 81871303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352550" cy="314325"/>
                        </a:xfrm>
                        <a:prstGeom prst="rect">
                          <a:avLst/>
                        </a:prstGeom>
                      </pic:spPr>
                    </pic:pic>
                  </a:graphicData>
                </a:graphic>
              </wp:inline>
            </w:drawing>
          </w:r>
          <w:r w:rsidR="00FB598D">
            <w:br/>
          </w:r>
        </w:p>
      </w:tc>
    </w:tr>
  </w:tbl>
  <w:p w14:paraId="60E6F577" w14:textId="0EDFF248" w:rsidR="00D56DC4" w:rsidRPr="00FB598D" w:rsidRDefault="00D56DC4" w:rsidP="00FB59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D55A" w14:textId="05E77895" w:rsidR="00FB598D" w:rsidRDefault="00FB598D" w:rsidP="00FB598D">
    <w:pPr>
      <w:pStyle w:val="Header"/>
      <w:framePr w:wrap="none" w:vAnchor="text" w:hAnchor="margin" w:xAlign="center" w:y="1"/>
      <w:rPr>
        <w:rStyle w:val="PageNumber"/>
      </w:rPr>
    </w:pPr>
  </w:p>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B598D" w14:paraId="7469AA45" w14:textId="77777777" w:rsidTr="01FA94F7">
      <w:trPr>
        <w:trHeight w:hRule="exact" w:val="860"/>
        <w:jc w:val="center"/>
      </w:trPr>
      <w:tc>
        <w:tcPr>
          <w:tcW w:w="4675" w:type="dxa"/>
          <w:shd w:val="clear" w:color="auto" w:fill="auto"/>
        </w:tcPr>
        <w:p w14:paraId="74B82381" w14:textId="797A5E08" w:rsidR="00FB598D" w:rsidRDefault="01FA94F7" w:rsidP="00FB598D">
          <w:pPr>
            <w:pStyle w:val="Header"/>
          </w:pPr>
          <w:r>
            <w:rPr>
              <w:noProof/>
            </w:rPr>
            <w:drawing>
              <wp:inline distT="0" distB="0" distL="0" distR="0" wp14:anchorId="4025EE9F" wp14:editId="1028A133">
                <wp:extent cx="1181100" cy="457200"/>
                <wp:effectExtent l="0" t="0" r="0" b="0"/>
                <wp:docPr id="319768815" name="Picture 319768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81100" cy="457200"/>
                        </a:xfrm>
                        <a:prstGeom prst="rect">
                          <a:avLst/>
                        </a:prstGeom>
                      </pic:spPr>
                    </pic:pic>
                  </a:graphicData>
                </a:graphic>
              </wp:inline>
            </w:drawing>
          </w:r>
          <w:r w:rsidR="00FB598D">
            <w:br/>
          </w:r>
        </w:p>
      </w:tc>
      <w:tc>
        <w:tcPr>
          <w:tcW w:w="4675" w:type="dxa"/>
          <w:shd w:val="clear" w:color="auto" w:fill="auto"/>
        </w:tcPr>
        <w:p w14:paraId="5737028C" w14:textId="77777777" w:rsidR="00FB598D" w:rsidRDefault="00FB598D" w:rsidP="00FB598D">
          <w:pPr>
            <w:pStyle w:val="Header"/>
            <w:jc w:val="right"/>
          </w:pPr>
          <w:r>
            <w:rPr>
              <w:noProof/>
            </w:rPr>
            <w:drawing>
              <wp:inline distT="0" distB="0" distL="0" distR="0" wp14:anchorId="22016BA1" wp14:editId="2B8AB24B">
                <wp:extent cx="1935501" cy="457200"/>
                <wp:effectExtent l="0" t="0" r="0" b="0"/>
                <wp:docPr id="610922971" name="Imagen 610922971" descr="A logo with a letter 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5601" name="Picture 143595601" descr="A logo with a letter h&#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2AF194D7" w14:textId="66DE2ED9" w:rsidR="00566CD0" w:rsidRPr="00566CD0" w:rsidRDefault="00566CD0" w:rsidP="00FB598D">
    <w:pPr>
      <w:pStyle w:val="Header"/>
      <w:spacing w:line="216" w:lineRule="auto"/>
      <w:rPr>
        <w:rFonts w:ascii="Arial" w:hAnsi="Arial" w:cs="Arial"/>
        <w:b/>
        <w:bCs/>
        <w:color w:val="404040" w:themeColor="text1" w:themeTint="BF"/>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050"/>
    <w:multiLevelType w:val="multilevel"/>
    <w:tmpl w:val="117C1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F05DD"/>
    <w:multiLevelType w:val="multilevel"/>
    <w:tmpl w:val="4C06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64B42"/>
    <w:multiLevelType w:val="multilevel"/>
    <w:tmpl w:val="CC96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815FF"/>
    <w:multiLevelType w:val="multilevel"/>
    <w:tmpl w:val="15FCC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8340F"/>
    <w:multiLevelType w:val="hybridMultilevel"/>
    <w:tmpl w:val="AB8215A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358C8"/>
    <w:multiLevelType w:val="hybridMultilevel"/>
    <w:tmpl w:val="9694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46D1F"/>
    <w:multiLevelType w:val="hybridMultilevel"/>
    <w:tmpl w:val="53E27DD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5809A2"/>
    <w:multiLevelType w:val="hybridMultilevel"/>
    <w:tmpl w:val="76B4574A"/>
    <w:lvl w:ilvl="0" w:tplc="3ABA6AC6">
      <w:start w:val="1"/>
      <w:numFmt w:val="upperLetter"/>
      <w:lvlText w:val="%1."/>
      <w:lvlJc w:val="left"/>
      <w:pPr>
        <w:ind w:left="720" w:hanging="360"/>
      </w:pPr>
      <w:rPr>
        <w:i w:val="0"/>
        <w:i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805164"/>
    <w:multiLevelType w:val="hybridMultilevel"/>
    <w:tmpl w:val="AEFC8E04"/>
    <w:lvl w:ilvl="0" w:tplc="55C60C6A">
      <w:start w:val="73"/>
      <w:numFmt w:val="decimal"/>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413D6"/>
    <w:multiLevelType w:val="hybridMultilevel"/>
    <w:tmpl w:val="C75474B0"/>
    <w:lvl w:ilvl="0" w:tplc="D0EEF8F0">
      <w:start w:val="247"/>
      <w:numFmt w:val="bullet"/>
      <w:lvlText w:val="-"/>
      <w:lvlJc w:val="left"/>
      <w:pPr>
        <w:ind w:left="720" w:hanging="360"/>
      </w:pPr>
      <w:rPr>
        <w:rFonts w:ascii="Cambria" w:eastAsiaTheme="minorHAnsi" w:hAnsi="Cambria" w:cstheme="minorBid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 w15:restartNumberingAfterBreak="0">
    <w:nsid w:val="28A90490"/>
    <w:multiLevelType w:val="multilevel"/>
    <w:tmpl w:val="FC8C1CAA"/>
    <w:lvl w:ilvl="0">
      <w:start w:val="1"/>
      <w:numFmt w:val="upperRoman"/>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F923D8"/>
    <w:multiLevelType w:val="multilevel"/>
    <w:tmpl w:val="A940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8F0C2B"/>
    <w:multiLevelType w:val="hybridMultilevel"/>
    <w:tmpl w:val="7DAA5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D7179A"/>
    <w:multiLevelType w:val="multilevel"/>
    <w:tmpl w:val="6DA0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B56366"/>
    <w:multiLevelType w:val="multilevel"/>
    <w:tmpl w:val="24DEC48E"/>
    <w:lvl w:ilvl="0">
      <w:start w:val="73"/>
      <w:numFmt w:val="decimal"/>
      <w:pStyle w:val="ListBullet3"/>
      <w:lvlText w:val="%1."/>
      <w:lvlJc w:val="left"/>
      <w:pPr>
        <w:ind w:left="720" w:hanging="360"/>
      </w:pPr>
      <w:rPr>
        <w:i w:val="0"/>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331656D"/>
    <w:multiLevelType w:val="multilevel"/>
    <w:tmpl w:val="A372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FF6186"/>
    <w:multiLevelType w:val="hybridMultilevel"/>
    <w:tmpl w:val="2D8810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0A7AAA"/>
    <w:multiLevelType w:val="hybridMultilevel"/>
    <w:tmpl w:val="C810B8D6"/>
    <w:lvl w:ilvl="0" w:tplc="954E5BCA">
      <w:start w:val="1"/>
      <w:numFmt w:val="decimal"/>
      <w:lvlText w:val="%1."/>
      <w:lvlJc w:val="left"/>
      <w:pPr>
        <w:ind w:left="0" w:firstLine="720"/>
      </w:pPr>
      <w:rPr>
        <w:rFonts w:hint="default"/>
        <w:b w:val="0"/>
        <w:bCs w:val="0"/>
        <w:color w:val="000000" w:themeColor="text1"/>
        <w:sz w:val="20"/>
        <w:szCs w:val="20"/>
        <w:vertAlign w:val="baseline"/>
        <w:lang w:val="es-419"/>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7AD4FBF"/>
    <w:multiLevelType w:val="hybridMultilevel"/>
    <w:tmpl w:val="8D64C5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BD65CA0"/>
    <w:multiLevelType w:val="hybridMultilevel"/>
    <w:tmpl w:val="3A148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C24E4"/>
    <w:multiLevelType w:val="hybridMultilevel"/>
    <w:tmpl w:val="F46684E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4072721"/>
    <w:multiLevelType w:val="multilevel"/>
    <w:tmpl w:val="FB245110"/>
    <w:lvl w:ilvl="0">
      <w:start w:val="1"/>
      <w:numFmt w:val="upperRoman"/>
      <w:lvlText w:val="%1."/>
      <w:lvlJc w:val="left"/>
      <w:pPr>
        <w:ind w:left="1440" w:hanging="720"/>
      </w:pPr>
      <w:rPr>
        <w:b/>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46706CB"/>
    <w:multiLevelType w:val="multilevel"/>
    <w:tmpl w:val="7CF8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08776C"/>
    <w:multiLevelType w:val="hybridMultilevel"/>
    <w:tmpl w:val="84960DCE"/>
    <w:lvl w:ilvl="0" w:tplc="FFFFFFFF">
      <w:start w:val="1"/>
      <w:numFmt w:val="decimal"/>
      <w:pStyle w:val="parrafos"/>
      <w:lvlText w:val="%1."/>
      <w:lvlJc w:val="left"/>
      <w:pPr>
        <w:ind w:left="0" w:firstLine="0"/>
      </w:pPr>
      <w:rPr>
        <w:rFonts w:ascii="Cambria" w:hAnsi="Cambria" w:hint="default"/>
        <w:b w:val="0"/>
        <w:bCs w:val="0"/>
        <w:i w:val="0"/>
        <w:iCs w:val="0"/>
        <w:strike w:val="0"/>
        <w:sz w:val="20"/>
        <w:szCs w:val="20"/>
        <w:lang w:val="es-ES"/>
      </w:rPr>
    </w:lvl>
    <w:lvl w:ilvl="1" w:tplc="74569AF4">
      <w:start w:val="1"/>
      <w:numFmt w:val="lowerLetter"/>
      <w:lvlText w:val="%2."/>
      <w:lvlJc w:val="left"/>
      <w:pPr>
        <w:ind w:left="3715" w:hanging="360"/>
      </w:pPr>
    </w:lvl>
    <w:lvl w:ilvl="2" w:tplc="0AAAA008">
      <w:start w:val="1"/>
      <w:numFmt w:val="lowerRoman"/>
      <w:lvlText w:val="%3."/>
      <w:lvlJc w:val="right"/>
      <w:pPr>
        <w:ind w:left="4435" w:hanging="180"/>
      </w:pPr>
    </w:lvl>
    <w:lvl w:ilvl="3" w:tplc="04090005">
      <w:start w:val="1"/>
      <w:numFmt w:val="bullet"/>
      <w:lvlText w:val=""/>
      <w:lvlJc w:val="left"/>
      <w:pPr>
        <w:ind w:left="5155" w:hanging="360"/>
      </w:pPr>
      <w:rPr>
        <w:rFonts w:ascii="Wingdings" w:hAnsi="Wingdings" w:hint="default"/>
      </w:rPr>
    </w:lvl>
    <w:lvl w:ilvl="4" w:tplc="4238D772">
      <w:start w:val="1"/>
      <w:numFmt w:val="lowerLetter"/>
      <w:lvlText w:val="%5."/>
      <w:lvlJc w:val="left"/>
      <w:pPr>
        <w:ind w:left="5875" w:hanging="360"/>
      </w:pPr>
    </w:lvl>
    <w:lvl w:ilvl="5" w:tplc="C158FAA4">
      <w:start w:val="1"/>
      <w:numFmt w:val="lowerRoman"/>
      <w:lvlText w:val="%6."/>
      <w:lvlJc w:val="right"/>
      <w:pPr>
        <w:ind w:left="6595" w:hanging="180"/>
      </w:pPr>
    </w:lvl>
    <w:lvl w:ilvl="6" w:tplc="22104136">
      <w:start w:val="1"/>
      <w:numFmt w:val="decimal"/>
      <w:lvlText w:val="%7."/>
      <w:lvlJc w:val="left"/>
      <w:pPr>
        <w:ind w:left="7315" w:hanging="360"/>
      </w:pPr>
    </w:lvl>
    <w:lvl w:ilvl="7" w:tplc="0D22167A">
      <w:start w:val="1"/>
      <w:numFmt w:val="lowerLetter"/>
      <w:lvlText w:val="%8."/>
      <w:lvlJc w:val="left"/>
      <w:pPr>
        <w:ind w:left="8035" w:hanging="360"/>
      </w:pPr>
    </w:lvl>
    <w:lvl w:ilvl="8" w:tplc="9A60DF5C">
      <w:start w:val="1"/>
      <w:numFmt w:val="lowerRoman"/>
      <w:lvlText w:val="%9."/>
      <w:lvlJc w:val="right"/>
      <w:pPr>
        <w:ind w:left="8755" w:hanging="180"/>
      </w:pPr>
    </w:lvl>
  </w:abstractNum>
  <w:abstractNum w:abstractNumId="24" w15:restartNumberingAfterBreak="0">
    <w:nsid w:val="6B0BF364"/>
    <w:multiLevelType w:val="hybridMultilevel"/>
    <w:tmpl w:val="DE5E4996"/>
    <w:lvl w:ilvl="0" w:tplc="62A0ECA0">
      <w:start w:val="1"/>
      <w:numFmt w:val="decimal"/>
      <w:lvlText w:val="%1."/>
      <w:lvlJc w:val="left"/>
      <w:pPr>
        <w:ind w:left="1080" w:hanging="360"/>
      </w:pPr>
    </w:lvl>
    <w:lvl w:ilvl="1" w:tplc="5B9E1314">
      <w:start w:val="1"/>
      <w:numFmt w:val="lowerLetter"/>
      <w:lvlText w:val="%2."/>
      <w:lvlJc w:val="left"/>
      <w:pPr>
        <w:ind w:left="1800" w:hanging="360"/>
      </w:pPr>
    </w:lvl>
    <w:lvl w:ilvl="2" w:tplc="4D645A30">
      <w:start w:val="1"/>
      <w:numFmt w:val="lowerRoman"/>
      <w:lvlText w:val="%3."/>
      <w:lvlJc w:val="right"/>
      <w:pPr>
        <w:ind w:left="2520" w:hanging="180"/>
      </w:pPr>
    </w:lvl>
    <w:lvl w:ilvl="3" w:tplc="6B448E18">
      <w:start w:val="1"/>
      <w:numFmt w:val="decimal"/>
      <w:lvlText w:val="%4."/>
      <w:lvlJc w:val="left"/>
      <w:pPr>
        <w:ind w:left="3240" w:hanging="360"/>
      </w:pPr>
    </w:lvl>
    <w:lvl w:ilvl="4" w:tplc="C2C451A6">
      <w:start w:val="1"/>
      <w:numFmt w:val="lowerLetter"/>
      <w:lvlText w:val="%5."/>
      <w:lvlJc w:val="left"/>
      <w:pPr>
        <w:ind w:left="3960" w:hanging="360"/>
      </w:pPr>
    </w:lvl>
    <w:lvl w:ilvl="5" w:tplc="B5669376">
      <w:start w:val="1"/>
      <w:numFmt w:val="lowerRoman"/>
      <w:lvlText w:val="%6."/>
      <w:lvlJc w:val="right"/>
      <w:pPr>
        <w:ind w:left="4680" w:hanging="180"/>
      </w:pPr>
    </w:lvl>
    <w:lvl w:ilvl="6" w:tplc="BCB877C8">
      <w:start w:val="1"/>
      <w:numFmt w:val="decimal"/>
      <w:lvlText w:val="%7."/>
      <w:lvlJc w:val="left"/>
      <w:pPr>
        <w:ind w:left="5400" w:hanging="360"/>
      </w:pPr>
    </w:lvl>
    <w:lvl w:ilvl="7" w:tplc="B2A2A60A">
      <w:start w:val="1"/>
      <w:numFmt w:val="lowerLetter"/>
      <w:lvlText w:val="%8."/>
      <w:lvlJc w:val="left"/>
      <w:pPr>
        <w:ind w:left="6120" w:hanging="360"/>
      </w:pPr>
    </w:lvl>
    <w:lvl w:ilvl="8" w:tplc="7A3A93CE">
      <w:start w:val="1"/>
      <w:numFmt w:val="lowerRoman"/>
      <w:lvlText w:val="%9."/>
      <w:lvlJc w:val="right"/>
      <w:pPr>
        <w:ind w:left="6840" w:hanging="180"/>
      </w:pPr>
    </w:lvl>
  </w:abstractNum>
  <w:abstractNum w:abstractNumId="25" w15:restartNumberingAfterBreak="0">
    <w:nsid w:val="6C8A48BF"/>
    <w:multiLevelType w:val="multilevel"/>
    <w:tmpl w:val="1544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5C1E67"/>
    <w:multiLevelType w:val="hybridMultilevel"/>
    <w:tmpl w:val="1726920E"/>
    <w:lvl w:ilvl="0" w:tplc="CB0C20D0">
      <w:start w:val="1"/>
      <w:numFmt w:val="decimal"/>
      <w:pStyle w:val="Heading3"/>
      <w:lvlText w:val="%1."/>
      <w:lvlJc w:val="left"/>
      <w:pPr>
        <w:ind w:left="720" w:hanging="360"/>
      </w:pPr>
      <w:rPr>
        <w:rFonts w:ascii="Cambria" w:hAnsi="Cambria" w:hint="default"/>
        <w:b w:val="0"/>
        <w:bCs w:val="0"/>
        <w:i w:val="0"/>
        <w:strike w:val="0"/>
        <w:sz w:val="20"/>
        <w:szCs w:val="20"/>
        <w:lang w:val="es-ES"/>
      </w:rPr>
    </w:lvl>
    <w:lvl w:ilvl="1" w:tplc="627CB886">
      <w:start w:val="1"/>
      <w:numFmt w:val="lowerLetter"/>
      <w:lvlText w:val="%2."/>
      <w:lvlJc w:val="left"/>
      <w:pPr>
        <w:ind w:left="360" w:hanging="360"/>
      </w:pPr>
    </w:lvl>
    <w:lvl w:ilvl="2" w:tplc="9724BD00">
      <w:start w:val="1"/>
      <w:numFmt w:val="lowerRoman"/>
      <w:lvlText w:val="%3."/>
      <w:lvlJc w:val="right"/>
      <w:pPr>
        <w:ind w:left="2160" w:hanging="180"/>
      </w:pPr>
    </w:lvl>
    <w:lvl w:ilvl="3" w:tplc="4C12AC10">
      <w:start w:val="1"/>
      <w:numFmt w:val="decimal"/>
      <w:lvlText w:val="%4."/>
      <w:lvlJc w:val="left"/>
      <w:pPr>
        <w:ind w:left="2880" w:hanging="360"/>
      </w:pPr>
    </w:lvl>
    <w:lvl w:ilvl="4" w:tplc="97E6B78E">
      <w:start w:val="1"/>
      <w:numFmt w:val="lowerLetter"/>
      <w:lvlText w:val="%5."/>
      <w:lvlJc w:val="left"/>
      <w:pPr>
        <w:ind w:left="3600" w:hanging="360"/>
      </w:pPr>
    </w:lvl>
    <w:lvl w:ilvl="5" w:tplc="53066454">
      <w:start w:val="1"/>
      <w:numFmt w:val="lowerRoman"/>
      <w:lvlText w:val="%6."/>
      <w:lvlJc w:val="right"/>
      <w:pPr>
        <w:ind w:left="4320" w:hanging="180"/>
      </w:pPr>
    </w:lvl>
    <w:lvl w:ilvl="6" w:tplc="5ECC3B38">
      <w:start w:val="1"/>
      <w:numFmt w:val="decimal"/>
      <w:lvlText w:val="%7."/>
      <w:lvlJc w:val="left"/>
      <w:pPr>
        <w:ind w:left="5040" w:hanging="360"/>
      </w:pPr>
    </w:lvl>
    <w:lvl w:ilvl="7" w:tplc="5AAABA12">
      <w:start w:val="1"/>
      <w:numFmt w:val="lowerLetter"/>
      <w:lvlText w:val="%8."/>
      <w:lvlJc w:val="left"/>
      <w:pPr>
        <w:ind w:left="5760" w:hanging="360"/>
      </w:pPr>
    </w:lvl>
    <w:lvl w:ilvl="8" w:tplc="DED658EA">
      <w:start w:val="1"/>
      <w:numFmt w:val="lowerRoman"/>
      <w:lvlText w:val="%9."/>
      <w:lvlJc w:val="right"/>
      <w:pPr>
        <w:ind w:left="6480" w:hanging="180"/>
      </w:pPr>
    </w:lvl>
  </w:abstractNum>
  <w:abstractNum w:abstractNumId="27" w15:restartNumberingAfterBreak="0">
    <w:nsid w:val="7395674E"/>
    <w:multiLevelType w:val="hybridMultilevel"/>
    <w:tmpl w:val="F25A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95F79"/>
    <w:multiLevelType w:val="multilevel"/>
    <w:tmpl w:val="E202E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3650843">
    <w:abstractNumId w:val="21"/>
  </w:num>
  <w:num w:numId="2" w16cid:durableId="975531752">
    <w:abstractNumId w:val="26"/>
  </w:num>
  <w:num w:numId="3" w16cid:durableId="1161042848">
    <w:abstractNumId w:val="7"/>
  </w:num>
  <w:num w:numId="4" w16cid:durableId="353464850">
    <w:abstractNumId w:val="23"/>
  </w:num>
  <w:num w:numId="5" w16cid:durableId="9844421">
    <w:abstractNumId w:val="18"/>
  </w:num>
  <w:num w:numId="6" w16cid:durableId="311183021">
    <w:abstractNumId w:val="14"/>
  </w:num>
  <w:num w:numId="7" w16cid:durableId="973867853">
    <w:abstractNumId w:val="23"/>
    <w:lvlOverride w:ilvl="0">
      <w:startOverride w:val="1"/>
    </w:lvlOverride>
  </w:num>
  <w:num w:numId="8" w16cid:durableId="1661036930">
    <w:abstractNumId w:val="23"/>
    <w:lvlOverride w:ilvl="0">
      <w:startOverride w:val="1"/>
    </w:lvlOverride>
  </w:num>
  <w:num w:numId="9" w16cid:durableId="1207638757">
    <w:abstractNumId w:val="23"/>
    <w:lvlOverride w:ilvl="0">
      <w:startOverride w:val="1"/>
    </w:lvlOverride>
  </w:num>
  <w:num w:numId="10" w16cid:durableId="129641084">
    <w:abstractNumId w:val="24"/>
  </w:num>
  <w:num w:numId="11" w16cid:durableId="1264800045">
    <w:abstractNumId w:val="0"/>
  </w:num>
  <w:num w:numId="12" w16cid:durableId="2013213687">
    <w:abstractNumId w:val="15"/>
  </w:num>
  <w:num w:numId="13" w16cid:durableId="1480997383">
    <w:abstractNumId w:val="2"/>
  </w:num>
  <w:num w:numId="14" w16cid:durableId="1788769405">
    <w:abstractNumId w:val="25"/>
  </w:num>
  <w:num w:numId="15" w16cid:durableId="537861231">
    <w:abstractNumId w:val="13"/>
  </w:num>
  <w:num w:numId="16" w16cid:durableId="1871720610">
    <w:abstractNumId w:val="22"/>
  </w:num>
  <w:num w:numId="17" w16cid:durableId="885869614">
    <w:abstractNumId w:val="11"/>
  </w:num>
  <w:num w:numId="18" w16cid:durableId="291601324">
    <w:abstractNumId w:val="3"/>
  </w:num>
  <w:num w:numId="19" w16cid:durableId="529228345">
    <w:abstractNumId w:val="1"/>
  </w:num>
  <w:num w:numId="20" w16cid:durableId="1764454364">
    <w:abstractNumId w:val="12"/>
  </w:num>
  <w:num w:numId="21" w16cid:durableId="928853437">
    <w:abstractNumId w:val="28"/>
  </w:num>
  <w:num w:numId="22" w16cid:durableId="506409185">
    <w:abstractNumId w:val="9"/>
  </w:num>
  <w:num w:numId="23" w16cid:durableId="707728533">
    <w:abstractNumId w:val="19"/>
  </w:num>
  <w:num w:numId="24" w16cid:durableId="566573978">
    <w:abstractNumId w:val="16"/>
  </w:num>
  <w:num w:numId="25" w16cid:durableId="2119988908">
    <w:abstractNumId w:val="27"/>
  </w:num>
  <w:num w:numId="26" w16cid:durableId="220409855">
    <w:abstractNumId w:val="5"/>
  </w:num>
  <w:num w:numId="27" w16cid:durableId="1210454438">
    <w:abstractNumId w:val="10"/>
  </w:num>
  <w:num w:numId="28" w16cid:durableId="1216622738">
    <w:abstractNumId w:val="8"/>
  </w:num>
  <w:num w:numId="29" w16cid:durableId="343750687">
    <w:abstractNumId w:val="17"/>
  </w:num>
  <w:num w:numId="30" w16cid:durableId="1894147591">
    <w:abstractNumId w:val="20"/>
  </w:num>
  <w:num w:numId="31" w16cid:durableId="198053836">
    <w:abstractNumId w:val="6"/>
  </w:num>
  <w:num w:numId="32" w16cid:durableId="172787192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US" w:vendorID="64" w:dllVersion="0" w:nlCheck="1" w:checkStyle="0"/>
  <w:activeWritingStyle w:appName="MSWord" w:lang="es-AR" w:vendorID="64" w:dllVersion="0" w:nlCheck="1" w:checkStyle="0"/>
  <w:activeWritingStyle w:appName="MSWord" w:lang="es-PE"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00B94"/>
    <w:rsid w:val="00000DDB"/>
    <w:rsid w:val="0000145E"/>
    <w:rsid w:val="000039DA"/>
    <w:rsid w:val="00003DD8"/>
    <w:rsid w:val="00004FB9"/>
    <w:rsid w:val="0000522D"/>
    <w:rsid w:val="000055CA"/>
    <w:rsid w:val="00005742"/>
    <w:rsid w:val="00005C8F"/>
    <w:rsid w:val="00005D86"/>
    <w:rsid w:val="000061F4"/>
    <w:rsid w:val="000067B2"/>
    <w:rsid w:val="00010083"/>
    <w:rsid w:val="0001110E"/>
    <w:rsid w:val="000111C5"/>
    <w:rsid w:val="0001151A"/>
    <w:rsid w:val="00011CDB"/>
    <w:rsid w:val="000121CF"/>
    <w:rsid w:val="000122FE"/>
    <w:rsid w:val="00012DBA"/>
    <w:rsid w:val="0001381F"/>
    <w:rsid w:val="00013963"/>
    <w:rsid w:val="0001429E"/>
    <w:rsid w:val="00014FAE"/>
    <w:rsid w:val="00015139"/>
    <w:rsid w:val="00015359"/>
    <w:rsid w:val="00016AEA"/>
    <w:rsid w:val="00016DE5"/>
    <w:rsid w:val="00017324"/>
    <w:rsid w:val="00020052"/>
    <w:rsid w:val="0002011A"/>
    <w:rsid w:val="000204EB"/>
    <w:rsid w:val="00020B27"/>
    <w:rsid w:val="000212A3"/>
    <w:rsid w:val="00021B9E"/>
    <w:rsid w:val="00021E86"/>
    <w:rsid w:val="000226C5"/>
    <w:rsid w:val="0002293F"/>
    <w:rsid w:val="00022D03"/>
    <w:rsid w:val="00023842"/>
    <w:rsid w:val="000246B0"/>
    <w:rsid w:val="00024830"/>
    <w:rsid w:val="00024A61"/>
    <w:rsid w:val="00024C45"/>
    <w:rsid w:val="000256A4"/>
    <w:rsid w:val="00025CFD"/>
    <w:rsid w:val="000264AF"/>
    <w:rsid w:val="000265FF"/>
    <w:rsid w:val="000277BE"/>
    <w:rsid w:val="00027861"/>
    <w:rsid w:val="00027957"/>
    <w:rsid w:val="00027C55"/>
    <w:rsid w:val="0003044A"/>
    <w:rsid w:val="00030464"/>
    <w:rsid w:val="00030648"/>
    <w:rsid w:val="00030660"/>
    <w:rsid w:val="00030E41"/>
    <w:rsid w:val="0003110A"/>
    <w:rsid w:val="0003179C"/>
    <w:rsid w:val="00031891"/>
    <w:rsid w:val="00031DEE"/>
    <w:rsid w:val="00032213"/>
    <w:rsid w:val="00032424"/>
    <w:rsid w:val="00032C24"/>
    <w:rsid w:val="00032F0A"/>
    <w:rsid w:val="0003332D"/>
    <w:rsid w:val="0003338E"/>
    <w:rsid w:val="00033541"/>
    <w:rsid w:val="00034A27"/>
    <w:rsid w:val="00034CB5"/>
    <w:rsid w:val="00036B9B"/>
    <w:rsid w:val="00037466"/>
    <w:rsid w:val="000377C0"/>
    <w:rsid w:val="000377FC"/>
    <w:rsid w:val="0003792C"/>
    <w:rsid w:val="0004021E"/>
    <w:rsid w:val="00040F9A"/>
    <w:rsid w:val="00041346"/>
    <w:rsid w:val="00041E1B"/>
    <w:rsid w:val="00042442"/>
    <w:rsid w:val="0004289F"/>
    <w:rsid w:val="00042A95"/>
    <w:rsid w:val="00044B09"/>
    <w:rsid w:val="00044EC0"/>
    <w:rsid w:val="00045711"/>
    <w:rsid w:val="00045E5E"/>
    <w:rsid w:val="00045ED6"/>
    <w:rsid w:val="00046F27"/>
    <w:rsid w:val="000475F6"/>
    <w:rsid w:val="0005061E"/>
    <w:rsid w:val="000509FB"/>
    <w:rsid w:val="000514D2"/>
    <w:rsid w:val="00052912"/>
    <w:rsid w:val="00052945"/>
    <w:rsid w:val="0005295D"/>
    <w:rsid w:val="000533EC"/>
    <w:rsid w:val="000537FC"/>
    <w:rsid w:val="00053F6E"/>
    <w:rsid w:val="00054692"/>
    <w:rsid w:val="000547CB"/>
    <w:rsid w:val="00054FED"/>
    <w:rsid w:val="00055EDE"/>
    <w:rsid w:val="0005699B"/>
    <w:rsid w:val="00057253"/>
    <w:rsid w:val="00057414"/>
    <w:rsid w:val="00057D7F"/>
    <w:rsid w:val="00057E83"/>
    <w:rsid w:val="00060079"/>
    <w:rsid w:val="000603EE"/>
    <w:rsid w:val="0006057D"/>
    <w:rsid w:val="000605F2"/>
    <w:rsid w:val="00060787"/>
    <w:rsid w:val="00060A58"/>
    <w:rsid w:val="00061235"/>
    <w:rsid w:val="00061755"/>
    <w:rsid w:val="000618A7"/>
    <w:rsid w:val="00062635"/>
    <w:rsid w:val="00062A4B"/>
    <w:rsid w:val="00062DF0"/>
    <w:rsid w:val="00062F11"/>
    <w:rsid w:val="00063500"/>
    <w:rsid w:val="0006361E"/>
    <w:rsid w:val="00063B12"/>
    <w:rsid w:val="00064222"/>
    <w:rsid w:val="00064826"/>
    <w:rsid w:val="00064DA7"/>
    <w:rsid w:val="00064E65"/>
    <w:rsid w:val="00065344"/>
    <w:rsid w:val="00065688"/>
    <w:rsid w:val="000658DB"/>
    <w:rsid w:val="00065C47"/>
    <w:rsid w:val="00065C6E"/>
    <w:rsid w:val="00067123"/>
    <w:rsid w:val="000674A1"/>
    <w:rsid w:val="000677D9"/>
    <w:rsid w:val="00067825"/>
    <w:rsid w:val="000679B7"/>
    <w:rsid w:val="00067F29"/>
    <w:rsid w:val="000704DC"/>
    <w:rsid w:val="000704EC"/>
    <w:rsid w:val="0007051A"/>
    <w:rsid w:val="0007099A"/>
    <w:rsid w:val="00070D01"/>
    <w:rsid w:val="00071A4F"/>
    <w:rsid w:val="00071A70"/>
    <w:rsid w:val="00071D85"/>
    <w:rsid w:val="00071F28"/>
    <w:rsid w:val="000721A9"/>
    <w:rsid w:val="00072E29"/>
    <w:rsid w:val="0007370B"/>
    <w:rsid w:val="0007372B"/>
    <w:rsid w:val="0007375A"/>
    <w:rsid w:val="00073F31"/>
    <w:rsid w:val="00074132"/>
    <w:rsid w:val="0007434C"/>
    <w:rsid w:val="0007547A"/>
    <w:rsid w:val="000755A9"/>
    <w:rsid w:val="00076D7E"/>
    <w:rsid w:val="00077536"/>
    <w:rsid w:val="0007778A"/>
    <w:rsid w:val="0007792B"/>
    <w:rsid w:val="000779B4"/>
    <w:rsid w:val="00077DC6"/>
    <w:rsid w:val="00077E5F"/>
    <w:rsid w:val="000805C6"/>
    <w:rsid w:val="000808AC"/>
    <w:rsid w:val="00080A43"/>
    <w:rsid w:val="00081FD8"/>
    <w:rsid w:val="00082D65"/>
    <w:rsid w:val="00082E7C"/>
    <w:rsid w:val="0008319C"/>
    <w:rsid w:val="00083238"/>
    <w:rsid w:val="00083375"/>
    <w:rsid w:val="00083A9A"/>
    <w:rsid w:val="00083FB0"/>
    <w:rsid w:val="00084248"/>
    <w:rsid w:val="00084604"/>
    <w:rsid w:val="000850E0"/>
    <w:rsid w:val="000859A6"/>
    <w:rsid w:val="00086193"/>
    <w:rsid w:val="0008677F"/>
    <w:rsid w:val="00086820"/>
    <w:rsid w:val="0008685A"/>
    <w:rsid w:val="00086F43"/>
    <w:rsid w:val="00087221"/>
    <w:rsid w:val="00087303"/>
    <w:rsid w:val="00087388"/>
    <w:rsid w:val="000873C6"/>
    <w:rsid w:val="00087C31"/>
    <w:rsid w:val="0009018A"/>
    <w:rsid w:val="00090E39"/>
    <w:rsid w:val="000918D0"/>
    <w:rsid w:val="000919B8"/>
    <w:rsid w:val="00092104"/>
    <w:rsid w:val="00092A71"/>
    <w:rsid w:val="000930B0"/>
    <w:rsid w:val="00094312"/>
    <w:rsid w:val="00094B2D"/>
    <w:rsid w:val="00094B49"/>
    <w:rsid w:val="00094E0C"/>
    <w:rsid w:val="00095257"/>
    <w:rsid w:val="000954F0"/>
    <w:rsid w:val="00095552"/>
    <w:rsid w:val="00096227"/>
    <w:rsid w:val="000965E9"/>
    <w:rsid w:val="0009677F"/>
    <w:rsid w:val="0009699F"/>
    <w:rsid w:val="00096F68"/>
    <w:rsid w:val="000971BA"/>
    <w:rsid w:val="000974DE"/>
    <w:rsid w:val="00097FEB"/>
    <w:rsid w:val="000A0429"/>
    <w:rsid w:val="000A093E"/>
    <w:rsid w:val="000A1267"/>
    <w:rsid w:val="000A17D8"/>
    <w:rsid w:val="000A188B"/>
    <w:rsid w:val="000A1A10"/>
    <w:rsid w:val="000A1DFE"/>
    <w:rsid w:val="000A2CCE"/>
    <w:rsid w:val="000A34EB"/>
    <w:rsid w:val="000A42F4"/>
    <w:rsid w:val="000A505B"/>
    <w:rsid w:val="000A52DB"/>
    <w:rsid w:val="000A5842"/>
    <w:rsid w:val="000A6D74"/>
    <w:rsid w:val="000A70A1"/>
    <w:rsid w:val="000A724D"/>
    <w:rsid w:val="000A7348"/>
    <w:rsid w:val="000A75F5"/>
    <w:rsid w:val="000A7FB0"/>
    <w:rsid w:val="000B06F2"/>
    <w:rsid w:val="000B0D66"/>
    <w:rsid w:val="000B16E6"/>
    <w:rsid w:val="000B1956"/>
    <w:rsid w:val="000B1AED"/>
    <w:rsid w:val="000B1E78"/>
    <w:rsid w:val="000B27DF"/>
    <w:rsid w:val="000B2881"/>
    <w:rsid w:val="000B2D54"/>
    <w:rsid w:val="000B3705"/>
    <w:rsid w:val="000B37B1"/>
    <w:rsid w:val="000B3D69"/>
    <w:rsid w:val="000B4953"/>
    <w:rsid w:val="000B4A0D"/>
    <w:rsid w:val="000B4A7C"/>
    <w:rsid w:val="000B4C0D"/>
    <w:rsid w:val="000B4DBE"/>
    <w:rsid w:val="000B57AA"/>
    <w:rsid w:val="000B5A87"/>
    <w:rsid w:val="000B5B26"/>
    <w:rsid w:val="000B5B58"/>
    <w:rsid w:val="000B5E1D"/>
    <w:rsid w:val="000B5EAD"/>
    <w:rsid w:val="000B673D"/>
    <w:rsid w:val="000B67EA"/>
    <w:rsid w:val="000B692A"/>
    <w:rsid w:val="000B7891"/>
    <w:rsid w:val="000B78AB"/>
    <w:rsid w:val="000B7A9A"/>
    <w:rsid w:val="000C0218"/>
    <w:rsid w:val="000C04A0"/>
    <w:rsid w:val="000C1145"/>
    <w:rsid w:val="000C1969"/>
    <w:rsid w:val="000C1E72"/>
    <w:rsid w:val="000C21AF"/>
    <w:rsid w:val="000C2317"/>
    <w:rsid w:val="000C23FF"/>
    <w:rsid w:val="000C2658"/>
    <w:rsid w:val="000C29C1"/>
    <w:rsid w:val="000C4571"/>
    <w:rsid w:val="000C5068"/>
    <w:rsid w:val="000C5596"/>
    <w:rsid w:val="000C55BA"/>
    <w:rsid w:val="000C5772"/>
    <w:rsid w:val="000C5DBA"/>
    <w:rsid w:val="000C6012"/>
    <w:rsid w:val="000C6143"/>
    <w:rsid w:val="000C6282"/>
    <w:rsid w:val="000C663E"/>
    <w:rsid w:val="000C6ED1"/>
    <w:rsid w:val="000C6FDF"/>
    <w:rsid w:val="000C724A"/>
    <w:rsid w:val="000C766A"/>
    <w:rsid w:val="000C77C8"/>
    <w:rsid w:val="000C7E35"/>
    <w:rsid w:val="000D13BC"/>
    <w:rsid w:val="000D1B71"/>
    <w:rsid w:val="000D2040"/>
    <w:rsid w:val="000D25EE"/>
    <w:rsid w:val="000D361C"/>
    <w:rsid w:val="000D3959"/>
    <w:rsid w:val="000D4058"/>
    <w:rsid w:val="000D4072"/>
    <w:rsid w:val="000D45E2"/>
    <w:rsid w:val="000D47A8"/>
    <w:rsid w:val="000D5B07"/>
    <w:rsid w:val="000D5D73"/>
    <w:rsid w:val="000D64F6"/>
    <w:rsid w:val="000D67FF"/>
    <w:rsid w:val="000D6DCD"/>
    <w:rsid w:val="000D6E6A"/>
    <w:rsid w:val="000D79FB"/>
    <w:rsid w:val="000E0151"/>
    <w:rsid w:val="000E046B"/>
    <w:rsid w:val="000E08FC"/>
    <w:rsid w:val="000E1D93"/>
    <w:rsid w:val="000E1EA0"/>
    <w:rsid w:val="000E1F43"/>
    <w:rsid w:val="000E2D37"/>
    <w:rsid w:val="000E3E4C"/>
    <w:rsid w:val="000E4E19"/>
    <w:rsid w:val="000E5C30"/>
    <w:rsid w:val="000E6855"/>
    <w:rsid w:val="000E69BA"/>
    <w:rsid w:val="000E6B8C"/>
    <w:rsid w:val="000E6E81"/>
    <w:rsid w:val="000E7B1F"/>
    <w:rsid w:val="000E7ED9"/>
    <w:rsid w:val="000F087D"/>
    <w:rsid w:val="000F0959"/>
    <w:rsid w:val="000F1A47"/>
    <w:rsid w:val="000F1F15"/>
    <w:rsid w:val="000F2116"/>
    <w:rsid w:val="000F2984"/>
    <w:rsid w:val="000F2EA4"/>
    <w:rsid w:val="000F2F9A"/>
    <w:rsid w:val="000F32CD"/>
    <w:rsid w:val="000F3BAA"/>
    <w:rsid w:val="000F3C51"/>
    <w:rsid w:val="000F3D7E"/>
    <w:rsid w:val="000F45F7"/>
    <w:rsid w:val="000F4806"/>
    <w:rsid w:val="000F494C"/>
    <w:rsid w:val="000F693E"/>
    <w:rsid w:val="000F7C82"/>
    <w:rsid w:val="000F7F72"/>
    <w:rsid w:val="0010038F"/>
    <w:rsid w:val="00100A51"/>
    <w:rsid w:val="0010173F"/>
    <w:rsid w:val="00101C61"/>
    <w:rsid w:val="001023CE"/>
    <w:rsid w:val="001025C7"/>
    <w:rsid w:val="00102CB1"/>
    <w:rsid w:val="00102F93"/>
    <w:rsid w:val="001034AA"/>
    <w:rsid w:val="00103B45"/>
    <w:rsid w:val="00103BBA"/>
    <w:rsid w:val="0010463E"/>
    <w:rsid w:val="00104BCC"/>
    <w:rsid w:val="00104CF6"/>
    <w:rsid w:val="00105530"/>
    <w:rsid w:val="00105B23"/>
    <w:rsid w:val="00106617"/>
    <w:rsid w:val="00106F51"/>
    <w:rsid w:val="00107BB0"/>
    <w:rsid w:val="00107C3A"/>
    <w:rsid w:val="00107C67"/>
    <w:rsid w:val="00110F2F"/>
    <w:rsid w:val="001117A1"/>
    <w:rsid w:val="00111F9C"/>
    <w:rsid w:val="00112141"/>
    <w:rsid w:val="00113808"/>
    <w:rsid w:val="001147DF"/>
    <w:rsid w:val="00114E74"/>
    <w:rsid w:val="00115B7D"/>
    <w:rsid w:val="00115EE1"/>
    <w:rsid w:val="0011626C"/>
    <w:rsid w:val="00117509"/>
    <w:rsid w:val="00117A70"/>
    <w:rsid w:val="00117C59"/>
    <w:rsid w:val="0012011E"/>
    <w:rsid w:val="001209CD"/>
    <w:rsid w:val="00120AFE"/>
    <w:rsid w:val="00120EDD"/>
    <w:rsid w:val="001217C1"/>
    <w:rsid w:val="00121910"/>
    <w:rsid w:val="00121963"/>
    <w:rsid w:val="001221B2"/>
    <w:rsid w:val="00122CC9"/>
    <w:rsid w:val="00122CD0"/>
    <w:rsid w:val="0012383C"/>
    <w:rsid w:val="00123942"/>
    <w:rsid w:val="00123E4A"/>
    <w:rsid w:val="00124059"/>
    <w:rsid w:val="001241BB"/>
    <w:rsid w:val="001243F3"/>
    <w:rsid w:val="001244B8"/>
    <w:rsid w:val="00124512"/>
    <w:rsid w:val="00124B3C"/>
    <w:rsid w:val="0012519D"/>
    <w:rsid w:val="001258B3"/>
    <w:rsid w:val="00125C31"/>
    <w:rsid w:val="00125EAF"/>
    <w:rsid w:val="001260EC"/>
    <w:rsid w:val="00126316"/>
    <w:rsid w:val="00126B53"/>
    <w:rsid w:val="00126F68"/>
    <w:rsid w:val="001275E7"/>
    <w:rsid w:val="00127EAD"/>
    <w:rsid w:val="001304C3"/>
    <w:rsid w:val="00131BBA"/>
    <w:rsid w:val="00131F9C"/>
    <w:rsid w:val="001323F4"/>
    <w:rsid w:val="00132519"/>
    <w:rsid w:val="001328E6"/>
    <w:rsid w:val="00132B29"/>
    <w:rsid w:val="00133F99"/>
    <w:rsid w:val="00135500"/>
    <w:rsid w:val="00135D4F"/>
    <w:rsid w:val="00136125"/>
    <w:rsid w:val="001362B4"/>
    <w:rsid w:val="001364A9"/>
    <w:rsid w:val="0013677D"/>
    <w:rsid w:val="00136CF8"/>
    <w:rsid w:val="00136DCE"/>
    <w:rsid w:val="00137104"/>
    <w:rsid w:val="00137C70"/>
    <w:rsid w:val="00137DA9"/>
    <w:rsid w:val="001401AD"/>
    <w:rsid w:val="001413B3"/>
    <w:rsid w:val="0014154B"/>
    <w:rsid w:val="001426B1"/>
    <w:rsid w:val="00142977"/>
    <w:rsid w:val="00142DD3"/>
    <w:rsid w:val="001432AD"/>
    <w:rsid w:val="00143CB1"/>
    <w:rsid w:val="00143DA6"/>
    <w:rsid w:val="00143F9D"/>
    <w:rsid w:val="00144F6D"/>
    <w:rsid w:val="00145751"/>
    <w:rsid w:val="00145D7B"/>
    <w:rsid w:val="001461D8"/>
    <w:rsid w:val="00146206"/>
    <w:rsid w:val="00146883"/>
    <w:rsid w:val="001469CA"/>
    <w:rsid w:val="00146F2A"/>
    <w:rsid w:val="00147899"/>
    <w:rsid w:val="00147EA1"/>
    <w:rsid w:val="00150D30"/>
    <w:rsid w:val="00151CD3"/>
    <w:rsid w:val="00151EB2"/>
    <w:rsid w:val="0015296F"/>
    <w:rsid w:val="00152A98"/>
    <w:rsid w:val="00152B4A"/>
    <w:rsid w:val="001532C0"/>
    <w:rsid w:val="001538BE"/>
    <w:rsid w:val="001540A5"/>
    <w:rsid w:val="001542E2"/>
    <w:rsid w:val="00154377"/>
    <w:rsid w:val="00154842"/>
    <w:rsid w:val="001551B2"/>
    <w:rsid w:val="00155689"/>
    <w:rsid w:val="001558A9"/>
    <w:rsid w:val="00155D57"/>
    <w:rsid w:val="00155EA8"/>
    <w:rsid w:val="00155EE6"/>
    <w:rsid w:val="00155F95"/>
    <w:rsid w:val="00156186"/>
    <w:rsid w:val="00156BCA"/>
    <w:rsid w:val="001570C5"/>
    <w:rsid w:val="00157391"/>
    <w:rsid w:val="00157556"/>
    <w:rsid w:val="001576E7"/>
    <w:rsid w:val="0015782C"/>
    <w:rsid w:val="00157A04"/>
    <w:rsid w:val="0016157C"/>
    <w:rsid w:val="00162D12"/>
    <w:rsid w:val="00163A9C"/>
    <w:rsid w:val="00163ECB"/>
    <w:rsid w:val="00163FA3"/>
    <w:rsid w:val="00164570"/>
    <w:rsid w:val="001648AF"/>
    <w:rsid w:val="00164DF7"/>
    <w:rsid w:val="00165011"/>
    <w:rsid w:val="00165B3E"/>
    <w:rsid w:val="00165F2B"/>
    <w:rsid w:val="00166DA5"/>
    <w:rsid w:val="001675C7"/>
    <w:rsid w:val="00167B64"/>
    <w:rsid w:val="001703D3"/>
    <w:rsid w:val="00170408"/>
    <w:rsid w:val="001714B0"/>
    <w:rsid w:val="00171A47"/>
    <w:rsid w:val="00172C9F"/>
    <w:rsid w:val="001742DC"/>
    <w:rsid w:val="0017431D"/>
    <w:rsid w:val="001747B7"/>
    <w:rsid w:val="00174BA2"/>
    <w:rsid w:val="001756AA"/>
    <w:rsid w:val="00175DE9"/>
    <w:rsid w:val="00176A6F"/>
    <w:rsid w:val="00177701"/>
    <w:rsid w:val="001813DD"/>
    <w:rsid w:val="00181AE3"/>
    <w:rsid w:val="00181DA0"/>
    <w:rsid w:val="001825AA"/>
    <w:rsid w:val="00182F5C"/>
    <w:rsid w:val="00183C9A"/>
    <w:rsid w:val="00184286"/>
    <w:rsid w:val="00184C50"/>
    <w:rsid w:val="0018601A"/>
    <w:rsid w:val="00186131"/>
    <w:rsid w:val="001863DB"/>
    <w:rsid w:val="001866CA"/>
    <w:rsid w:val="0018718C"/>
    <w:rsid w:val="00187388"/>
    <w:rsid w:val="00187A60"/>
    <w:rsid w:val="001900F9"/>
    <w:rsid w:val="00191372"/>
    <w:rsid w:val="00191936"/>
    <w:rsid w:val="0019228A"/>
    <w:rsid w:val="001927D7"/>
    <w:rsid w:val="00193452"/>
    <w:rsid w:val="001937FF"/>
    <w:rsid w:val="00195476"/>
    <w:rsid w:val="00195832"/>
    <w:rsid w:val="001959C6"/>
    <w:rsid w:val="001962CF"/>
    <w:rsid w:val="00196BE4"/>
    <w:rsid w:val="00197766"/>
    <w:rsid w:val="00197EFE"/>
    <w:rsid w:val="00197F84"/>
    <w:rsid w:val="001A04D8"/>
    <w:rsid w:val="001A1211"/>
    <w:rsid w:val="001A15F2"/>
    <w:rsid w:val="001A2690"/>
    <w:rsid w:val="001A27A0"/>
    <w:rsid w:val="001A2BA5"/>
    <w:rsid w:val="001A2D0D"/>
    <w:rsid w:val="001A2E8C"/>
    <w:rsid w:val="001A308C"/>
    <w:rsid w:val="001A3495"/>
    <w:rsid w:val="001A40A5"/>
    <w:rsid w:val="001A47CA"/>
    <w:rsid w:val="001A48E6"/>
    <w:rsid w:val="001A4A85"/>
    <w:rsid w:val="001A4CE0"/>
    <w:rsid w:val="001A52B1"/>
    <w:rsid w:val="001A537E"/>
    <w:rsid w:val="001A5C14"/>
    <w:rsid w:val="001A685A"/>
    <w:rsid w:val="001A70B8"/>
    <w:rsid w:val="001A760F"/>
    <w:rsid w:val="001A7BD0"/>
    <w:rsid w:val="001B1313"/>
    <w:rsid w:val="001B1C32"/>
    <w:rsid w:val="001B20CA"/>
    <w:rsid w:val="001B24F3"/>
    <w:rsid w:val="001B2B04"/>
    <w:rsid w:val="001B3B6E"/>
    <w:rsid w:val="001B3EC3"/>
    <w:rsid w:val="001B4A6E"/>
    <w:rsid w:val="001B5014"/>
    <w:rsid w:val="001B534D"/>
    <w:rsid w:val="001B54DA"/>
    <w:rsid w:val="001B5822"/>
    <w:rsid w:val="001B748B"/>
    <w:rsid w:val="001B7C56"/>
    <w:rsid w:val="001C089B"/>
    <w:rsid w:val="001C17AF"/>
    <w:rsid w:val="001C21BB"/>
    <w:rsid w:val="001C268F"/>
    <w:rsid w:val="001C2B50"/>
    <w:rsid w:val="001C3836"/>
    <w:rsid w:val="001C491C"/>
    <w:rsid w:val="001C4CA5"/>
    <w:rsid w:val="001C5FA7"/>
    <w:rsid w:val="001C600D"/>
    <w:rsid w:val="001C712C"/>
    <w:rsid w:val="001C71D9"/>
    <w:rsid w:val="001C736F"/>
    <w:rsid w:val="001C73D4"/>
    <w:rsid w:val="001C73F9"/>
    <w:rsid w:val="001C78B1"/>
    <w:rsid w:val="001C7A1C"/>
    <w:rsid w:val="001D0ABE"/>
    <w:rsid w:val="001D0C4B"/>
    <w:rsid w:val="001D0EA1"/>
    <w:rsid w:val="001D141B"/>
    <w:rsid w:val="001D182D"/>
    <w:rsid w:val="001D2F23"/>
    <w:rsid w:val="001D3AF3"/>
    <w:rsid w:val="001D3D6C"/>
    <w:rsid w:val="001D45CF"/>
    <w:rsid w:val="001D4C33"/>
    <w:rsid w:val="001D5274"/>
    <w:rsid w:val="001D5A1D"/>
    <w:rsid w:val="001D6AFB"/>
    <w:rsid w:val="001D6C84"/>
    <w:rsid w:val="001D6DC7"/>
    <w:rsid w:val="001D705D"/>
    <w:rsid w:val="001E0441"/>
    <w:rsid w:val="001E0968"/>
    <w:rsid w:val="001E0C95"/>
    <w:rsid w:val="001E0D4C"/>
    <w:rsid w:val="001E133B"/>
    <w:rsid w:val="001E195F"/>
    <w:rsid w:val="001E3420"/>
    <w:rsid w:val="001E50F3"/>
    <w:rsid w:val="001E53DA"/>
    <w:rsid w:val="001E6662"/>
    <w:rsid w:val="001E6BD1"/>
    <w:rsid w:val="001E7437"/>
    <w:rsid w:val="001E76B5"/>
    <w:rsid w:val="001F04AA"/>
    <w:rsid w:val="001F06C3"/>
    <w:rsid w:val="001F06C7"/>
    <w:rsid w:val="001F15A3"/>
    <w:rsid w:val="001F1842"/>
    <w:rsid w:val="001F2135"/>
    <w:rsid w:val="001F213B"/>
    <w:rsid w:val="001F22E4"/>
    <w:rsid w:val="001F2394"/>
    <w:rsid w:val="001F2B39"/>
    <w:rsid w:val="001F36AF"/>
    <w:rsid w:val="001F43EF"/>
    <w:rsid w:val="001F4D58"/>
    <w:rsid w:val="001F5394"/>
    <w:rsid w:val="001F56EC"/>
    <w:rsid w:val="001F577E"/>
    <w:rsid w:val="001F585B"/>
    <w:rsid w:val="001F5B2E"/>
    <w:rsid w:val="001F5CA0"/>
    <w:rsid w:val="001F60AA"/>
    <w:rsid w:val="001F6C28"/>
    <w:rsid w:val="001F6EC6"/>
    <w:rsid w:val="001F744D"/>
    <w:rsid w:val="002019A2"/>
    <w:rsid w:val="00201EFF"/>
    <w:rsid w:val="0020257A"/>
    <w:rsid w:val="00202B3E"/>
    <w:rsid w:val="00203446"/>
    <w:rsid w:val="002042BC"/>
    <w:rsid w:val="00204364"/>
    <w:rsid w:val="00204CAA"/>
    <w:rsid w:val="00205133"/>
    <w:rsid w:val="00205BF4"/>
    <w:rsid w:val="0020633A"/>
    <w:rsid w:val="002063B8"/>
    <w:rsid w:val="00207D86"/>
    <w:rsid w:val="00210255"/>
    <w:rsid w:val="0021028E"/>
    <w:rsid w:val="002102D4"/>
    <w:rsid w:val="002107E3"/>
    <w:rsid w:val="0021088C"/>
    <w:rsid w:val="0021090D"/>
    <w:rsid w:val="002109D3"/>
    <w:rsid w:val="002109E1"/>
    <w:rsid w:val="00210E8D"/>
    <w:rsid w:val="00210EF8"/>
    <w:rsid w:val="00213117"/>
    <w:rsid w:val="00213DBC"/>
    <w:rsid w:val="0021486A"/>
    <w:rsid w:val="00214A8E"/>
    <w:rsid w:val="00214E74"/>
    <w:rsid w:val="00214FB7"/>
    <w:rsid w:val="00215FCE"/>
    <w:rsid w:val="00216518"/>
    <w:rsid w:val="0021651F"/>
    <w:rsid w:val="00216C98"/>
    <w:rsid w:val="00217349"/>
    <w:rsid w:val="002174CE"/>
    <w:rsid w:val="002176AA"/>
    <w:rsid w:val="0021796A"/>
    <w:rsid w:val="00217B47"/>
    <w:rsid w:val="0022029F"/>
    <w:rsid w:val="00220DD1"/>
    <w:rsid w:val="002218D8"/>
    <w:rsid w:val="002222EF"/>
    <w:rsid w:val="002236F2"/>
    <w:rsid w:val="00223830"/>
    <w:rsid w:val="00223D1A"/>
    <w:rsid w:val="00223E78"/>
    <w:rsid w:val="00223F3F"/>
    <w:rsid w:val="002248FB"/>
    <w:rsid w:val="00224F6F"/>
    <w:rsid w:val="00225025"/>
    <w:rsid w:val="00225B19"/>
    <w:rsid w:val="00225BF4"/>
    <w:rsid w:val="00225D6B"/>
    <w:rsid w:val="002266D8"/>
    <w:rsid w:val="00226704"/>
    <w:rsid w:val="002267DE"/>
    <w:rsid w:val="00226BCC"/>
    <w:rsid w:val="0022775A"/>
    <w:rsid w:val="00227EE2"/>
    <w:rsid w:val="00230190"/>
    <w:rsid w:val="00230693"/>
    <w:rsid w:val="002306D8"/>
    <w:rsid w:val="00231D4D"/>
    <w:rsid w:val="002332D0"/>
    <w:rsid w:val="00233B81"/>
    <w:rsid w:val="00234E64"/>
    <w:rsid w:val="002350CE"/>
    <w:rsid w:val="002350EE"/>
    <w:rsid w:val="00235924"/>
    <w:rsid w:val="00235B01"/>
    <w:rsid w:val="0023677E"/>
    <w:rsid w:val="00236827"/>
    <w:rsid w:val="002374CC"/>
    <w:rsid w:val="00237869"/>
    <w:rsid w:val="002378A7"/>
    <w:rsid w:val="00237D88"/>
    <w:rsid w:val="0024024C"/>
    <w:rsid w:val="00240C4D"/>
    <w:rsid w:val="0024125A"/>
    <w:rsid w:val="0024164B"/>
    <w:rsid w:val="0024168B"/>
    <w:rsid w:val="00241E08"/>
    <w:rsid w:val="00241F27"/>
    <w:rsid w:val="00241F93"/>
    <w:rsid w:val="0024448E"/>
    <w:rsid w:val="0024473B"/>
    <w:rsid w:val="00244B57"/>
    <w:rsid w:val="00246773"/>
    <w:rsid w:val="00247148"/>
    <w:rsid w:val="002476A7"/>
    <w:rsid w:val="00247879"/>
    <w:rsid w:val="00247D11"/>
    <w:rsid w:val="00247D36"/>
    <w:rsid w:val="002505E7"/>
    <w:rsid w:val="00250F66"/>
    <w:rsid w:val="0025108C"/>
    <w:rsid w:val="0025113A"/>
    <w:rsid w:val="00251BCB"/>
    <w:rsid w:val="00251DC1"/>
    <w:rsid w:val="0025208A"/>
    <w:rsid w:val="00252900"/>
    <w:rsid w:val="00254D0F"/>
    <w:rsid w:val="002552BB"/>
    <w:rsid w:val="002552C5"/>
    <w:rsid w:val="002552C9"/>
    <w:rsid w:val="00255BB8"/>
    <w:rsid w:val="0025698E"/>
    <w:rsid w:val="002570D7"/>
    <w:rsid w:val="0025729E"/>
    <w:rsid w:val="002578EC"/>
    <w:rsid w:val="00257A32"/>
    <w:rsid w:val="00257C73"/>
    <w:rsid w:val="0026041A"/>
    <w:rsid w:val="00260CCF"/>
    <w:rsid w:val="00261D7D"/>
    <w:rsid w:val="00261EE2"/>
    <w:rsid w:val="002623A5"/>
    <w:rsid w:val="00263178"/>
    <w:rsid w:val="00263895"/>
    <w:rsid w:val="00264957"/>
    <w:rsid w:val="00265285"/>
    <w:rsid w:val="0026537E"/>
    <w:rsid w:val="00265887"/>
    <w:rsid w:val="00265A6D"/>
    <w:rsid w:val="002668AE"/>
    <w:rsid w:val="00266A80"/>
    <w:rsid w:val="002675B1"/>
    <w:rsid w:val="00270369"/>
    <w:rsid w:val="00270A29"/>
    <w:rsid w:val="00270D0B"/>
    <w:rsid w:val="00270E6B"/>
    <w:rsid w:val="00272942"/>
    <w:rsid w:val="00272AFD"/>
    <w:rsid w:val="002738E2"/>
    <w:rsid w:val="00273B21"/>
    <w:rsid w:val="00273E04"/>
    <w:rsid w:val="00273FB8"/>
    <w:rsid w:val="00274DDF"/>
    <w:rsid w:val="00275B3F"/>
    <w:rsid w:val="002764B4"/>
    <w:rsid w:val="00276B69"/>
    <w:rsid w:val="00276EB7"/>
    <w:rsid w:val="0027760F"/>
    <w:rsid w:val="00277630"/>
    <w:rsid w:val="00277927"/>
    <w:rsid w:val="0028002F"/>
    <w:rsid w:val="00280060"/>
    <w:rsid w:val="0028099E"/>
    <w:rsid w:val="00280BFA"/>
    <w:rsid w:val="00280CFA"/>
    <w:rsid w:val="00280F0B"/>
    <w:rsid w:val="00281091"/>
    <w:rsid w:val="002815C4"/>
    <w:rsid w:val="00281634"/>
    <w:rsid w:val="00281BF1"/>
    <w:rsid w:val="00282CD5"/>
    <w:rsid w:val="00282DE8"/>
    <w:rsid w:val="0028379E"/>
    <w:rsid w:val="0028456E"/>
    <w:rsid w:val="002845E7"/>
    <w:rsid w:val="002854F2"/>
    <w:rsid w:val="00285BCD"/>
    <w:rsid w:val="00285D1B"/>
    <w:rsid w:val="00285F5A"/>
    <w:rsid w:val="00286CBE"/>
    <w:rsid w:val="0028702E"/>
    <w:rsid w:val="00287355"/>
    <w:rsid w:val="002902A4"/>
    <w:rsid w:val="00290526"/>
    <w:rsid w:val="002906DA"/>
    <w:rsid w:val="00290815"/>
    <w:rsid w:val="00290A05"/>
    <w:rsid w:val="00290A7F"/>
    <w:rsid w:val="00290C07"/>
    <w:rsid w:val="00291670"/>
    <w:rsid w:val="00291D61"/>
    <w:rsid w:val="002925BE"/>
    <w:rsid w:val="00292FF2"/>
    <w:rsid w:val="002948A5"/>
    <w:rsid w:val="002955F8"/>
    <w:rsid w:val="00295D2D"/>
    <w:rsid w:val="0029628F"/>
    <w:rsid w:val="0029679B"/>
    <w:rsid w:val="00297035"/>
    <w:rsid w:val="00297B25"/>
    <w:rsid w:val="002A0B26"/>
    <w:rsid w:val="002A11F1"/>
    <w:rsid w:val="002A123B"/>
    <w:rsid w:val="002A1586"/>
    <w:rsid w:val="002A2091"/>
    <w:rsid w:val="002A2740"/>
    <w:rsid w:val="002A41BA"/>
    <w:rsid w:val="002A4B29"/>
    <w:rsid w:val="002A4B99"/>
    <w:rsid w:val="002A69ED"/>
    <w:rsid w:val="002B01A1"/>
    <w:rsid w:val="002B07CF"/>
    <w:rsid w:val="002B0AF8"/>
    <w:rsid w:val="002B11BC"/>
    <w:rsid w:val="002B1652"/>
    <w:rsid w:val="002B1892"/>
    <w:rsid w:val="002B21B1"/>
    <w:rsid w:val="002B2517"/>
    <w:rsid w:val="002B3217"/>
    <w:rsid w:val="002B40EB"/>
    <w:rsid w:val="002B43C9"/>
    <w:rsid w:val="002B4674"/>
    <w:rsid w:val="002B4B89"/>
    <w:rsid w:val="002B51DD"/>
    <w:rsid w:val="002B52E5"/>
    <w:rsid w:val="002B588D"/>
    <w:rsid w:val="002B626E"/>
    <w:rsid w:val="002B6CBC"/>
    <w:rsid w:val="002B7D78"/>
    <w:rsid w:val="002C00AA"/>
    <w:rsid w:val="002C05FD"/>
    <w:rsid w:val="002C0844"/>
    <w:rsid w:val="002C13E9"/>
    <w:rsid w:val="002C2079"/>
    <w:rsid w:val="002C26C1"/>
    <w:rsid w:val="002C2A16"/>
    <w:rsid w:val="002C3798"/>
    <w:rsid w:val="002C4450"/>
    <w:rsid w:val="002C4B8A"/>
    <w:rsid w:val="002C61B3"/>
    <w:rsid w:val="002C6673"/>
    <w:rsid w:val="002C6B23"/>
    <w:rsid w:val="002C6FF4"/>
    <w:rsid w:val="002C71DA"/>
    <w:rsid w:val="002C7ADE"/>
    <w:rsid w:val="002D077A"/>
    <w:rsid w:val="002D08D2"/>
    <w:rsid w:val="002D0DA5"/>
    <w:rsid w:val="002D1C07"/>
    <w:rsid w:val="002D2C06"/>
    <w:rsid w:val="002D2C8B"/>
    <w:rsid w:val="002D2EA6"/>
    <w:rsid w:val="002D3133"/>
    <w:rsid w:val="002D34E1"/>
    <w:rsid w:val="002D3DCA"/>
    <w:rsid w:val="002D3F17"/>
    <w:rsid w:val="002D5E22"/>
    <w:rsid w:val="002D6074"/>
    <w:rsid w:val="002D60E8"/>
    <w:rsid w:val="002D668B"/>
    <w:rsid w:val="002D689A"/>
    <w:rsid w:val="002D765D"/>
    <w:rsid w:val="002D7801"/>
    <w:rsid w:val="002D7C30"/>
    <w:rsid w:val="002D7E50"/>
    <w:rsid w:val="002E066F"/>
    <w:rsid w:val="002E0FFE"/>
    <w:rsid w:val="002E2049"/>
    <w:rsid w:val="002E20CD"/>
    <w:rsid w:val="002E302A"/>
    <w:rsid w:val="002E336F"/>
    <w:rsid w:val="002E34AC"/>
    <w:rsid w:val="002E3F26"/>
    <w:rsid w:val="002E40BC"/>
    <w:rsid w:val="002E428A"/>
    <w:rsid w:val="002E4B5A"/>
    <w:rsid w:val="002E4E9E"/>
    <w:rsid w:val="002E5548"/>
    <w:rsid w:val="002E66D2"/>
    <w:rsid w:val="002E6C0E"/>
    <w:rsid w:val="002E73B0"/>
    <w:rsid w:val="002E7607"/>
    <w:rsid w:val="002E7B40"/>
    <w:rsid w:val="002E7CBF"/>
    <w:rsid w:val="002E7E8C"/>
    <w:rsid w:val="002E7F37"/>
    <w:rsid w:val="002F07AA"/>
    <w:rsid w:val="002F0E0B"/>
    <w:rsid w:val="002F11EC"/>
    <w:rsid w:val="002F143F"/>
    <w:rsid w:val="002F22C3"/>
    <w:rsid w:val="002F2560"/>
    <w:rsid w:val="002F2FC6"/>
    <w:rsid w:val="002F34DB"/>
    <w:rsid w:val="002F375B"/>
    <w:rsid w:val="002F3CE6"/>
    <w:rsid w:val="002F437F"/>
    <w:rsid w:val="002F4ABF"/>
    <w:rsid w:val="002F5213"/>
    <w:rsid w:val="002F5C1C"/>
    <w:rsid w:val="002F5FF8"/>
    <w:rsid w:val="002F64DF"/>
    <w:rsid w:val="002F73EA"/>
    <w:rsid w:val="002F7482"/>
    <w:rsid w:val="002F7496"/>
    <w:rsid w:val="002F7DB8"/>
    <w:rsid w:val="00300171"/>
    <w:rsid w:val="00300553"/>
    <w:rsid w:val="00300B5F"/>
    <w:rsid w:val="0030139A"/>
    <w:rsid w:val="003018F5"/>
    <w:rsid w:val="003025AD"/>
    <w:rsid w:val="003027FF"/>
    <w:rsid w:val="0030289C"/>
    <w:rsid w:val="00302DA5"/>
    <w:rsid w:val="00303938"/>
    <w:rsid w:val="00303F8A"/>
    <w:rsid w:val="003048BE"/>
    <w:rsid w:val="00304E48"/>
    <w:rsid w:val="00305295"/>
    <w:rsid w:val="00306093"/>
    <w:rsid w:val="003064D1"/>
    <w:rsid w:val="003067C3"/>
    <w:rsid w:val="00306CBB"/>
    <w:rsid w:val="00306DCC"/>
    <w:rsid w:val="003074B4"/>
    <w:rsid w:val="00307766"/>
    <w:rsid w:val="00307B10"/>
    <w:rsid w:val="00310523"/>
    <w:rsid w:val="00310DFE"/>
    <w:rsid w:val="00311093"/>
    <w:rsid w:val="00311711"/>
    <w:rsid w:val="00311A47"/>
    <w:rsid w:val="0031206D"/>
    <w:rsid w:val="00312CFD"/>
    <w:rsid w:val="003133A1"/>
    <w:rsid w:val="003138C0"/>
    <w:rsid w:val="00313E82"/>
    <w:rsid w:val="00314312"/>
    <w:rsid w:val="003143E8"/>
    <w:rsid w:val="003145E7"/>
    <w:rsid w:val="003149F9"/>
    <w:rsid w:val="003152F3"/>
    <w:rsid w:val="0031591C"/>
    <w:rsid w:val="00315DD5"/>
    <w:rsid w:val="00316DEA"/>
    <w:rsid w:val="003170BA"/>
    <w:rsid w:val="00317490"/>
    <w:rsid w:val="00317662"/>
    <w:rsid w:val="0031766D"/>
    <w:rsid w:val="00320A8F"/>
    <w:rsid w:val="0032190B"/>
    <w:rsid w:val="00321F3D"/>
    <w:rsid w:val="00322720"/>
    <w:rsid w:val="00323558"/>
    <w:rsid w:val="0032396B"/>
    <w:rsid w:val="00323AEE"/>
    <w:rsid w:val="00324EDF"/>
    <w:rsid w:val="003256D6"/>
    <w:rsid w:val="0032647B"/>
    <w:rsid w:val="00326D95"/>
    <w:rsid w:val="00327790"/>
    <w:rsid w:val="00327874"/>
    <w:rsid w:val="00330DB8"/>
    <w:rsid w:val="00331101"/>
    <w:rsid w:val="00331BA6"/>
    <w:rsid w:val="00331BF0"/>
    <w:rsid w:val="003323D0"/>
    <w:rsid w:val="003326E1"/>
    <w:rsid w:val="00332B66"/>
    <w:rsid w:val="003333EC"/>
    <w:rsid w:val="0033434E"/>
    <w:rsid w:val="00334AF8"/>
    <w:rsid w:val="00334EEB"/>
    <w:rsid w:val="00335398"/>
    <w:rsid w:val="00335F8C"/>
    <w:rsid w:val="00335FD3"/>
    <w:rsid w:val="00336002"/>
    <w:rsid w:val="003367E7"/>
    <w:rsid w:val="00336F8B"/>
    <w:rsid w:val="00337391"/>
    <w:rsid w:val="00337B8E"/>
    <w:rsid w:val="00340068"/>
    <w:rsid w:val="00340DA1"/>
    <w:rsid w:val="0034139E"/>
    <w:rsid w:val="00341D85"/>
    <w:rsid w:val="003421AB"/>
    <w:rsid w:val="003428E2"/>
    <w:rsid w:val="00343046"/>
    <w:rsid w:val="0034321A"/>
    <w:rsid w:val="00344A47"/>
    <w:rsid w:val="00344CB4"/>
    <w:rsid w:val="003457E4"/>
    <w:rsid w:val="00345F93"/>
    <w:rsid w:val="00346AFB"/>
    <w:rsid w:val="00346B3D"/>
    <w:rsid w:val="00347C3F"/>
    <w:rsid w:val="00347CFF"/>
    <w:rsid w:val="00351425"/>
    <w:rsid w:val="0035219A"/>
    <w:rsid w:val="00353A1D"/>
    <w:rsid w:val="00353F4E"/>
    <w:rsid w:val="00354EDA"/>
    <w:rsid w:val="00355862"/>
    <w:rsid w:val="00355935"/>
    <w:rsid w:val="00356463"/>
    <w:rsid w:val="0035697D"/>
    <w:rsid w:val="003579D3"/>
    <w:rsid w:val="00357AC3"/>
    <w:rsid w:val="00357C83"/>
    <w:rsid w:val="00357F64"/>
    <w:rsid w:val="00361A60"/>
    <w:rsid w:val="00362462"/>
    <w:rsid w:val="003632A5"/>
    <w:rsid w:val="00363434"/>
    <w:rsid w:val="003634E3"/>
    <w:rsid w:val="00363709"/>
    <w:rsid w:val="0036479B"/>
    <w:rsid w:val="00365138"/>
    <w:rsid w:val="003659DA"/>
    <w:rsid w:val="00365F1A"/>
    <w:rsid w:val="003660BE"/>
    <w:rsid w:val="0036627B"/>
    <w:rsid w:val="0036680C"/>
    <w:rsid w:val="003673A0"/>
    <w:rsid w:val="00367459"/>
    <w:rsid w:val="00367A9C"/>
    <w:rsid w:val="00367CFE"/>
    <w:rsid w:val="00370730"/>
    <w:rsid w:val="003707D6"/>
    <w:rsid w:val="00371809"/>
    <w:rsid w:val="00371A35"/>
    <w:rsid w:val="0037389D"/>
    <w:rsid w:val="00373C93"/>
    <w:rsid w:val="00373FEC"/>
    <w:rsid w:val="0037598D"/>
    <w:rsid w:val="00375F25"/>
    <w:rsid w:val="00376098"/>
    <w:rsid w:val="00376148"/>
    <w:rsid w:val="00376600"/>
    <w:rsid w:val="003770AC"/>
    <w:rsid w:val="00377605"/>
    <w:rsid w:val="00377A73"/>
    <w:rsid w:val="00377FD2"/>
    <w:rsid w:val="003801F5"/>
    <w:rsid w:val="0038043E"/>
    <w:rsid w:val="00382292"/>
    <w:rsid w:val="00382C4A"/>
    <w:rsid w:val="00383B5C"/>
    <w:rsid w:val="00384703"/>
    <w:rsid w:val="00384B03"/>
    <w:rsid w:val="00384D5E"/>
    <w:rsid w:val="00384D8C"/>
    <w:rsid w:val="00385B69"/>
    <w:rsid w:val="00385DCD"/>
    <w:rsid w:val="00385EB5"/>
    <w:rsid w:val="003879B1"/>
    <w:rsid w:val="00387BDC"/>
    <w:rsid w:val="00387DFC"/>
    <w:rsid w:val="00390692"/>
    <w:rsid w:val="00390818"/>
    <w:rsid w:val="00390C73"/>
    <w:rsid w:val="00390ED0"/>
    <w:rsid w:val="0039111B"/>
    <w:rsid w:val="00391130"/>
    <w:rsid w:val="00391C23"/>
    <w:rsid w:val="00391D00"/>
    <w:rsid w:val="003926B2"/>
    <w:rsid w:val="0039275E"/>
    <w:rsid w:val="00392E55"/>
    <w:rsid w:val="003930A4"/>
    <w:rsid w:val="00393469"/>
    <w:rsid w:val="00393FC1"/>
    <w:rsid w:val="00394599"/>
    <w:rsid w:val="00395A21"/>
    <w:rsid w:val="00396FFA"/>
    <w:rsid w:val="003979DB"/>
    <w:rsid w:val="003A021C"/>
    <w:rsid w:val="003A0242"/>
    <w:rsid w:val="003A09F3"/>
    <w:rsid w:val="003A2BB1"/>
    <w:rsid w:val="003A3843"/>
    <w:rsid w:val="003A4782"/>
    <w:rsid w:val="003A493A"/>
    <w:rsid w:val="003A4DD3"/>
    <w:rsid w:val="003A4F2A"/>
    <w:rsid w:val="003A5051"/>
    <w:rsid w:val="003A5498"/>
    <w:rsid w:val="003A5DFC"/>
    <w:rsid w:val="003A5E1F"/>
    <w:rsid w:val="003A5F50"/>
    <w:rsid w:val="003A6D60"/>
    <w:rsid w:val="003A6FB4"/>
    <w:rsid w:val="003A7218"/>
    <w:rsid w:val="003B002E"/>
    <w:rsid w:val="003B1344"/>
    <w:rsid w:val="003B1CB6"/>
    <w:rsid w:val="003B1D55"/>
    <w:rsid w:val="003B1DB2"/>
    <w:rsid w:val="003B2231"/>
    <w:rsid w:val="003B2699"/>
    <w:rsid w:val="003B2F30"/>
    <w:rsid w:val="003B316C"/>
    <w:rsid w:val="003B31AE"/>
    <w:rsid w:val="003B3734"/>
    <w:rsid w:val="003B4761"/>
    <w:rsid w:val="003B4D85"/>
    <w:rsid w:val="003B7A7D"/>
    <w:rsid w:val="003C008B"/>
    <w:rsid w:val="003C01DC"/>
    <w:rsid w:val="003C0383"/>
    <w:rsid w:val="003C0452"/>
    <w:rsid w:val="003C0AC6"/>
    <w:rsid w:val="003C0B8A"/>
    <w:rsid w:val="003C0D2C"/>
    <w:rsid w:val="003C1F2D"/>
    <w:rsid w:val="003C1F8A"/>
    <w:rsid w:val="003C25D6"/>
    <w:rsid w:val="003C2FDB"/>
    <w:rsid w:val="003C3672"/>
    <w:rsid w:val="003C370C"/>
    <w:rsid w:val="003C37F0"/>
    <w:rsid w:val="003C3905"/>
    <w:rsid w:val="003C39C0"/>
    <w:rsid w:val="003C3CDF"/>
    <w:rsid w:val="003C46A7"/>
    <w:rsid w:val="003C46C1"/>
    <w:rsid w:val="003C5863"/>
    <w:rsid w:val="003C5C6B"/>
    <w:rsid w:val="003C5C8B"/>
    <w:rsid w:val="003C5EDD"/>
    <w:rsid w:val="003C61BB"/>
    <w:rsid w:val="003C6759"/>
    <w:rsid w:val="003C6C91"/>
    <w:rsid w:val="003C7C91"/>
    <w:rsid w:val="003C7DC3"/>
    <w:rsid w:val="003D00EE"/>
    <w:rsid w:val="003D0CD0"/>
    <w:rsid w:val="003D0CF0"/>
    <w:rsid w:val="003D0EDD"/>
    <w:rsid w:val="003D1DBF"/>
    <w:rsid w:val="003D2AFC"/>
    <w:rsid w:val="003D2C3B"/>
    <w:rsid w:val="003D2F43"/>
    <w:rsid w:val="003D2F7A"/>
    <w:rsid w:val="003D3387"/>
    <w:rsid w:val="003D356D"/>
    <w:rsid w:val="003D38FC"/>
    <w:rsid w:val="003D3BFC"/>
    <w:rsid w:val="003D4C0C"/>
    <w:rsid w:val="003D4F14"/>
    <w:rsid w:val="003D559D"/>
    <w:rsid w:val="003D679F"/>
    <w:rsid w:val="003D740A"/>
    <w:rsid w:val="003D7D26"/>
    <w:rsid w:val="003E255D"/>
    <w:rsid w:val="003E2C7C"/>
    <w:rsid w:val="003E32EE"/>
    <w:rsid w:val="003E34AD"/>
    <w:rsid w:val="003E358F"/>
    <w:rsid w:val="003E4069"/>
    <w:rsid w:val="003E4963"/>
    <w:rsid w:val="003E52F8"/>
    <w:rsid w:val="003E55C4"/>
    <w:rsid w:val="003E5EC1"/>
    <w:rsid w:val="003E6596"/>
    <w:rsid w:val="003E6809"/>
    <w:rsid w:val="003E6870"/>
    <w:rsid w:val="003E6E14"/>
    <w:rsid w:val="003F0477"/>
    <w:rsid w:val="003F08BD"/>
    <w:rsid w:val="003F097F"/>
    <w:rsid w:val="003F0F8B"/>
    <w:rsid w:val="003F1067"/>
    <w:rsid w:val="003F10B3"/>
    <w:rsid w:val="003F1528"/>
    <w:rsid w:val="003F1ADB"/>
    <w:rsid w:val="003F1B48"/>
    <w:rsid w:val="003F22A5"/>
    <w:rsid w:val="003F26EE"/>
    <w:rsid w:val="003F2C1B"/>
    <w:rsid w:val="003F3B74"/>
    <w:rsid w:val="003F3BD2"/>
    <w:rsid w:val="003F3BDB"/>
    <w:rsid w:val="003F40C1"/>
    <w:rsid w:val="003F457A"/>
    <w:rsid w:val="003F477D"/>
    <w:rsid w:val="003F4A44"/>
    <w:rsid w:val="003F4CBC"/>
    <w:rsid w:val="003F5472"/>
    <w:rsid w:val="003F5561"/>
    <w:rsid w:val="003F59BF"/>
    <w:rsid w:val="003F7C70"/>
    <w:rsid w:val="0040043A"/>
    <w:rsid w:val="00400CA2"/>
    <w:rsid w:val="004010D7"/>
    <w:rsid w:val="004017B6"/>
    <w:rsid w:val="0040196A"/>
    <w:rsid w:val="00402A76"/>
    <w:rsid w:val="00402A7A"/>
    <w:rsid w:val="0040307C"/>
    <w:rsid w:val="0040381D"/>
    <w:rsid w:val="00403AFE"/>
    <w:rsid w:val="00403BC5"/>
    <w:rsid w:val="00404284"/>
    <w:rsid w:val="004043F8"/>
    <w:rsid w:val="00404F5E"/>
    <w:rsid w:val="00406A62"/>
    <w:rsid w:val="00406EA3"/>
    <w:rsid w:val="00407627"/>
    <w:rsid w:val="0041074A"/>
    <w:rsid w:val="00410C52"/>
    <w:rsid w:val="004112BC"/>
    <w:rsid w:val="0041198A"/>
    <w:rsid w:val="00411A87"/>
    <w:rsid w:val="00411DE4"/>
    <w:rsid w:val="00411F3E"/>
    <w:rsid w:val="00412E57"/>
    <w:rsid w:val="004139B5"/>
    <w:rsid w:val="00413A59"/>
    <w:rsid w:val="00413B62"/>
    <w:rsid w:val="0041441B"/>
    <w:rsid w:val="00414500"/>
    <w:rsid w:val="004148AC"/>
    <w:rsid w:val="00414A4C"/>
    <w:rsid w:val="004151C2"/>
    <w:rsid w:val="0041564E"/>
    <w:rsid w:val="004159EF"/>
    <w:rsid w:val="00415C0A"/>
    <w:rsid w:val="00415F0A"/>
    <w:rsid w:val="0041611C"/>
    <w:rsid w:val="0041786F"/>
    <w:rsid w:val="00417918"/>
    <w:rsid w:val="004203E3"/>
    <w:rsid w:val="004207D2"/>
    <w:rsid w:val="00420D10"/>
    <w:rsid w:val="004213A5"/>
    <w:rsid w:val="004218EA"/>
    <w:rsid w:val="00421DD0"/>
    <w:rsid w:val="004225FD"/>
    <w:rsid w:val="0042273B"/>
    <w:rsid w:val="004237E1"/>
    <w:rsid w:val="0042426A"/>
    <w:rsid w:val="004253AF"/>
    <w:rsid w:val="004254B2"/>
    <w:rsid w:val="004258FA"/>
    <w:rsid w:val="00425FAF"/>
    <w:rsid w:val="0042639F"/>
    <w:rsid w:val="00426682"/>
    <w:rsid w:val="00426B17"/>
    <w:rsid w:val="004270C2"/>
    <w:rsid w:val="00430252"/>
    <w:rsid w:val="004307D5"/>
    <w:rsid w:val="00430B87"/>
    <w:rsid w:val="00431444"/>
    <w:rsid w:val="00431FBB"/>
    <w:rsid w:val="0043223A"/>
    <w:rsid w:val="0043244B"/>
    <w:rsid w:val="0043296F"/>
    <w:rsid w:val="004329F7"/>
    <w:rsid w:val="00433AFD"/>
    <w:rsid w:val="00434104"/>
    <w:rsid w:val="0043417E"/>
    <w:rsid w:val="004341DF"/>
    <w:rsid w:val="0043471D"/>
    <w:rsid w:val="00434AA7"/>
    <w:rsid w:val="004356C6"/>
    <w:rsid w:val="00435D65"/>
    <w:rsid w:val="00435F9C"/>
    <w:rsid w:val="004362CA"/>
    <w:rsid w:val="00436942"/>
    <w:rsid w:val="00436C3A"/>
    <w:rsid w:val="00436E42"/>
    <w:rsid w:val="00436F9D"/>
    <w:rsid w:val="00436FC5"/>
    <w:rsid w:val="0043719D"/>
    <w:rsid w:val="004379E5"/>
    <w:rsid w:val="00437A13"/>
    <w:rsid w:val="00437AED"/>
    <w:rsid w:val="0044011C"/>
    <w:rsid w:val="00440917"/>
    <w:rsid w:val="004409DE"/>
    <w:rsid w:val="00440B62"/>
    <w:rsid w:val="00440C8A"/>
    <w:rsid w:val="00442024"/>
    <w:rsid w:val="004421BE"/>
    <w:rsid w:val="004428B7"/>
    <w:rsid w:val="00442E72"/>
    <w:rsid w:val="004430BF"/>
    <w:rsid w:val="004432FE"/>
    <w:rsid w:val="00444321"/>
    <w:rsid w:val="004444AD"/>
    <w:rsid w:val="00444A00"/>
    <w:rsid w:val="00444CD5"/>
    <w:rsid w:val="00444FD1"/>
    <w:rsid w:val="00446046"/>
    <w:rsid w:val="0044638E"/>
    <w:rsid w:val="00446397"/>
    <w:rsid w:val="004463A4"/>
    <w:rsid w:val="00446786"/>
    <w:rsid w:val="00446F81"/>
    <w:rsid w:val="004478BB"/>
    <w:rsid w:val="004478D2"/>
    <w:rsid w:val="00447B10"/>
    <w:rsid w:val="00450D93"/>
    <w:rsid w:val="004510AC"/>
    <w:rsid w:val="004517B9"/>
    <w:rsid w:val="0045263E"/>
    <w:rsid w:val="00452ACA"/>
    <w:rsid w:val="00452AF1"/>
    <w:rsid w:val="00453115"/>
    <w:rsid w:val="00453BD2"/>
    <w:rsid w:val="004542F5"/>
    <w:rsid w:val="0045466E"/>
    <w:rsid w:val="00454AE0"/>
    <w:rsid w:val="00454C08"/>
    <w:rsid w:val="00454CD8"/>
    <w:rsid w:val="00454D85"/>
    <w:rsid w:val="00455384"/>
    <w:rsid w:val="004555F9"/>
    <w:rsid w:val="004561CF"/>
    <w:rsid w:val="0045670B"/>
    <w:rsid w:val="00456B1E"/>
    <w:rsid w:val="00457466"/>
    <w:rsid w:val="00457C22"/>
    <w:rsid w:val="00457E22"/>
    <w:rsid w:val="00457F88"/>
    <w:rsid w:val="00460175"/>
    <w:rsid w:val="00460C11"/>
    <w:rsid w:val="00461562"/>
    <w:rsid w:val="00461F84"/>
    <w:rsid w:val="004622F2"/>
    <w:rsid w:val="00462C1A"/>
    <w:rsid w:val="0046319F"/>
    <w:rsid w:val="004635A8"/>
    <w:rsid w:val="004636BF"/>
    <w:rsid w:val="00463AC0"/>
    <w:rsid w:val="00464B69"/>
    <w:rsid w:val="00465A8B"/>
    <w:rsid w:val="00465B92"/>
    <w:rsid w:val="004660C6"/>
    <w:rsid w:val="0046639A"/>
    <w:rsid w:val="004665AB"/>
    <w:rsid w:val="004665B9"/>
    <w:rsid w:val="0047005B"/>
    <w:rsid w:val="004703B8"/>
    <w:rsid w:val="004707ED"/>
    <w:rsid w:val="00470A7A"/>
    <w:rsid w:val="004712BA"/>
    <w:rsid w:val="00471851"/>
    <w:rsid w:val="00471DD9"/>
    <w:rsid w:val="00471DDF"/>
    <w:rsid w:val="00471F0A"/>
    <w:rsid w:val="00473685"/>
    <w:rsid w:val="00474679"/>
    <w:rsid w:val="00474FDE"/>
    <w:rsid w:val="004755DD"/>
    <w:rsid w:val="0047584F"/>
    <w:rsid w:val="004758C9"/>
    <w:rsid w:val="00475B45"/>
    <w:rsid w:val="00475C7C"/>
    <w:rsid w:val="00476E13"/>
    <w:rsid w:val="0047762C"/>
    <w:rsid w:val="00477F58"/>
    <w:rsid w:val="004806E5"/>
    <w:rsid w:val="0048141D"/>
    <w:rsid w:val="0048198E"/>
    <w:rsid w:val="00482044"/>
    <w:rsid w:val="004820DC"/>
    <w:rsid w:val="00482802"/>
    <w:rsid w:val="00483511"/>
    <w:rsid w:val="00483937"/>
    <w:rsid w:val="00483F87"/>
    <w:rsid w:val="00483FC9"/>
    <w:rsid w:val="0048407D"/>
    <w:rsid w:val="004841A9"/>
    <w:rsid w:val="004842EE"/>
    <w:rsid w:val="00484524"/>
    <w:rsid w:val="0048528A"/>
    <w:rsid w:val="00485331"/>
    <w:rsid w:val="00485405"/>
    <w:rsid w:val="00485468"/>
    <w:rsid w:val="00485BC1"/>
    <w:rsid w:val="0048723C"/>
    <w:rsid w:val="0048789F"/>
    <w:rsid w:val="004879F9"/>
    <w:rsid w:val="00487F9D"/>
    <w:rsid w:val="00487FC9"/>
    <w:rsid w:val="00487FED"/>
    <w:rsid w:val="004904D5"/>
    <w:rsid w:val="00490763"/>
    <w:rsid w:val="004912D1"/>
    <w:rsid w:val="00491310"/>
    <w:rsid w:val="00491518"/>
    <w:rsid w:val="00491525"/>
    <w:rsid w:val="00491FA1"/>
    <w:rsid w:val="004929E0"/>
    <w:rsid w:val="00492CF3"/>
    <w:rsid w:val="00492F7C"/>
    <w:rsid w:val="00493022"/>
    <w:rsid w:val="004930D5"/>
    <w:rsid w:val="00493501"/>
    <w:rsid w:val="004936C4"/>
    <w:rsid w:val="0049396C"/>
    <w:rsid w:val="004942F1"/>
    <w:rsid w:val="00494509"/>
    <w:rsid w:val="00494983"/>
    <w:rsid w:val="00495307"/>
    <w:rsid w:val="00495C81"/>
    <w:rsid w:val="00495F56"/>
    <w:rsid w:val="0049642E"/>
    <w:rsid w:val="00497472"/>
    <w:rsid w:val="00497EB9"/>
    <w:rsid w:val="004A0174"/>
    <w:rsid w:val="004A0FDE"/>
    <w:rsid w:val="004A1139"/>
    <w:rsid w:val="004A1227"/>
    <w:rsid w:val="004A1A0F"/>
    <w:rsid w:val="004A1EB6"/>
    <w:rsid w:val="004A1FCD"/>
    <w:rsid w:val="004A20BA"/>
    <w:rsid w:val="004A31AF"/>
    <w:rsid w:val="004A379C"/>
    <w:rsid w:val="004A387B"/>
    <w:rsid w:val="004A3BC6"/>
    <w:rsid w:val="004A3D73"/>
    <w:rsid w:val="004A3EDB"/>
    <w:rsid w:val="004A3F10"/>
    <w:rsid w:val="004A4CC6"/>
    <w:rsid w:val="004A4D48"/>
    <w:rsid w:val="004A4F55"/>
    <w:rsid w:val="004A51B5"/>
    <w:rsid w:val="004A5510"/>
    <w:rsid w:val="004A5E70"/>
    <w:rsid w:val="004A5F2F"/>
    <w:rsid w:val="004A5F75"/>
    <w:rsid w:val="004A6420"/>
    <w:rsid w:val="004A7C84"/>
    <w:rsid w:val="004B131D"/>
    <w:rsid w:val="004B133E"/>
    <w:rsid w:val="004B232F"/>
    <w:rsid w:val="004B27C9"/>
    <w:rsid w:val="004B2FAB"/>
    <w:rsid w:val="004B3475"/>
    <w:rsid w:val="004B39F6"/>
    <w:rsid w:val="004B3D21"/>
    <w:rsid w:val="004B4545"/>
    <w:rsid w:val="004B455E"/>
    <w:rsid w:val="004B5052"/>
    <w:rsid w:val="004B50E4"/>
    <w:rsid w:val="004B5A41"/>
    <w:rsid w:val="004B5C59"/>
    <w:rsid w:val="004B62A0"/>
    <w:rsid w:val="004B6604"/>
    <w:rsid w:val="004B7C3E"/>
    <w:rsid w:val="004C1F11"/>
    <w:rsid w:val="004C2134"/>
    <w:rsid w:val="004C24B8"/>
    <w:rsid w:val="004C254C"/>
    <w:rsid w:val="004C3D6C"/>
    <w:rsid w:val="004C4199"/>
    <w:rsid w:val="004C46C8"/>
    <w:rsid w:val="004C4B1C"/>
    <w:rsid w:val="004C6FCA"/>
    <w:rsid w:val="004C71C9"/>
    <w:rsid w:val="004C73DB"/>
    <w:rsid w:val="004C7696"/>
    <w:rsid w:val="004C7FF8"/>
    <w:rsid w:val="004D0090"/>
    <w:rsid w:val="004D00CE"/>
    <w:rsid w:val="004D0419"/>
    <w:rsid w:val="004D06B3"/>
    <w:rsid w:val="004D06F6"/>
    <w:rsid w:val="004D07DF"/>
    <w:rsid w:val="004D0B18"/>
    <w:rsid w:val="004D0BF3"/>
    <w:rsid w:val="004D0D69"/>
    <w:rsid w:val="004D198C"/>
    <w:rsid w:val="004D1DD9"/>
    <w:rsid w:val="004D1E3C"/>
    <w:rsid w:val="004D208A"/>
    <w:rsid w:val="004D237C"/>
    <w:rsid w:val="004D2442"/>
    <w:rsid w:val="004D258F"/>
    <w:rsid w:val="004D271F"/>
    <w:rsid w:val="004D29C6"/>
    <w:rsid w:val="004D33E7"/>
    <w:rsid w:val="004D365F"/>
    <w:rsid w:val="004D38ED"/>
    <w:rsid w:val="004D3AA7"/>
    <w:rsid w:val="004D5A22"/>
    <w:rsid w:val="004D62C8"/>
    <w:rsid w:val="004D74A4"/>
    <w:rsid w:val="004D74B9"/>
    <w:rsid w:val="004D7F70"/>
    <w:rsid w:val="004E06A1"/>
    <w:rsid w:val="004E0865"/>
    <w:rsid w:val="004E1925"/>
    <w:rsid w:val="004E23BF"/>
    <w:rsid w:val="004E377A"/>
    <w:rsid w:val="004E37DF"/>
    <w:rsid w:val="004E406D"/>
    <w:rsid w:val="004E41D4"/>
    <w:rsid w:val="004E42F6"/>
    <w:rsid w:val="004E44BA"/>
    <w:rsid w:val="004E44DE"/>
    <w:rsid w:val="004E49DE"/>
    <w:rsid w:val="004E4EB4"/>
    <w:rsid w:val="004E4EFE"/>
    <w:rsid w:val="004E4F76"/>
    <w:rsid w:val="004E4FE2"/>
    <w:rsid w:val="004E5AFD"/>
    <w:rsid w:val="004E6069"/>
    <w:rsid w:val="004E6B94"/>
    <w:rsid w:val="004E6BE2"/>
    <w:rsid w:val="004E780F"/>
    <w:rsid w:val="004F00DE"/>
    <w:rsid w:val="004F094B"/>
    <w:rsid w:val="004F0BD7"/>
    <w:rsid w:val="004F1941"/>
    <w:rsid w:val="004F1C54"/>
    <w:rsid w:val="004F1FCD"/>
    <w:rsid w:val="004F2343"/>
    <w:rsid w:val="004F2A1C"/>
    <w:rsid w:val="004F2BB5"/>
    <w:rsid w:val="004F31D2"/>
    <w:rsid w:val="004F342A"/>
    <w:rsid w:val="004F387F"/>
    <w:rsid w:val="004F38A0"/>
    <w:rsid w:val="004F3E06"/>
    <w:rsid w:val="004F3FF5"/>
    <w:rsid w:val="004F4282"/>
    <w:rsid w:val="004F4B8C"/>
    <w:rsid w:val="004F67FA"/>
    <w:rsid w:val="004F7182"/>
    <w:rsid w:val="004F742B"/>
    <w:rsid w:val="004F792F"/>
    <w:rsid w:val="004F7D77"/>
    <w:rsid w:val="0050047B"/>
    <w:rsid w:val="005008FA"/>
    <w:rsid w:val="00500F9E"/>
    <w:rsid w:val="00500FDE"/>
    <w:rsid w:val="005019AC"/>
    <w:rsid w:val="00501AB9"/>
    <w:rsid w:val="00501D40"/>
    <w:rsid w:val="005020AC"/>
    <w:rsid w:val="005020F0"/>
    <w:rsid w:val="00502257"/>
    <w:rsid w:val="0050256E"/>
    <w:rsid w:val="00502596"/>
    <w:rsid w:val="00502637"/>
    <w:rsid w:val="0050298F"/>
    <w:rsid w:val="005029D5"/>
    <w:rsid w:val="005036EC"/>
    <w:rsid w:val="00503B51"/>
    <w:rsid w:val="0050439D"/>
    <w:rsid w:val="00505482"/>
    <w:rsid w:val="005059C6"/>
    <w:rsid w:val="005061DD"/>
    <w:rsid w:val="00506B68"/>
    <w:rsid w:val="005074D2"/>
    <w:rsid w:val="005076C4"/>
    <w:rsid w:val="005076DB"/>
    <w:rsid w:val="00507725"/>
    <w:rsid w:val="00510031"/>
    <w:rsid w:val="00510964"/>
    <w:rsid w:val="00510D00"/>
    <w:rsid w:val="00511325"/>
    <w:rsid w:val="005115E8"/>
    <w:rsid w:val="00511C61"/>
    <w:rsid w:val="00511EF3"/>
    <w:rsid w:val="00511F05"/>
    <w:rsid w:val="00513105"/>
    <w:rsid w:val="005135EA"/>
    <w:rsid w:val="00514266"/>
    <w:rsid w:val="00514C4A"/>
    <w:rsid w:val="00515101"/>
    <w:rsid w:val="00515E3C"/>
    <w:rsid w:val="00515FE8"/>
    <w:rsid w:val="00516031"/>
    <w:rsid w:val="00516972"/>
    <w:rsid w:val="005169D1"/>
    <w:rsid w:val="00516B0C"/>
    <w:rsid w:val="00516C17"/>
    <w:rsid w:val="005173D8"/>
    <w:rsid w:val="005202BE"/>
    <w:rsid w:val="00520C0B"/>
    <w:rsid w:val="00520C8E"/>
    <w:rsid w:val="00520D5C"/>
    <w:rsid w:val="00521765"/>
    <w:rsid w:val="00521A4B"/>
    <w:rsid w:val="00521D19"/>
    <w:rsid w:val="00522749"/>
    <w:rsid w:val="00522951"/>
    <w:rsid w:val="00522FE8"/>
    <w:rsid w:val="0052418E"/>
    <w:rsid w:val="00524602"/>
    <w:rsid w:val="005248F4"/>
    <w:rsid w:val="00524E34"/>
    <w:rsid w:val="00525002"/>
    <w:rsid w:val="0052567D"/>
    <w:rsid w:val="00525EC1"/>
    <w:rsid w:val="00526248"/>
    <w:rsid w:val="005267AC"/>
    <w:rsid w:val="00527161"/>
    <w:rsid w:val="00527D23"/>
    <w:rsid w:val="00531796"/>
    <w:rsid w:val="00531B03"/>
    <w:rsid w:val="00531FDE"/>
    <w:rsid w:val="00532287"/>
    <w:rsid w:val="005324F9"/>
    <w:rsid w:val="005325A4"/>
    <w:rsid w:val="0053317D"/>
    <w:rsid w:val="005331D6"/>
    <w:rsid w:val="005333BA"/>
    <w:rsid w:val="00533767"/>
    <w:rsid w:val="00533C6C"/>
    <w:rsid w:val="00534803"/>
    <w:rsid w:val="00536ACC"/>
    <w:rsid w:val="00536B32"/>
    <w:rsid w:val="00536F2F"/>
    <w:rsid w:val="005372B1"/>
    <w:rsid w:val="00540016"/>
    <w:rsid w:val="00540884"/>
    <w:rsid w:val="00540AB1"/>
    <w:rsid w:val="00541513"/>
    <w:rsid w:val="00541E51"/>
    <w:rsid w:val="00542417"/>
    <w:rsid w:val="005425C9"/>
    <w:rsid w:val="00542C5F"/>
    <w:rsid w:val="00543A50"/>
    <w:rsid w:val="00543D43"/>
    <w:rsid w:val="005442FB"/>
    <w:rsid w:val="00544490"/>
    <w:rsid w:val="005448F3"/>
    <w:rsid w:val="005449F2"/>
    <w:rsid w:val="00545339"/>
    <w:rsid w:val="0054543A"/>
    <w:rsid w:val="00545FD4"/>
    <w:rsid w:val="0054638F"/>
    <w:rsid w:val="00546C4D"/>
    <w:rsid w:val="00546C99"/>
    <w:rsid w:val="0054723A"/>
    <w:rsid w:val="00547767"/>
    <w:rsid w:val="0055019B"/>
    <w:rsid w:val="00550B4C"/>
    <w:rsid w:val="00551139"/>
    <w:rsid w:val="00551E0A"/>
    <w:rsid w:val="00552130"/>
    <w:rsid w:val="00554079"/>
    <w:rsid w:val="005541AC"/>
    <w:rsid w:val="00554972"/>
    <w:rsid w:val="00555120"/>
    <w:rsid w:val="005553D4"/>
    <w:rsid w:val="005556C2"/>
    <w:rsid w:val="00555E99"/>
    <w:rsid w:val="00555FE1"/>
    <w:rsid w:val="005565DF"/>
    <w:rsid w:val="00556896"/>
    <w:rsid w:val="00556D9D"/>
    <w:rsid w:val="00557669"/>
    <w:rsid w:val="005577C5"/>
    <w:rsid w:val="00557844"/>
    <w:rsid w:val="0055785F"/>
    <w:rsid w:val="00557FB5"/>
    <w:rsid w:val="005603EF"/>
    <w:rsid w:val="00560C65"/>
    <w:rsid w:val="00561DA0"/>
    <w:rsid w:val="005628F9"/>
    <w:rsid w:val="00563156"/>
    <w:rsid w:val="00563A29"/>
    <w:rsid w:val="00563D8B"/>
    <w:rsid w:val="005649DB"/>
    <w:rsid w:val="005659D5"/>
    <w:rsid w:val="00565B09"/>
    <w:rsid w:val="00565C5C"/>
    <w:rsid w:val="0056602E"/>
    <w:rsid w:val="00566844"/>
    <w:rsid w:val="005668BB"/>
    <w:rsid w:val="00566CD0"/>
    <w:rsid w:val="005674E1"/>
    <w:rsid w:val="005676EA"/>
    <w:rsid w:val="005678EE"/>
    <w:rsid w:val="00570EAF"/>
    <w:rsid w:val="00571AF0"/>
    <w:rsid w:val="005727DA"/>
    <w:rsid w:val="00572913"/>
    <w:rsid w:val="0057296B"/>
    <w:rsid w:val="0057322E"/>
    <w:rsid w:val="00573C2C"/>
    <w:rsid w:val="00574518"/>
    <w:rsid w:val="005745AF"/>
    <w:rsid w:val="0057466C"/>
    <w:rsid w:val="00574F4A"/>
    <w:rsid w:val="00575437"/>
    <w:rsid w:val="00576900"/>
    <w:rsid w:val="005776CA"/>
    <w:rsid w:val="00580797"/>
    <w:rsid w:val="00580E54"/>
    <w:rsid w:val="00581AAF"/>
    <w:rsid w:val="005820EE"/>
    <w:rsid w:val="00583F9C"/>
    <w:rsid w:val="005845AC"/>
    <w:rsid w:val="005845B5"/>
    <w:rsid w:val="00584612"/>
    <w:rsid w:val="00584B09"/>
    <w:rsid w:val="00584C12"/>
    <w:rsid w:val="00585456"/>
    <w:rsid w:val="00585570"/>
    <w:rsid w:val="005855F5"/>
    <w:rsid w:val="005858B7"/>
    <w:rsid w:val="00585C86"/>
    <w:rsid w:val="005860F5"/>
    <w:rsid w:val="00587E8F"/>
    <w:rsid w:val="00590847"/>
    <w:rsid w:val="00590F02"/>
    <w:rsid w:val="00591AAD"/>
    <w:rsid w:val="00591D0B"/>
    <w:rsid w:val="00592703"/>
    <w:rsid w:val="0059288E"/>
    <w:rsid w:val="00594391"/>
    <w:rsid w:val="00594486"/>
    <w:rsid w:val="005945C4"/>
    <w:rsid w:val="00594B72"/>
    <w:rsid w:val="00594BC4"/>
    <w:rsid w:val="00594DB0"/>
    <w:rsid w:val="00595828"/>
    <w:rsid w:val="005964D3"/>
    <w:rsid w:val="00596530"/>
    <w:rsid w:val="00596C36"/>
    <w:rsid w:val="00596C69"/>
    <w:rsid w:val="00596CBD"/>
    <w:rsid w:val="00596F8A"/>
    <w:rsid w:val="005974B8"/>
    <w:rsid w:val="00597BE8"/>
    <w:rsid w:val="005A045D"/>
    <w:rsid w:val="005A0B40"/>
    <w:rsid w:val="005A28D9"/>
    <w:rsid w:val="005A319F"/>
    <w:rsid w:val="005A4DAF"/>
    <w:rsid w:val="005A562A"/>
    <w:rsid w:val="005A59CE"/>
    <w:rsid w:val="005A5BD3"/>
    <w:rsid w:val="005A66EE"/>
    <w:rsid w:val="005A6921"/>
    <w:rsid w:val="005B0502"/>
    <w:rsid w:val="005B0B7E"/>
    <w:rsid w:val="005B1176"/>
    <w:rsid w:val="005B1595"/>
    <w:rsid w:val="005B1918"/>
    <w:rsid w:val="005B2585"/>
    <w:rsid w:val="005B2606"/>
    <w:rsid w:val="005B2614"/>
    <w:rsid w:val="005B28C2"/>
    <w:rsid w:val="005B3C7E"/>
    <w:rsid w:val="005B4144"/>
    <w:rsid w:val="005B48D7"/>
    <w:rsid w:val="005B48D9"/>
    <w:rsid w:val="005B4E54"/>
    <w:rsid w:val="005B5239"/>
    <w:rsid w:val="005B541B"/>
    <w:rsid w:val="005B5AAA"/>
    <w:rsid w:val="005B62FB"/>
    <w:rsid w:val="005B69A5"/>
    <w:rsid w:val="005B6BAF"/>
    <w:rsid w:val="005B72FB"/>
    <w:rsid w:val="005B7446"/>
    <w:rsid w:val="005C053C"/>
    <w:rsid w:val="005C097A"/>
    <w:rsid w:val="005C0A87"/>
    <w:rsid w:val="005C111A"/>
    <w:rsid w:val="005C1B5E"/>
    <w:rsid w:val="005C1C5F"/>
    <w:rsid w:val="005C388E"/>
    <w:rsid w:val="005C3E00"/>
    <w:rsid w:val="005C3FF4"/>
    <w:rsid w:val="005C4543"/>
    <w:rsid w:val="005C4F88"/>
    <w:rsid w:val="005C4FDC"/>
    <w:rsid w:val="005C50C7"/>
    <w:rsid w:val="005C5CCA"/>
    <w:rsid w:val="005C62B1"/>
    <w:rsid w:val="005C6373"/>
    <w:rsid w:val="005C7129"/>
    <w:rsid w:val="005D02D9"/>
    <w:rsid w:val="005D0510"/>
    <w:rsid w:val="005D06A1"/>
    <w:rsid w:val="005D0B01"/>
    <w:rsid w:val="005D0E91"/>
    <w:rsid w:val="005D17B3"/>
    <w:rsid w:val="005D21E7"/>
    <w:rsid w:val="005D2371"/>
    <w:rsid w:val="005D2A1C"/>
    <w:rsid w:val="005D2DDE"/>
    <w:rsid w:val="005D2F2B"/>
    <w:rsid w:val="005D3793"/>
    <w:rsid w:val="005D3948"/>
    <w:rsid w:val="005D39BF"/>
    <w:rsid w:val="005D3B5F"/>
    <w:rsid w:val="005D3BDE"/>
    <w:rsid w:val="005D407A"/>
    <w:rsid w:val="005D57E7"/>
    <w:rsid w:val="005D5941"/>
    <w:rsid w:val="005D5DE3"/>
    <w:rsid w:val="005D6690"/>
    <w:rsid w:val="005D6D30"/>
    <w:rsid w:val="005D772D"/>
    <w:rsid w:val="005D7F7B"/>
    <w:rsid w:val="005E1DE8"/>
    <w:rsid w:val="005E252D"/>
    <w:rsid w:val="005E266B"/>
    <w:rsid w:val="005E281D"/>
    <w:rsid w:val="005E30EA"/>
    <w:rsid w:val="005E340B"/>
    <w:rsid w:val="005E3DB3"/>
    <w:rsid w:val="005E3F08"/>
    <w:rsid w:val="005E4D99"/>
    <w:rsid w:val="005E616F"/>
    <w:rsid w:val="005E75FB"/>
    <w:rsid w:val="005E79A6"/>
    <w:rsid w:val="005F0775"/>
    <w:rsid w:val="005F0D1F"/>
    <w:rsid w:val="005F0E53"/>
    <w:rsid w:val="005F2865"/>
    <w:rsid w:val="005F2CAC"/>
    <w:rsid w:val="005F34DC"/>
    <w:rsid w:val="005F38B4"/>
    <w:rsid w:val="005F3D33"/>
    <w:rsid w:val="005F4C60"/>
    <w:rsid w:val="005F5296"/>
    <w:rsid w:val="005F584E"/>
    <w:rsid w:val="005F5A9C"/>
    <w:rsid w:val="005F62C0"/>
    <w:rsid w:val="005F67DE"/>
    <w:rsid w:val="005F699D"/>
    <w:rsid w:val="005F6B1E"/>
    <w:rsid w:val="005F6F11"/>
    <w:rsid w:val="005F755B"/>
    <w:rsid w:val="006020A1"/>
    <w:rsid w:val="00603DAE"/>
    <w:rsid w:val="0060602D"/>
    <w:rsid w:val="0060623E"/>
    <w:rsid w:val="00606855"/>
    <w:rsid w:val="00606974"/>
    <w:rsid w:val="006077A1"/>
    <w:rsid w:val="00610A6D"/>
    <w:rsid w:val="00610FF1"/>
    <w:rsid w:val="0061111C"/>
    <w:rsid w:val="00611B87"/>
    <w:rsid w:val="00613299"/>
    <w:rsid w:val="00613984"/>
    <w:rsid w:val="00613F21"/>
    <w:rsid w:val="00614C06"/>
    <w:rsid w:val="00614E44"/>
    <w:rsid w:val="006151CA"/>
    <w:rsid w:val="0061576D"/>
    <w:rsid w:val="0061583D"/>
    <w:rsid w:val="006158CA"/>
    <w:rsid w:val="00615B82"/>
    <w:rsid w:val="0061609B"/>
    <w:rsid w:val="00616560"/>
    <w:rsid w:val="00616692"/>
    <w:rsid w:val="00616790"/>
    <w:rsid w:val="00616D0A"/>
    <w:rsid w:val="0061778C"/>
    <w:rsid w:val="006177F9"/>
    <w:rsid w:val="00617C0A"/>
    <w:rsid w:val="00620A8E"/>
    <w:rsid w:val="00620B77"/>
    <w:rsid w:val="00620DDF"/>
    <w:rsid w:val="00622000"/>
    <w:rsid w:val="0062252D"/>
    <w:rsid w:val="006225EE"/>
    <w:rsid w:val="006233E2"/>
    <w:rsid w:val="0062365E"/>
    <w:rsid w:val="0062435F"/>
    <w:rsid w:val="00624679"/>
    <w:rsid w:val="00624C07"/>
    <w:rsid w:val="0062563D"/>
    <w:rsid w:val="00626182"/>
    <w:rsid w:val="00626702"/>
    <w:rsid w:val="0063084C"/>
    <w:rsid w:val="006311AF"/>
    <w:rsid w:val="0063137D"/>
    <w:rsid w:val="006315AD"/>
    <w:rsid w:val="006320A8"/>
    <w:rsid w:val="00632759"/>
    <w:rsid w:val="0063298C"/>
    <w:rsid w:val="00633D30"/>
    <w:rsid w:val="006342B5"/>
    <w:rsid w:val="006356CF"/>
    <w:rsid w:val="00636304"/>
    <w:rsid w:val="006364A9"/>
    <w:rsid w:val="00637C93"/>
    <w:rsid w:val="00637CAB"/>
    <w:rsid w:val="00637ED3"/>
    <w:rsid w:val="00640F6D"/>
    <w:rsid w:val="00641673"/>
    <w:rsid w:val="00641DDC"/>
    <w:rsid w:val="00642415"/>
    <w:rsid w:val="00643E18"/>
    <w:rsid w:val="00643E34"/>
    <w:rsid w:val="00643FE0"/>
    <w:rsid w:val="006442AB"/>
    <w:rsid w:val="00644632"/>
    <w:rsid w:val="00644AF7"/>
    <w:rsid w:val="00644B46"/>
    <w:rsid w:val="00644C18"/>
    <w:rsid w:val="0064646C"/>
    <w:rsid w:val="00646A51"/>
    <w:rsid w:val="00646DB7"/>
    <w:rsid w:val="00647031"/>
    <w:rsid w:val="00647F7C"/>
    <w:rsid w:val="00647FB5"/>
    <w:rsid w:val="00650E95"/>
    <w:rsid w:val="0065212B"/>
    <w:rsid w:val="0065289E"/>
    <w:rsid w:val="00652F83"/>
    <w:rsid w:val="006533BB"/>
    <w:rsid w:val="00654512"/>
    <w:rsid w:val="00654CBF"/>
    <w:rsid w:val="00655526"/>
    <w:rsid w:val="00655725"/>
    <w:rsid w:val="00655A08"/>
    <w:rsid w:val="00656356"/>
    <w:rsid w:val="006569FD"/>
    <w:rsid w:val="00660362"/>
    <w:rsid w:val="00660D40"/>
    <w:rsid w:val="00661903"/>
    <w:rsid w:val="006638E5"/>
    <w:rsid w:val="00663990"/>
    <w:rsid w:val="00663B44"/>
    <w:rsid w:val="0066652B"/>
    <w:rsid w:val="00666C18"/>
    <w:rsid w:val="00666C1B"/>
    <w:rsid w:val="00666F06"/>
    <w:rsid w:val="006678CB"/>
    <w:rsid w:val="006705A7"/>
    <w:rsid w:val="00670633"/>
    <w:rsid w:val="00671684"/>
    <w:rsid w:val="0067189A"/>
    <w:rsid w:val="00671B19"/>
    <w:rsid w:val="00672370"/>
    <w:rsid w:val="00672733"/>
    <w:rsid w:val="00672CD7"/>
    <w:rsid w:val="00672DEF"/>
    <w:rsid w:val="00674167"/>
    <w:rsid w:val="006741CF"/>
    <w:rsid w:val="00674BE3"/>
    <w:rsid w:val="00674E09"/>
    <w:rsid w:val="0067562F"/>
    <w:rsid w:val="006757A6"/>
    <w:rsid w:val="00676358"/>
    <w:rsid w:val="00676968"/>
    <w:rsid w:val="00676BA4"/>
    <w:rsid w:val="00677166"/>
    <w:rsid w:val="006774D4"/>
    <w:rsid w:val="00677DD8"/>
    <w:rsid w:val="00680394"/>
    <w:rsid w:val="006809EC"/>
    <w:rsid w:val="00681518"/>
    <w:rsid w:val="00682582"/>
    <w:rsid w:val="00682DA3"/>
    <w:rsid w:val="006831E9"/>
    <w:rsid w:val="006837C9"/>
    <w:rsid w:val="00683F6B"/>
    <w:rsid w:val="00685C1D"/>
    <w:rsid w:val="00685ED9"/>
    <w:rsid w:val="00685FC9"/>
    <w:rsid w:val="006860E9"/>
    <w:rsid w:val="00686812"/>
    <w:rsid w:val="0068726D"/>
    <w:rsid w:val="006902DA"/>
    <w:rsid w:val="00690AA1"/>
    <w:rsid w:val="0069137C"/>
    <w:rsid w:val="0069157D"/>
    <w:rsid w:val="0069229B"/>
    <w:rsid w:val="006922BB"/>
    <w:rsid w:val="006924C8"/>
    <w:rsid w:val="0069294F"/>
    <w:rsid w:val="0069398E"/>
    <w:rsid w:val="006951B6"/>
    <w:rsid w:val="00695C81"/>
    <w:rsid w:val="006965A0"/>
    <w:rsid w:val="00697042"/>
    <w:rsid w:val="00697149"/>
    <w:rsid w:val="006A0036"/>
    <w:rsid w:val="006A09FE"/>
    <w:rsid w:val="006A1417"/>
    <w:rsid w:val="006A156D"/>
    <w:rsid w:val="006A1DEA"/>
    <w:rsid w:val="006A2DF3"/>
    <w:rsid w:val="006A3A86"/>
    <w:rsid w:val="006A3E9A"/>
    <w:rsid w:val="006A3ECA"/>
    <w:rsid w:val="006A4339"/>
    <w:rsid w:val="006A44EA"/>
    <w:rsid w:val="006A4512"/>
    <w:rsid w:val="006A4C21"/>
    <w:rsid w:val="006A5533"/>
    <w:rsid w:val="006A643B"/>
    <w:rsid w:val="006A693C"/>
    <w:rsid w:val="006A73CE"/>
    <w:rsid w:val="006A7C91"/>
    <w:rsid w:val="006B0286"/>
    <w:rsid w:val="006B0B9C"/>
    <w:rsid w:val="006B0D80"/>
    <w:rsid w:val="006B1F24"/>
    <w:rsid w:val="006B24A5"/>
    <w:rsid w:val="006B26A4"/>
    <w:rsid w:val="006B26DA"/>
    <w:rsid w:val="006B2D7C"/>
    <w:rsid w:val="006B340E"/>
    <w:rsid w:val="006B3674"/>
    <w:rsid w:val="006B3B28"/>
    <w:rsid w:val="006B3F10"/>
    <w:rsid w:val="006B42BC"/>
    <w:rsid w:val="006B459A"/>
    <w:rsid w:val="006B478F"/>
    <w:rsid w:val="006B482C"/>
    <w:rsid w:val="006B4F48"/>
    <w:rsid w:val="006B557B"/>
    <w:rsid w:val="006B5904"/>
    <w:rsid w:val="006B59A3"/>
    <w:rsid w:val="006B6307"/>
    <w:rsid w:val="006B64C7"/>
    <w:rsid w:val="006B6D2A"/>
    <w:rsid w:val="006B73E1"/>
    <w:rsid w:val="006B79E2"/>
    <w:rsid w:val="006B7F42"/>
    <w:rsid w:val="006C0B4F"/>
    <w:rsid w:val="006C0EAF"/>
    <w:rsid w:val="006C1095"/>
    <w:rsid w:val="006C1D62"/>
    <w:rsid w:val="006C238D"/>
    <w:rsid w:val="006C30A1"/>
    <w:rsid w:val="006C3878"/>
    <w:rsid w:val="006C3A23"/>
    <w:rsid w:val="006C3DC8"/>
    <w:rsid w:val="006C3FF2"/>
    <w:rsid w:val="006C4912"/>
    <w:rsid w:val="006C5733"/>
    <w:rsid w:val="006C5ADB"/>
    <w:rsid w:val="006C5BEE"/>
    <w:rsid w:val="006C6A8E"/>
    <w:rsid w:val="006C7351"/>
    <w:rsid w:val="006D0B21"/>
    <w:rsid w:val="006D107B"/>
    <w:rsid w:val="006D11C3"/>
    <w:rsid w:val="006D1282"/>
    <w:rsid w:val="006D1442"/>
    <w:rsid w:val="006D1C99"/>
    <w:rsid w:val="006D1D85"/>
    <w:rsid w:val="006D2065"/>
    <w:rsid w:val="006D28DE"/>
    <w:rsid w:val="006D34BB"/>
    <w:rsid w:val="006D3B20"/>
    <w:rsid w:val="006D3D37"/>
    <w:rsid w:val="006D3EB6"/>
    <w:rsid w:val="006D4090"/>
    <w:rsid w:val="006D4123"/>
    <w:rsid w:val="006D4265"/>
    <w:rsid w:val="006D4385"/>
    <w:rsid w:val="006D507F"/>
    <w:rsid w:val="006D5185"/>
    <w:rsid w:val="006D5195"/>
    <w:rsid w:val="006D54B6"/>
    <w:rsid w:val="006D5FA7"/>
    <w:rsid w:val="006D60C0"/>
    <w:rsid w:val="006D610A"/>
    <w:rsid w:val="006D65C5"/>
    <w:rsid w:val="006D6718"/>
    <w:rsid w:val="006D685F"/>
    <w:rsid w:val="006E10D4"/>
    <w:rsid w:val="006E1646"/>
    <w:rsid w:val="006E17F6"/>
    <w:rsid w:val="006E28BB"/>
    <w:rsid w:val="006E2A1A"/>
    <w:rsid w:val="006E3331"/>
    <w:rsid w:val="006E3634"/>
    <w:rsid w:val="006E3FB9"/>
    <w:rsid w:val="006E42DB"/>
    <w:rsid w:val="006E4EF3"/>
    <w:rsid w:val="006E5305"/>
    <w:rsid w:val="006E5BEB"/>
    <w:rsid w:val="006E5C94"/>
    <w:rsid w:val="006E5CD0"/>
    <w:rsid w:val="006E6590"/>
    <w:rsid w:val="006E665F"/>
    <w:rsid w:val="006E6955"/>
    <w:rsid w:val="006E6DCB"/>
    <w:rsid w:val="006E6EC6"/>
    <w:rsid w:val="006F0595"/>
    <w:rsid w:val="006F09E9"/>
    <w:rsid w:val="006F13F0"/>
    <w:rsid w:val="006F1DA8"/>
    <w:rsid w:val="006F25BF"/>
    <w:rsid w:val="006F3C66"/>
    <w:rsid w:val="006F3DF8"/>
    <w:rsid w:val="006F5227"/>
    <w:rsid w:val="006F5337"/>
    <w:rsid w:val="006F5BC1"/>
    <w:rsid w:val="006F6089"/>
    <w:rsid w:val="006F651F"/>
    <w:rsid w:val="006F657A"/>
    <w:rsid w:val="006F6BD2"/>
    <w:rsid w:val="006F71BF"/>
    <w:rsid w:val="006F7701"/>
    <w:rsid w:val="006F7A01"/>
    <w:rsid w:val="0070025F"/>
    <w:rsid w:val="007003E4"/>
    <w:rsid w:val="007006F5"/>
    <w:rsid w:val="007007CD"/>
    <w:rsid w:val="0070253B"/>
    <w:rsid w:val="007028ED"/>
    <w:rsid w:val="0070292E"/>
    <w:rsid w:val="00703A4B"/>
    <w:rsid w:val="0070461E"/>
    <w:rsid w:val="00704910"/>
    <w:rsid w:val="0070501A"/>
    <w:rsid w:val="0070535A"/>
    <w:rsid w:val="007059BA"/>
    <w:rsid w:val="007062ED"/>
    <w:rsid w:val="00707B85"/>
    <w:rsid w:val="0071075E"/>
    <w:rsid w:val="00710D71"/>
    <w:rsid w:val="00710E5B"/>
    <w:rsid w:val="007113BF"/>
    <w:rsid w:val="0071247C"/>
    <w:rsid w:val="00713BEA"/>
    <w:rsid w:val="00713C03"/>
    <w:rsid w:val="00713D74"/>
    <w:rsid w:val="00713DD4"/>
    <w:rsid w:val="007143B1"/>
    <w:rsid w:val="007149C2"/>
    <w:rsid w:val="007152E7"/>
    <w:rsid w:val="00715B03"/>
    <w:rsid w:val="00717CF2"/>
    <w:rsid w:val="00720042"/>
    <w:rsid w:val="0072015D"/>
    <w:rsid w:val="00720781"/>
    <w:rsid w:val="00721059"/>
    <w:rsid w:val="00721B09"/>
    <w:rsid w:val="00721E62"/>
    <w:rsid w:val="007224B9"/>
    <w:rsid w:val="0072297F"/>
    <w:rsid w:val="007235E4"/>
    <w:rsid w:val="007243E4"/>
    <w:rsid w:val="00724525"/>
    <w:rsid w:val="00725290"/>
    <w:rsid w:val="00725972"/>
    <w:rsid w:val="0072634D"/>
    <w:rsid w:val="0072661D"/>
    <w:rsid w:val="00726872"/>
    <w:rsid w:val="00727493"/>
    <w:rsid w:val="00727644"/>
    <w:rsid w:val="0072768A"/>
    <w:rsid w:val="00727B21"/>
    <w:rsid w:val="00727DD9"/>
    <w:rsid w:val="00727E92"/>
    <w:rsid w:val="007301DA"/>
    <w:rsid w:val="007304D6"/>
    <w:rsid w:val="0073070E"/>
    <w:rsid w:val="00730CBA"/>
    <w:rsid w:val="0073132D"/>
    <w:rsid w:val="00731655"/>
    <w:rsid w:val="007326C0"/>
    <w:rsid w:val="007327AA"/>
    <w:rsid w:val="00732B8B"/>
    <w:rsid w:val="00733352"/>
    <w:rsid w:val="00733908"/>
    <w:rsid w:val="007339DB"/>
    <w:rsid w:val="00733C80"/>
    <w:rsid w:val="0073406E"/>
    <w:rsid w:val="00734320"/>
    <w:rsid w:val="00734D62"/>
    <w:rsid w:val="007353BC"/>
    <w:rsid w:val="00735809"/>
    <w:rsid w:val="00735AB2"/>
    <w:rsid w:val="00736CFF"/>
    <w:rsid w:val="007377C5"/>
    <w:rsid w:val="007379AE"/>
    <w:rsid w:val="00737B5A"/>
    <w:rsid w:val="00737E8F"/>
    <w:rsid w:val="00737FEB"/>
    <w:rsid w:val="00740363"/>
    <w:rsid w:val="0074121E"/>
    <w:rsid w:val="00742263"/>
    <w:rsid w:val="007425A1"/>
    <w:rsid w:val="007426ED"/>
    <w:rsid w:val="0074308D"/>
    <w:rsid w:val="00744181"/>
    <w:rsid w:val="007455C3"/>
    <w:rsid w:val="00745F10"/>
    <w:rsid w:val="00746379"/>
    <w:rsid w:val="00746EB1"/>
    <w:rsid w:val="00747161"/>
    <w:rsid w:val="007472E4"/>
    <w:rsid w:val="00747327"/>
    <w:rsid w:val="0074757A"/>
    <w:rsid w:val="0074769E"/>
    <w:rsid w:val="007477BA"/>
    <w:rsid w:val="00747917"/>
    <w:rsid w:val="007503BC"/>
    <w:rsid w:val="00750952"/>
    <w:rsid w:val="00750DA3"/>
    <w:rsid w:val="0075104B"/>
    <w:rsid w:val="007510BD"/>
    <w:rsid w:val="007525AE"/>
    <w:rsid w:val="00752C8D"/>
    <w:rsid w:val="0075318C"/>
    <w:rsid w:val="00753300"/>
    <w:rsid w:val="007535FC"/>
    <w:rsid w:val="007537C0"/>
    <w:rsid w:val="00753AE7"/>
    <w:rsid w:val="00753BF5"/>
    <w:rsid w:val="0075422B"/>
    <w:rsid w:val="007546B7"/>
    <w:rsid w:val="007547D8"/>
    <w:rsid w:val="00754B8B"/>
    <w:rsid w:val="00755A25"/>
    <w:rsid w:val="0075640B"/>
    <w:rsid w:val="007565F3"/>
    <w:rsid w:val="007569A2"/>
    <w:rsid w:val="007569D3"/>
    <w:rsid w:val="00756BF4"/>
    <w:rsid w:val="00756D05"/>
    <w:rsid w:val="00756DA1"/>
    <w:rsid w:val="00757411"/>
    <w:rsid w:val="00760000"/>
    <w:rsid w:val="0076076C"/>
    <w:rsid w:val="00760AF7"/>
    <w:rsid w:val="0076114E"/>
    <w:rsid w:val="00761A04"/>
    <w:rsid w:val="00761D23"/>
    <w:rsid w:val="00761F11"/>
    <w:rsid w:val="0076279D"/>
    <w:rsid w:val="007636D1"/>
    <w:rsid w:val="00763767"/>
    <w:rsid w:val="0076482D"/>
    <w:rsid w:val="0076498D"/>
    <w:rsid w:val="00764B2A"/>
    <w:rsid w:val="00764DE2"/>
    <w:rsid w:val="0076529D"/>
    <w:rsid w:val="007659DD"/>
    <w:rsid w:val="00765F7C"/>
    <w:rsid w:val="00767563"/>
    <w:rsid w:val="00767734"/>
    <w:rsid w:val="00767AF2"/>
    <w:rsid w:val="00767DCF"/>
    <w:rsid w:val="007705DD"/>
    <w:rsid w:val="007715AC"/>
    <w:rsid w:val="007719AB"/>
    <w:rsid w:val="007724E3"/>
    <w:rsid w:val="00773952"/>
    <w:rsid w:val="00773C90"/>
    <w:rsid w:val="00773DF0"/>
    <w:rsid w:val="00773F02"/>
    <w:rsid w:val="007745DE"/>
    <w:rsid w:val="00774F84"/>
    <w:rsid w:val="00775FE1"/>
    <w:rsid w:val="00776E81"/>
    <w:rsid w:val="00776F8E"/>
    <w:rsid w:val="00777249"/>
    <w:rsid w:val="00777ADE"/>
    <w:rsid w:val="00777D71"/>
    <w:rsid w:val="007804C7"/>
    <w:rsid w:val="00780614"/>
    <w:rsid w:val="00780803"/>
    <w:rsid w:val="00780A71"/>
    <w:rsid w:val="0078159E"/>
    <w:rsid w:val="00781808"/>
    <w:rsid w:val="0078187A"/>
    <w:rsid w:val="007820CC"/>
    <w:rsid w:val="00782B51"/>
    <w:rsid w:val="00782B6A"/>
    <w:rsid w:val="00783785"/>
    <w:rsid w:val="007839C7"/>
    <w:rsid w:val="00785BEA"/>
    <w:rsid w:val="00785C4C"/>
    <w:rsid w:val="007861E1"/>
    <w:rsid w:val="00786565"/>
    <w:rsid w:val="00786CB1"/>
    <w:rsid w:val="00786D99"/>
    <w:rsid w:val="0078740E"/>
    <w:rsid w:val="007874C6"/>
    <w:rsid w:val="00787AC6"/>
    <w:rsid w:val="00787ADF"/>
    <w:rsid w:val="00787BBA"/>
    <w:rsid w:val="00787C86"/>
    <w:rsid w:val="00790475"/>
    <w:rsid w:val="007905E7"/>
    <w:rsid w:val="00791448"/>
    <w:rsid w:val="007915C3"/>
    <w:rsid w:val="00791941"/>
    <w:rsid w:val="00791A29"/>
    <w:rsid w:val="007920E4"/>
    <w:rsid w:val="0079280B"/>
    <w:rsid w:val="00793019"/>
    <w:rsid w:val="00793300"/>
    <w:rsid w:val="007935DE"/>
    <w:rsid w:val="00793C71"/>
    <w:rsid w:val="00794059"/>
    <w:rsid w:val="00794851"/>
    <w:rsid w:val="00794B76"/>
    <w:rsid w:val="0079591B"/>
    <w:rsid w:val="007962A3"/>
    <w:rsid w:val="0079699E"/>
    <w:rsid w:val="00796A33"/>
    <w:rsid w:val="00796F13"/>
    <w:rsid w:val="007A0401"/>
    <w:rsid w:val="007A0F52"/>
    <w:rsid w:val="007A136D"/>
    <w:rsid w:val="007A16C7"/>
    <w:rsid w:val="007A178A"/>
    <w:rsid w:val="007A2C43"/>
    <w:rsid w:val="007A34EC"/>
    <w:rsid w:val="007A39D9"/>
    <w:rsid w:val="007A3EFE"/>
    <w:rsid w:val="007A4A30"/>
    <w:rsid w:val="007A5087"/>
    <w:rsid w:val="007A5378"/>
    <w:rsid w:val="007A65CE"/>
    <w:rsid w:val="007A6F11"/>
    <w:rsid w:val="007A6F27"/>
    <w:rsid w:val="007A6F42"/>
    <w:rsid w:val="007A7521"/>
    <w:rsid w:val="007B073B"/>
    <w:rsid w:val="007B07A4"/>
    <w:rsid w:val="007B0A1B"/>
    <w:rsid w:val="007B0BAA"/>
    <w:rsid w:val="007B0FC1"/>
    <w:rsid w:val="007B1D43"/>
    <w:rsid w:val="007B2547"/>
    <w:rsid w:val="007B2E93"/>
    <w:rsid w:val="007B3E4C"/>
    <w:rsid w:val="007B4023"/>
    <w:rsid w:val="007B405C"/>
    <w:rsid w:val="007B4113"/>
    <w:rsid w:val="007B4AC5"/>
    <w:rsid w:val="007B4B4B"/>
    <w:rsid w:val="007B5031"/>
    <w:rsid w:val="007B5308"/>
    <w:rsid w:val="007B53DA"/>
    <w:rsid w:val="007B551A"/>
    <w:rsid w:val="007B5BE1"/>
    <w:rsid w:val="007B5D38"/>
    <w:rsid w:val="007B5D76"/>
    <w:rsid w:val="007B609F"/>
    <w:rsid w:val="007B674E"/>
    <w:rsid w:val="007B6A32"/>
    <w:rsid w:val="007B6AAE"/>
    <w:rsid w:val="007B7222"/>
    <w:rsid w:val="007B7362"/>
    <w:rsid w:val="007B7408"/>
    <w:rsid w:val="007B7AAF"/>
    <w:rsid w:val="007C05EB"/>
    <w:rsid w:val="007C0BCC"/>
    <w:rsid w:val="007C0E16"/>
    <w:rsid w:val="007C1118"/>
    <w:rsid w:val="007C2C1E"/>
    <w:rsid w:val="007C2F54"/>
    <w:rsid w:val="007C354C"/>
    <w:rsid w:val="007C3680"/>
    <w:rsid w:val="007C3822"/>
    <w:rsid w:val="007C382E"/>
    <w:rsid w:val="007C4929"/>
    <w:rsid w:val="007C4DCE"/>
    <w:rsid w:val="007C4EA0"/>
    <w:rsid w:val="007C5011"/>
    <w:rsid w:val="007C5F57"/>
    <w:rsid w:val="007C773F"/>
    <w:rsid w:val="007C7D18"/>
    <w:rsid w:val="007D0004"/>
    <w:rsid w:val="007D0E39"/>
    <w:rsid w:val="007D252C"/>
    <w:rsid w:val="007D26CA"/>
    <w:rsid w:val="007D280A"/>
    <w:rsid w:val="007D285B"/>
    <w:rsid w:val="007D3218"/>
    <w:rsid w:val="007D34E5"/>
    <w:rsid w:val="007D353F"/>
    <w:rsid w:val="007D37B4"/>
    <w:rsid w:val="007D3F63"/>
    <w:rsid w:val="007D45EC"/>
    <w:rsid w:val="007D4AD1"/>
    <w:rsid w:val="007D574D"/>
    <w:rsid w:val="007D57F9"/>
    <w:rsid w:val="007D728A"/>
    <w:rsid w:val="007D7E3F"/>
    <w:rsid w:val="007E05C4"/>
    <w:rsid w:val="007E095F"/>
    <w:rsid w:val="007E0EC2"/>
    <w:rsid w:val="007E13A5"/>
    <w:rsid w:val="007E19CE"/>
    <w:rsid w:val="007E20E4"/>
    <w:rsid w:val="007E2EAD"/>
    <w:rsid w:val="007E34A6"/>
    <w:rsid w:val="007E366F"/>
    <w:rsid w:val="007E3840"/>
    <w:rsid w:val="007E46C4"/>
    <w:rsid w:val="007E553D"/>
    <w:rsid w:val="007E6D01"/>
    <w:rsid w:val="007E6F9D"/>
    <w:rsid w:val="007E7EC6"/>
    <w:rsid w:val="007F0125"/>
    <w:rsid w:val="007F0FB7"/>
    <w:rsid w:val="007F15B4"/>
    <w:rsid w:val="007F16AE"/>
    <w:rsid w:val="007F1F4C"/>
    <w:rsid w:val="007F2C34"/>
    <w:rsid w:val="007F33F5"/>
    <w:rsid w:val="007F3419"/>
    <w:rsid w:val="007F3794"/>
    <w:rsid w:val="007F37E7"/>
    <w:rsid w:val="007F3982"/>
    <w:rsid w:val="007F4084"/>
    <w:rsid w:val="007F43BA"/>
    <w:rsid w:val="007F43ED"/>
    <w:rsid w:val="007F4785"/>
    <w:rsid w:val="007F537B"/>
    <w:rsid w:val="007F5651"/>
    <w:rsid w:val="007F6D4F"/>
    <w:rsid w:val="007F752C"/>
    <w:rsid w:val="007F7660"/>
    <w:rsid w:val="007F7CFE"/>
    <w:rsid w:val="00800171"/>
    <w:rsid w:val="00800838"/>
    <w:rsid w:val="00800B0F"/>
    <w:rsid w:val="00800DEF"/>
    <w:rsid w:val="0080141D"/>
    <w:rsid w:val="00802739"/>
    <w:rsid w:val="00802B53"/>
    <w:rsid w:val="00803536"/>
    <w:rsid w:val="008043FD"/>
    <w:rsid w:val="00804D4F"/>
    <w:rsid w:val="0080524A"/>
    <w:rsid w:val="00805DC7"/>
    <w:rsid w:val="00805E05"/>
    <w:rsid w:val="0080603A"/>
    <w:rsid w:val="008060FD"/>
    <w:rsid w:val="008063D0"/>
    <w:rsid w:val="00806597"/>
    <w:rsid w:val="008070AB"/>
    <w:rsid w:val="008100EC"/>
    <w:rsid w:val="0081021D"/>
    <w:rsid w:val="00810845"/>
    <w:rsid w:val="00810CC3"/>
    <w:rsid w:val="00810E1B"/>
    <w:rsid w:val="00810E72"/>
    <w:rsid w:val="00811992"/>
    <w:rsid w:val="00812422"/>
    <w:rsid w:val="00812BC8"/>
    <w:rsid w:val="00812ED2"/>
    <w:rsid w:val="0081344B"/>
    <w:rsid w:val="0081441C"/>
    <w:rsid w:val="00814C52"/>
    <w:rsid w:val="008163D9"/>
    <w:rsid w:val="00816840"/>
    <w:rsid w:val="00816AE4"/>
    <w:rsid w:val="00816AE6"/>
    <w:rsid w:val="00816DB8"/>
    <w:rsid w:val="00816F16"/>
    <w:rsid w:val="00817E2B"/>
    <w:rsid w:val="00820732"/>
    <w:rsid w:val="0082091D"/>
    <w:rsid w:val="00820E30"/>
    <w:rsid w:val="00821796"/>
    <w:rsid w:val="00821E4B"/>
    <w:rsid w:val="00822249"/>
    <w:rsid w:val="008229E9"/>
    <w:rsid w:val="00822EC4"/>
    <w:rsid w:val="00823D2C"/>
    <w:rsid w:val="008240EE"/>
    <w:rsid w:val="0082424E"/>
    <w:rsid w:val="00824271"/>
    <w:rsid w:val="00825134"/>
    <w:rsid w:val="0082519D"/>
    <w:rsid w:val="0082534D"/>
    <w:rsid w:val="00826210"/>
    <w:rsid w:val="0082670A"/>
    <w:rsid w:val="00826C26"/>
    <w:rsid w:val="008271A8"/>
    <w:rsid w:val="008276BB"/>
    <w:rsid w:val="008305C5"/>
    <w:rsid w:val="008309BF"/>
    <w:rsid w:val="00830BD9"/>
    <w:rsid w:val="00830EBD"/>
    <w:rsid w:val="00830FA5"/>
    <w:rsid w:val="00832B79"/>
    <w:rsid w:val="00832BFC"/>
    <w:rsid w:val="0083307A"/>
    <w:rsid w:val="00834B33"/>
    <w:rsid w:val="00834B59"/>
    <w:rsid w:val="00834BE9"/>
    <w:rsid w:val="00834C20"/>
    <w:rsid w:val="00834C87"/>
    <w:rsid w:val="008361A1"/>
    <w:rsid w:val="0083646D"/>
    <w:rsid w:val="008379F8"/>
    <w:rsid w:val="008401DA"/>
    <w:rsid w:val="00840442"/>
    <w:rsid w:val="008407D3"/>
    <w:rsid w:val="00840AFA"/>
    <w:rsid w:val="00841C64"/>
    <w:rsid w:val="00842B70"/>
    <w:rsid w:val="00842D51"/>
    <w:rsid w:val="008431B3"/>
    <w:rsid w:val="008433AA"/>
    <w:rsid w:val="008434D7"/>
    <w:rsid w:val="008439A9"/>
    <w:rsid w:val="00843C54"/>
    <w:rsid w:val="00844010"/>
    <w:rsid w:val="0084406A"/>
    <w:rsid w:val="00844189"/>
    <w:rsid w:val="0084442E"/>
    <w:rsid w:val="00844A6F"/>
    <w:rsid w:val="00844E28"/>
    <w:rsid w:val="00845817"/>
    <w:rsid w:val="008463D3"/>
    <w:rsid w:val="0084643B"/>
    <w:rsid w:val="00846496"/>
    <w:rsid w:val="008464AA"/>
    <w:rsid w:val="008469C2"/>
    <w:rsid w:val="00846A0D"/>
    <w:rsid w:val="00846E9C"/>
    <w:rsid w:val="00846EBA"/>
    <w:rsid w:val="00847665"/>
    <w:rsid w:val="00850300"/>
    <w:rsid w:val="00851217"/>
    <w:rsid w:val="00852144"/>
    <w:rsid w:val="0085245E"/>
    <w:rsid w:val="0085254D"/>
    <w:rsid w:val="00852994"/>
    <w:rsid w:val="00853581"/>
    <w:rsid w:val="008538A8"/>
    <w:rsid w:val="008538AC"/>
    <w:rsid w:val="00853A07"/>
    <w:rsid w:val="00853B7A"/>
    <w:rsid w:val="008548EA"/>
    <w:rsid w:val="00854DD5"/>
    <w:rsid w:val="00855DD6"/>
    <w:rsid w:val="00856341"/>
    <w:rsid w:val="0085677D"/>
    <w:rsid w:val="0085678E"/>
    <w:rsid w:val="008567CA"/>
    <w:rsid w:val="0085691E"/>
    <w:rsid w:val="00856E97"/>
    <w:rsid w:val="0085729D"/>
    <w:rsid w:val="008577FF"/>
    <w:rsid w:val="00857906"/>
    <w:rsid w:val="008602DF"/>
    <w:rsid w:val="0086061C"/>
    <w:rsid w:val="00861D45"/>
    <w:rsid w:val="00861D6F"/>
    <w:rsid w:val="008643FA"/>
    <w:rsid w:val="008650C6"/>
    <w:rsid w:val="0086568C"/>
    <w:rsid w:val="00865D51"/>
    <w:rsid w:val="00865E5C"/>
    <w:rsid w:val="0086603A"/>
    <w:rsid w:val="00866ED0"/>
    <w:rsid w:val="00866F0D"/>
    <w:rsid w:val="008708E4"/>
    <w:rsid w:val="00870CF9"/>
    <w:rsid w:val="00871230"/>
    <w:rsid w:val="00871569"/>
    <w:rsid w:val="00871991"/>
    <w:rsid w:val="00871E99"/>
    <w:rsid w:val="00872C91"/>
    <w:rsid w:val="008732F8"/>
    <w:rsid w:val="00873D7D"/>
    <w:rsid w:val="00874473"/>
    <w:rsid w:val="00874A80"/>
    <w:rsid w:val="00874F60"/>
    <w:rsid w:val="00875148"/>
    <w:rsid w:val="0087569A"/>
    <w:rsid w:val="00875FB3"/>
    <w:rsid w:val="0087620E"/>
    <w:rsid w:val="008779E9"/>
    <w:rsid w:val="00877B02"/>
    <w:rsid w:val="00880095"/>
    <w:rsid w:val="00880673"/>
    <w:rsid w:val="00880744"/>
    <w:rsid w:val="0088087D"/>
    <w:rsid w:val="00880EE4"/>
    <w:rsid w:val="00880FC7"/>
    <w:rsid w:val="00880FD2"/>
    <w:rsid w:val="00881068"/>
    <w:rsid w:val="008818B0"/>
    <w:rsid w:val="00882127"/>
    <w:rsid w:val="00882500"/>
    <w:rsid w:val="008835CC"/>
    <w:rsid w:val="00883D5F"/>
    <w:rsid w:val="008843AC"/>
    <w:rsid w:val="008844DB"/>
    <w:rsid w:val="0088453F"/>
    <w:rsid w:val="00884DC8"/>
    <w:rsid w:val="00884F9C"/>
    <w:rsid w:val="008853FC"/>
    <w:rsid w:val="00885ABE"/>
    <w:rsid w:val="00885B27"/>
    <w:rsid w:val="00885DA0"/>
    <w:rsid w:val="0088604A"/>
    <w:rsid w:val="008861D6"/>
    <w:rsid w:val="00886665"/>
    <w:rsid w:val="0088718E"/>
    <w:rsid w:val="008873F1"/>
    <w:rsid w:val="00890153"/>
    <w:rsid w:val="00890E8C"/>
    <w:rsid w:val="008917CB"/>
    <w:rsid w:val="008919C2"/>
    <w:rsid w:val="00891AAA"/>
    <w:rsid w:val="00891BAE"/>
    <w:rsid w:val="00892615"/>
    <w:rsid w:val="00892D5B"/>
    <w:rsid w:val="00894014"/>
    <w:rsid w:val="00894D5D"/>
    <w:rsid w:val="00896250"/>
    <w:rsid w:val="0089679E"/>
    <w:rsid w:val="008968CD"/>
    <w:rsid w:val="008A0C2D"/>
    <w:rsid w:val="008A2991"/>
    <w:rsid w:val="008A2DCC"/>
    <w:rsid w:val="008A32A2"/>
    <w:rsid w:val="008A3F03"/>
    <w:rsid w:val="008A3F4B"/>
    <w:rsid w:val="008A3FA7"/>
    <w:rsid w:val="008A4149"/>
    <w:rsid w:val="008A4396"/>
    <w:rsid w:val="008A4405"/>
    <w:rsid w:val="008A46EB"/>
    <w:rsid w:val="008A4A12"/>
    <w:rsid w:val="008A4AB6"/>
    <w:rsid w:val="008A4D49"/>
    <w:rsid w:val="008A535B"/>
    <w:rsid w:val="008A546D"/>
    <w:rsid w:val="008A70D3"/>
    <w:rsid w:val="008A7252"/>
    <w:rsid w:val="008A74F5"/>
    <w:rsid w:val="008B0544"/>
    <w:rsid w:val="008B0E53"/>
    <w:rsid w:val="008B15A5"/>
    <w:rsid w:val="008B2276"/>
    <w:rsid w:val="008B24FC"/>
    <w:rsid w:val="008B2969"/>
    <w:rsid w:val="008B2FF1"/>
    <w:rsid w:val="008B3C95"/>
    <w:rsid w:val="008B41DE"/>
    <w:rsid w:val="008B4264"/>
    <w:rsid w:val="008B5D26"/>
    <w:rsid w:val="008B5EBA"/>
    <w:rsid w:val="008B60BA"/>
    <w:rsid w:val="008B69A0"/>
    <w:rsid w:val="008B6AE1"/>
    <w:rsid w:val="008B7811"/>
    <w:rsid w:val="008B7F43"/>
    <w:rsid w:val="008B7F9E"/>
    <w:rsid w:val="008B7FA2"/>
    <w:rsid w:val="008C0536"/>
    <w:rsid w:val="008C0BE6"/>
    <w:rsid w:val="008C0F11"/>
    <w:rsid w:val="008C2301"/>
    <w:rsid w:val="008C2A5D"/>
    <w:rsid w:val="008C2C64"/>
    <w:rsid w:val="008C2DA5"/>
    <w:rsid w:val="008C320F"/>
    <w:rsid w:val="008C3E10"/>
    <w:rsid w:val="008C3F03"/>
    <w:rsid w:val="008C4701"/>
    <w:rsid w:val="008C48AD"/>
    <w:rsid w:val="008C4AFD"/>
    <w:rsid w:val="008C5240"/>
    <w:rsid w:val="008C5DA2"/>
    <w:rsid w:val="008C613E"/>
    <w:rsid w:val="008C6EEA"/>
    <w:rsid w:val="008C747A"/>
    <w:rsid w:val="008C7EE1"/>
    <w:rsid w:val="008D030D"/>
    <w:rsid w:val="008D1022"/>
    <w:rsid w:val="008D16AC"/>
    <w:rsid w:val="008D1C03"/>
    <w:rsid w:val="008D1C0E"/>
    <w:rsid w:val="008D1DF1"/>
    <w:rsid w:val="008D22A8"/>
    <w:rsid w:val="008D354D"/>
    <w:rsid w:val="008D380F"/>
    <w:rsid w:val="008D3D60"/>
    <w:rsid w:val="008D4644"/>
    <w:rsid w:val="008D4CFB"/>
    <w:rsid w:val="008D4EFF"/>
    <w:rsid w:val="008D5639"/>
    <w:rsid w:val="008D5C7E"/>
    <w:rsid w:val="008D6003"/>
    <w:rsid w:val="008D68FF"/>
    <w:rsid w:val="008D724E"/>
    <w:rsid w:val="008D75F6"/>
    <w:rsid w:val="008D77DD"/>
    <w:rsid w:val="008D7802"/>
    <w:rsid w:val="008D79AD"/>
    <w:rsid w:val="008D7CAD"/>
    <w:rsid w:val="008D7CE3"/>
    <w:rsid w:val="008D7EDA"/>
    <w:rsid w:val="008E0052"/>
    <w:rsid w:val="008E0A69"/>
    <w:rsid w:val="008E118F"/>
    <w:rsid w:val="008E2C4B"/>
    <w:rsid w:val="008E2E93"/>
    <w:rsid w:val="008E36BE"/>
    <w:rsid w:val="008E4B29"/>
    <w:rsid w:val="008E60BE"/>
    <w:rsid w:val="008E6A2C"/>
    <w:rsid w:val="008E70C9"/>
    <w:rsid w:val="008F11D8"/>
    <w:rsid w:val="008F17DA"/>
    <w:rsid w:val="008F1BE6"/>
    <w:rsid w:val="008F1F83"/>
    <w:rsid w:val="008F2190"/>
    <w:rsid w:val="008F3049"/>
    <w:rsid w:val="008F3BBA"/>
    <w:rsid w:val="008F3DAF"/>
    <w:rsid w:val="008F421C"/>
    <w:rsid w:val="008F5408"/>
    <w:rsid w:val="008F5549"/>
    <w:rsid w:val="008F5680"/>
    <w:rsid w:val="008F5B09"/>
    <w:rsid w:val="008F5CC2"/>
    <w:rsid w:val="008F650F"/>
    <w:rsid w:val="008F6E66"/>
    <w:rsid w:val="008F79AC"/>
    <w:rsid w:val="009006B8"/>
    <w:rsid w:val="00900719"/>
    <w:rsid w:val="00900B12"/>
    <w:rsid w:val="00900BAC"/>
    <w:rsid w:val="00902744"/>
    <w:rsid w:val="00902CF3"/>
    <w:rsid w:val="00902E2E"/>
    <w:rsid w:val="009030B4"/>
    <w:rsid w:val="00903964"/>
    <w:rsid w:val="00903B1B"/>
    <w:rsid w:val="00905AFF"/>
    <w:rsid w:val="00905CB6"/>
    <w:rsid w:val="00906D11"/>
    <w:rsid w:val="00906E90"/>
    <w:rsid w:val="009072DF"/>
    <w:rsid w:val="00907332"/>
    <w:rsid w:val="009079B7"/>
    <w:rsid w:val="009079E1"/>
    <w:rsid w:val="00910356"/>
    <w:rsid w:val="00910EB7"/>
    <w:rsid w:val="00910FE4"/>
    <w:rsid w:val="0091113B"/>
    <w:rsid w:val="009112C5"/>
    <w:rsid w:val="00911693"/>
    <w:rsid w:val="00911CC9"/>
    <w:rsid w:val="00911EA1"/>
    <w:rsid w:val="00912773"/>
    <w:rsid w:val="00912A5A"/>
    <w:rsid w:val="0091343C"/>
    <w:rsid w:val="00913A4D"/>
    <w:rsid w:val="00913C96"/>
    <w:rsid w:val="00913D26"/>
    <w:rsid w:val="00914810"/>
    <w:rsid w:val="009148EB"/>
    <w:rsid w:val="00914D14"/>
    <w:rsid w:val="00916690"/>
    <w:rsid w:val="0091695F"/>
    <w:rsid w:val="00916AB5"/>
    <w:rsid w:val="00916CEA"/>
    <w:rsid w:val="00920A9A"/>
    <w:rsid w:val="00920BCA"/>
    <w:rsid w:val="00920F13"/>
    <w:rsid w:val="0092327E"/>
    <w:rsid w:val="009235F1"/>
    <w:rsid w:val="00923C97"/>
    <w:rsid w:val="00924BF4"/>
    <w:rsid w:val="00925271"/>
    <w:rsid w:val="009254C5"/>
    <w:rsid w:val="00926428"/>
    <w:rsid w:val="00926EED"/>
    <w:rsid w:val="009273E8"/>
    <w:rsid w:val="00927CC2"/>
    <w:rsid w:val="009305A7"/>
    <w:rsid w:val="00930C71"/>
    <w:rsid w:val="009318E4"/>
    <w:rsid w:val="00931DF5"/>
    <w:rsid w:val="00932BAF"/>
    <w:rsid w:val="00932DF6"/>
    <w:rsid w:val="00933532"/>
    <w:rsid w:val="00934141"/>
    <w:rsid w:val="00934426"/>
    <w:rsid w:val="00935398"/>
    <w:rsid w:val="009366C2"/>
    <w:rsid w:val="00936F5C"/>
    <w:rsid w:val="00937E52"/>
    <w:rsid w:val="009403AC"/>
    <w:rsid w:val="00940CB6"/>
    <w:rsid w:val="00941145"/>
    <w:rsid w:val="00941AFF"/>
    <w:rsid w:val="00943136"/>
    <w:rsid w:val="009431DF"/>
    <w:rsid w:val="009434B8"/>
    <w:rsid w:val="0094372E"/>
    <w:rsid w:val="00943F7A"/>
    <w:rsid w:val="00944A9E"/>
    <w:rsid w:val="009451FF"/>
    <w:rsid w:val="0094522B"/>
    <w:rsid w:val="009452A8"/>
    <w:rsid w:val="00945830"/>
    <w:rsid w:val="009463D2"/>
    <w:rsid w:val="00946523"/>
    <w:rsid w:val="00946551"/>
    <w:rsid w:val="0094747A"/>
    <w:rsid w:val="009475C1"/>
    <w:rsid w:val="00947DC9"/>
    <w:rsid w:val="00947F53"/>
    <w:rsid w:val="00950A93"/>
    <w:rsid w:val="00952419"/>
    <w:rsid w:val="00952BE6"/>
    <w:rsid w:val="00954346"/>
    <w:rsid w:val="00954B26"/>
    <w:rsid w:val="00955225"/>
    <w:rsid w:val="009554C7"/>
    <w:rsid w:val="00955BA9"/>
    <w:rsid w:val="00956EAB"/>
    <w:rsid w:val="00957335"/>
    <w:rsid w:val="00960A86"/>
    <w:rsid w:val="00960BFB"/>
    <w:rsid w:val="00960EC8"/>
    <w:rsid w:val="00961180"/>
    <w:rsid w:val="0096122C"/>
    <w:rsid w:val="00962569"/>
    <w:rsid w:val="0096287F"/>
    <w:rsid w:val="00963421"/>
    <w:rsid w:val="009637A0"/>
    <w:rsid w:val="00963CA2"/>
    <w:rsid w:val="00964691"/>
    <w:rsid w:val="00964774"/>
    <w:rsid w:val="00965166"/>
    <w:rsid w:val="0096597B"/>
    <w:rsid w:val="00965EB7"/>
    <w:rsid w:val="009667F8"/>
    <w:rsid w:val="0096698C"/>
    <w:rsid w:val="00967662"/>
    <w:rsid w:val="00967DCB"/>
    <w:rsid w:val="00967F09"/>
    <w:rsid w:val="00970070"/>
    <w:rsid w:val="0097045C"/>
    <w:rsid w:val="00970AD5"/>
    <w:rsid w:val="009714BA"/>
    <w:rsid w:val="00972727"/>
    <w:rsid w:val="00972C82"/>
    <w:rsid w:val="00973343"/>
    <w:rsid w:val="009736DE"/>
    <w:rsid w:val="00973C44"/>
    <w:rsid w:val="00973DEC"/>
    <w:rsid w:val="009750CA"/>
    <w:rsid w:val="00975868"/>
    <w:rsid w:val="00976135"/>
    <w:rsid w:val="0097617A"/>
    <w:rsid w:val="00976263"/>
    <w:rsid w:val="00977B99"/>
    <w:rsid w:val="00977BB9"/>
    <w:rsid w:val="00980103"/>
    <w:rsid w:val="009802DD"/>
    <w:rsid w:val="00981E5A"/>
    <w:rsid w:val="00982144"/>
    <w:rsid w:val="009823FE"/>
    <w:rsid w:val="0098298B"/>
    <w:rsid w:val="00982CC6"/>
    <w:rsid w:val="00982FAE"/>
    <w:rsid w:val="009832BD"/>
    <w:rsid w:val="0098386C"/>
    <w:rsid w:val="00983A9A"/>
    <w:rsid w:val="00985E7B"/>
    <w:rsid w:val="009863B8"/>
    <w:rsid w:val="00986961"/>
    <w:rsid w:val="0098759F"/>
    <w:rsid w:val="00987C58"/>
    <w:rsid w:val="00990EDD"/>
    <w:rsid w:val="009913EB"/>
    <w:rsid w:val="0099163D"/>
    <w:rsid w:val="00991DAE"/>
    <w:rsid w:val="00992980"/>
    <w:rsid w:val="00992A08"/>
    <w:rsid w:val="00993131"/>
    <w:rsid w:val="0099399B"/>
    <w:rsid w:val="00993FFC"/>
    <w:rsid w:val="00994240"/>
    <w:rsid w:val="00994458"/>
    <w:rsid w:val="00994548"/>
    <w:rsid w:val="00995B30"/>
    <w:rsid w:val="00995E1E"/>
    <w:rsid w:val="009960D2"/>
    <w:rsid w:val="009965A7"/>
    <w:rsid w:val="00996C49"/>
    <w:rsid w:val="0099701C"/>
    <w:rsid w:val="00997139"/>
    <w:rsid w:val="00997599"/>
    <w:rsid w:val="009978E8"/>
    <w:rsid w:val="00997A77"/>
    <w:rsid w:val="00997CC5"/>
    <w:rsid w:val="00997DF1"/>
    <w:rsid w:val="009A05E9"/>
    <w:rsid w:val="009A073A"/>
    <w:rsid w:val="009A0A4B"/>
    <w:rsid w:val="009A0F20"/>
    <w:rsid w:val="009A1255"/>
    <w:rsid w:val="009A143F"/>
    <w:rsid w:val="009A1571"/>
    <w:rsid w:val="009A18AE"/>
    <w:rsid w:val="009A2A98"/>
    <w:rsid w:val="009A349F"/>
    <w:rsid w:val="009A34A6"/>
    <w:rsid w:val="009A3711"/>
    <w:rsid w:val="009A3FC0"/>
    <w:rsid w:val="009A4299"/>
    <w:rsid w:val="009A42CE"/>
    <w:rsid w:val="009A44DE"/>
    <w:rsid w:val="009A4A7B"/>
    <w:rsid w:val="009A4D97"/>
    <w:rsid w:val="009A4F6A"/>
    <w:rsid w:val="009A5D4B"/>
    <w:rsid w:val="009A632B"/>
    <w:rsid w:val="009A6463"/>
    <w:rsid w:val="009A6CE3"/>
    <w:rsid w:val="009A7177"/>
    <w:rsid w:val="009A76FC"/>
    <w:rsid w:val="009A7E17"/>
    <w:rsid w:val="009B0B50"/>
    <w:rsid w:val="009B0CC6"/>
    <w:rsid w:val="009B1845"/>
    <w:rsid w:val="009B2F71"/>
    <w:rsid w:val="009B3872"/>
    <w:rsid w:val="009B3A11"/>
    <w:rsid w:val="009B45A3"/>
    <w:rsid w:val="009B4615"/>
    <w:rsid w:val="009B47A4"/>
    <w:rsid w:val="009B4F05"/>
    <w:rsid w:val="009B60C3"/>
    <w:rsid w:val="009B641D"/>
    <w:rsid w:val="009B6728"/>
    <w:rsid w:val="009B6859"/>
    <w:rsid w:val="009B6B26"/>
    <w:rsid w:val="009B7673"/>
    <w:rsid w:val="009C13E1"/>
    <w:rsid w:val="009C1BFD"/>
    <w:rsid w:val="009C26B8"/>
    <w:rsid w:val="009C2B3C"/>
    <w:rsid w:val="009C2E4B"/>
    <w:rsid w:val="009C3034"/>
    <w:rsid w:val="009C3F67"/>
    <w:rsid w:val="009C3FFB"/>
    <w:rsid w:val="009C43C0"/>
    <w:rsid w:val="009C4B65"/>
    <w:rsid w:val="009C4C99"/>
    <w:rsid w:val="009C545D"/>
    <w:rsid w:val="009C5A04"/>
    <w:rsid w:val="009C5BD5"/>
    <w:rsid w:val="009C5ECC"/>
    <w:rsid w:val="009C5F50"/>
    <w:rsid w:val="009C6438"/>
    <w:rsid w:val="009C6501"/>
    <w:rsid w:val="009C6A25"/>
    <w:rsid w:val="009C6BC4"/>
    <w:rsid w:val="009C6FAA"/>
    <w:rsid w:val="009C701C"/>
    <w:rsid w:val="009C7241"/>
    <w:rsid w:val="009C75E1"/>
    <w:rsid w:val="009C7FAA"/>
    <w:rsid w:val="009D018F"/>
    <w:rsid w:val="009D0565"/>
    <w:rsid w:val="009D091D"/>
    <w:rsid w:val="009D1475"/>
    <w:rsid w:val="009D18E0"/>
    <w:rsid w:val="009D1BCF"/>
    <w:rsid w:val="009D1BEE"/>
    <w:rsid w:val="009D1CE2"/>
    <w:rsid w:val="009D1F64"/>
    <w:rsid w:val="009D24F4"/>
    <w:rsid w:val="009D2CE3"/>
    <w:rsid w:val="009D2D66"/>
    <w:rsid w:val="009D3643"/>
    <w:rsid w:val="009D3889"/>
    <w:rsid w:val="009D4784"/>
    <w:rsid w:val="009D556C"/>
    <w:rsid w:val="009D646D"/>
    <w:rsid w:val="009D66DD"/>
    <w:rsid w:val="009D66EF"/>
    <w:rsid w:val="009D6759"/>
    <w:rsid w:val="009D67F6"/>
    <w:rsid w:val="009D6D6C"/>
    <w:rsid w:val="009D7915"/>
    <w:rsid w:val="009D7B5B"/>
    <w:rsid w:val="009D7CBF"/>
    <w:rsid w:val="009E029F"/>
    <w:rsid w:val="009E0367"/>
    <w:rsid w:val="009E065C"/>
    <w:rsid w:val="009E1A74"/>
    <w:rsid w:val="009E304E"/>
    <w:rsid w:val="009E3668"/>
    <w:rsid w:val="009E3A8A"/>
    <w:rsid w:val="009E3C37"/>
    <w:rsid w:val="009E3CB4"/>
    <w:rsid w:val="009E3D1D"/>
    <w:rsid w:val="009E4103"/>
    <w:rsid w:val="009E47B7"/>
    <w:rsid w:val="009E4891"/>
    <w:rsid w:val="009E4E37"/>
    <w:rsid w:val="009E54CC"/>
    <w:rsid w:val="009E57A5"/>
    <w:rsid w:val="009E6663"/>
    <w:rsid w:val="009E6C51"/>
    <w:rsid w:val="009E73FC"/>
    <w:rsid w:val="009E747A"/>
    <w:rsid w:val="009E7C3D"/>
    <w:rsid w:val="009F0018"/>
    <w:rsid w:val="009F0767"/>
    <w:rsid w:val="009F0F4C"/>
    <w:rsid w:val="009F109F"/>
    <w:rsid w:val="009F1B17"/>
    <w:rsid w:val="009F2240"/>
    <w:rsid w:val="009F257C"/>
    <w:rsid w:val="009F2582"/>
    <w:rsid w:val="009F2D3C"/>
    <w:rsid w:val="009F34E0"/>
    <w:rsid w:val="009F3749"/>
    <w:rsid w:val="009F4244"/>
    <w:rsid w:val="009F52DB"/>
    <w:rsid w:val="009F5719"/>
    <w:rsid w:val="009F5B3A"/>
    <w:rsid w:val="009F60AC"/>
    <w:rsid w:val="009F61D1"/>
    <w:rsid w:val="009F6B93"/>
    <w:rsid w:val="009F6C8B"/>
    <w:rsid w:val="009F7B87"/>
    <w:rsid w:val="009F7B97"/>
    <w:rsid w:val="00A008DE"/>
    <w:rsid w:val="00A00ADB"/>
    <w:rsid w:val="00A00BDA"/>
    <w:rsid w:val="00A01165"/>
    <w:rsid w:val="00A034DF"/>
    <w:rsid w:val="00A035B0"/>
    <w:rsid w:val="00A035FD"/>
    <w:rsid w:val="00A03DC3"/>
    <w:rsid w:val="00A03E06"/>
    <w:rsid w:val="00A03E20"/>
    <w:rsid w:val="00A047A9"/>
    <w:rsid w:val="00A04BE2"/>
    <w:rsid w:val="00A04FB5"/>
    <w:rsid w:val="00A05095"/>
    <w:rsid w:val="00A056D4"/>
    <w:rsid w:val="00A05799"/>
    <w:rsid w:val="00A05AF0"/>
    <w:rsid w:val="00A06F2A"/>
    <w:rsid w:val="00A077E4"/>
    <w:rsid w:val="00A07E10"/>
    <w:rsid w:val="00A10109"/>
    <w:rsid w:val="00A11422"/>
    <w:rsid w:val="00A11595"/>
    <w:rsid w:val="00A11599"/>
    <w:rsid w:val="00A11F45"/>
    <w:rsid w:val="00A11F54"/>
    <w:rsid w:val="00A1230C"/>
    <w:rsid w:val="00A124D7"/>
    <w:rsid w:val="00A128F8"/>
    <w:rsid w:val="00A12BB5"/>
    <w:rsid w:val="00A12D34"/>
    <w:rsid w:val="00A12F8F"/>
    <w:rsid w:val="00A13318"/>
    <w:rsid w:val="00A149FA"/>
    <w:rsid w:val="00A14B74"/>
    <w:rsid w:val="00A1568C"/>
    <w:rsid w:val="00A16695"/>
    <w:rsid w:val="00A16CA4"/>
    <w:rsid w:val="00A16D00"/>
    <w:rsid w:val="00A16F2B"/>
    <w:rsid w:val="00A20747"/>
    <w:rsid w:val="00A229B6"/>
    <w:rsid w:val="00A229D1"/>
    <w:rsid w:val="00A22B68"/>
    <w:rsid w:val="00A22C39"/>
    <w:rsid w:val="00A238AE"/>
    <w:rsid w:val="00A24869"/>
    <w:rsid w:val="00A250CA"/>
    <w:rsid w:val="00A251AE"/>
    <w:rsid w:val="00A25602"/>
    <w:rsid w:val="00A25D60"/>
    <w:rsid w:val="00A25DCA"/>
    <w:rsid w:val="00A269A9"/>
    <w:rsid w:val="00A26C0E"/>
    <w:rsid w:val="00A27779"/>
    <w:rsid w:val="00A277EA"/>
    <w:rsid w:val="00A30BE8"/>
    <w:rsid w:val="00A30D9F"/>
    <w:rsid w:val="00A30F1A"/>
    <w:rsid w:val="00A31036"/>
    <w:rsid w:val="00A31146"/>
    <w:rsid w:val="00A3120D"/>
    <w:rsid w:val="00A31DE3"/>
    <w:rsid w:val="00A32845"/>
    <w:rsid w:val="00A32C43"/>
    <w:rsid w:val="00A33001"/>
    <w:rsid w:val="00A331D2"/>
    <w:rsid w:val="00A33274"/>
    <w:rsid w:val="00A343EF"/>
    <w:rsid w:val="00A35352"/>
    <w:rsid w:val="00A35551"/>
    <w:rsid w:val="00A35F67"/>
    <w:rsid w:val="00A360DE"/>
    <w:rsid w:val="00A36514"/>
    <w:rsid w:val="00A374FB"/>
    <w:rsid w:val="00A37507"/>
    <w:rsid w:val="00A37A5A"/>
    <w:rsid w:val="00A3A110"/>
    <w:rsid w:val="00A4198F"/>
    <w:rsid w:val="00A419EF"/>
    <w:rsid w:val="00A42293"/>
    <w:rsid w:val="00A4248C"/>
    <w:rsid w:val="00A4291E"/>
    <w:rsid w:val="00A436D9"/>
    <w:rsid w:val="00A44298"/>
    <w:rsid w:val="00A4443F"/>
    <w:rsid w:val="00A4462F"/>
    <w:rsid w:val="00A449B1"/>
    <w:rsid w:val="00A44EA0"/>
    <w:rsid w:val="00A45470"/>
    <w:rsid w:val="00A461E5"/>
    <w:rsid w:val="00A46920"/>
    <w:rsid w:val="00A50BD0"/>
    <w:rsid w:val="00A51CBB"/>
    <w:rsid w:val="00A52437"/>
    <w:rsid w:val="00A527C4"/>
    <w:rsid w:val="00A54656"/>
    <w:rsid w:val="00A54A46"/>
    <w:rsid w:val="00A553BE"/>
    <w:rsid w:val="00A553D9"/>
    <w:rsid w:val="00A55843"/>
    <w:rsid w:val="00A55AE8"/>
    <w:rsid w:val="00A55BBA"/>
    <w:rsid w:val="00A5629A"/>
    <w:rsid w:val="00A56456"/>
    <w:rsid w:val="00A56A13"/>
    <w:rsid w:val="00A57671"/>
    <w:rsid w:val="00A57D0C"/>
    <w:rsid w:val="00A60014"/>
    <w:rsid w:val="00A60393"/>
    <w:rsid w:val="00A606AA"/>
    <w:rsid w:val="00A606AB"/>
    <w:rsid w:val="00A60B44"/>
    <w:rsid w:val="00A61815"/>
    <w:rsid w:val="00A61C99"/>
    <w:rsid w:val="00A61DB7"/>
    <w:rsid w:val="00A62030"/>
    <w:rsid w:val="00A62128"/>
    <w:rsid w:val="00A62187"/>
    <w:rsid w:val="00A62587"/>
    <w:rsid w:val="00A62F50"/>
    <w:rsid w:val="00A64017"/>
    <w:rsid w:val="00A654FA"/>
    <w:rsid w:val="00A657E6"/>
    <w:rsid w:val="00A65A8A"/>
    <w:rsid w:val="00A65AAA"/>
    <w:rsid w:val="00A66D67"/>
    <w:rsid w:val="00A66F82"/>
    <w:rsid w:val="00A67538"/>
    <w:rsid w:val="00A704C7"/>
    <w:rsid w:val="00A70582"/>
    <w:rsid w:val="00A706C0"/>
    <w:rsid w:val="00A708F2"/>
    <w:rsid w:val="00A70B03"/>
    <w:rsid w:val="00A70C3A"/>
    <w:rsid w:val="00A712C9"/>
    <w:rsid w:val="00A71A39"/>
    <w:rsid w:val="00A71A8C"/>
    <w:rsid w:val="00A71CE6"/>
    <w:rsid w:val="00A72268"/>
    <w:rsid w:val="00A72EBA"/>
    <w:rsid w:val="00A73514"/>
    <w:rsid w:val="00A7373E"/>
    <w:rsid w:val="00A740DF"/>
    <w:rsid w:val="00A75CE2"/>
    <w:rsid w:val="00A802D1"/>
    <w:rsid w:val="00A80674"/>
    <w:rsid w:val="00A81608"/>
    <w:rsid w:val="00A81993"/>
    <w:rsid w:val="00A8275D"/>
    <w:rsid w:val="00A82C35"/>
    <w:rsid w:val="00A8381D"/>
    <w:rsid w:val="00A84A98"/>
    <w:rsid w:val="00A853E0"/>
    <w:rsid w:val="00A856AA"/>
    <w:rsid w:val="00A85875"/>
    <w:rsid w:val="00A85AD8"/>
    <w:rsid w:val="00A86135"/>
    <w:rsid w:val="00A8696D"/>
    <w:rsid w:val="00A86BBF"/>
    <w:rsid w:val="00A87468"/>
    <w:rsid w:val="00A8791A"/>
    <w:rsid w:val="00A9036C"/>
    <w:rsid w:val="00A90ED2"/>
    <w:rsid w:val="00A911AC"/>
    <w:rsid w:val="00A91AB4"/>
    <w:rsid w:val="00A920A8"/>
    <w:rsid w:val="00A92862"/>
    <w:rsid w:val="00A92CCD"/>
    <w:rsid w:val="00A92DED"/>
    <w:rsid w:val="00A92E8B"/>
    <w:rsid w:val="00A93208"/>
    <w:rsid w:val="00A94038"/>
    <w:rsid w:val="00A9484B"/>
    <w:rsid w:val="00A9484F"/>
    <w:rsid w:val="00A94E1C"/>
    <w:rsid w:val="00A9500F"/>
    <w:rsid w:val="00A95231"/>
    <w:rsid w:val="00A95B19"/>
    <w:rsid w:val="00A95BCD"/>
    <w:rsid w:val="00A9783E"/>
    <w:rsid w:val="00A97917"/>
    <w:rsid w:val="00A97A76"/>
    <w:rsid w:val="00AA09E3"/>
    <w:rsid w:val="00AA0B12"/>
    <w:rsid w:val="00AA1401"/>
    <w:rsid w:val="00AA2635"/>
    <w:rsid w:val="00AA2757"/>
    <w:rsid w:val="00AA2C2D"/>
    <w:rsid w:val="00AA3077"/>
    <w:rsid w:val="00AA3D84"/>
    <w:rsid w:val="00AA3EBE"/>
    <w:rsid w:val="00AA467F"/>
    <w:rsid w:val="00AA4A64"/>
    <w:rsid w:val="00AA4EC5"/>
    <w:rsid w:val="00AA4FDD"/>
    <w:rsid w:val="00AA5377"/>
    <w:rsid w:val="00AA5A9C"/>
    <w:rsid w:val="00AA6D19"/>
    <w:rsid w:val="00AB0D07"/>
    <w:rsid w:val="00AB0ECE"/>
    <w:rsid w:val="00AB1356"/>
    <w:rsid w:val="00AB1989"/>
    <w:rsid w:val="00AB1AA4"/>
    <w:rsid w:val="00AB1B89"/>
    <w:rsid w:val="00AB1CC8"/>
    <w:rsid w:val="00AB1D39"/>
    <w:rsid w:val="00AB24A3"/>
    <w:rsid w:val="00AB42BF"/>
    <w:rsid w:val="00AB443D"/>
    <w:rsid w:val="00AB4490"/>
    <w:rsid w:val="00AB501F"/>
    <w:rsid w:val="00AB5B8A"/>
    <w:rsid w:val="00AB5BB3"/>
    <w:rsid w:val="00AB6100"/>
    <w:rsid w:val="00AB6367"/>
    <w:rsid w:val="00AB75C4"/>
    <w:rsid w:val="00AB7D96"/>
    <w:rsid w:val="00AC06B9"/>
    <w:rsid w:val="00AC0A27"/>
    <w:rsid w:val="00AC0A34"/>
    <w:rsid w:val="00AC0E9C"/>
    <w:rsid w:val="00AC1550"/>
    <w:rsid w:val="00AC29FD"/>
    <w:rsid w:val="00AC2B39"/>
    <w:rsid w:val="00AC3227"/>
    <w:rsid w:val="00AC3B21"/>
    <w:rsid w:val="00AC3F63"/>
    <w:rsid w:val="00AC4374"/>
    <w:rsid w:val="00AC4405"/>
    <w:rsid w:val="00AC4A1D"/>
    <w:rsid w:val="00AC5D30"/>
    <w:rsid w:val="00AC6B42"/>
    <w:rsid w:val="00AC730C"/>
    <w:rsid w:val="00AC7782"/>
    <w:rsid w:val="00AC78A5"/>
    <w:rsid w:val="00AD0024"/>
    <w:rsid w:val="00AD146E"/>
    <w:rsid w:val="00AD1CFD"/>
    <w:rsid w:val="00AD1EE9"/>
    <w:rsid w:val="00AD1EF7"/>
    <w:rsid w:val="00AD2BC9"/>
    <w:rsid w:val="00AD3027"/>
    <w:rsid w:val="00AD31B6"/>
    <w:rsid w:val="00AD33A4"/>
    <w:rsid w:val="00AD3CB3"/>
    <w:rsid w:val="00AD3FF6"/>
    <w:rsid w:val="00AD4EFE"/>
    <w:rsid w:val="00AD5417"/>
    <w:rsid w:val="00AD5D92"/>
    <w:rsid w:val="00AD6035"/>
    <w:rsid w:val="00AD64F1"/>
    <w:rsid w:val="00AD6C58"/>
    <w:rsid w:val="00AD6D93"/>
    <w:rsid w:val="00AD794E"/>
    <w:rsid w:val="00AD7BE6"/>
    <w:rsid w:val="00AD7CCB"/>
    <w:rsid w:val="00AE05CC"/>
    <w:rsid w:val="00AE0DA4"/>
    <w:rsid w:val="00AE11E6"/>
    <w:rsid w:val="00AE12DF"/>
    <w:rsid w:val="00AE16AE"/>
    <w:rsid w:val="00AE1E3A"/>
    <w:rsid w:val="00AE206F"/>
    <w:rsid w:val="00AE2642"/>
    <w:rsid w:val="00AE2659"/>
    <w:rsid w:val="00AE366A"/>
    <w:rsid w:val="00AE3954"/>
    <w:rsid w:val="00AE466F"/>
    <w:rsid w:val="00AE4A95"/>
    <w:rsid w:val="00AE4B76"/>
    <w:rsid w:val="00AE4CFE"/>
    <w:rsid w:val="00AE52D2"/>
    <w:rsid w:val="00AE536D"/>
    <w:rsid w:val="00AE5BCE"/>
    <w:rsid w:val="00AE6965"/>
    <w:rsid w:val="00AE6CB7"/>
    <w:rsid w:val="00AE7558"/>
    <w:rsid w:val="00AF0864"/>
    <w:rsid w:val="00AF0E6B"/>
    <w:rsid w:val="00AF1CF9"/>
    <w:rsid w:val="00AF202A"/>
    <w:rsid w:val="00AF21FD"/>
    <w:rsid w:val="00AF23E6"/>
    <w:rsid w:val="00AF2A6B"/>
    <w:rsid w:val="00AF2F31"/>
    <w:rsid w:val="00AF327E"/>
    <w:rsid w:val="00AF33DF"/>
    <w:rsid w:val="00AF4852"/>
    <w:rsid w:val="00AF4A47"/>
    <w:rsid w:val="00AF4DD5"/>
    <w:rsid w:val="00AF4E17"/>
    <w:rsid w:val="00AF5606"/>
    <w:rsid w:val="00AF5776"/>
    <w:rsid w:val="00AF5B7F"/>
    <w:rsid w:val="00AF6183"/>
    <w:rsid w:val="00AF618D"/>
    <w:rsid w:val="00AF62DD"/>
    <w:rsid w:val="00AF6713"/>
    <w:rsid w:val="00AF700B"/>
    <w:rsid w:val="00AF7326"/>
    <w:rsid w:val="00AF7C76"/>
    <w:rsid w:val="00B00A5B"/>
    <w:rsid w:val="00B00E19"/>
    <w:rsid w:val="00B00F0D"/>
    <w:rsid w:val="00B015C7"/>
    <w:rsid w:val="00B024B2"/>
    <w:rsid w:val="00B03485"/>
    <w:rsid w:val="00B03FEC"/>
    <w:rsid w:val="00B049DC"/>
    <w:rsid w:val="00B05CA0"/>
    <w:rsid w:val="00B05F47"/>
    <w:rsid w:val="00B062FE"/>
    <w:rsid w:val="00B064AC"/>
    <w:rsid w:val="00B065E1"/>
    <w:rsid w:val="00B068F5"/>
    <w:rsid w:val="00B10AA2"/>
    <w:rsid w:val="00B113EC"/>
    <w:rsid w:val="00B124EC"/>
    <w:rsid w:val="00B12ECA"/>
    <w:rsid w:val="00B13E1C"/>
    <w:rsid w:val="00B1456B"/>
    <w:rsid w:val="00B1491F"/>
    <w:rsid w:val="00B14F18"/>
    <w:rsid w:val="00B1500B"/>
    <w:rsid w:val="00B154CC"/>
    <w:rsid w:val="00B15ED8"/>
    <w:rsid w:val="00B16214"/>
    <w:rsid w:val="00B17B14"/>
    <w:rsid w:val="00B17E30"/>
    <w:rsid w:val="00B20623"/>
    <w:rsid w:val="00B21230"/>
    <w:rsid w:val="00B2123D"/>
    <w:rsid w:val="00B2179C"/>
    <w:rsid w:val="00B22524"/>
    <w:rsid w:val="00B2272C"/>
    <w:rsid w:val="00B2357E"/>
    <w:rsid w:val="00B239A6"/>
    <w:rsid w:val="00B239CE"/>
    <w:rsid w:val="00B23DE7"/>
    <w:rsid w:val="00B24356"/>
    <w:rsid w:val="00B247FA"/>
    <w:rsid w:val="00B24955"/>
    <w:rsid w:val="00B249D6"/>
    <w:rsid w:val="00B2662F"/>
    <w:rsid w:val="00B26B6E"/>
    <w:rsid w:val="00B27185"/>
    <w:rsid w:val="00B27282"/>
    <w:rsid w:val="00B2733E"/>
    <w:rsid w:val="00B27717"/>
    <w:rsid w:val="00B27890"/>
    <w:rsid w:val="00B317E6"/>
    <w:rsid w:val="00B319EF"/>
    <w:rsid w:val="00B31B43"/>
    <w:rsid w:val="00B31E4C"/>
    <w:rsid w:val="00B33934"/>
    <w:rsid w:val="00B33BDA"/>
    <w:rsid w:val="00B33E12"/>
    <w:rsid w:val="00B359FB"/>
    <w:rsid w:val="00B35B75"/>
    <w:rsid w:val="00B36561"/>
    <w:rsid w:val="00B36B55"/>
    <w:rsid w:val="00B36EA0"/>
    <w:rsid w:val="00B372B1"/>
    <w:rsid w:val="00B37C4E"/>
    <w:rsid w:val="00B405F2"/>
    <w:rsid w:val="00B40A6E"/>
    <w:rsid w:val="00B40B3E"/>
    <w:rsid w:val="00B4171E"/>
    <w:rsid w:val="00B43630"/>
    <w:rsid w:val="00B44136"/>
    <w:rsid w:val="00B449BF"/>
    <w:rsid w:val="00B45F5D"/>
    <w:rsid w:val="00B4600D"/>
    <w:rsid w:val="00B46670"/>
    <w:rsid w:val="00B47125"/>
    <w:rsid w:val="00B47CC7"/>
    <w:rsid w:val="00B47E6B"/>
    <w:rsid w:val="00B50537"/>
    <w:rsid w:val="00B50C1C"/>
    <w:rsid w:val="00B50DFF"/>
    <w:rsid w:val="00B51437"/>
    <w:rsid w:val="00B52380"/>
    <w:rsid w:val="00B52C00"/>
    <w:rsid w:val="00B54307"/>
    <w:rsid w:val="00B5448A"/>
    <w:rsid w:val="00B547CC"/>
    <w:rsid w:val="00B5548F"/>
    <w:rsid w:val="00B5562A"/>
    <w:rsid w:val="00B561DF"/>
    <w:rsid w:val="00B56592"/>
    <w:rsid w:val="00B57328"/>
    <w:rsid w:val="00B57DF4"/>
    <w:rsid w:val="00B60099"/>
    <w:rsid w:val="00B60634"/>
    <w:rsid w:val="00B60E5D"/>
    <w:rsid w:val="00B60F78"/>
    <w:rsid w:val="00B614B7"/>
    <w:rsid w:val="00B6196D"/>
    <w:rsid w:val="00B61C85"/>
    <w:rsid w:val="00B62703"/>
    <w:rsid w:val="00B62E26"/>
    <w:rsid w:val="00B637A4"/>
    <w:rsid w:val="00B6386C"/>
    <w:rsid w:val="00B63DEC"/>
    <w:rsid w:val="00B64A62"/>
    <w:rsid w:val="00B64CF0"/>
    <w:rsid w:val="00B64E93"/>
    <w:rsid w:val="00B64EC4"/>
    <w:rsid w:val="00B6519A"/>
    <w:rsid w:val="00B66F5E"/>
    <w:rsid w:val="00B67481"/>
    <w:rsid w:val="00B67C50"/>
    <w:rsid w:val="00B70AEE"/>
    <w:rsid w:val="00B716E1"/>
    <w:rsid w:val="00B71D1B"/>
    <w:rsid w:val="00B71EE4"/>
    <w:rsid w:val="00B729CD"/>
    <w:rsid w:val="00B72CF4"/>
    <w:rsid w:val="00B732CE"/>
    <w:rsid w:val="00B734B3"/>
    <w:rsid w:val="00B73DB7"/>
    <w:rsid w:val="00B74309"/>
    <w:rsid w:val="00B74860"/>
    <w:rsid w:val="00B76BD0"/>
    <w:rsid w:val="00B76BF9"/>
    <w:rsid w:val="00B76C17"/>
    <w:rsid w:val="00B7704B"/>
    <w:rsid w:val="00B800B8"/>
    <w:rsid w:val="00B80A67"/>
    <w:rsid w:val="00B81046"/>
    <w:rsid w:val="00B815CE"/>
    <w:rsid w:val="00B81B1E"/>
    <w:rsid w:val="00B829DD"/>
    <w:rsid w:val="00B839CB"/>
    <w:rsid w:val="00B83A4E"/>
    <w:rsid w:val="00B8412C"/>
    <w:rsid w:val="00B85DF7"/>
    <w:rsid w:val="00B865A7"/>
    <w:rsid w:val="00B86A52"/>
    <w:rsid w:val="00B87605"/>
    <w:rsid w:val="00B90446"/>
    <w:rsid w:val="00B908EA"/>
    <w:rsid w:val="00B90F9F"/>
    <w:rsid w:val="00B9150C"/>
    <w:rsid w:val="00B91942"/>
    <w:rsid w:val="00B91BE1"/>
    <w:rsid w:val="00B921D5"/>
    <w:rsid w:val="00B92A3E"/>
    <w:rsid w:val="00B9322C"/>
    <w:rsid w:val="00B93835"/>
    <w:rsid w:val="00B9385C"/>
    <w:rsid w:val="00B95156"/>
    <w:rsid w:val="00B95784"/>
    <w:rsid w:val="00B975A3"/>
    <w:rsid w:val="00B976FE"/>
    <w:rsid w:val="00B97A72"/>
    <w:rsid w:val="00B97A97"/>
    <w:rsid w:val="00B97BA9"/>
    <w:rsid w:val="00B97EA1"/>
    <w:rsid w:val="00BA01BD"/>
    <w:rsid w:val="00BA01E8"/>
    <w:rsid w:val="00BA09C1"/>
    <w:rsid w:val="00BA0EBA"/>
    <w:rsid w:val="00BA13D7"/>
    <w:rsid w:val="00BA16EB"/>
    <w:rsid w:val="00BA176F"/>
    <w:rsid w:val="00BA1776"/>
    <w:rsid w:val="00BA1946"/>
    <w:rsid w:val="00BA2239"/>
    <w:rsid w:val="00BA34CB"/>
    <w:rsid w:val="00BA367D"/>
    <w:rsid w:val="00BA3AE7"/>
    <w:rsid w:val="00BA3B4F"/>
    <w:rsid w:val="00BA3B6B"/>
    <w:rsid w:val="00BA4F79"/>
    <w:rsid w:val="00BA5154"/>
    <w:rsid w:val="00BA59EB"/>
    <w:rsid w:val="00BA5D17"/>
    <w:rsid w:val="00BA6392"/>
    <w:rsid w:val="00BA7914"/>
    <w:rsid w:val="00BB0D62"/>
    <w:rsid w:val="00BB0FFD"/>
    <w:rsid w:val="00BB1443"/>
    <w:rsid w:val="00BB14F4"/>
    <w:rsid w:val="00BB1FFD"/>
    <w:rsid w:val="00BB21C9"/>
    <w:rsid w:val="00BB22D7"/>
    <w:rsid w:val="00BB4BAC"/>
    <w:rsid w:val="00BB4CAE"/>
    <w:rsid w:val="00BB4DC8"/>
    <w:rsid w:val="00BB50EC"/>
    <w:rsid w:val="00BB6266"/>
    <w:rsid w:val="00BB705D"/>
    <w:rsid w:val="00BB7505"/>
    <w:rsid w:val="00BC06C8"/>
    <w:rsid w:val="00BC090D"/>
    <w:rsid w:val="00BC1207"/>
    <w:rsid w:val="00BC242C"/>
    <w:rsid w:val="00BC25E9"/>
    <w:rsid w:val="00BC2F85"/>
    <w:rsid w:val="00BC3696"/>
    <w:rsid w:val="00BC3A63"/>
    <w:rsid w:val="00BC4004"/>
    <w:rsid w:val="00BC5555"/>
    <w:rsid w:val="00BC56F5"/>
    <w:rsid w:val="00BC5768"/>
    <w:rsid w:val="00BC5BAB"/>
    <w:rsid w:val="00BC65AA"/>
    <w:rsid w:val="00BC6EEA"/>
    <w:rsid w:val="00BC6F63"/>
    <w:rsid w:val="00BC79F5"/>
    <w:rsid w:val="00BD0116"/>
    <w:rsid w:val="00BD167F"/>
    <w:rsid w:val="00BD17B0"/>
    <w:rsid w:val="00BD1A67"/>
    <w:rsid w:val="00BD1C92"/>
    <w:rsid w:val="00BD1FE8"/>
    <w:rsid w:val="00BD2598"/>
    <w:rsid w:val="00BD25F3"/>
    <w:rsid w:val="00BD2BAA"/>
    <w:rsid w:val="00BD2E69"/>
    <w:rsid w:val="00BD3291"/>
    <w:rsid w:val="00BD3CD3"/>
    <w:rsid w:val="00BD4EAE"/>
    <w:rsid w:val="00BD5C40"/>
    <w:rsid w:val="00BD5DC0"/>
    <w:rsid w:val="00BD62AE"/>
    <w:rsid w:val="00BD6351"/>
    <w:rsid w:val="00BD75A0"/>
    <w:rsid w:val="00BE0443"/>
    <w:rsid w:val="00BE0859"/>
    <w:rsid w:val="00BE0C8C"/>
    <w:rsid w:val="00BE1144"/>
    <w:rsid w:val="00BE1E63"/>
    <w:rsid w:val="00BE1FA9"/>
    <w:rsid w:val="00BE2DA7"/>
    <w:rsid w:val="00BE360B"/>
    <w:rsid w:val="00BE43AB"/>
    <w:rsid w:val="00BE45B5"/>
    <w:rsid w:val="00BE4BF1"/>
    <w:rsid w:val="00BE4EDF"/>
    <w:rsid w:val="00BE5779"/>
    <w:rsid w:val="00BE57BC"/>
    <w:rsid w:val="00BE5B15"/>
    <w:rsid w:val="00BE5B60"/>
    <w:rsid w:val="00BE606C"/>
    <w:rsid w:val="00BE60B4"/>
    <w:rsid w:val="00BE61B3"/>
    <w:rsid w:val="00BE627D"/>
    <w:rsid w:val="00BE647D"/>
    <w:rsid w:val="00BE6519"/>
    <w:rsid w:val="00BE7686"/>
    <w:rsid w:val="00BE78F9"/>
    <w:rsid w:val="00BF0106"/>
    <w:rsid w:val="00BF01F9"/>
    <w:rsid w:val="00BF0211"/>
    <w:rsid w:val="00BF03AB"/>
    <w:rsid w:val="00BF0F09"/>
    <w:rsid w:val="00BF101B"/>
    <w:rsid w:val="00BF10F6"/>
    <w:rsid w:val="00BF16E2"/>
    <w:rsid w:val="00BF1701"/>
    <w:rsid w:val="00BF200E"/>
    <w:rsid w:val="00BF3499"/>
    <w:rsid w:val="00BF4950"/>
    <w:rsid w:val="00BF506A"/>
    <w:rsid w:val="00BF68BD"/>
    <w:rsid w:val="00BF6A51"/>
    <w:rsid w:val="00BF75F2"/>
    <w:rsid w:val="00BF78BB"/>
    <w:rsid w:val="00BF7A1B"/>
    <w:rsid w:val="00BF7A78"/>
    <w:rsid w:val="00BF7DC2"/>
    <w:rsid w:val="00C0022C"/>
    <w:rsid w:val="00C007A0"/>
    <w:rsid w:val="00C00C39"/>
    <w:rsid w:val="00C01522"/>
    <w:rsid w:val="00C01B04"/>
    <w:rsid w:val="00C01DF7"/>
    <w:rsid w:val="00C02449"/>
    <w:rsid w:val="00C02E93"/>
    <w:rsid w:val="00C0361F"/>
    <w:rsid w:val="00C047DA"/>
    <w:rsid w:val="00C05430"/>
    <w:rsid w:val="00C06984"/>
    <w:rsid w:val="00C070E7"/>
    <w:rsid w:val="00C100BD"/>
    <w:rsid w:val="00C10DC1"/>
    <w:rsid w:val="00C110D4"/>
    <w:rsid w:val="00C1149D"/>
    <w:rsid w:val="00C11D69"/>
    <w:rsid w:val="00C12684"/>
    <w:rsid w:val="00C12852"/>
    <w:rsid w:val="00C13EC4"/>
    <w:rsid w:val="00C15897"/>
    <w:rsid w:val="00C15C1C"/>
    <w:rsid w:val="00C163FB"/>
    <w:rsid w:val="00C1658D"/>
    <w:rsid w:val="00C16B1B"/>
    <w:rsid w:val="00C170EA"/>
    <w:rsid w:val="00C171DA"/>
    <w:rsid w:val="00C175EA"/>
    <w:rsid w:val="00C179E3"/>
    <w:rsid w:val="00C17EEA"/>
    <w:rsid w:val="00C2035E"/>
    <w:rsid w:val="00C20DF1"/>
    <w:rsid w:val="00C219A1"/>
    <w:rsid w:val="00C21B5E"/>
    <w:rsid w:val="00C21E66"/>
    <w:rsid w:val="00C22277"/>
    <w:rsid w:val="00C223BE"/>
    <w:rsid w:val="00C226C8"/>
    <w:rsid w:val="00C22755"/>
    <w:rsid w:val="00C22EF5"/>
    <w:rsid w:val="00C236CB"/>
    <w:rsid w:val="00C237E0"/>
    <w:rsid w:val="00C24243"/>
    <w:rsid w:val="00C249EA"/>
    <w:rsid w:val="00C24AD3"/>
    <w:rsid w:val="00C25A6C"/>
    <w:rsid w:val="00C2621A"/>
    <w:rsid w:val="00C26622"/>
    <w:rsid w:val="00C2669F"/>
    <w:rsid w:val="00C26987"/>
    <w:rsid w:val="00C273DC"/>
    <w:rsid w:val="00C30204"/>
    <w:rsid w:val="00C303A9"/>
    <w:rsid w:val="00C304A3"/>
    <w:rsid w:val="00C30733"/>
    <w:rsid w:val="00C315DD"/>
    <w:rsid w:val="00C31982"/>
    <w:rsid w:val="00C31F17"/>
    <w:rsid w:val="00C32B39"/>
    <w:rsid w:val="00C32C6A"/>
    <w:rsid w:val="00C33786"/>
    <w:rsid w:val="00C33DAD"/>
    <w:rsid w:val="00C3451F"/>
    <w:rsid w:val="00C35AF6"/>
    <w:rsid w:val="00C35B5B"/>
    <w:rsid w:val="00C36108"/>
    <w:rsid w:val="00C36C51"/>
    <w:rsid w:val="00C36F5D"/>
    <w:rsid w:val="00C40CB0"/>
    <w:rsid w:val="00C41143"/>
    <w:rsid w:val="00C41295"/>
    <w:rsid w:val="00C414A5"/>
    <w:rsid w:val="00C41D80"/>
    <w:rsid w:val="00C4228B"/>
    <w:rsid w:val="00C424D6"/>
    <w:rsid w:val="00C426CB"/>
    <w:rsid w:val="00C42B3A"/>
    <w:rsid w:val="00C43233"/>
    <w:rsid w:val="00C43968"/>
    <w:rsid w:val="00C43BB5"/>
    <w:rsid w:val="00C43C37"/>
    <w:rsid w:val="00C44A02"/>
    <w:rsid w:val="00C44AD0"/>
    <w:rsid w:val="00C44C23"/>
    <w:rsid w:val="00C44E1F"/>
    <w:rsid w:val="00C452A4"/>
    <w:rsid w:val="00C45E1A"/>
    <w:rsid w:val="00C45E37"/>
    <w:rsid w:val="00C4685B"/>
    <w:rsid w:val="00C46887"/>
    <w:rsid w:val="00C46916"/>
    <w:rsid w:val="00C47CA1"/>
    <w:rsid w:val="00C50288"/>
    <w:rsid w:val="00C50364"/>
    <w:rsid w:val="00C50C33"/>
    <w:rsid w:val="00C50C85"/>
    <w:rsid w:val="00C5109E"/>
    <w:rsid w:val="00C51393"/>
    <w:rsid w:val="00C51773"/>
    <w:rsid w:val="00C519F2"/>
    <w:rsid w:val="00C53493"/>
    <w:rsid w:val="00C535BC"/>
    <w:rsid w:val="00C53A97"/>
    <w:rsid w:val="00C53C88"/>
    <w:rsid w:val="00C54009"/>
    <w:rsid w:val="00C5531D"/>
    <w:rsid w:val="00C55596"/>
    <w:rsid w:val="00C55CDE"/>
    <w:rsid w:val="00C5613E"/>
    <w:rsid w:val="00C56502"/>
    <w:rsid w:val="00C56891"/>
    <w:rsid w:val="00C56A0B"/>
    <w:rsid w:val="00C56A36"/>
    <w:rsid w:val="00C56F4B"/>
    <w:rsid w:val="00C57359"/>
    <w:rsid w:val="00C57ED2"/>
    <w:rsid w:val="00C600BD"/>
    <w:rsid w:val="00C61102"/>
    <w:rsid w:val="00C6183E"/>
    <w:rsid w:val="00C61B50"/>
    <w:rsid w:val="00C625FC"/>
    <w:rsid w:val="00C626D2"/>
    <w:rsid w:val="00C62CF5"/>
    <w:rsid w:val="00C62E1A"/>
    <w:rsid w:val="00C630E5"/>
    <w:rsid w:val="00C63932"/>
    <w:rsid w:val="00C63C30"/>
    <w:rsid w:val="00C63D92"/>
    <w:rsid w:val="00C63F38"/>
    <w:rsid w:val="00C64E64"/>
    <w:rsid w:val="00C64F35"/>
    <w:rsid w:val="00C6583B"/>
    <w:rsid w:val="00C65EE0"/>
    <w:rsid w:val="00C66010"/>
    <w:rsid w:val="00C6732F"/>
    <w:rsid w:val="00C707F8"/>
    <w:rsid w:val="00C7097A"/>
    <w:rsid w:val="00C71106"/>
    <w:rsid w:val="00C71335"/>
    <w:rsid w:val="00C71AB7"/>
    <w:rsid w:val="00C71F4A"/>
    <w:rsid w:val="00C7202E"/>
    <w:rsid w:val="00C7291B"/>
    <w:rsid w:val="00C7338B"/>
    <w:rsid w:val="00C735E5"/>
    <w:rsid w:val="00C74312"/>
    <w:rsid w:val="00C7559D"/>
    <w:rsid w:val="00C75CA0"/>
    <w:rsid w:val="00C7607E"/>
    <w:rsid w:val="00C7629D"/>
    <w:rsid w:val="00C76498"/>
    <w:rsid w:val="00C769E1"/>
    <w:rsid w:val="00C76CC0"/>
    <w:rsid w:val="00C77350"/>
    <w:rsid w:val="00C7736C"/>
    <w:rsid w:val="00C7782E"/>
    <w:rsid w:val="00C803E0"/>
    <w:rsid w:val="00C80503"/>
    <w:rsid w:val="00C81271"/>
    <w:rsid w:val="00C81C40"/>
    <w:rsid w:val="00C82798"/>
    <w:rsid w:val="00C82B1B"/>
    <w:rsid w:val="00C83114"/>
    <w:rsid w:val="00C83748"/>
    <w:rsid w:val="00C8495A"/>
    <w:rsid w:val="00C84C82"/>
    <w:rsid w:val="00C84EC5"/>
    <w:rsid w:val="00C851B0"/>
    <w:rsid w:val="00C8525F"/>
    <w:rsid w:val="00C87A66"/>
    <w:rsid w:val="00C90098"/>
    <w:rsid w:val="00C90494"/>
    <w:rsid w:val="00C904ED"/>
    <w:rsid w:val="00C90800"/>
    <w:rsid w:val="00C90A15"/>
    <w:rsid w:val="00C91136"/>
    <w:rsid w:val="00C915F0"/>
    <w:rsid w:val="00C9165C"/>
    <w:rsid w:val="00C92AD7"/>
    <w:rsid w:val="00C93325"/>
    <w:rsid w:val="00C941B9"/>
    <w:rsid w:val="00C9484C"/>
    <w:rsid w:val="00C949D7"/>
    <w:rsid w:val="00C94B5F"/>
    <w:rsid w:val="00C9560B"/>
    <w:rsid w:val="00CA0608"/>
    <w:rsid w:val="00CA0705"/>
    <w:rsid w:val="00CA07EA"/>
    <w:rsid w:val="00CA1F14"/>
    <w:rsid w:val="00CA206B"/>
    <w:rsid w:val="00CA2461"/>
    <w:rsid w:val="00CA2746"/>
    <w:rsid w:val="00CA27D9"/>
    <w:rsid w:val="00CA354B"/>
    <w:rsid w:val="00CA3925"/>
    <w:rsid w:val="00CA393E"/>
    <w:rsid w:val="00CA3BE0"/>
    <w:rsid w:val="00CA4491"/>
    <w:rsid w:val="00CA47C7"/>
    <w:rsid w:val="00CA48CD"/>
    <w:rsid w:val="00CA4937"/>
    <w:rsid w:val="00CA4EF1"/>
    <w:rsid w:val="00CA4F07"/>
    <w:rsid w:val="00CA4FD9"/>
    <w:rsid w:val="00CA515C"/>
    <w:rsid w:val="00CA5822"/>
    <w:rsid w:val="00CA5B76"/>
    <w:rsid w:val="00CA6B9F"/>
    <w:rsid w:val="00CA6FA8"/>
    <w:rsid w:val="00CA752C"/>
    <w:rsid w:val="00CB0497"/>
    <w:rsid w:val="00CB0958"/>
    <w:rsid w:val="00CB0D51"/>
    <w:rsid w:val="00CB0E7A"/>
    <w:rsid w:val="00CB118D"/>
    <w:rsid w:val="00CB183F"/>
    <w:rsid w:val="00CB1EE8"/>
    <w:rsid w:val="00CB28E3"/>
    <w:rsid w:val="00CB3486"/>
    <w:rsid w:val="00CB4284"/>
    <w:rsid w:val="00CB48EA"/>
    <w:rsid w:val="00CB4EBF"/>
    <w:rsid w:val="00CB4F42"/>
    <w:rsid w:val="00CB5517"/>
    <w:rsid w:val="00CB5B7C"/>
    <w:rsid w:val="00CB5F95"/>
    <w:rsid w:val="00CB6572"/>
    <w:rsid w:val="00CB6A0A"/>
    <w:rsid w:val="00CB6EE7"/>
    <w:rsid w:val="00CB70A4"/>
    <w:rsid w:val="00CB7803"/>
    <w:rsid w:val="00CB7F2A"/>
    <w:rsid w:val="00CB7F77"/>
    <w:rsid w:val="00CC0AC8"/>
    <w:rsid w:val="00CC0B02"/>
    <w:rsid w:val="00CC0E52"/>
    <w:rsid w:val="00CC0F4F"/>
    <w:rsid w:val="00CC1071"/>
    <w:rsid w:val="00CC23F9"/>
    <w:rsid w:val="00CC2D52"/>
    <w:rsid w:val="00CC4D12"/>
    <w:rsid w:val="00CC569A"/>
    <w:rsid w:val="00CC576E"/>
    <w:rsid w:val="00CC578C"/>
    <w:rsid w:val="00CC5B9B"/>
    <w:rsid w:val="00CC5BB6"/>
    <w:rsid w:val="00CC660C"/>
    <w:rsid w:val="00CC672C"/>
    <w:rsid w:val="00CC6BF6"/>
    <w:rsid w:val="00CC6E22"/>
    <w:rsid w:val="00CC719B"/>
    <w:rsid w:val="00CC72A9"/>
    <w:rsid w:val="00CD011C"/>
    <w:rsid w:val="00CD0D04"/>
    <w:rsid w:val="00CD2094"/>
    <w:rsid w:val="00CD291B"/>
    <w:rsid w:val="00CD2F81"/>
    <w:rsid w:val="00CD35E6"/>
    <w:rsid w:val="00CD3C28"/>
    <w:rsid w:val="00CD4922"/>
    <w:rsid w:val="00CD4D3B"/>
    <w:rsid w:val="00CD4E2B"/>
    <w:rsid w:val="00CD602F"/>
    <w:rsid w:val="00CD73E4"/>
    <w:rsid w:val="00CD7E7D"/>
    <w:rsid w:val="00CE0986"/>
    <w:rsid w:val="00CE1328"/>
    <w:rsid w:val="00CE21AD"/>
    <w:rsid w:val="00CE228C"/>
    <w:rsid w:val="00CE2E49"/>
    <w:rsid w:val="00CE3281"/>
    <w:rsid w:val="00CE33FC"/>
    <w:rsid w:val="00CE3676"/>
    <w:rsid w:val="00CE3730"/>
    <w:rsid w:val="00CE3BD5"/>
    <w:rsid w:val="00CE3C02"/>
    <w:rsid w:val="00CE4643"/>
    <w:rsid w:val="00CE46E5"/>
    <w:rsid w:val="00CE483E"/>
    <w:rsid w:val="00CE4C6B"/>
    <w:rsid w:val="00CE4E1B"/>
    <w:rsid w:val="00CE4FBE"/>
    <w:rsid w:val="00CE50C6"/>
    <w:rsid w:val="00CE5625"/>
    <w:rsid w:val="00CE7DBB"/>
    <w:rsid w:val="00CF0546"/>
    <w:rsid w:val="00CF1265"/>
    <w:rsid w:val="00CF12AB"/>
    <w:rsid w:val="00CF1ED8"/>
    <w:rsid w:val="00CF2C0D"/>
    <w:rsid w:val="00CF39B1"/>
    <w:rsid w:val="00CF3C79"/>
    <w:rsid w:val="00CF3FA4"/>
    <w:rsid w:val="00CF4005"/>
    <w:rsid w:val="00CF41E0"/>
    <w:rsid w:val="00CF4E5D"/>
    <w:rsid w:val="00CF501A"/>
    <w:rsid w:val="00CF56A9"/>
    <w:rsid w:val="00CF5B98"/>
    <w:rsid w:val="00CF6299"/>
    <w:rsid w:val="00CF7EE8"/>
    <w:rsid w:val="00D001EE"/>
    <w:rsid w:val="00D006D8"/>
    <w:rsid w:val="00D00843"/>
    <w:rsid w:val="00D00CFB"/>
    <w:rsid w:val="00D018DD"/>
    <w:rsid w:val="00D01BC3"/>
    <w:rsid w:val="00D01CBD"/>
    <w:rsid w:val="00D02CCE"/>
    <w:rsid w:val="00D02D90"/>
    <w:rsid w:val="00D03060"/>
    <w:rsid w:val="00D031EB"/>
    <w:rsid w:val="00D03828"/>
    <w:rsid w:val="00D03C04"/>
    <w:rsid w:val="00D03ED9"/>
    <w:rsid w:val="00D045BF"/>
    <w:rsid w:val="00D055FE"/>
    <w:rsid w:val="00D06925"/>
    <w:rsid w:val="00D1101C"/>
    <w:rsid w:val="00D11043"/>
    <w:rsid w:val="00D110E2"/>
    <w:rsid w:val="00D1134A"/>
    <w:rsid w:val="00D11589"/>
    <w:rsid w:val="00D122A7"/>
    <w:rsid w:val="00D123B1"/>
    <w:rsid w:val="00D12519"/>
    <w:rsid w:val="00D13962"/>
    <w:rsid w:val="00D14AC8"/>
    <w:rsid w:val="00D152DA"/>
    <w:rsid w:val="00D15966"/>
    <w:rsid w:val="00D15BA2"/>
    <w:rsid w:val="00D15E59"/>
    <w:rsid w:val="00D16139"/>
    <w:rsid w:val="00D166F5"/>
    <w:rsid w:val="00D17BC7"/>
    <w:rsid w:val="00D17F2A"/>
    <w:rsid w:val="00D200AC"/>
    <w:rsid w:val="00D21E57"/>
    <w:rsid w:val="00D220A0"/>
    <w:rsid w:val="00D2243D"/>
    <w:rsid w:val="00D2286D"/>
    <w:rsid w:val="00D22CF8"/>
    <w:rsid w:val="00D2395A"/>
    <w:rsid w:val="00D23B5E"/>
    <w:rsid w:val="00D23DE7"/>
    <w:rsid w:val="00D2416D"/>
    <w:rsid w:val="00D242A9"/>
    <w:rsid w:val="00D243E8"/>
    <w:rsid w:val="00D24AC5"/>
    <w:rsid w:val="00D25457"/>
    <w:rsid w:val="00D26456"/>
    <w:rsid w:val="00D266E1"/>
    <w:rsid w:val="00D27225"/>
    <w:rsid w:val="00D273CB"/>
    <w:rsid w:val="00D27A5C"/>
    <w:rsid w:val="00D303A7"/>
    <w:rsid w:val="00D303C9"/>
    <w:rsid w:val="00D304DF"/>
    <w:rsid w:val="00D3131E"/>
    <w:rsid w:val="00D3133B"/>
    <w:rsid w:val="00D318E8"/>
    <w:rsid w:val="00D31C8B"/>
    <w:rsid w:val="00D31E56"/>
    <w:rsid w:val="00D321A9"/>
    <w:rsid w:val="00D323FD"/>
    <w:rsid w:val="00D32949"/>
    <w:rsid w:val="00D3320C"/>
    <w:rsid w:val="00D337FB"/>
    <w:rsid w:val="00D339ED"/>
    <w:rsid w:val="00D33A5E"/>
    <w:rsid w:val="00D33CF4"/>
    <w:rsid w:val="00D3412F"/>
    <w:rsid w:val="00D34294"/>
    <w:rsid w:val="00D356DF"/>
    <w:rsid w:val="00D35A0A"/>
    <w:rsid w:val="00D35AE0"/>
    <w:rsid w:val="00D35D6B"/>
    <w:rsid w:val="00D35EE8"/>
    <w:rsid w:val="00D36902"/>
    <w:rsid w:val="00D36C2B"/>
    <w:rsid w:val="00D36D47"/>
    <w:rsid w:val="00D371E8"/>
    <w:rsid w:val="00D37B1D"/>
    <w:rsid w:val="00D37EB5"/>
    <w:rsid w:val="00D400D2"/>
    <w:rsid w:val="00D40945"/>
    <w:rsid w:val="00D41DA7"/>
    <w:rsid w:val="00D42451"/>
    <w:rsid w:val="00D42493"/>
    <w:rsid w:val="00D42D81"/>
    <w:rsid w:val="00D43012"/>
    <w:rsid w:val="00D43046"/>
    <w:rsid w:val="00D4382C"/>
    <w:rsid w:val="00D43F3E"/>
    <w:rsid w:val="00D4484B"/>
    <w:rsid w:val="00D44D46"/>
    <w:rsid w:val="00D44E53"/>
    <w:rsid w:val="00D46003"/>
    <w:rsid w:val="00D463DC"/>
    <w:rsid w:val="00D46524"/>
    <w:rsid w:val="00D503FB"/>
    <w:rsid w:val="00D5048F"/>
    <w:rsid w:val="00D50D4F"/>
    <w:rsid w:val="00D50FCC"/>
    <w:rsid w:val="00D51176"/>
    <w:rsid w:val="00D52484"/>
    <w:rsid w:val="00D524F4"/>
    <w:rsid w:val="00D5282D"/>
    <w:rsid w:val="00D5330E"/>
    <w:rsid w:val="00D5335F"/>
    <w:rsid w:val="00D534F8"/>
    <w:rsid w:val="00D53515"/>
    <w:rsid w:val="00D54198"/>
    <w:rsid w:val="00D54A16"/>
    <w:rsid w:val="00D54B88"/>
    <w:rsid w:val="00D54F54"/>
    <w:rsid w:val="00D5508B"/>
    <w:rsid w:val="00D561B8"/>
    <w:rsid w:val="00D56906"/>
    <w:rsid w:val="00D56DC4"/>
    <w:rsid w:val="00D57B7D"/>
    <w:rsid w:val="00D61238"/>
    <w:rsid w:val="00D617C8"/>
    <w:rsid w:val="00D61F8C"/>
    <w:rsid w:val="00D62298"/>
    <w:rsid w:val="00D6234E"/>
    <w:rsid w:val="00D62C35"/>
    <w:rsid w:val="00D63896"/>
    <w:rsid w:val="00D638DC"/>
    <w:rsid w:val="00D63C05"/>
    <w:rsid w:val="00D64903"/>
    <w:rsid w:val="00D64E27"/>
    <w:rsid w:val="00D66FDC"/>
    <w:rsid w:val="00D67931"/>
    <w:rsid w:val="00D67F27"/>
    <w:rsid w:val="00D701CC"/>
    <w:rsid w:val="00D71585"/>
    <w:rsid w:val="00D7293F"/>
    <w:rsid w:val="00D72B13"/>
    <w:rsid w:val="00D72C22"/>
    <w:rsid w:val="00D739DA"/>
    <w:rsid w:val="00D73AB7"/>
    <w:rsid w:val="00D73AF4"/>
    <w:rsid w:val="00D746FD"/>
    <w:rsid w:val="00D74B5F"/>
    <w:rsid w:val="00D75023"/>
    <w:rsid w:val="00D75155"/>
    <w:rsid w:val="00D751CC"/>
    <w:rsid w:val="00D75714"/>
    <w:rsid w:val="00D75892"/>
    <w:rsid w:val="00D76B37"/>
    <w:rsid w:val="00D76BB8"/>
    <w:rsid w:val="00D77055"/>
    <w:rsid w:val="00D77B97"/>
    <w:rsid w:val="00D77C39"/>
    <w:rsid w:val="00D8000D"/>
    <w:rsid w:val="00D80216"/>
    <w:rsid w:val="00D809CA"/>
    <w:rsid w:val="00D81150"/>
    <w:rsid w:val="00D81473"/>
    <w:rsid w:val="00D81BA0"/>
    <w:rsid w:val="00D81D6E"/>
    <w:rsid w:val="00D8277C"/>
    <w:rsid w:val="00D82C98"/>
    <w:rsid w:val="00D83912"/>
    <w:rsid w:val="00D83D07"/>
    <w:rsid w:val="00D8446B"/>
    <w:rsid w:val="00D84770"/>
    <w:rsid w:val="00D854ED"/>
    <w:rsid w:val="00D85A11"/>
    <w:rsid w:val="00D85F2A"/>
    <w:rsid w:val="00D867EB"/>
    <w:rsid w:val="00D871F1"/>
    <w:rsid w:val="00D8753A"/>
    <w:rsid w:val="00D87AFA"/>
    <w:rsid w:val="00D87FA4"/>
    <w:rsid w:val="00D90E0C"/>
    <w:rsid w:val="00D913AF"/>
    <w:rsid w:val="00D9160A"/>
    <w:rsid w:val="00D918AD"/>
    <w:rsid w:val="00D921B7"/>
    <w:rsid w:val="00D92562"/>
    <w:rsid w:val="00D92572"/>
    <w:rsid w:val="00D929CE"/>
    <w:rsid w:val="00D93800"/>
    <w:rsid w:val="00D93B82"/>
    <w:rsid w:val="00D93CD7"/>
    <w:rsid w:val="00D95080"/>
    <w:rsid w:val="00D95EDE"/>
    <w:rsid w:val="00D96058"/>
    <w:rsid w:val="00D96329"/>
    <w:rsid w:val="00D97370"/>
    <w:rsid w:val="00D97B24"/>
    <w:rsid w:val="00D97B5B"/>
    <w:rsid w:val="00D97C0A"/>
    <w:rsid w:val="00DA0532"/>
    <w:rsid w:val="00DA0B40"/>
    <w:rsid w:val="00DA0BEB"/>
    <w:rsid w:val="00DA0ECA"/>
    <w:rsid w:val="00DA168B"/>
    <w:rsid w:val="00DA1903"/>
    <w:rsid w:val="00DA1F49"/>
    <w:rsid w:val="00DA3594"/>
    <w:rsid w:val="00DA3B49"/>
    <w:rsid w:val="00DA4299"/>
    <w:rsid w:val="00DA475C"/>
    <w:rsid w:val="00DA4A33"/>
    <w:rsid w:val="00DA4A6D"/>
    <w:rsid w:val="00DA5697"/>
    <w:rsid w:val="00DA6BD2"/>
    <w:rsid w:val="00DA73B9"/>
    <w:rsid w:val="00DB001F"/>
    <w:rsid w:val="00DB035B"/>
    <w:rsid w:val="00DB044F"/>
    <w:rsid w:val="00DB08DF"/>
    <w:rsid w:val="00DB174B"/>
    <w:rsid w:val="00DB416E"/>
    <w:rsid w:val="00DB4A17"/>
    <w:rsid w:val="00DB4AEB"/>
    <w:rsid w:val="00DB4C5C"/>
    <w:rsid w:val="00DB573D"/>
    <w:rsid w:val="00DB61D1"/>
    <w:rsid w:val="00DB6705"/>
    <w:rsid w:val="00DB6F84"/>
    <w:rsid w:val="00DB7903"/>
    <w:rsid w:val="00DC01A5"/>
    <w:rsid w:val="00DC0394"/>
    <w:rsid w:val="00DC0991"/>
    <w:rsid w:val="00DC11EA"/>
    <w:rsid w:val="00DC21F3"/>
    <w:rsid w:val="00DC309D"/>
    <w:rsid w:val="00DC30E0"/>
    <w:rsid w:val="00DC45AC"/>
    <w:rsid w:val="00DC4C74"/>
    <w:rsid w:val="00DC5195"/>
    <w:rsid w:val="00DC5755"/>
    <w:rsid w:val="00DC5CBE"/>
    <w:rsid w:val="00DC6507"/>
    <w:rsid w:val="00DC78D5"/>
    <w:rsid w:val="00DC7A5B"/>
    <w:rsid w:val="00DD05B0"/>
    <w:rsid w:val="00DD1242"/>
    <w:rsid w:val="00DD1581"/>
    <w:rsid w:val="00DD2127"/>
    <w:rsid w:val="00DD28EA"/>
    <w:rsid w:val="00DD2912"/>
    <w:rsid w:val="00DD2EC5"/>
    <w:rsid w:val="00DD372E"/>
    <w:rsid w:val="00DD39E8"/>
    <w:rsid w:val="00DD3D65"/>
    <w:rsid w:val="00DD413C"/>
    <w:rsid w:val="00DD4C21"/>
    <w:rsid w:val="00DD4D6B"/>
    <w:rsid w:val="00DD4DD0"/>
    <w:rsid w:val="00DD4E54"/>
    <w:rsid w:val="00DD54C6"/>
    <w:rsid w:val="00DD5808"/>
    <w:rsid w:val="00DD6064"/>
    <w:rsid w:val="00DD6202"/>
    <w:rsid w:val="00DD66CD"/>
    <w:rsid w:val="00DD67C8"/>
    <w:rsid w:val="00DD6B28"/>
    <w:rsid w:val="00DD6DD7"/>
    <w:rsid w:val="00DE02E6"/>
    <w:rsid w:val="00DE0C1A"/>
    <w:rsid w:val="00DE1AEA"/>
    <w:rsid w:val="00DE2E33"/>
    <w:rsid w:val="00DE307C"/>
    <w:rsid w:val="00DE3EFA"/>
    <w:rsid w:val="00DE4824"/>
    <w:rsid w:val="00DE4A3D"/>
    <w:rsid w:val="00DE5A05"/>
    <w:rsid w:val="00DE62F7"/>
    <w:rsid w:val="00DE69EC"/>
    <w:rsid w:val="00DE6D82"/>
    <w:rsid w:val="00DF0122"/>
    <w:rsid w:val="00DF064C"/>
    <w:rsid w:val="00DF0CF0"/>
    <w:rsid w:val="00DF0DFD"/>
    <w:rsid w:val="00DF12C6"/>
    <w:rsid w:val="00DF27D6"/>
    <w:rsid w:val="00DF3077"/>
    <w:rsid w:val="00DF35B0"/>
    <w:rsid w:val="00DF4A9D"/>
    <w:rsid w:val="00DF59A9"/>
    <w:rsid w:val="00DF6B1B"/>
    <w:rsid w:val="00DF7229"/>
    <w:rsid w:val="00DF726C"/>
    <w:rsid w:val="00DF7CA2"/>
    <w:rsid w:val="00DF7FD2"/>
    <w:rsid w:val="00DF7FEB"/>
    <w:rsid w:val="00E000E2"/>
    <w:rsid w:val="00E00328"/>
    <w:rsid w:val="00E00A07"/>
    <w:rsid w:val="00E00F3C"/>
    <w:rsid w:val="00E00F65"/>
    <w:rsid w:val="00E015F0"/>
    <w:rsid w:val="00E0210C"/>
    <w:rsid w:val="00E022BF"/>
    <w:rsid w:val="00E02359"/>
    <w:rsid w:val="00E0286D"/>
    <w:rsid w:val="00E02CA5"/>
    <w:rsid w:val="00E0326C"/>
    <w:rsid w:val="00E039E1"/>
    <w:rsid w:val="00E03CC3"/>
    <w:rsid w:val="00E042FE"/>
    <w:rsid w:val="00E04835"/>
    <w:rsid w:val="00E04975"/>
    <w:rsid w:val="00E0528A"/>
    <w:rsid w:val="00E05860"/>
    <w:rsid w:val="00E0592E"/>
    <w:rsid w:val="00E05C93"/>
    <w:rsid w:val="00E05F84"/>
    <w:rsid w:val="00E0619E"/>
    <w:rsid w:val="00E068D9"/>
    <w:rsid w:val="00E07589"/>
    <w:rsid w:val="00E075E6"/>
    <w:rsid w:val="00E1019B"/>
    <w:rsid w:val="00E10C1C"/>
    <w:rsid w:val="00E10D22"/>
    <w:rsid w:val="00E10D8C"/>
    <w:rsid w:val="00E10ED7"/>
    <w:rsid w:val="00E10F15"/>
    <w:rsid w:val="00E11B9D"/>
    <w:rsid w:val="00E12C32"/>
    <w:rsid w:val="00E13292"/>
    <w:rsid w:val="00E142D4"/>
    <w:rsid w:val="00E146ED"/>
    <w:rsid w:val="00E14A25"/>
    <w:rsid w:val="00E156AB"/>
    <w:rsid w:val="00E15777"/>
    <w:rsid w:val="00E15AAE"/>
    <w:rsid w:val="00E1600F"/>
    <w:rsid w:val="00E161A8"/>
    <w:rsid w:val="00E1624F"/>
    <w:rsid w:val="00E16969"/>
    <w:rsid w:val="00E16C60"/>
    <w:rsid w:val="00E175C4"/>
    <w:rsid w:val="00E1777E"/>
    <w:rsid w:val="00E2023A"/>
    <w:rsid w:val="00E20A7E"/>
    <w:rsid w:val="00E20AB7"/>
    <w:rsid w:val="00E21194"/>
    <w:rsid w:val="00E212CC"/>
    <w:rsid w:val="00E2142F"/>
    <w:rsid w:val="00E21999"/>
    <w:rsid w:val="00E22795"/>
    <w:rsid w:val="00E2287D"/>
    <w:rsid w:val="00E22EC7"/>
    <w:rsid w:val="00E232FE"/>
    <w:rsid w:val="00E23D9F"/>
    <w:rsid w:val="00E24488"/>
    <w:rsid w:val="00E24909"/>
    <w:rsid w:val="00E24A25"/>
    <w:rsid w:val="00E24F8D"/>
    <w:rsid w:val="00E26C80"/>
    <w:rsid w:val="00E26F4D"/>
    <w:rsid w:val="00E27076"/>
    <w:rsid w:val="00E27628"/>
    <w:rsid w:val="00E278A8"/>
    <w:rsid w:val="00E27F1B"/>
    <w:rsid w:val="00E27FA9"/>
    <w:rsid w:val="00E30159"/>
    <w:rsid w:val="00E30294"/>
    <w:rsid w:val="00E3060A"/>
    <w:rsid w:val="00E30881"/>
    <w:rsid w:val="00E31998"/>
    <w:rsid w:val="00E33861"/>
    <w:rsid w:val="00E347CB"/>
    <w:rsid w:val="00E349AB"/>
    <w:rsid w:val="00E34C56"/>
    <w:rsid w:val="00E3521B"/>
    <w:rsid w:val="00E35BEB"/>
    <w:rsid w:val="00E361BC"/>
    <w:rsid w:val="00E36DA2"/>
    <w:rsid w:val="00E37725"/>
    <w:rsid w:val="00E405BB"/>
    <w:rsid w:val="00E416E3"/>
    <w:rsid w:val="00E42654"/>
    <w:rsid w:val="00E428BA"/>
    <w:rsid w:val="00E43B32"/>
    <w:rsid w:val="00E43BD5"/>
    <w:rsid w:val="00E43DCF"/>
    <w:rsid w:val="00E44458"/>
    <w:rsid w:val="00E44586"/>
    <w:rsid w:val="00E4482C"/>
    <w:rsid w:val="00E44B33"/>
    <w:rsid w:val="00E44CAA"/>
    <w:rsid w:val="00E45F94"/>
    <w:rsid w:val="00E4618B"/>
    <w:rsid w:val="00E46B5D"/>
    <w:rsid w:val="00E46E46"/>
    <w:rsid w:val="00E46E47"/>
    <w:rsid w:val="00E470FC"/>
    <w:rsid w:val="00E47F66"/>
    <w:rsid w:val="00E50128"/>
    <w:rsid w:val="00E50187"/>
    <w:rsid w:val="00E502DF"/>
    <w:rsid w:val="00E50BB6"/>
    <w:rsid w:val="00E516AB"/>
    <w:rsid w:val="00E51B79"/>
    <w:rsid w:val="00E51EE9"/>
    <w:rsid w:val="00E5208D"/>
    <w:rsid w:val="00E523DB"/>
    <w:rsid w:val="00E52941"/>
    <w:rsid w:val="00E52AD0"/>
    <w:rsid w:val="00E52BEE"/>
    <w:rsid w:val="00E537A2"/>
    <w:rsid w:val="00E538A5"/>
    <w:rsid w:val="00E539A9"/>
    <w:rsid w:val="00E53A45"/>
    <w:rsid w:val="00E53C57"/>
    <w:rsid w:val="00E541C5"/>
    <w:rsid w:val="00E5462A"/>
    <w:rsid w:val="00E555FD"/>
    <w:rsid w:val="00E558D7"/>
    <w:rsid w:val="00E5620A"/>
    <w:rsid w:val="00E5655B"/>
    <w:rsid w:val="00E56599"/>
    <w:rsid w:val="00E56FFC"/>
    <w:rsid w:val="00E573E4"/>
    <w:rsid w:val="00E57A27"/>
    <w:rsid w:val="00E60088"/>
    <w:rsid w:val="00E60188"/>
    <w:rsid w:val="00E60455"/>
    <w:rsid w:val="00E606A9"/>
    <w:rsid w:val="00E606DA"/>
    <w:rsid w:val="00E60738"/>
    <w:rsid w:val="00E60D6A"/>
    <w:rsid w:val="00E61F69"/>
    <w:rsid w:val="00E621EF"/>
    <w:rsid w:val="00E62872"/>
    <w:rsid w:val="00E62C36"/>
    <w:rsid w:val="00E62E9D"/>
    <w:rsid w:val="00E639FD"/>
    <w:rsid w:val="00E63A08"/>
    <w:rsid w:val="00E643DE"/>
    <w:rsid w:val="00E64551"/>
    <w:rsid w:val="00E64AA7"/>
    <w:rsid w:val="00E64B6A"/>
    <w:rsid w:val="00E64DFB"/>
    <w:rsid w:val="00E65169"/>
    <w:rsid w:val="00E65301"/>
    <w:rsid w:val="00E653F7"/>
    <w:rsid w:val="00E6583D"/>
    <w:rsid w:val="00E658B3"/>
    <w:rsid w:val="00E65C6F"/>
    <w:rsid w:val="00E65F73"/>
    <w:rsid w:val="00E6673B"/>
    <w:rsid w:val="00E66AF5"/>
    <w:rsid w:val="00E66B40"/>
    <w:rsid w:val="00E6715E"/>
    <w:rsid w:val="00E673D2"/>
    <w:rsid w:val="00E67482"/>
    <w:rsid w:val="00E70BF5"/>
    <w:rsid w:val="00E70D37"/>
    <w:rsid w:val="00E72511"/>
    <w:rsid w:val="00E72549"/>
    <w:rsid w:val="00E72754"/>
    <w:rsid w:val="00E72A0D"/>
    <w:rsid w:val="00E72FEC"/>
    <w:rsid w:val="00E73208"/>
    <w:rsid w:val="00E73248"/>
    <w:rsid w:val="00E732D5"/>
    <w:rsid w:val="00E739F2"/>
    <w:rsid w:val="00E73A29"/>
    <w:rsid w:val="00E73BE0"/>
    <w:rsid w:val="00E73C0B"/>
    <w:rsid w:val="00E73E61"/>
    <w:rsid w:val="00E74948"/>
    <w:rsid w:val="00E75143"/>
    <w:rsid w:val="00E75798"/>
    <w:rsid w:val="00E758C7"/>
    <w:rsid w:val="00E759B6"/>
    <w:rsid w:val="00E76218"/>
    <w:rsid w:val="00E76E18"/>
    <w:rsid w:val="00E774FA"/>
    <w:rsid w:val="00E77B60"/>
    <w:rsid w:val="00E77E75"/>
    <w:rsid w:val="00E8073A"/>
    <w:rsid w:val="00E80765"/>
    <w:rsid w:val="00E80D07"/>
    <w:rsid w:val="00E81223"/>
    <w:rsid w:val="00E816EA"/>
    <w:rsid w:val="00E81C93"/>
    <w:rsid w:val="00E82329"/>
    <w:rsid w:val="00E825C7"/>
    <w:rsid w:val="00E82BAA"/>
    <w:rsid w:val="00E836DE"/>
    <w:rsid w:val="00E83E97"/>
    <w:rsid w:val="00E84151"/>
    <w:rsid w:val="00E84540"/>
    <w:rsid w:val="00E84744"/>
    <w:rsid w:val="00E85130"/>
    <w:rsid w:val="00E856B6"/>
    <w:rsid w:val="00E85BB0"/>
    <w:rsid w:val="00E86231"/>
    <w:rsid w:val="00E869BE"/>
    <w:rsid w:val="00E86ADA"/>
    <w:rsid w:val="00E87E19"/>
    <w:rsid w:val="00E9006B"/>
    <w:rsid w:val="00E905B0"/>
    <w:rsid w:val="00E90A05"/>
    <w:rsid w:val="00E90CB3"/>
    <w:rsid w:val="00E90FEB"/>
    <w:rsid w:val="00E9155E"/>
    <w:rsid w:val="00E91C53"/>
    <w:rsid w:val="00E92DF4"/>
    <w:rsid w:val="00E931C6"/>
    <w:rsid w:val="00E93972"/>
    <w:rsid w:val="00E94854"/>
    <w:rsid w:val="00E9622D"/>
    <w:rsid w:val="00E966B1"/>
    <w:rsid w:val="00E9689D"/>
    <w:rsid w:val="00E96A3B"/>
    <w:rsid w:val="00E96A81"/>
    <w:rsid w:val="00E97120"/>
    <w:rsid w:val="00EA0262"/>
    <w:rsid w:val="00EA05A4"/>
    <w:rsid w:val="00EA08A4"/>
    <w:rsid w:val="00EA1044"/>
    <w:rsid w:val="00EA132B"/>
    <w:rsid w:val="00EA15B0"/>
    <w:rsid w:val="00EA2814"/>
    <w:rsid w:val="00EA2AF0"/>
    <w:rsid w:val="00EA2AFC"/>
    <w:rsid w:val="00EA2B12"/>
    <w:rsid w:val="00EA317D"/>
    <w:rsid w:val="00EA350C"/>
    <w:rsid w:val="00EA3800"/>
    <w:rsid w:val="00EA4C2A"/>
    <w:rsid w:val="00EA5039"/>
    <w:rsid w:val="00EA538A"/>
    <w:rsid w:val="00EA5703"/>
    <w:rsid w:val="00EA579B"/>
    <w:rsid w:val="00EA616C"/>
    <w:rsid w:val="00EA650B"/>
    <w:rsid w:val="00EA6D92"/>
    <w:rsid w:val="00EA7281"/>
    <w:rsid w:val="00EA728B"/>
    <w:rsid w:val="00EA74A1"/>
    <w:rsid w:val="00EA785F"/>
    <w:rsid w:val="00EB1BDF"/>
    <w:rsid w:val="00EB21DF"/>
    <w:rsid w:val="00EB36AA"/>
    <w:rsid w:val="00EB3819"/>
    <w:rsid w:val="00EB3A21"/>
    <w:rsid w:val="00EB3B1D"/>
    <w:rsid w:val="00EB47D0"/>
    <w:rsid w:val="00EB5E8F"/>
    <w:rsid w:val="00EB5E94"/>
    <w:rsid w:val="00EB6723"/>
    <w:rsid w:val="00EB7283"/>
    <w:rsid w:val="00EB75EF"/>
    <w:rsid w:val="00EB7926"/>
    <w:rsid w:val="00EB7A13"/>
    <w:rsid w:val="00EB7DB6"/>
    <w:rsid w:val="00EC0317"/>
    <w:rsid w:val="00EC10D6"/>
    <w:rsid w:val="00EC164E"/>
    <w:rsid w:val="00EC1F79"/>
    <w:rsid w:val="00EC20C5"/>
    <w:rsid w:val="00EC32C7"/>
    <w:rsid w:val="00EC3D3E"/>
    <w:rsid w:val="00EC4430"/>
    <w:rsid w:val="00EC61E3"/>
    <w:rsid w:val="00EC6B87"/>
    <w:rsid w:val="00EC6B93"/>
    <w:rsid w:val="00EC7265"/>
    <w:rsid w:val="00EC7E7D"/>
    <w:rsid w:val="00ED0AAA"/>
    <w:rsid w:val="00ED0C22"/>
    <w:rsid w:val="00ED183F"/>
    <w:rsid w:val="00ED1A02"/>
    <w:rsid w:val="00ED1DE1"/>
    <w:rsid w:val="00ED1EBA"/>
    <w:rsid w:val="00ED254B"/>
    <w:rsid w:val="00ED292F"/>
    <w:rsid w:val="00ED2CAF"/>
    <w:rsid w:val="00ED41F7"/>
    <w:rsid w:val="00ED42B9"/>
    <w:rsid w:val="00ED43F5"/>
    <w:rsid w:val="00ED4DA3"/>
    <w:rsid w:val="00ED5AC8"/>
    <w:rsid w:val="00ED5D30"/>
    <w:rsid w:val="00ED5E5C"/>
    <w:rsid w:val="00ED649D"/>
    <w:rsid w:val="00ED6826"/>
    <w:rsid w:val="00EE03D1"/>
    <w:rsid w:val="00EE10E8"/>
    <w:rsid w:val="00EE14D6"/>
    <w:rsid w:val="00EE1C01"/>
    <w:rsid w:val="00EE200F"/>
    <w:rsid w:val="00EE250C"/>
    <w:rsid w:val="00EE2B6C"/>
    <w:rsid w:val="00EE310F"/>
    <w:rsid w:val="00EE41B6"/>
    <w:rsid w:val="00EE475B"/>
    <w:rsid w:val="00EE4B2E"/>
    <w:rsid w:val="00EE4BD4"/>
    <w:rsid w:val="00EE4BEB"/>
    <w:rsid w:val="00EE5067"/>
    <w:rsid w:val="00EE52CA"/>
    <w:rsid w:val="00EE5E25"/>
    <w:rsid w:val="00EE64D6"/>
    <w:rsid w:val="00EE69A8"/>
    <w:rsid w:val="00EE703C"/>
    <w:rsid w:val="00EE7593"/>
    <w:rsid w:val="00EF081F"/>
    <w:rsid w:val="00EF1391"/>
    <w:rsid w:val="00EF43D5"/>
    <w:rsid w:val="00EF47BD"/>
    <w:rsid w:val="00EF4B88"/>
    <w:rsid w:val="00EF4BFE"/>
    <w:rsid w:val="00EF4C75"/>
    <w:rsid w:val="00EF511E"/>
    <w:rsid w:val="00EF617D"/>
    <w:rsid w:val="00EF6842"/>
    <w:rsid w:val="00EF6B9E"/>
    <w:rsid w:val="00EF74D4"/>
    <w:rsid w:val="00EF7A85"/>
    <w:rsid w:val="00F0068F"/>
    <w:rsid w:val="00F0078B"/>
    <w:rsid w:val="00F00BA6"/>
    <w:rsid w:val="00F01CAA"/>
    <w:rsid w:val="00F0210A"/>
    <w:rsid w:val="00F02324"/>
    <w:rsid w:val="00F02A1B"/>
    <w:rsid w:val="00F02A6E"/>
    <w:rsid w:val="00F02CFE"/>
    <w:rsid w:val="00F030B6"/>
    <w:rsid w:val="00F03226"/>
    <w:rsid w:val="00F03B95"/>
    <w:rsid w:val="00F03C90"/>
    <w:rsid w:val="00F03D36"/>
    <w:rsid w:val="00F04077"/>
    <w:rsid w:val="00F052D2"/>
    <w:rsid w:val="00F0533A"/>
    <w:rsid w:val="00F056CC"/>
    <w:rsid w:val="00F05DD4"/>
    <w:rsid w:val="00F05E4F"/>
    <w:rsid w:val="00F05F3E"/>
    <w:rsid w:val="00F06031"/>
    <w:rsid w:val="00F0603C"/>
    <w:rsid w:val="00F0697D"/>
    <w:rsid w:val="00F069BF"/>
    <w:rsid w:val="00F06C88"/>
    <w:rsid w:val="00F06E1D"/>
    <w:rsid w:val="00F103D2"/>
    <w:rsid w:val="00F10795"/>
    <w:rsid w:val="00F11979"/>
    <w:rsid w:val="00F125D7"/>
    <w:rsid w:val="00F12A66"/>
    <w:rsid w:val="00F15432"/>
    <w:rsid w:val="00F16131"/>
    <w:rsid w:val="00F175FD"/>
    <w:rsid w:val="00F17A52"/>
    <w:rsid w:val="00F17C77"/>
    <w:rsid w:val="00F17F7E"/>
    <w:rsid w:val="00F20789"/>
    <w:rsid w:val="00F20B78"/>
    <w:rsid w:val="00F20F81"/>
    <w:rsid w:val="00F21278"/>
    <w:rsid w:val="00F22416"/>
    <w:rsid w:val="00F22721"/>
    <w:rsid w:val="00F22E7F"/>
    <w:rsid w:val="00F247CB"/>
    <w:rsid w:val="00F24813"/>
    <w:rsid w:val="00F253D1"/>
    <w:rsid w:val="00F25BA2"/>
    <w:rsid w:val="00F25D53"/>
    <w:rsid w:val="00F26100"/>
    <w:rsid w:val="00F26577"/>
    <w:rsid w:val="00F26E7B"/>
    <w:rsid w:val="00F26FA9"/>
    <w:rsid w:val="00F27614"/>
    <w:rsid w:val="00F278E6"/>
    <w:rsid w:val="00F27C02"/>
    <w:rsid w:val="00F30928"/>
    <w:rsid w:val="00F31C10"/>
    <w:rsid w:val="00F31C1C"/>
    <w:rsid w:val="00F31C47"/>
    <w:rsid w:val="00F32421"/>
    <w:rsid w:val="00F333EE"/>
    <w:rsid w:val="00F34458"/>
    <w:rsid w:val="00F3456C"/>
    <w:rsid w:val="00F34952"/>
    <w:rsid w:val="00F34DC0"/>
    <w:rsid w:val="00F35280"/>
    <w:rsid w:val="00F356CD"/>
    <w:rsid w:val="00F366DF"/>
    <w:rsid w:val="00F37DCA"/>
    <w:rsid w:val="00F37E9E"/>
    <w:rsid w:val="00F37EA0"/>
    <w:rsid w:val="00F40608"/>
    <w:rsid w:val="00F40AB6"/>
    <w:rsid w:val="00F40EFC"/>
    <w:rsid w:val="00F41A99"/>
    <w:rsid w:val="00F41C4C"/>
    <w:rsid w:val="00F41E7E"/>
    <w:rsid w:val="00F42ADA"/>
    <w:rsid w:val="00F43C8B"/>
    <w:rsid w:val="00F43F00"/>
    <w:rsid w:val="00F44334"/>
    <w:rsid w:val="00F449AC"/>
    <w:rsid w:val="00F449DD"/>
    <w:rsid w:val="00F44D26"/>
    <w:rsid w:val="00F46935"/>
    <w:rsid w:val="00F46D26"/>
    <w:rsid w:val="00F46ED0"/>
    <w:rsid w:val="00F5045F"/>
    <w:rsid w:val="00F5088E"/>
    <w:rsid w:val="00F50925"/>
    <w:rsid w:val="00F51363"/>
    <w:rsid w:val="00F518F0"/>
    <w:rsid w:val="00F5234B"/>
    <w:rsid w:val="00F5240C"/>
    <w:rsid w:val="00F52530"/>
    <w:rsid w:val="00F5261F"/>
    <w:rsid w:val="00F52663"/>
    <w:rsid w:val="00F527AF"/>
    <w:rsid w:val="00F52969"/>
    <w:rsid w:val="00F52D74"/>
    <w:rsid w:val="00F532AF"/>
    <w:rsid w:val="00F53C45"/>
    <w:rsid w:val="00F553D1"/>
    <w:rsid w:val="00F55617"/>
    <w:rsid w:val="00F55730"/>
    <w:rsid w:val="00F55777"/>
    <w:rsid w:val="00F55E83"/>
    <w:rsid w:val="00F55FC1"/>
    <w:rsid w:val="00F56BF3"/>
    <w:rsid w:val="00F571DF"/>
    <w:rsid w:val="00F57641"/>
    <w:rsid w:val="00F57B1A"/>
    <w:rsid w:val="00F57FA3"/>
    <w:rsid w:val="00F61565"/>
    <w:rsid w:val="00F6291D"/>
    <w:rsid w:val="00F62A67"/>
    <w:rsid w:val="00F62B1C"/>
    <w:rsid w:val="00F62F92"/>
    <w:rsid w:val="00F62FED"/>
    <w:rsid w:val="00F63285"/>
    <w:rsid w:val="00F6345F"/>
    <w:rsid w:val="00F6366A"/>
    <w:rsid w:val="00F639EB"/>
    <w:rsid w:val="00F6495C"/>
    <w:rsid w:val="00F65335"/>
    <w:rsid w:val="00F653AE"/>
    <w:rsid w:val="00F657C2"/>
    <w:rsid w:val="00F65DEB"/>
    <w:rsid w:val="00F65ECA"/>
    <w:rsid w:val="00F660C6"/>
    <w:rsid w:val="00F661BA"/>
    <w:rsid w:val="00F67078"/>
    <w:rsid w:val="00F6719C"/>
    <w:rsid w:val="00F67C65"/>
    <w:rsid w:val="00F67E90"/>
    <w:rsid w:val="00F711B5"/>
    <w:rsid w:val="00F72837"/>
    <w:rsid w:val="00F739BE"/>
    <w:rsid w:val="00F74783"/>
    <w:rsid w:val="00F74CD7"/>
    <w:rsid w:val="00F75169"/>
    <w:rsid w:val="00F75A55"/>
    <w:rsid w:val="00F75C9B"/>
    <w:rsid w:val="00F76406"/>
    <w:rsid w:val="00F76731"/>
    <w:rsid w:val="00F7677A"/>
    <w:rsid w:val="00F76A74"/>
    <w:rsid w:val="00F76CA2"/>
    <w:rsid w:val="00F7756F"/>
    <w:rsid w:val="00F7774B"/>
    <w:rsid w:val="00F806F4"/>
    <w:rsid w:val="00F80DEB"/>
    <w:rsid w:val="00F8223F"/>
    <w:rsid w:val="00F82895"/>
    <w:rsid w:val="00F82BF8"/>
    <w:rsid w:val="00F83E33"/>
    <w:rsid w:val="00F841D7"/>
    <w:rsid w:val="00F84306"/>
    <w:rsid w:val="00F8507E"/>
    <w:rsid w:val="00F85779"/>
    <w:rsid w:val="00F869C6"/>
    <w:rsid w:val="00F86AB4"/>
    <w:rsid w:val="00F8758B"/>
    <w:rsid w:val="00F87814"/>
    <w:rsid w:val="00F90528"/>
    <w:rsid w:val="00F907C4"/>
    <w:rsid w:val="00F9110F"/>
    <w:rsid w:val="00F91393"/>
    <w:rsid w:val="00F91DFC"/>
    <w:rsid w:val="00F92276"/>
    <w:rsid w:val="00F925F7"/>
    <w:rsid w:val="00F92889"/>
    <w:rsid w:val="00F938DE"/>
    <w:rsid w:val="00F95C99"/>
    <w:rsid w:val="00F95F44"/>
    <w:rsid w:val="00F96597"/>
    <w:rsid w:val="00FA04F9"/>
    <w:rsid w:val="00FA0EF8"/>
    <w:rsid w:val="00FA1408"/>
    <w:rsid w:val="00FA1693"/>
    <w:rsid w:val="00FA2739"/>
    <w:rsid w:val="00FA3352"/>
    <w:rsid w:val="00FA42BA"/>
    <w:rsid w:val="00FA432B"/>
    <w:rsid w:val="00FA493A"/>
    <w:rsid w:val="00FA4B61"/>
    <w:rsid w:val="00FA506F"/>
    <w:rsid w:val="00FA52FD"/>
    <w:rsid w:val="00FA5404"/>
    <w:rsid w:val="00FA5FA6"/>
    <w:rsid w:val="00FA6660"/>
    <w:rsid w:val="00FA672E"/>
    <w:rsid w:val="00FA69C9"/>
    <w:rsid w:val="00FA6C0E"/>
    <w:rsid w:val="00FA71D5"/>
    <w:rsid w:val="00FB01FF"/>
    <w:rsid w:val="00FB0A81"/>
    <w:rsid w:val="00FB0B86"/>
    <w:rsid w:val="00FB10A3"/>
    <w:rsid w:val="00FB146B"/>
    <w:rsid w:val="00FB1691"/>
    <w:rsid w:val="00FB1B88"/>
    <w:rsid w:val="00FB1E98"/>
    <w:rsid w:val="00FB1F78"/>
    <w:rsid w:val="00FB2A32"/>
    <w:rsid w:val="00FB3B4B"/>
    <w:rsid w:val="00FB3F78"/>
    <w:rsid w:val="00FB452B"/>
    <w:rsid w:val="00FB4641"/>
    <w:rsid w:val="00FB48CF"/>
    <w:rsid w:val="00FB4B58"/>
    <w:rsid w:val="00FB540F"/>
    <w:rsid w:val="00FB5461"/>
    <w:rsid w:val="00FB5519"/>
    <w:rsid w:val="00FB56E3"/>
    <w:rsid w:val="00FB5973"/>
    <w:rsid w:val="00FB598D"/>
    <w:rsid w:val="00FB5FA2"/>
    <w:rsid w:val="00FB62C9"/>
    <w:rsid w:val="00FB7656"/>
    <w:rsid w:val="00FB7821"/>
    <w:rsid w:val="00FC0B9C"/>
    <w:rsid w:val="00FC141E"/>
    <w:rsid w:val="00FC24E5"/>
    <w:rsid w:val="00FC2684"/>
    <w:rsid w:val="00FC2F15"/>
    <w:rsid w:val="00FC31DD"/>
    <w:rsid w:val="00FC35AC"/>
    <w:rsid w:val="00FC3E5F"/>
    <w:rsid w:val="00FC68C7"/>
    <w:rsid w:val="00FC6E9E"/>
    <w:rsid w:val="00FC7596"/>
    <w:rsid w:val="00FD0507"/>
    <w:rsid w:val="00FD1879"/>
    <w:rsid w:val="00FD1E4E"/>
    <w:rsid w:val="00FD22AE"/>
    <w:rsid w:val="00FD270B"/>
    <w:rsid w:val="00FD2B54"/>
    <w:rsid w:val="00FD2E37"/>
    <w:rsid w:val="00FD4242"/>
    <w:rsid w:val="00FD46E9"/>
    <w:rsid w:val="00FD4868"/>
    <w:rsid w:val="00FD4936"/>
    <w:rsid w:val="00FD54E2"/>
    <w:rsid w:val="00FD68B1"/>
    <w:rsid w:val="00FD7038"/>
    <w:rsid w:val="00FD7BD2"/>
    <w:rsid w:val="00FD7F70"/>
    <w:rsid w:val="00FDB2F0"/>
    <w:rsid w:val="00FE0231"/>
    <w:rsid w:val="00FE05F6"/>
    <w:rsid w:val="00FE0851"/>
    <w:rsid w:val="00FE0B59"/>
    <w:rsid w:val="00FE0FFE"/>
    <w:rsid w:val="00FE2C94"/>
    <w:rsid w:val="00FE3B9D"/>
    <w:rsid w:val="00FE3DFF"/>
    <w:rsid w:val="00FE4098"/>
    <w:rsid w:val="00FE4157"/>
    <w:rsid w:val="00FE415C"/>
    <w:rsid w:val="00FE4476"/>
    <w:rsid w:val="00FE4B5B"/>
    <w:rsid w:val="00FE4D4F"/>
    <w:rsid w:val="00FE4D61"/>
    <w:rsid w:val="00FE6079"/>
    <w:rsid w:val="00FE6173"/>
    <w:rsid w:val="00FE6A86"/>
    <w:rsid w:val="00FE7E4A"/>
    <w:rsid w:val="00FF115F"/>
    <w:rsid w:val="00FF19EC"/>
    <w:rsid w:val="00FF2390"/>
    <w:rsid w:val="00FF2776"/>
    <w:rsid w:val="00FF490E"/>
    <w:rsid w:val="00FF5553"/>
    <w:rsid w:val="00FF61D5"/>
    <w:rsid w:val="00FF6A0A"/>
    <w:rsid w:val="00FF715A"/>
    <w:rsid w:val="00FF7223"/>
    <w:rsid w:val="00FF780C"/>
    <w:rsid w:val="00FF7A38"/>
    <w:rsid w:val="0120FCB6"/>
    <w:rsid w:val="013B02B0"/>
    <w:rsid w:val="014DFF1C"/>
    <w:rsid w:val="0167D343"/>
    <w:rsid w:val="016EEC04"/>
    <w:rsid w:val="01714194"/>
    <w:rsid w:val="017E57BF"/>
    <w:rsid w:val="0181DCD5"/>
    <w:rsid w:val="0183DB67"/>
    <w:rsid w:val="01A5FC9D"/>
    <w:rsid w:val="01A800C1"/>
    <w:rsid w:val="01B7EBAA"/>
    <w:rsid w:val="01DFE419"/>
    <w:rsid w:val="01FA94F7"/>
    <w:rsid w:val="020210E6"/>
    <w:rsid w:val="025C8F0B"/>
    <w:rsid w:val="026B9ACF"/>
    <w:rsid w:val="026FF2B5"/>
    <w:rsid w:val="027A04C7"/>
    <w:rsid w:val="02A38B2A"/>
    <w:rsid w:val="02AC6D73"/>
    <w:rsid w:val="02B6E131"/>
    <w:rsid w:val="02D0E8C7"/>
    <w:rsid w:val="02FB82CA"/>
    <w:rsid w:val="032AB5EE"/>
    <w:rsid w:val="03608290"/>
    <w:rsid w:val="03656F32"/>
    <w:rsid w:val="036F4B8B"/>
    <w:rsid w:val="03759223"/>
    <w:rsid w:val="03783DC6"/>
    <w:rsid w:val="037ADB5C"/>
    <w:rsid w:val="03954B60"/>
    <w:rsid w:val="03F60C84"/>
    <w:rsid w:val="0400B7E6"/>
    <w:rsid w:val="0406B0DA"/>
    <w:rsid w:val="0485A7AB"/>
    <w:rsid w:val="0489E67F"/>
    <w:rsid w:val="048C6EDF"/>
    <w:rsid w:val="04A8C4C7"/>
    <w:rsid w:val="04B56899"/>
    <w:rsid w:val="04C68CD2"/>
    <w:rsid w:val="04D360FE"/>
    <w:rsid w:val="04E182C8"/>
    <w:rsid w:val="04E89FDA"/>
    <w:rsid w:val="04E9A531"/>
    <w:rsid w:val="04F10DFF"/>
    <w:rsid w:val="05272BCA"/>
    <w:rsid w:val="053F0F0A"/>
    <w:rsid w:val="0541C72B"/>
    <w:rsid w:val="055D7B70"/>
    <w:rsid w:val="057CC6E9"/>
    <w:rsid w:val="058035C8"/>
    <w:rsid w:val="058BF80C"/>
    <w:rsid w:val="05BA9C78"/>
    <w:rsid w:val="05C27DF9"/>
    <w:rsid w:val="05C2BD35"/>
    <w:rsid w:val="05FC58BA"/>
    <w:rsid w:val="060B0C4E"/>
    <w:rsid w:val="061899F7"/>
    <w:rsid w:val="063A0775"/>
    <w:rsid w:val="063E816F"/>
    <w:rsid w:val="0653D35B"/>
    <w:rsid w:val="065E2456"/>
    <w:rsid w:val="069524B8"/>
    <w:rsid w:val="069E2E9E"/>
    <w:rsid w:val="06C13C38"/>
    <w:rsid w:val="06F6CBAD"/>
    <w:rsid w:val="071BC7A9"/>
    <w:rsid w:val="0743810E"/>
    <w:rsid w:val="0748876F"/>
    <w:rsid w:val="074AB7AE"/>
    <w:rsid w:val="075E80CC"/>
    <w:rsid w:val="077F0858"/>
    <w:rsid w:val="079C39A9"/>
    <w:rsid w:val="07D7CD9D"/>
    <w:rsid w:val="07DC4012"/>
    <w:rsid w:val="07F83960"/>
    <w:rsid w:val="080B01C0"/>
    <w:rsid w:val="081E1DA0"/>
    <w:rsid w:val="08246D2A"/>
    <w:rsid w:val="08692A15"/>
    <w:rsid w:val="08CA3E52"/>
    <w:rsid w:val="08CF51F5"/>
    <w:rsid w:val="0905247C"/>
    <w:rsid w:val="09089DAF"/>
    <w:rsid w:val="09300C78"/>
    <w:rsid w:val="0937D3BE"/>
    <w:rsid w:val="0937ED6F"/>
    <w:rsid w:val="0950ADFB"/>
    <w:rsid w:val="0977A2E3"/>
    <w:rsid w:val="0985AA49"/>
    <w:rsid w:val="098B741D"/>
    <w:rsid w:val="0999FDF5"/>
    <w:rsid w:val="09CBA5A1"/>
    <w:rsid w:val="09D05AD3"/>
    <w:rsid w:val="09D0FD58"/>
    <w:rsid w:val="09D3D8B7"/>
    <w:rsid w:val="09D81E9D"/>
    <w:rsid w:val="09DEBFAB"/>
    <w:rsid w:val="09FD9458"/>
    <w:rsid w:val="0A0881C3"/>
    <w:rsid w:val="0A0ADA95"/>
    <w:rsid w:val="0A2781E2"/>
    <w:rsid w:val="0A36A704"/>
    <w:rsid w:val="0A36D944"/>
    <w:rsid w:val="0A37788E"/>
    <w:rsid w:val="0A3835E3"/>
    <w:rsid w:val="0A3EB612"/>
    <w:rsid w:val="0A60893C"/>
    <w:rsid w:val="0A680036"/>
    <w:rsid w:val="0A6B9766"/>
    <w:rsid w:val="0A8C1243"/>
    <w:rsid w:val="0AA97E7E"/>
    <w:rsid w:val="0AB96644"/>
    <w:rsid w:val="0AC8A89E"/>
    <w:rsid w:val="0AF911E6"/>
    <w:rsid w:val="0B0D3955"/>
    <w:rsid w:val="0B18905F"/>
    <w:rsid w:val="0B4CFFA8"/>
    <w:rsid w:val="0B68552A"/>
    <w:rsid w:val="0B6C0DB9"/>
    <w:rsid w:val="0B7B80C1"/>
    <w:rsid w:val="0B90E27B"/>
    <w:rsid w:val="0B9E7F30"/>
    <w:rsid w:val="0BA3EF99"/>
    <w:rsid w:val="0BAB5D44"/>
    <w:rsid w:val="0BF734B9"/>
    <w:rsid w:val="0C20CED1"/>
    <w:rsid w:val="0C2A2628"/>
    <w:rsid w:val="0C46715F"/>
    <w:rsid w:val="0C490162"/>
    <w:rsid w:val="0C6F9EAE"/>
    <w:rsid w:val="0C9DD358"/>
    <w:rsid w:val="0CAB7066"/>
    <w:rsid w:val="0CABAB53"/>
    <w:rsid w:val="0CC311BC"/>
    <w:rsid w:val="0CC649E5"/>
    <w:rsid w:val="0CC9173F"/>
    <w:rsid w:val="0CE58C52"/>
    <w:rsid w:val="0D02284F"/>
    <w:rsid w:val="0D1A7595"/>
    <w:rsid w:val="0D21D729"/>
    <w:rsid w:val="0D3C6838"/>
    <w:rsid w:val="0D402C45"/>
    <w:rsid w:val="0D667FF7"/>
    <w:rsid w:val="0D7FEF83"/>
    <w:rsid w:val="0D92FBC7"/>
    <w:rsid w:val="0DE69299"/>
    <w:rsid w:val="0E00C2F3"/>
    <w:rsid w:val="0E37D1F4"/>
    <w:rsid w:val="0E3BD066"/>
    <w:rsid w:val="0E437ACC"/>
    <w:rsid w:val="0E621C14"/>
    <w:rsid w:val="0E63D0FA"/>
    <w:rsid w:val="0E78841C"/>
    <w:rsid w:val="0E8131C8"/>
    <w:rsid w:val="0EAC0A75"/>
    <w:rsid w:val="0ED8E9C3"/>
    <w:rsid w:val="0EE09357"/>
    <w:rsid w:val="0EF21683"/>
    <w:rsid w:val="0EF2D2C8"/>
    <w:rsid w:val="0EF9AD03"/>
    <w:rsid w:val="0F0F4F1E"/>
    <w:rsid w:val="0F354A0D"/>
    <w:rsid w:val="0F3D6C3B"/>
    <w:rsid w:val="0F3EBABA"/>
    <w:rsid w:val="0F697D09"/>
    <w:rsid w:val="0F73BD08"/>
    <w:rsid w:val="0FAFC18B"/>
    <w:rsid w:val="0FFAB5A1"/>
    <w:rsid w:val="1021CF97"/>
    <w:rsid w:val="1024D333"/>
    <w:rsid w:val="1025D08B"/>
    <w:rsid w:val="10368493"/>
    <w:rsid w:val="103E0A57"/>
    <w:rsid w:val="106E3867"/>
    <w:rsid w:val="107216C4"/>
    <w:rsid w:val="10959DC9"/>
    <w:rsid w:val="10B54FCD"/>
    <w:rsid w:val="10C3518F"/>
    <w:rsid w:val="10CCA8EE"/>
    <w:rsid w:val="10E202BF"/>
    <w:rsid w:val="10EE7894"/>
    <w:rsid w:val="10FB4D1D"/>
    <w:rsid w:val="110D10A7"/>
    <w:rsid w:val="11333CBB"/>
    <w:rsid w:val="115E3446"/>
    <w:rsid w:val="115EAD5C"/>
    <w:rsid w:val="1160C148"/>
    <w:rsid w:val="1184DEAE"/>
    <w:rsid w:val="1186EFB7"/>
    <w:rsid w:val="11B2C275"/>
    <w:rsid w:val="11E6768B"/>
    <w:rsid w:val="11E940A4"/>
    <w:rsid w:val="1215EE57"/>
    <w:rsid w:val="1224B350"/>
    <w:rsid w:val="1239BBB8"/>
    <w:rsid w:val="125EE0E2"/>
    <w:rsid w:val="127BC300"/>
    <w:rsid w:val="12945FB7"/>
    <w:rsid w:val="12B1C8AE"/>
    <w:rsid w:val="12BA03BC"/>
    <w:rsid w:val="12D2D10F"/>
    <w:rsid w:val="1358B913"/>
    <w:rsid w:val="135B4C89"/>
    <w:rsid w:val="13AC91B7"/>
    <w:rsid w:val="13AE1279"/>
    <w:rsid w:val="13AE35EE"/>
    <w:rsid w:val="13B687BB"/>
    <w:rsid w:val="13BAE4A4"/>
    <w:rsid w:val="13C70EC8"/>
    <w:rsid w:val="13C8E2A6"/>
    <w:rsid w:val="13C94F55"/>
    <w:rsid w:val="13D98273"/>
    <w:rsid w:val="13DA6190"/>
    <w:rsid w:val="13DCDED4"/>
    <w:rsid w:val="13E6FC61"/>
    <w:rsid w:val="13EF6970"/>
    <w:rsid w:val="1413C4C8"/>
    <w:rsid w:val="14763831"/>
    <w:rsid w:val="14778113"/>
    <w:rsid w:val="147A2645"/>
    <w:rsid w:val="148532B4"/>
    <w:rsid w:val="148EA72B"/>
    <w:rsid w:val="1499E01A"/>
    <w:rsid w:val="14A0FB79"/>
    <w:rsid w:val="14A9AD32"/>
    <w:rsid w:val="14C0CF82"/>
    <w:rsid w:val="14CE26C4"/>
    <w:rsid w:val="1525FC61"/>
    <w:rsid w:val="158DCE4E"/>
    <w:rsid w:val="158E3FA7"/>
    <w:rsid w:val="158FDECE"/>
    <w:rsid w:val="15A39F53"/>
    <w:rsid w:val="15AAF97A"/>
    <w:rsid w:val="15AE49FC"/>
    <w:rsid w:val="15BEF737"/>
    <w:rsid w:val="15D0738F"/>
    <w:rsid w:val="15D8DACB"/>
    <w:rsid w:val="161B5B82"/>
    <w:rsid w:val="1628FC45"/>
    <w:rsid w:val="163388E6"/>
    <w:rsid w:val="163E8D3A"/>
    <w:rsid w:val="164398CF"/>
    <w:rsid w:val="16457D93"/>
    <w:rsid w:val="165F58A0"/>
    <w:rsid w:val="1660ECA0"/>
    <w:rsid w:val="166797E8"/>
    <w:rsid w:val="16A26E5A"/>
    <w:rsid w:val="16A480DF"/>
    <w:rsid w:val="16C38206"/>
    <w:rsid w:val="16FF45F8"/>
    <w:rsid w:val="170B80BE"/>
    <w:rsid w:val="1724C8CD"/>
    <w:rsid w:val="17688B52"/>
    <w:rsid w:val="17991437"/>
    <w:rsid w:val="17A3EBFC"/>
    <w:rsid w:val="17E2C2D7"/>
    <w:rsid w:val="17E3184A"/>
    <w:rsid w:val="17F4E511"/>
    <w:rsid w:val="1802C261"/>
    <w:rsid w:val="1802D5BD"/>
    <w:rsid w:val="181DFE70"/>
    <w:rsid w:val="182399A0"/>
    <w:rsid w:val="183F6D40"/>
    <w:rsid w:val="18522EA9"/>
    <w:rsid w:val="185F47B0"/>
    <w:rsid w:val="18B41DC7"/>
    <w:rsid w:val="18B51135"/>
    <w:rsid w:val="18E0A511"/>
    <w:rsid w:val="18F6B848"/>
    <w:rsid w:val="1905D4E3"/>
    <w:rsid w:val="19063A9E"/>
    <w:rsid w:val="19087AC9"/>
    <w:rsid w:val="192FD105"/>
    <w:rsid w:val="197956DB"/>
    <w:rsid w:val="1980A54C"/>
    <w:rsid w:val="199DB925"/>
    <w:rsid w:val="19A52B4E"/>
    <w:rsid w:val="19D5A4B6"/>
    <w:rsid w:val="19DD4771"/>
    <w:rsid w:val="1A0052D2"/>
    <w:rsid w:val="1A0C667C"/>
    <w:rsid w:val="1A22D53E"/>
    <w:rsid w:val="1A3A5E16"/>
    <w:rsid w:val="1A3EDBB7"/>
    <w:rsid w:val="1A4742D4"/>
    <w:rsid w:val="1A5FA651"/>
    <w:rsid w:val="1A64C1A8"/>
    <w:rsid w:val="1A7D022B"/>
    <w:rsid w:val="1A85FC78"/>
    <w:rsid w:val="1AD127C1"/>
    <w:rsid w:val="1AD4AA3F"/>
    <w:rsid w:val="1AEA494D"/>
    <w:rsid w:val="1AEA6C09"/>
    <w:rsid w:val="1B348BED"/>
    <w:rsid w:val="1B3C838A"/>
    <w:rsid w:val="1B57D844"/>
    <w:rsid w:val="1B6DF7C3"/>
    <w:rsid w:val="1B8BBC84"/>
    <w:rsid w:val="1B930920"/>
    <w:rsid w:val="1B96CD5D"/>
    <w:rsid w:val="1B979798"/>
    <w:rsid w:val="1BB3BD6F"/>
    <w:rsid w:val="1BBD9796"/>
    <w:rsid w:val="1BD87EC8"/>
    <w:rsid w:val="1BD91C19"/>
    <w:rsid w:val="1BF15213"/>
    <w:rsid w:val="1BF3C79E"/>
    <w:rsid w:val="1C821FCF"/>
    <w:rsid w:val="1C8E1453"/>
    <w:rsid w:val="1CA561F8"/>
    <w:rsid w:val="1CABFF69"/>
    <w:rsid w:val="1CD0C86D"/>
    <w:rsid w:val="1CDA33F0"/>
    <w:rsid w:val="1D229E4B"/>
    <w:rsid w:val="1D2D4F51"/>
    <w:rsid w:val="1D3336A8"/>
    <w:rsid w:val="1D5D7598"/>
    <w:rsid w:val="1D8553E3"/>
    <w:rsid w:val="1D9249D6"/>
    <w:rsid w:val="1DA9A158"/>
    <w:rsid w:val="1DB3D33F"/>
    <w:rsid w:val="1DBE5ED9"/>
    <w:rsid w:val="1DDE07FE"/>
    <w:rsid w:val="1DFDB892"/>
    <w:rsid w:val="1E0B8945"/>
    <w:rsid w:val="1E0D4659"/>
    <w:rsid w:val="1E5B1600"/>
    <w:rsid w:val="1E9624BD"/>
    <w:rsid w:val="1EB538E9"/>
    <w:rsid w:val="1ED0950D"/>
    <w:rsid w:val="1EF3BD0F"/>
    <w:rsid w:val="1F1C00D6"/>
    <w:rsid w:val="1F2B2EDB"/>
    <w:rsid w:val="1F551EEB"/>
    <w:rsid w:val="1F6AEE79"/>
    <w:rsid w:val="1F96C16A"/>
    <w:rsid w:val="1F998B88"/>
    <w:rsid w:val="1FA389DA"/>
    <w:rsid w:val="1FC7D5A6"/>
    <w:rsid w:val="1FC916D4"/>
    <w:rsid w:val="1FE59B75"/>
    <w:rsid w:val="1FF98249"/>
    <w:rsid w:val="1FFC9576"/>
    <w:rsid w:val="2003E606"/>
    <w:rsid w:val="201B0A17"/>
    <w:rsid w:val="2031D7A2"/>
    <w:rsid w:val="203A7CDF"/>
    <w:rsid w:val="204508D5"/>
    <w:rsid w:val="2064A3FF"/>
    <w:rsid w:val="2071E53D"/>
    <w:rsid w:val="207C3674"/>
    <w:rsid w:val="20954DA0"/>
    <w:rsid w:val="209CFC55"/>
    <w:rsid w:val="209D9945"/>
    <w:rsid w:val="20A3F380"/>
    <w:rsid w:val="20AE99C0"/>
    <w:rsid w:val="2106D6BE"/>
    <w:rsid w:val="2108B936"/>
    <w:rsid w:val="2126E9DD"/>
    <w:rsid w:val="212AE62C"/>
    <w:rsid w:val="21378DF3"/>
    <w:rsid w:val="215BB79B"/>
    <w:rsid w:val="2163DBD6"/>
    <w:rsid w:val="217B1692"/>
    <w:rsid w:val="2198BBC8"/>
    <w:rsid w:val="219B661E"/>
    <w:rsid w:val="21BAA94B"/>
    <w:rsid w:val="21BD6AD7"/>
    <w:rsid w:val="21EC58DE"/>
    <w:rsid w:val="21F03DDC"/>
    <w:rsid w:val="2226112B"/>
    <w:rsid w:val="227AAFD5"/>
    <w:rsid w:val="22A2A266"/>
    <w:rsid w:val="22C8F0FE"/>
    <w:rsid w:val="22DC2A30"/>
    <w:rsid w:val="22FE4613"/>
    <w:rsid w:val="23092C50"/>
    <w:rsid w:val="233F116F"/>
    <w:rsid w:val="23439F24"/>
    <w:rsid w:val="23451C49"/>
    <w:rsid w:val="2348FB1E"/>
    <w:rsid w:val="234ECA06"/>
    <w:rsid w:val="2351E42B"/>
    <w:rsid w:val="2385219F"/>
    <w:rsid w:val="23854BCA"/>
    <w:rsid w:val="238EA00C"/>
    <w:rsid w:val="240C84A4"/>
    <w:rsid w:val="2411D9EC"/>
    <w:rsid w:val="241DE2AB"/>
    <w:rsid w:val="24298F5A"/>
    <w:rsid w:val="24306E59"/>
    <w:rsid w:val="243A5E76"/>
    <w:rsid w:val="245A8F93"/>
    <w:rsid w:val="24768E8E"/>
    <w:rsid w:val="24B81CAB"/>
    <w:rsid w:val="24CDA0BE"/>
    <w:rsid w:val="24DA0813"/>
    <w:rsid w:val="24F5FB17"/>
    <w:rsid w:val="25050CB9"/>
    <w:rsid w:val="252BE7EC"/>
    <w:rsid w:val="2530E4BF"/>
    <w:rsid w:val="25507057"/>
    <w:rsid w:val="258AD916"/>
    <w:rsid w:val="259302A7"/>
    <w:rsid w:val="25969719"/>
    <w:rsid w:val="25B47325"/>
    <w:rsid w:val="25C606C2"/>
    <w:rsid w:val="25CDB2C8"/>
    <w:rsid w:val="25ED07DF"/>
    <w:rsid w:val="262011D9"/>
    <w:rsid w:val="262CBFB6"/>
    <w:rsid w:val="262DFFFD"/>
    <w:rsid w:val="262EBDE1"/>
    <w:rsid w:val="2630D06C"/>
    <w:rsid w:val="263A2AFF"/>
    <w:rsid w:val="26679615"/>
    <w:rsid w:val="269E1C7B"/>
    <w:rsid w:val="26A98C99"/>
    <w:rsid w:val="26CD57E1"/>
    <w:rsid w:val="26EE00DA"/>
    <w:rsid w:val="26FB6302"/>
    <w:rsid w:val="27095BEA"/>
    <w:rsid w:val="270B35DF"/>
    <w:rsid w:val="271BA081"/>
    <w:rsid w:val="273288AE"/>
    <w:rsid w:val="2733D3B8"/>
    <w:rsid w:val="274912FD"/>
    <w:rsid w:val="2749AB87"/>
    <w:rsid w:val="27505F5A"/>
    <w:rsid w:val="27646D7E"/>
    <w:rsid w:val="276C34AB"/>
    <w:rsid w:val="2787801D"/>
    <w:rsid w:val="27B33696"/>
    <w:rsid w:val="27E5B37C"/>
    <w:rsid w:val="281DDE4C"/>
    <w:rsid w:val="283CAEAC"/>
    <w:rsid w:val="28603F44"/>
    <w:rsid w:val="287E333F"/>
    <w:rsid w:val="2897178F"/>
    <w:rsid w:val="28B50EE2"/>
    <w:rsid w:val="28C1D6CF"/>
    <w:rsid w:val="28C80604"/>
    <w:rsid w:val="28D5FC80"/>
    <w:rsid w:val="28F31207"/>
    <w:rsid w:val="28FB4F3E"/>
    <w:rsid w:val="2917503B"/>
    <w:rsid w:val="2923808B"/>
    <w:rsid w:val="29441CBD"/>
    <w:rsid w:val="294F8B01"/>
    <w:rsid w:val="297C872E"/>
    <w:rsid w:val="29896765"/>
    <w:rsid w:val="298A861C"/>
    <w:rsid w:val="298F7D78"/>
    <w:rsid w:val="29A0A2D4"/>
    <w:rsid w:val="29D1207C"/>
    <w:rsid w:val="29D29941"/>
    <w:rsid w:val="29ECCEF5"/>
    <w:rsid w:val="2A06D4EF"/>
    <w:rsid w:val="2A0D9368"/>
    <w:rsid w:val="2A32D635"/>
    <w:rsid w:val="2AB2C901"/>
    <w:rsid w:val="2ADADF40"/>
    <w:rsid w:val="2AF3EAB7"/>
    <w:rsid w:val="2B02EF1C"/>
    <w:rsid w:val="2B111D0F"/>
    <w:rsid w:val="2B16E5E4"/>
    <w:rsid w:val="2B808994"/>
    <w:rsid w:val="2B855535"/>
    <w:rsid w:val="2BBE8E02"/>
    <w:rsid w:val="2BCC211F"/>
    <w:rsid w:val="2BF7DDD9"/>
    <w:rsid w:val="2C015ED5"/>
    <w:rsid w:val="2C2E26A8"/>
    <w:rsid w:val="2C34FC63"/>
    <w:rsid w:val="2C52C13E"/>
    <w:rsid w:val="2C684D3C"/>
    <w:rsid w:val="2CA47EA7"/>
    <w:rsid w:val="2CA502A9"/>
    <w:rsid w:val="2CA5C73B"/>
    <w:rsid w:val="2CCA00A7"/>
    <w:rsid w:val="2CDBA931"/>
    <w:rsid w:val="2CE12F30"/>
    <w:rsid w:val="2CF3CA68"/>
    <w:rsid w:val="2CFBE05D"/>
    <w:rsid w:val="2D18CD5C"/>
    <w:rsid w:val="2D240311"/>
    <w:rsid w:val="2D35269D"/>
    <w:rsid w:val="2D45F21E"/>
    <w:rsid w:val="2D4FEFED"/>
    <w:rsid w:val="2D51A462"/>
    <w:rsid w:val="2DAAC769"/>
    <w:rsid w:val="2DB64D37"/>
    <w:rsid w:val="2DBF1D57"/>
    <w:rsid w:val="2E28BDD6"/>
    <w:rsid w:val="2E58A862"/>
    <w:rsid w:val="2E7DB975"/>
    <w:rsid w:val="2E851014"/>
    <w:rsid w:val="2E91BD41"/>
    <w:rsid w:val="2E9A4F7E"/>
    <w:rsid w:val="2ECB27AF"/>
    <w:rsid w:val="2ED0988F"/>
    <w:rsid w:val="2ED1F163"/>
    <w:rsid w:val="2EE65263"/>
    <w:rsid w:val="2EEB8A2E"/>
    <w:rsid w:val="2EF2E529"/>
    <w:rsid w:val="2EF70D5B"/>
    <w:rsid w:val="2F05E409"/>
    <w:rsid w:val="2F0DBE4B"/>
    <w:rsid w:val="2F0E8B6D"/>
    <w:rsid w:val="2F1A242C"/>
    <w:rsid w:val="2F6DB4F0"/>
    <w:rsid w:val="2F80E4A4"/>
    <w:rsid w:val="2FA193FD"/>
    <w:rsid w:val="2FEA2D57"/>
    <w:rsid w:val="2FFCB94A"/>
    <w:rsid w:val="300A79E8"/>
    <w:rsid w:val="301ED897"/>
    <w:rsid w:val="303D4BED"/>
    <w:rsid w:val="3058A677"/>
    <w:rsid w:val="30786EF1"/>
    <w:rsid w:val="30975526"/>
    <w:rsid w:val="309F7AEB"/>
    <w:rsid w:val="30AF63B2"/>
    <w:rsid w:val="30BD4382"/>
    <w:rsid w:val="30E84782"/>
    <w:rsid w:val="30F7EC36"/>
    <w:rsid w:val="31131FAB"/>
    <w:rsid w:val="31204A73"/>
    <w:rsid w:val="312A3A6A"/>
    <w:rsid w:val="31345D1E"/>
    <w:rsid w:val="314E9A23"/>
    <w:rsid w:val="31539C01"/>
    <w:rsid w:val="316FD45E"/>
    <w:rsid w:val="318B017B"/>
    <w:rsid w:val="319EB78C"/>
    <w:rsid w:val="31B192BF"/>
    <w:rsid w:val="320B1982"/>
    <w:rsid w:val="3216A8CC"/>
    <w:rsid w:val="3226536F"/>
    <w:rsid w:val="3244D147"/>
    <w:rsid w:val="32B88385"/>
    <w:rsid w:val="32D90C7D"/>
    <w:rsid w:val="32E249CC"/>
    <w:rsid w:val="3300FD63"/>
    <w:rsid w:val="330C5CEE"/>
    <w:rsid w:val="3316D7B8"/>
    <w:rsid w:val="333A17C3"/>
    <w:rsid w:val="333ED9FB"/>
    <w:rsid w:val="336F93B4"/>
    <w:rsid w:val="33731050"/>
    <w:rsid w:val="3373C2BF"/>
    <w:rsid w:val="33863506"/>
    <w:rsid w:val="338DA3E5"/>
    <w:rsid w:val="33A548E8"/>
    <w:rsid w:val="33B938AC"/>
    <w:rsid w:val="33BB19B8"/>
    <w:rsid w:val="33D7D587"/>
    <w:rsid w:val="34070F65"/>
    <w:rsid w:val="343B5FC9"/>
    <w:rsid w:val="344B5611"/>
    <w:rsid w:val="345B46F8"/>
    <w:rsid w:val="34681597"/>
    <w:rsid w:val="348F385D"/>
    <w:rsid w:val="3491AE74"/>
    <w:rsid w:val="34C553BC"/>
    <w:rsid w:val="34E59854"/>
    <w:rsid w:val="34FC2589"/>
    <w:rsid w:val="35305A34"/>
    <w:rsid w:val="3539E98A"/>
    <w:rsid w:val="354B35E9"/>
    <w:rsid w:val="354DBD0C"/>
    <w:rsid w:val="35676869"/>
    <w:rsid w:val="358259E9"/>
    <w:rsid w:val="35A8A716"/>
    <w:rsid w:val="35AFB894"/>
    <w:rsid w:val="35B87459"/>
    <w:rsid w:val="35CB1F15"/>
    <w:rsid w:val="35E9D5EC"/>
    <w:rsid w:val="3601E219"/>
    <w:rsid w:val="361292EF"/>
    <w:rsid w:val="3616520D"/>
    <w:rsid w:val="36257E8E"/>
    <w:rsid w:val="362CD31F"/>
    <w:rsid w:val="363DC772"/>
    <w:rsid w:val="36600F46"/>
    <w:rsid w:val="36635711"/>
    <w:rsid w:val="36791812"/>
    <w:rsid w:val="36AA43DA"/>
    <w:rsid w:val="36AC0F8C"/>
    <w:rsid w:val="36D80410"/>
    <w:rsid w:val="36DB1FCA"/>
    <w:rsid w:val="36DD3FFB"/>
    <w:rsid w:val="3713A07B"/>
    <w:rsid w:val="371D4F2C"/>
    <w:rsid w:val="372319A1"/>
    <w:rsid w:val="3725945F"/>
    <w:rsid w:val="37353A04"/>
    <w:rsid w:val="37429621"/>
    <w:rsid w:val="374FC144"/>
    <w:rsid w:val="3794850A"/>
    <w:rsid w:val="379BE259"/>
    <w:rsid w:val="37F66537"/>
    <w:rsid w:val="38036A15"/>
    <w:rsid w:val="380B995E"/>
    <w:rsid w:val="3836B408"/>
    <w:rsid w:val="3843443D"/>
    <w:rsid w:val="38606AC6"/>
    <w:rsid w:val="38859747"/>
    <w:rsid w:val="38AC0A6A"/>
    <w:rsid w:val="38E209C8"/>
    <w:rsid w:val="38ED5FE7"/>
    <w:rsid w:val="3909F8B1"/>
    <w:rsid w:val="39299195"/>
    <w:rsid w:val="393669E9"/>
    <w:rsid w:val="393BB95C"/>
    <w:rsid w:val="393EB52C"/>
    <w:rsid w:val="395FD113"/>
    <w:rsid w:val="3987D8AF"/>
    <w:rsid w:val="39AEA9FF"/>
    <w:rsid w:val="39BAFC5B"/>
    <w:rsid w:val="39C5A3E5"/>
    <w:rsid w:val="39EB7C66"/>
    <w:rsid w:val="39EF31CC"/>
    <w:rsid w:val="3A148C47"/>
    <w:rsid w:val="3A1B6C52"/>
    <w:rsid w:val="3A2CDED8"/>
    <w:rsid w:val="3A74A1C6"/>
    <w:rsid w:val="3A7CB3A5"/>
    <w:rsid w:val="3AA0505E"/>
    <w:rsid w:val="3AB075FE"/>
    <w:rsid w:val="3AB50BAB"/>
    <w:rsid w:val="3AB9F73B"/>
    <w:rsid w:val="3ACFED8D"/>
    <w:rsid w:val="3AD0CD41"/>
    <w:rsid w:val="3B032F6A"/>
    <w:rsid w:val="3B1E79F2"/>
    <w:rsid w:val="3B216925"/>
    <w:rsid w:val="3B36C0E0"/>
    <w:rsid w:val="3B83C170"/>
    <w:rsid w:val="3B8F0BBB"/>
    <w:rsid w:val="3BAE53AE"/>
    <w:rsid w:val="3BC148A9"/>
    <w:rsid w:val="3BC3B131"/>
    <w:rsid w:val="3BCB5C25"/>
    <w:rsid w:val="3BCCDF27"/>
    <w:rsid w:val="3BF71466"/>
    <w:rsid w:val="3BFFAC52"/>
    <w:rsid w:val="3C0823A1"/>
    <w:rsid w:val="3C086DE0"/>
    <w:rsid w:val="3C21CB39"/>
    <w:rsid w:val="3C2E447D"/>
    <w:rsid w:val="3C4C37F8"/>
    <w:rsid w:val="3C4CD587"/>
    <w:rsid w:val="3C648E3C"/>
    <w:rsid w:val="3CB8E1F0"/>
    <w:rsid w:val="3CDF0237"/>
    <w:rsid w:val="3CE0AE17"/>
    <w:rsid w:val="3CE8F2D9"/>
    <w:rsid w:val="3D3C3F8A"/>
    <w:rsid w:val="3D4666FC"/>
    <w:rsid w:val="3D6CB417"/>
    <w:rsid w:val="3D7A3DEB"/>
    <w:rsid w:val="3D996083"/>
    <w:rsid w:val="3DC2E11E"/>
    <w:rsid w:val="3DE81150"/>
    <w:rsid w:val="3E19F148"/>
    <w:rsid w:val="3E3D692A"/>
    <w:rsid w:val="3E3DFAE6"/>
    <w:rsid w:val="3E465C41"/>
    <w:rsid w:val="3E6B429D"/>
    <w:rsid w:val="3E79F97D"/>
    <w:rsid w:val="3EA97A92"/>
    <w:rsid w:val="3EC91E4F"/>
    <w:rsid w:val="3EF0712A"/>
    <w:rsid w:val="3EF2BAD8"/>
    <w:rsid w:val="3F00ECA0"/>
    <w:rsid w:val="3F245366"/>
    <w:rsid w:val="3F4052F9"/>
    <w:rsid w:val="3F53B26D"/>
    <w:rsid w:val="3F558C07"/>
    <w:rsid w:val="3F68A631"/>
    <w:rsid w:val="3F6FE523"/>
    <w:rsid w:val="3F81D208"/>
    <w:rsid w:val="3F9BFA03"/>
    <w:rsid w:val="3FA7A98B"/>
    <w:rsid w:val="3FB26CA9"/>
    <w:rsid w:val="3FB3E76A"/>
    <w:rsid w:val="3FBD9647"/>
    <w:rsid w:val="3FBE78A1"/>
    <w:rsid w:val="3FCF8D31"/>
    <w:rsid w:val="3FD9059C"/>
    <w:rsid w:val="3FE62A0D"/>
    <w:rsid w:val="3FEAD025"/>
    <w:rsid w:val="4028E85F"/>
    <w:rsid w:val="402EE32B"/>
    <w:rsid w:val="4037ED8F"/>
    <w:rsid w:val="405E7350"/>
    <w:rsid w:val="409D4224"/>
    <w:rsid w:val="411BE75C"/>
    <w:rsid w:val="411EC9D4"/>
    <w:rsid w:val="412FE674"/>
    <w:rsid w:val="414587F4"/>
    <w:rsid w:val="4163EFDD"/>
    <w:rsid w:val="4175DA55"/>
    <w:rsid w:val="41BD097D"/>
    <w:rsid w:val="41CB7EE8"/>
    <w:rsid w:val="41D2C1F1"/>
    <w:rsid w:val="41DF50A5"/>
    <w:rsid w:val="41E0CC97"/>
    <w:rsid w:val="41E3E972"/>
    <w:rsid w:val="41EB9064"/>
    <w:rsid w:val="41EE732E"/>
    <w:rsid w:val="41F8420D"/>
    <w:rsid w:val="41F950E0"/>
    <w:rsid w:val="42167231"/>
    <w:rsid w:val="42319C0B"/>
    <w:rsid w:val="423A408A"/>
    <w:rsid w:val="4246CDDC"/>
    <w:rsid w:val="424D7045"/>
    <w:rsid w:val="42535A48"/>
    <w:rsid w:val="425D7052"/>
    <w:rsid w:val="42943D76"/>
    <w:rsid w:val="429A4EFB"/>
    <w:rsid w:val="429D4F92"/>
    <w:rsid w:val="429EF87F"/>
    <w:rsid w:val="42D03BD3"/>
    <w:rsid w:val="42D241D3"/>
    <w:rsid w:val="42E08978"/>
    <w:rsid w:val="42E9480B"/>
    <w:rsid w:val="42F8E435"/>
    <w:rsid w:val="4332EB96"/>
    <w:rsid w:val="43699C8D"/>
    <w:rsid w:val="437A1F5E"/>
    <w:rsid w:val="43804772"/>
    <w:rsid w:val="439BD364"/>
    <w:rsid w:val="43D4B4CD"/>
    <w:rsid w:val="43FDEFB4"/>
    <w:rsid w:val="4407B8D7"/>
    <w:rsid w:val="441C9817"/>
    <w:rsid w:val="442D2282"/>
    <w:rsid w:val="44337863"/>
    <w:rsid w:val="44448691"/>
    <w:rsid w:val="4445477B"/>
    <w:rsid w:val="4481FAF4"/>
    <w:rsid w:val="44BF2B52"/>
    <w:rsid w:val="44CE0073"/>
    <w:rsid w:val="44EFDAF3"/>
    <w:rsid w:val="4505EB89"/>
    <w:rsid w:val="45078562"/>
    <w:rsid w:val="453DDCA2"/>
    <w:rsid w:val="455C1A2C"/>
    <w:rsid w:val="4568828F"/>
    <w:rsid w:val="45702FF7"/>
    <w:rsid w:val="4576F951"/>
    <w:rsid w:val="45B91828"/>
    <w:rsid w:val="45CBC966"/>
    <w:rsid w:val="45D920F9"/>
    <w:rsid w:val="45DE4E08"/>
    <w:rsid w:val="45E5EA5F"/>
    <w:rsid w:val="45F07AE4"/>
    <w:rsid w:val="46250F05"/>
    <w:rsid w:val="462C6759"/>
    <w:rsid w:val="465C49C5"/>
    <w:rsid w:val="46608C55"/>
    <w:rsid w:val="466A4479"/>
    <w:rsid w:val="46712B91"/>
    <w:rsid w:val="4680524C"/>
    <w:rsid w:val="468A62FF"/>
    <w:rsid w:val="4695EC84"/>
    <w:rsid w:val="46A5246A"/>
    <w:rsid w:val="46A96E62"/>
    <w:rsid w:val="46B2C1C8"/>
    <w:rsid w:val="46E478CB"/>
    <w:rsid w:val="46E9BC50"/>
    <w:rsid w:val="47780568"/>
    <w:rsid w:val="47CD22F8"/>
    <w:rsid w:val="47D756B2"/>
    <w:rsid w:val="47E06857"/>
    <w:rsid w:val="47E97219"/>
    <w:rsid w:val="4860D935"/>
    <w:rsid w:val="4881F17E"/>
    <w:rsid w:val="488BFC9D"/>
    <w:rsid w:val="48A7F5B5"/>
    <w:rsid w:val="48BCF4D4"/>
    <w:rsid w:val="48C03231"/>
    <w:rsid w:val="48C45AE3"/>
    <w:rsid w:val="48CD6DC8"/>
    <w:rsid w:val="48D4A603"/>
    <w:rsid w:val="4938CD1F"/>
    <w:rsid w:val="494A5085"/>
    <w:rsid w:val="494E9CB4"/>
    <w:rsid w:val="494EA166"/>
    <w:rsid w:val="49699C84"/>
    <w:rsid w:val="496C318C"/>
    <w:rsid w:val="4970CCE2"/>
    <w:rsid w:val="4977D59E"/>
    <w:rsid w:val="49BD0B8F"/>
    <w:rsid w:val="49C66A6A"/>
    <w:rsid w:val="49D79AD7"/>
    <w:rsid w:val="49EA628A"/>
    <w:rsid w:val="49ECABD5"/>
    <w:rsid w:val="49F882CD"/>
    <w:rsid w:val="49F98C83"/>
    <w:rsid w:val="4A0975F9"/>
    <w:rsid w:val="4A09AF18"/>
    <w:rsid w:val="4A188369"/>
    <w:rsid w:val="4A1A5E41"/>
    <w:rsid w:val="4A2BF76D"/>
    <w:rsid w:val="4A43AF5E"/>
    <w:rsid w:val="4A56303F"/>
    <w:rsid w:val="4A80D351"/>
    <w:rsid w:val="4A9D5D1E"/>
    <w:rsid w:val="4AA81CB9"/>
    <w:rsid w:val="4AAC4B4A"/>
    <w:rsid w:val="4AB6793D"/>
    <w:rsid w:val="4ABDE26E"/>
    <w:rsid w:val="4ACE1A44"/>
    <w:rsid w:val="4AEBCA14"/>
    <w:rsid w:val="4AEF22EB"/>
    <w:rsid w:val="4B0717E1"/>
    <w:rsid w:val="4B0A81EA"/>
    <w:rsid w:val="4B1218D8"/>
    <w:rsid w:val="4B20E5CA"/>
    <w:rsid w:val="4B273A44"/>
    <w:rsid w:val="4B420F1D"/>
    <w:rsid w:val="4B67FD30"/>
    <w:rsid w:val="4B8BF36B"/>
    <w:rsid w:val="4B9F69A0"/>
    <w:rsid w:val="4BA9F1E7"/>
    <w:rsid w:val="4BB18B4B"/>
    <w:rsid w:val="4BC5887A"/>
    <w:rsid w:val="4BE6CF4F"/>
    <w:rsid w:val="4BE78777"/>
    <w:rsid w:val="4BE9F934"/>
    <w:rsid w:val="4BF348F9"/>
    <w:rsid w:val="4BF65C2F"/>
    <w:rsid w:val="4C3FFAB6"/>
    <w:rsid w:val="4C4E1931"/>
    <w:rsid w:val="4C4E23A6"/>
    <w:rsid w:val="4C504001"/>
    <w:rsid w:val="4C557EE8"/>
    <w:rsid w:val="4C9AD1C6"/>
    <w:rsid w:val="4CB40AE2"/>
    <w:rsid w:val="4CB4B18F"/>
    <w:rsid w:val="4CC8F925"/>
    <w:rsid w:val="4CCB08BB"/>
    <w:rsid w:val="4CD8B44D"/>
    <w:rsid w:val="4CEE7ABE"/>
    <w:rsid w:val="4D19B11F"/>
    <w:rsid w:val="4D1B6CEF"/>
    <w:rsid w:val="4D44C5BE"/>
    <w:rsid w:val="4D4BEFD8"/>
    <w:rsid w:val="4D52D439"/>
    <w:rsid w:val="4D5D863D"/>
    <w:rsid w:val="4D7385CD"/>
    <w:rsid w:val="4D77A9A2"/>
    <w:rsid w:val="4D7C84EF"/>
    <w:rsid w:val="4D94570E"/>
    <w:rsid w:val="4DBDD5DA"/>
    <w:rsid w:val="4DD7F379"/>
    <w:rsid w:val="4DEB83F2"/>
    <w:rsid w:val="4DEFB850"/>
    <w:rsid w:val="4DF852D4"/>
    <w:rsid w:val="4DFB8E01"/>
    <w:rsid w:val="4E085208"/>
    <w:rsid w:val="4E641CCC"/>
    <w:rsid w:val="4E8DF541"/>
    <w:rsid w:val="4EB6D90E"/>
    <w:rsid w:val="4ED8C6B9"/>
    <w:rsid w:val="4EE58AB8"/>
    <w:rsid w:val="4F088180"/>
    <w:rsid w:val="4F0A9770"/>
    <w:rsid w:val="4F244426"/>
    <w:rsid w:val="4F533124"/>
    <w:rsid w:val="4F5C7E4B"/>
    <w:rsid w:val="4F6ED4A0"/>
    <w:rsid w:val="4FB723F6"/>
    <w:rsid w:val="4FD76346"/>
    <w:rsid w:val="4FE81FBE"/>
    <w:rsid w:val="4FF45835"/>
    <w:rsid w:val="4FF58408"/>
    <w:rsid w:val="500F70C4"/>
    <w:rsid w:val="5029963B"/>
    <w:rsid w:val="50332436"/>
    <w:rsid w:val="50582808"/>
    <w:rsid w:val="505B6EBD"/>
    <w:rsid w:val="5074F382"/>
    <w:rsid w:val="5087C4ED"/>
    <w:rsid w:val="508B857D"/>
    <w:rsid w:val="50A66C3C"/>
    <w:rsid w:val="50AC9BFC"/>
    <w:rsid w:val="50AF8BC4"/>
    <w:rsid w:val="50BAE50A"/>
    <w:rsid w:val="50BE1DBB"/>
    <w:rsid w:val="50F39811"/>
    <w:rsid w:val="511DF0F5"/>
    <w:rsid w:val="51218F23"/>
    <w:rsid w:val="512D4076"/>
    <w:rsid w:val="512D56F7"/>
    <w:rsid w:val="513170D7"/>
    <w:rsid w:val="515D4E0E"/>
    <w:rsid w:val="516217E2"/>
    <w:rsid w:val="5164B749"/>
    <w:rsid w:val="516B3690"/>
    <w:rsid w:val="5173025C"/>
    <w:rsid w:val="5183173B"/>
    <w:rsid w:val="51C91D59"/>
    <w:rsid w:val="525FA276"/>
    <w:rsid w:val="526B8195"/>
    <w:rsid w:val="52BAFA7E"/>
    <w:rsid w:val="52C1A6C0"/>
    <w:rsid w:val="52D47988"/>
    <w:rsid w:val="52E598C7"/>
    <w:rsid w:val="52EA2566"/>
    <w:rsid w:val="52EB7A75"/>
    <w:rsid w:val="52F4CB65"/>
    <w:rsid w:val="5317D342"/>
    <w:rsid w:val="53251FC1"/>
    <w:rsid w:val="53253F43"/>
    <w:rsid w:val="532774FD"/>
    <w:rsid w:val="532B4F37"/>
    <w:rsid w:val="5330C5D1"/>
    <w:rsid w:val="534E1158"/>
    <w:rsid w:val="53545416"/>
    <w:rsid w:val="5360EAC0"/>
    <w:rsid w:val="53ABB34B"/>
    <w:rsid w:val="53AC37DC"/>
    <w:rsid w:val="53B940E9"/>
    <w:rsid w:val="53CE8B8C"/>
    <w:rsid w:val="53DD6788"/>
    <w:rsid w:val="53DD6CDE"/>
    <w:rsid w:val="53E54AAE"/>
    <w:rsid w:val="53E7D035"/>
    <w:rsid w:val="54055124"/>
    <w:rsid w:val="546241EB"/>
    <w:rsid w:val="549A6B29"/>
    <w:rsid w:val="549E1ABD"/>
    <w:rsid w:val="54BB00E5"/>
    <w:rsid w:val="55310155"/>
    <w:rsid w:val="5531203B"/>
    <w:rsid w:val="553120DF"/>
    <w:rsid w:val="55327CCA"/>
    <w:rsid w:val="5556CFA6"/>
    <w:rsid w:val="5565AE60"/>
    <w:rsid w:val="556645F5"/>
    <w:rsid w:val="5572A214"/>
    <w:rsid w:val="55967B9F"/>
    <w:rsid w:val="55A1532B"/>
    <w:rsid w:val="55A32257"/>
    <w:rsid w:val="55CB6191"/>
    <w:rsid w:val="55F47507"/>
    <w:rsid w:val="5600E010"/>
    <w:rsid w:val="563D71DA"/>
    <w:rsid w:val="564D361A"/>
    <w:rsid w:val="565B30EC"/>
    <w:rsid w:val="5663FE88"/>
    <w:rsid w:val="567E915D"/>
    <w:rsid w:val="5681F791"/>
    <w:rsid w:val="56A537D6"/>
    <w:rsid w:val="56AAC47D"/>
    <w:rsid w:val="56AF07F8"/>
    <w:rsid w:val="56B474A3"/>
    <w:rsid w:val="56B91850"/>
    <w:rsid w:val="56BEFE18"/>
    <w:rsid w:val="56EFF911"/>
    <w:rsid w:val="5700A99C"/>
    <w:rsid w:val="5701AFBF"/>
    <w:rsid w:val="570B27E3"/>
    <w:rsid w:val="5746A12A"/>
    <w:rsid w:val="574FB9EB"/>
    <w:rsid w:val="575796E2"/>
    <w:rsid w:val="576A61DF"/>
    <w:rsid w:val="5792D6E4"/>
    <w:rsid w:val="57B07F1D"/>
    <w:rsid w:val="57D3429F"/>
    <w:rsid w:val="57DB25D8"/>
    <w:rsid w:val="5802C8C2"/>
    <w:rsid w:val="585553AC"/>
    <w:rsid w:val="585DCA73"/>
    <w:rsid w:val="5864A9F4"/>
    <w:rsid w:val="587787B2"/>
    <w:rsid w:val="58808F56"/>
    <w:rsid w:val="5881DEA6"/>
    <w:rsid w:val="58A0978D"/>
    <w:rsid w:val="58BADBBA"/>
    <w:rsid w:val="58E47EFB"/>
    <w:rsid w:val="590F65A2"/>
    <w:rsid w:val="591E79A9"/>
    <w:rsid w:val="59653F40"/>
    <w:rsid w:val="59B3DCF4"/>
    <w:rsid w:val="59BB747B"/>
    <w:rsid w:val="59D46BED"/>
    <w:rsid w:val="59D47D06"/>
    <w:rsid w:val="5A030EAA"/>
    <w:rsid w:val="5A288AAA"/>
    <w:rsid w:val="5A3F2373"/>
    <w:rsid w:val="5A458A97"/>
    <w:rsid w:val="5A68A369"/>
    <w:rsid w:val="5A71FB4A"/>
    <w:rsid w:val="5A805639"/>
    <w:rsid w:val="5AA9958B"/>
    <w:rsid w:val="5AB15D57"/>
    <w:rsid w:val="5AB1B11E"/>
    <w:rsid w:val="5AB7EBEC"/>
    <w:rsid w:val="5ACDB77A"/>
    <w:rsid w:val="5ACEF85F"/>
    <w:rsid w:val="5AD95AAD"/>
    <w:rsid w:val="5ADF26FD"/>
    <w:rsid w:val="5AF0533D"/>
    <w:rsid w:val="5AF7D35F"/>
    <w:rsid w:val="5AFBD2CA"/>
    <w:rsid w:val="5AFDB650"/>
    <w:rsid w:val="5B047487"/>
    <w:rsid w:val="5B10DF16"/>
    <w:rsid w:val="5B2B5045"/>
    <w:rsid w:val="5B36C625"/>
    <w:rsid w:val="5B3B40F6"/>
    <w:rsid w:val="5B60340B"/>
    <w:rsid w:val="5B6148D3"/>
    <w:rsid w:val="5BA60EEA"/>
    <w:rsid w:val="5BB2F50A"/>
    <w:rsid w:val="5BC7DC8B"/>
    <w:rsid w:val="5BC851E2"/>
    <w:rsid w:val="5BC8FA1B"/>
    <w:rsid w:val="5C4A7953"/>
    <w:rsid w:val="5C6AC06B"/>
    <w:rsid w:val="5C7FA59D"/>
    <w:rsid w:val="5C80211F"/>
    <w:rsid w:val="5C809E38"/>
    <w:rsid w:val="5C985CFE"/>
    <w:rsid w:val="5CA78B39"/>
    <w:rsid w:val="5CBA22E6"/>
    <w:rsid w:val="5CE899AA"/>
    <w:rsid w:val="5D260DA5"/>
    <w:rsid w:val="5D39F1C5"/>
    <w:rsid w:val="5D40A20B"/>
    <w:rsid w:val="5D41DF4B"/>
    <w:rsid w:val="5D7131B2"/>
    <w:rsid w:val="5D985B73"/>
    <w:rsid w:val="5D9FA93C"/>
    <w:rsid w:val="5DA61E3A"/>
    <w:rsid w:val="5DAC5739"/>
    <w:rsid w:val="5DC4B8BD"/>
    <w:rsid w:val="5DDB9487"/>
    <w:rsid w:val="5DE41AB9"/>
    <w:rsid w:val="5E1D4A1F"/>
    <w:rsid w:val="5E2C345C"/>
    <w:rsid w:val="5E3DCCCB"/>
    <w:rsid w:val="5E40DBFF"/>
    <w:rsid w:val="5E57B1F3"/>
    <w:rsid w:val="5E6C0F5B"/>
    <w:rsid w:val="5E88A50B"/>
    <w:rsid w:val="5E9682E2"/>
    <w:rsid w:val="5E99AA6C"/>
    <w:rsid w:val="5EB63F4E"/>
    <w:rsid w:val="5EDB414A"/>
    <w:rsid w:val="5EDBFF67"/>
    <w:rsid w:val="5F027A8A"/>
    <w:rsid w:val="5F04672A"/>
    <w:rsid w:val="5F0D6FA2"/>
    <w:rsid w:val="5F19E29A"/>
    <w:rsid w:val="5F1BE283"/>
    <w:rsid w:val="5F1E9D43"/>
    <w:rsid w:val="5F1F554C"/>
    <w:rsid w:val="5F3FD821"/>
    <w:rsid w:val="5F4101AC"/>
    <w:rsid w:val="5F55BB2E"/>
    <w:rsid w:val="5F5C9E6D"/>
    <w:rsid w:val="5F5CF1F3"/>
    <w:rsid w:val="5F87112D"/>
    <w:rsid w:val="5F9DF318"/>
    <w:rsid w:val="5FDEC0E5"/>
    <w:rsid w:val="5FE81CD7"/>
    <w:rsid w:val="5FEEDC7D"/>
    <w:rsid w:val="6020A8F5"/>
    <w:rsid w:val="602AE21F"/>
    <w:rsid w:val="602E6ABC"/>
    <w:rsid w:val="60499CC2"/>
    <w:rsid w:val="605F2F35"/>
    <w:rsid w:val="608ABAE4"/>
    <w:rsid w:val="60929DFC"/>
    <w:rsid w:val="60F60982"/>
    <w:rsid w:val="6114A0CB"/>
    <w:rsid w:val="6127F925"/>
    <w:rsid w:val="6143CC11"/>
    <w:rsid w:val="614A0F76"/>
    <w:rsid w:val="614B6617"/>
    <w:rsid w:val="6153C345"/>
    <w:rsid w:val="6163B75E"/>
    <w:rsid w:val="6172ED56"/>
    <w:rsid w:val="6173DF52"/>
    <w:rsid w:val="619B6198"/>
    <w:rsid w:val="619CD798"/>
    <w:rsid w:val="61B980FE"/>
    <w:rsid w:val="61D87DD4"/>
    <w:rsid w:val="61D95459"/>
    <w:rsid w:val="6203ADE9"/>
    <w:rsid w:val="620F5D27"/>
    <w:rsid w:val="6215506E"/>
    <w:rsid w:val="621744D7"/>
    <w:rsid w:val="6225AFB6"/>
    <w:rsid w:val="6241A69E"/>
    <w:rsid w:val="627700E5"/>
    <w:rsid w:val="6287C27A"/>
    <w:rsid w:val="62940D08"/>
    <w:rsid w:val="629CB9CF"/>
    <w:rsid w:val="62A5EF1C"/>
    <w:rsid w:val="62C1CFBF"/>
    <w:rsid w:val="62DF9C72"/>
    <w:rsid w:val="630F86DF"/>
    <w:rsid w:val="6314BE92"/>
    <w:rsid w:val="63286D02"/>
    <w:rsid w:val="63295A34"/>
    <w:rsid w:val="6330E0A2"/>
    <w:rsid w:val="6341DEB1"/>
    <w:rsid w:val="63468A8D"/>
    <w:rsid w:val="6373FC5B"/>
    <w:rsid w:val="637D8EB5"/>
    <w:rsid w:val="63B120CF"/>
    <w:rsid w:val="63B20C08"/>
    <w:rsid w:val="63C67ED3"/>
    <w:rsid w:val="63C87771"/>
    <w:rsid w:val="6456CC16"/>
    <w:rsid w:val="64617300"/>
    <w:rsid w:val="6468B036"/>
    <w:rsid w:val="647DE92C"/>
    <w:rsid w:val="649552EB"/>
    <w:rsid w:val="64C29719"/>
    <w:rsid w:val="64CDF29C"/>
    <w:rsid w:val="64CF2088"/>
    <w:rsid w:val="64F667EB"/>
    <w:rsid w:val="64F7FACE"/>
    <w:rsid w:val="651ECE1C"/>
    <w:rsid w:val="652258A0"/>
    <w:rsid w:val="6525E252"/>
    <w:rsid w:val="6530FCF8"/>
    <w:rsid w:val="6531EC2E"/>
    <w:rsid w:val="6531FE24"/>
    <w:rsid w:val="654DF50A"/>
    <w:rsid w:val="6573B6BE"/>
    <w:rsid w:val="658BB966"/>
    <w:rsid w:val="65AA10C0"/>
    <w:rsid w:val="663C814A"/>
    <w:rsid w:val="664476D0"/>
    <w:rsid w:val="6644F4AD"/>
    <w:rsid w:val="6651D13B"/>
    <w:rsid w:val="66789780"/>
    <w:rsid w:val="6683BAAD"/>
    <w:rsid w:val="66A420DA"/>
    <w:rsid w:val="66A95506"/>
    <w:rsid w:val="66B8D5D3"/>
    <w:rsid w:val="66BEA373"/>
    <w:rsid w:val="66D5183D"/>
    <w:rsid w:val="671517C1"/>
    <w:rsid w:val="67590C7A"/>
    <w:rsid w:val="677EC5EE"/>
    <w:rsid w:val="679B1364"/>
    <w:rsid w:val="67A1B3A2"/>
    <w:rsid w:val="67A6F759"/>
    <w:rsid w:val="67E6891D"/>
    <w:rsid w:val="6817145E"/>
    <w:rsid w:val="683124A1"/>
    <w:rsid w:val="68354830"/>
    <w:rsid w:val="6851788B"/>
    <w:rsid w:val="687CA46C"/>
    <w:rsid w:val="68858507"/>
    <w:rsid w:val="688A410C"/>
    <w:rsid w:val="6890F584"/>
    <w:rsid w:val="68DF4123"/>
    <w:rsid w:val="68E389F1"/>
    <w:rsid w:val="68F79A67"/>
    <w:rsid w:val="68FDE4B0"/>
    <w:rsid w:val="690A9705"/>
    <w:rsid w:val="69100B24"/>
    <w:rsid w:val="691C424D"/>
    <w:rsid w:val="692B386A"/>
    <w:rsid w:val="69599F84"/>
    <w:rsid w:val="697DF849"/>
    <w:rsid w:val="69845E10"/>
    <w:rsid w:val="69A88CFE"/>
    <w:rsid w:val="69B52ED0"/>
    <w:rsid w:val="69BB3013"/>
    <w:rsid w:val="69E98B80"/>
    <w:rsid w:val="6A048BAD"/>
    <w:rsid w:val="6A095F90"/>
    <w:rsid w:val="6A16FCFB"/>
    <w:rsid w:val="6A3197CD"/>
    <w:rsid w:val="6A3D3249"/>
    <w:rsid w:val="6A99F138"/>
    <w:rsid w:val="6AA53883"/>
    <w:rsid w:val="6AEDBC46"/>
    <w:rsid w:val="6AF9F1B4"/>
    <w:rsid w:val="6B09C0CF"/>
    <w:rsid w:val="6B28E5E2"/>
    <w:rsid w:val="6B4CC215"/>
    <w:rsid w:val="6B5D60C3"/>
    <w:rsid w:val="6B71B9E1"/>
    <w:rsid w:val="6B71EAB4"/>
    <w:rsid w:val="6B7B2D97"/>
    <w:rsid w:val="6B80F950"/>
    <w:rsid w:val="6BA62A49"/>
    <w:rsid w:val="6BC719EF"/>
    <w:rsid w:val="6BEE15C5"/>
    <w:rsid w:val="6BFA6B0D"/>
    <w:rsid w:val="6C243E36"/>
    <w:rsid w:val="6C48B59E"/>
    <w:rsid w:val="6C4A22E9"/>
    <w:rsid w:val="6C4CD874"/>
    <w:rsid w:val="6C58AEC7"/>
    <w:rsid w:val="6C65A004"/>
    <w:rsid w:val="6C846894"/>
    <w:rsid w:val="6CA85046"/>
    <w:rsid w:val="6D0F22C1"/>
    <w:rsid w:val="6D1735C0"/>
    <w:rsid w:val="6D3CE185"/>
    <w:rsid w:val="6D4A88EE"/>
    <w:rsid w:val="6D4FFB1D"/>
    <w:rsid w:val="6D6223DE"/>
    <w:rsid w:val="6D9BCB14"/>
    <w:rsid w:val="6DD3DEB0"/>
    <w:rsid w:val="6DEA86E3"/>
    <w:rsid w:val="6DFD16FF"/>
    <w:rsid w:val="6E1F01C5"/>
    <w:rsid w:val="6E51A0E4"/>
    <w:rsid w:val="6E7BA355"/>
    <w:rsid w:val="6EA9F666"/>
    <w:rsid w:val="6EB324C7"/>
    <w:rsid w:val="6EF9D8CB"/>
    <w:rsid w:val="6F17DC27"/>
    <w:rsid w:val="6F2259E7"/>
    <w:rsid w:val="6F32C808"/>
    <w:rsid w:val="6F491567"/>
    <w:rsid w:val="6F5D0BD1"/>
    <w:rsid w:val="6F78102C"/>
    <w:rsid w:val="6F7E544C"/>
    <w:rsid w:val="6F8E0593"/>
    <w:rsid w:val="6F9D01F8"/>
    <w:rsid w:val="6FA00D12"/>
    <w:rsid w:val="6FAC9FB8"/>
    <w:rsid w:val="6FC475A3"/>
    <w:rsid w:val="6FF3468C"/>
    <w:rsid w:val="703EB3D2"/>
    <w:rsid w:val="7064ADEF"/>
    <w:rsid w:val="70A98C43"/>
    <w:rsid w:val="70F480AB"/>
    <w:rsid w:val="7102A842"/>
    <w:rsid w:val="710E7728"/>
    <w:rsid w:val="7129F7BE"/>
    <w:rsid w:val="7139B68A"/>
    <w:rsid w:val="7155AE96"/>
    <w:rsid w:val="7158D3EE"/>
    <w:rsid w:val="718B1731"/>
    <w:rsid w:val="7198F2F5"/>
    <w:rsid w:val="71A47B9F"/>
    <w:rsid w:val="71B0FC8B"/>
    <w:rsid w:val="71B46FBA"/>
    <w:rsid w:val="71BBBE22"/>
    <w:rsid w:val="71DF15D9"/>
    <w:rsid w:val="71E43F86"/>
    <w:rsid w:val="71EB80C6"/>
    <w:rsid w:val="71F1F239"/>
    <w:rsid w:val="720D005B"/>
    <w:rsid w:val="72400576"/>
    <w:rsid w:val="725C58A3"/>
    <w:rsid w:val="72601B81"/>
    <w:rsid w:val="72B2237C"/>
    <w:rsid w:val="72BE4A31"/>
    <w:rsid w:val="72D0C6B8"/>
    <w:rsid w:val="72F15FD2"/>
    <w:rsid w:val="72F3BA69"/>
    <w:rsid w:val="72F3E13A"/>
    <w:rsid w:val="72F718A8"/>
    <w:rsid w:val="73177706"/>
    <w:rsid w:val="732B10D0"/>
    <w:rsid w:val="73683610"/>
    <w:rsid w:val="738B529C"/>
    <w:rsid w:val="73937153"/>
    <w:rsid w:val="7396A937"/>
    <w:rsid w:val="739E3F87"/>
    <w:rsid w:val="73A3F145"/>
    <w:rsid w:val="73A47EEA"/>
    <w:rsid w:val="73A87A98"/>
    <w:rsid w:val="73B5EE55"/>
    <w:rsid w:val="73B65807"/>
    <w:rsid w:val="73D58905"/>
    <w:rsid w:val="73EF5972"/>
    <w:rsid w:val="74419573"/>
    <w:rsid w:val="7473DA70"/>
    <w:rsid w:val="748A313E"/>
    <w:rsid w:val="74CDE639"/>
    <w:rsid w:val="74E80B03"/>
    <w:rsid w:val="7515F5BB"/>
    <w:rsid w:val="751B143E"/>
    <w:rsid w:val="751C57BC"/>
    <w:rsid w:val="75253CF4"/>
    <w:rsid w:val="752715AD"/>
    <w:rsid w:val="756D29C5"/>
    <w:rsid w:val="758DDDDE"/>
    <w:rsid w:val="75BB33A0"/>
    <w:rsid w:val="75BB6547"/>
    <w:rsid w:val="75D4566C"/>
    <w:rsid w:val="7601A4C6"/>
    <w:rsid w:val="763CD23D"/>
    <w:rsid w:val="765E04ED"/>
    <w:rsid w:val="767B2EFC"/>
    <w:rsid w:val="769478ED"/>
    <w:rsid w:val="76A69913"/>
    <w:rsid w:val="76CD8CDD"/>
    <w:rsid w:val="76EC4195"/>
    <w:rsid w:val="7704888A"/>
    <w:rsid w:val="77185F77"/>
    <w:rsid w:val="7719AB16"/>
    <w:rsid w:val="77339F5E"/>
    <w:rsid w:val="773D1DB4"/>
    <w:rsid w:val="7742A7D3"/>
    <w:rsid w:val="7759C9D0"/>
    <w:rsid w:val="7776B5D7"/>
    <w:rsid w:val="77866D34"/>
    <w:rsid w:val="77B5A593"/>
    <w:rsid w:val="77B5AE77"/>
    <w:rsid w:val="77BFAB9E"/>
    <w:rsid w:val="77FEBF16"/>
    <w:rsid w:val="780E491C"/>
    <w:rsid w:val="78101302"/>
    <w:rsid w:val="7826DB7E"/>
    <w:rsid w:val="782CAC85"/>
    <w:rsid w:val="7841BAE8"/>
    <w:rsid w:val="7848598A"/>
    <w:rsid w:val="78718D1D"/>
    <w:rsid w:val="787AA5AE"/>
    <w:rsid w:val="7887D3F1"/>
    <w:rsid w:val="78887EE9"/>
    <w:rsid w:val="7895480B"/>
    <w:rsid w:val="78972977"/>
    <w:rsid w:val="78A31876"/>
    <w:rsid w:val="78DD8DD6"/>
    <w:rsid w:val="78E63137"/>
    <w:rsid w:val="78E89FED"/>
    <w:rsid w:val="78FEC766"/>
    <w:rsid w:val="79220C50"/>
    <w:rsid w:val="79356420"/>
    <w:rsid w:val="7979213C"/>
    <w:rsid w:val="798C89DA"/>
    <w:rsid w:val="799F5227"/>
    <w:rsid w:val="79BFD6E7"/>
    <w:rsid w:val="79F539E0"/>
    <w:rsid w:val="79FBD457"/>
    <w:rsid w:val="79FDCC8D"/>
    <w:rsid w:val="7A2952F4"/>
    <w:rsid w:val="7A3F3CA4"/>
    <w:rsid w:val="7A680327"/>
    <w:rsid w:val="7A70063F"/>
    <w:rsid w:val="7A74BE76"/>
    <w:rsid w:val="7A811797"/>
    <w:rsid w:val="7AAD6543"/>
    <w:rsid w:val="7AB5BB82"/>
    <w:rsid w:val="7AB975C7"/>
    <w:rsid w:val="7ABDA249"/>
    <w:rsid w:val="7ACC9D3A"/>
    <w:rsid w:val="7AD7246A"/>
    <w:rsid w:val="7ADD1BE9"/>
    <w:rsid w:val="7ADE85CD"/>
    <w:rsid w:val="7B2A3B23"/>
    <w:rsid w:val="7B419348"/>
    <w:rsid w:val="7B46B142"/>
    <w:rsid w:val="7B896D6F"/>
    <w:rsid w:val="7BA8F1DA"/>
    <w:rsid w:val="7BB0C6FB"/>
    <w:rsid w:val="7BBD7C9E"/>
    <w:rsid w:val="7BC26FDD"/>
    <w:rsid w:val="7BDCDAE9"/>
    <w:rsid w:val="7BEBEF5F"/>
    <w:rsid w:val="7C309AAB"/>
    <w:rsid w:val="7C40869F"/>
    <w:rsid w:val="7C43CD63"/>
    <w:rsid w:val="7C464FB5"/>
    <w:rsid w:val="7C6C45D2"/>
    <w:rsid w:val="7C6DC463"/>
    <w:rsid w:val="7C930B6D"/>
    <w:rsid w:val="7C93C8B7"/>
    <w:rsid w:val="7C9F47FF"/>
    <w:rsid w:val="7CD08DE8"/>
    <w:rsid w:val="7CD54382"/>
    <w:rsid w:val="7CD9FEF5"/>
    <w:rsid w:val="7CDB384B"/>
    <w:rsid w:val="7CE42C94"/>
    <w:rsid w:val="7CF305B4"/>
    <w:rsid w:val="7D0451CA"/>
    <w:rsid w:val="7D0C71CC"/>
    <w:rsid w:val="7D293BB6"/>
    <w:rsid w:val="7D66161E"/>
    <w:rsid w:val="7D71C6BE"/>
    <w:rsid w:val="7D9050B3"/>
    <w:rsid w:val="7DCA8F79"/>
    <w:rsid w:val="7DE30902"/>
    <w:rsid w:val="7E1CF7F2"/>
    <w:rsid w:val="7E2212B6"/>
    <w:rsid w:val="7E3D6AD7"/>
    <w:rsid w:val="7E598430"/>
    <w:rsid w:val="7E69AB02"/>
    <w:rsid w:val="7E8A779A"/>
    <w:rsid w:val="7E911AB8"/>
    <w:rsid w:val="7E9E19D1"/>
    <w:rsid w:val="7F06A6E7"/>
    <w:rsid w:val="7F09F740"/>
    <w:rsid w:val="7F125CF8"/>
    <w:rsid w:val="7F1E777E"/>
    <w:rsid w:val="7F225914"/>
    <w:rsid w:val="7F2F073C"/>
    <w:rsid w:val="7F353AA2"/>
    <w:rsid w:val="7F3CC97C"/>
    <w:rsid w:val="7F3D42B9"/>
    <w:rsid w:val="7F4F2CB0"/>
    <w:rsid w:val="7F534DB4"/>
    <w:rsid w:val="7F57E68E"/>
    <w:rsid w:val="7FC9F688"/>
    <w:rsid w:val="7FEAFA38"/>
    <w:rsid w:val="7FEC63EF"/>
    <w:rsid w:val="7FF4B8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EEA"/>
    <w:rPr>
      <w:rFonts w:ascii="Times New Roman" w:eastAsia="Times New Roman" w:hAnsi="Times New Roman" w:cs="Times New Roman"/>
    </w:rPr>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6A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nhideWhenUsed/>
    <w:qFormat/>
    <w:rsid w:val="003F7C70"/>
    <w:pPr>
      <w:numPr>
        <w:numId w:val="2"/>
      </w:numPr>
      <w:shd w:val="clear" w:color="auto" w:fill="FFFFFF"/>
      <w:spacing w:before="360" w:after="240"/>
      <w:ind w:left="7650"/>
      <w:contextualSpacing w:val="0"/>
      <w:jc w:val="both"/>
      <w:outlineLvl w:val="2"/>
    </w:pPr>
    <w:rPr>
      <w:rFonts w:ascii="Cambria" w:eastAsia="Yu Gothic Light" w:hAnsi="Cambria"/>
      <w:b/>
      <w:lang w:val="es-MX"/>
    </w:rPr>
  </w:style>
  <w:style w:type="paragraph" w:styleId="Heading4">
    <w:name w:val="heading 4"/>
    <w:basedOn w:val="Normal"/>
    <w:next w:val="Normal"/>
    <w:link w:val="Heading4Char"/>
    <w:uiPriority w:val="9"/>
    <w:unhideWhenUsed/>
    <w:qFormat/>
    <w:rsid w:val="00483FC9"/>
    <w:pPr>
      <w:keepNext/>
      <w:keepLines/>
      <w:spacing w:before="40"/>
      <w:outlineLvl w:val="3"/>
    </w:pPr>
    <w:rPr>
      <w:rFonts w:asciiTheme="majorHAnsi" w:eastAsiaTheme="majorEastAsia" w:hAnsiTheme="majorHAnsi" w:cstheme="majorBidi"/>
      <w:i/>
      <w:iCs/>
      <w:color w:val="2F5496" w:themeColor="accent1" w:themeShade="BF"/>
      <w:lang w:val="es-US"/>
    </w:rPr>
  </w:style>
  <w:style w:type="paragraph" w:styleId="Heading5">
    <w:name w:val="heading 5"/>
    <w:basedOn w:val="Normal"/>
    <w:next w:val="Normal"/>
    <w:link w:val="Heading5Char"/>
    <w:uiPriority w:val="9"/>
    <w:semiHidden/>
    <w:unhideWhenUsed/>
    <w:qFormat/>
    <w:rsid w:val="0010553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0553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553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553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553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Car1,Ca,fn,C,Texto nota pie C,5_G"/>
    <w:basedOn w:val="Normal"/>
    <w:link w:val="FootnoteTextChar"/>
    <w:uiPriority w:val="99"/>
    <w:unhideWhenUsed/>
    <w:qFormat/>
    <w:rsid w:val="00796A33"/>
    <w:rPr>
      <w:rFonts w:ascii="Cambria" w:hAnsi="Cambria"/>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796A33"/>
    <w:rPr>
      <w:rFonts w:ascii="Cambria" w:eastAsia="Calibri" w:hAnsi="Cambria" w:cs="Calibri"/>
      <w:sz w:val="16"/>
      <w:szCs w:val="20"/>
      <w:lang w:val="es-ES" w:eastAsia="es-US"/>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nhideWhenUsed/>
    <w:qFormat/>
    <w:rsid w:val="00E516AB"/>
    <w:rPr>
      <w:vertAlign w:val="superscript"/>
    </w:rPr>
  </w:style>
  <w:style w:type="paragraph" w:styleId="Caption">
    <w:name w:val="caption"/>
    <w:basedOn w:val="Normal"/>
    <w:next w:val="Normal"/>
    <w:uiPriority w:val="35"/>
    <w:unhideWhenUsed/>
    <w:qFormat/>
    <w:rsid w:val="00566CD0"/>
    <w:rPr>
      <w:i/>
      <w:iCs/>
      <w:color w:val="44546A" w:themeColor="text2"/>
      <w:sz w:val="18"/>
      <w:szCs w:val="18"/>
    </w:rPr>
  </w:style>
  <w:style w:type="character" w:customStyle="1" w:styleId="Heading3Char">
    <w:name w:val="Heading 3 Char"/>
    <w:basedOn w:val="DefaultParagraphFont"/>
    <w:link w:val="Heading3"/>
    <w:rsid w:val="003F7C70"/>
    <w:rPr>
      <w:rFonts w:ascii="Cambria" w:eastAsia="Yu Gothic Light" w:hAnsi="Cambria" w:cs="Times New Roman"/>
      <w:b/>
      <w:shd w:val="clear" w:color="auto" w:fill="FFFFFF"/>
      <w:lang w:val="es-MX"/>
    </w:rPr>
  </w:style>
  <w:style w:type="character" w:styleId="Hyperlink">
    <w:name w:val="Hyperlink"/>
    <w:aliases w:val="http://www.fantaproject.org/sites/default/files/resources/Guatemala-municipal-brief-English-June30.pdf"/>
    <w:uiPriority w:val="99"/>
    <w:unhideWhenUsed/>
    <w:rsid w:val="003F7C70"/>
    <w:rPr>
      <w:color w:val="0000FF"/>
      <w:u w:val="single"/>
    </w:rPr>
  </w:style>
  <w:style w:type="paragraph" w:customStyle="1" w:styleId="Refdenotaalpie">
    <w:name w:val="Ref. de nota al pie."/>
    <w:aliases w:val="Footnote symbol,Footnote,Ref. de nota al pi,f1,referencia nota al pi..."/>
    <w:basedOn w:val="Normal"/>
    <w:link w:val="FootnoteReference"/>
    <w:uiPriority w:val="99"/>
    <w:rsid w:val="003F7C70"/>
    <w:pPr>
      <w:spacing w:before="200" w:after="160" w:line="240" w:lineRule="exact"/>
    </w:pPr>
    <w:rPr>
      <w:rFonts w:asciiTheme="minorHAnsi" w:eastAsiaTheme="minorHAnsi" w:hAnsiTheme="minorHAnsi" w:cstheme="minorBidi"/>
      <w:vertAlign w:val="superscript"/>
    </w:rPr>
  </w:style>
  <w:style w:type="character" w:customStyle="1" w:styleId="Heading2Char">
    <w:name w:val="Heading 2 Char"/>
    <w:basedOn w:val="DefaultParagraphFont"/>
    <w:link w:val="Heading2"/>
    <w:uiPriority w:val="9"/>
    <w:rsid w:val="008E6A2C"/>
    <w:rPr>
      <w:rFonts w:asciiTheme="majorHAnsi" w:eastAsiaTheme="majorEastAsia" w:hAnsiTheme="majorHAnsi" w:cstheme="majorBidi"/>
      <w:color w:val="2F5496" w:themeColor="accent1" w:themeShade="BF"/>
      <w:sz w:val="26"/>
      <w:szCs w:val="26"/>
      <w:lang w:val="es-ES" w:eastAsia="es-US"/>
    </w:rPr>
  </w:style>
  <w:style w:type="character" w:customStyle="1" w:styleId="Heading4Char">
    <w:name w:val="Heading 4 Char"/>
    <w:basedOn w:val="DefaultParagraphFont"/>
    <w:link w:val="Heading4"/>
    <w:uiPriority w:val="9"/>
    <w:rsid w:val="00483FC9"/>
    <w:rPr>
      <w:rFonts w:asciiTheme="majorHAnsi" w:eastAsiaTheme="majorEastAsia" w:hAnsiTheme="majorHAnsi" w:cstheme="majorBidi"/>
      <w:i/>
      <w:iCs/>
      <w:color w:val="2F5496" w:themeColor="accent1" w:themeShade="BF"/>
      <w:lang w:val="es-US"/>
    </w:rPr>
  </w:style>
  <w:style w:type="character" w:customStyle="1" w:styleId="apple-converted-space">
    <w:name w:val="apple-converted-space"/>
    <w:basedOn w:val="DefaultParagraphFont"/>
    <w:rsid w:val="00C2669F"/>
  </w:style>
  <w:style w:type="character" w:styleId="FollowedHyperlink">
    <w:name w:val="FollowedHyperlink"/>
    <w:basedOn w:val="DefaultParagraphFont"/>
    <w:uiPriority w:val="99"/>
    <w:semiHidden/>
    <w:unhideWhenUsed/>
    <w:rsid w:val="006A09FE"/>
    <w:rPr>
      <w:color w:val="954F72" w:themeColor="followedHyperlink"/>
      <w:u w:val="single"/>
    </w:rPr>
  </w:style>
  <w:style w:type="character" w:styleId="UnresolvedMention">
    <w:name w:val="Unresolved Mention"/>
    <w:basedOn w:val="DefaultParagraphFont"/>
    <w:uiPriority w:val="99"/>
    <w:semiHidden/>
    <w:unhideWhenUsed/>
    <w:rsid w:val="006A09FE"/>
    <w:rPr>
      <w:color w:val="605E5C"/>
      <w:shd w:val="clear" w:color="auto" w:fill="E1DFDD"/>
    </w:rPr>
  </w:style>
  <w:style w:type="paragraph" w:styleId="NormalWeb">
    <w:name w:val="Normal (Web)"/>
    <w:basedOn w:val="Normal"/>
    <w:uiPriority w:val="99"/>
    <w:unhideWhenUsed/>
    <w:rsid w:val="00E45F94"/>
    <w:pPr>
      <w:spacing w:before="100" w:beforeAutospacing="1" w:after="100" w:afterAutospacing="1"/>
    </w:pPr>
    <w:rPr>
      <w:lang w:val="es-US" w:eastAsia="es-MX"/>
    </w:rPr>
  </w:style>
  <w:style w:type="paragraph" w:styleId="NoSpacing">
    <w:name w:val="No Spacing"/>
    <w:link w:val="NoSpacingChar"/>
    <w:uiPriority w:val="1"/>
    <w:qFormat/>
    <w:rsid w:val="0007778A"/>
    <w:rPr>
      <w:rFonts w:ascii="Calibri" w:eastAsia="Calibri" w:hAnsi="Calibri" w:cs="Calibri"/>
      <w:sz w:val="22"/>
      <w:szCs w:val="22"/>
      <w:lang w:val="es-ES" w:eastAsia="es-US"/>
    </w:rPr>
  </w:style>
  <w:style w:type="character" w:styleId="CommentReference">
    <w:name w:val="annotation reference"/>
    <w:basedOn w:val="DefaultParagraphFont"/>
    <w:uiPriority w:val="99"/>
    <w:semiHidden/>
    <w:unhideWhenUsed/>
    <w:rsid w:val="0080524A"/>
    <w:rPr>
      <w:sz w:val="16"/>
      <w:szCs w:val="16"/>
    </w:rPr>
  </w:style>
  <w:style w:type="paragraph" w:styleId="CommentText">
    <w:name w:val="annotation text"/>
    <w:basedOn w:val="Normal"/>
    <w:link w:val="CommentTextChar"/>
    <w:uiPriority w:val="99"/>
    <w:unhideWhenUsed/>
    <w:rsid w:val="0080524A"/>
    <w:rPr>
      <w:sz w:val="20"/>
      <w:szCs w:val="20"/>
    </w:rPr>
  </w:style>
  <w:style w:type="character" w:customStyle="1" w:styleId="CommentTextChar">
    <w:name w:val="Comment Text Char"/>
    <w:basedOn w:val="DefaultParagraphFont"/>
    <w:link w:val="CommentText"/>
    <w:uiPriority w:val="99"/>
    <w:rsid w:val="0080524A"/>
    <w:rPr>
      <w:rFonts w:ascii="Calibri" w:eastAsia="Calibri" w:hAnsi="Calibri" w:cs="Calibri"/>
      <w:sz w:val="20"/>
      <w:szCs w:val="20"/>
      <w:lang w:val="es-ES" w:eastAsia="es-US"/>
    </w:rPr>
  </w:style>
  <w:style w:type="paragraph" w:styleId="CommentSubject">
    <w:name w:val="annotation subject"/>
    <w:basedOn w:val="CommentText"/>
    <w:next w:val="CommentText"/>
    <w:link w:val="CommentSubjectChar"/>
    <w:uiPriority w:val="99"/>
    <w:semiHidden/>
    <w:unhideWhenUsed/>
    <w:rsid w:val="0080524A"/>
    <w:rPr>
      <w:b/>
      <w:bCs/>
    </w:rPr>
  </w:style>
  <w:style w:type="character" w:customStyle="1" w:styleId="CommentSubjectChar">
    <w:name w:val="Comment Subject Char"/>
    <w:basedOn w:val="CommentTextChar"/>
    <w:link w:val="CommentSubject"/>
    <w:uiPriority w:val="99"/>
    <w:semiHidden/>
    <w:rsid w:val="0080524A"/>
    <w:rPr>
      <w:rFonts w:ascii="Calibri" w:eastAsia="Calibri" w:hAnsi="Calibri" w:cs="Calibri"/>
      <w:b/>
      <w:bCs/>
      <w:sz w:val="20"/>
      <w:szCs w:val="20"/>
      <w:lang w:val="es-ES" w:eastAsia="es-US"/>
    </w:rPr>
  </w:style>
  <w:style w:type="paragraph" w:customStyle="1" w:styleId="jsx-3954459878">
    <w:name w:val="jsx-3954459878"/>
    <w:basedOn w:val="Normal"/>
    <w:rsid w:val="0020257A"/>
    <w:pPr>
      <w:spacing w:before="100" w:beforeAutospacing="1" w:after="100" w:afterAutospacing="1"/>
    </w:pPr>
  </w:style>
  <w:style w:type="character" w:customStyle="1" w:styleId="normaltextrun">
    <w:name w:val="normaltextrun"/>
    <w:basedOn w:val="DefaultParagraphFont"/>
    <w:rsid w:val="004A0FDE"/>
  </w:style>
  <w:style w:type="character" w:customStyle="1" w:styleId="eop">
    <w:name w:val="eop"/>
    <w:basedOn w:val="DefaultParagraphFont"/>
    <w:rsid w:val="004A0FDE"/>
  </w:style>
  <w:style w:type="paragraph" w:customStyle="1" w:styleId="parrafos">
    <w:name w:val="parrafos"/>
    <w:basedOn w:val="Normal"/>
    <w:link w:val="parrafosChar"/>
    <w:qFormat/>
    <w:rsid w:val="004A0FDE"/>
    <w:pPr>
      <w:numPr>
        <w:numId w:val="4"/>
      </w:numPr>
      <w:pBdr>
        <w:top w:val="nil"/>
        <w:left w:val="nil"/>
        <w:bottom w:val="nil"/>
        <w:right w:val="nil"/>
        <w:between w:val="nil"/>
      </w:pBdr>
      <w:tabs>
        <w:tab w:val="left" w:pos="0"/>
      </w:tabs>
      <w:jc w:val="both"/>
    </w:pPr>
    <w:rPr>
      <w:rFonts w:ascii="Cambria" w:eastAsia="Cambria" w:hAnsi="Cambria" w:cs="Cambria"/>
      <w:color w:val="000000" w:themeColor="text1"/>
      <w:sz w:val="20"/>
      <w:szCs w:val="20"/>
      <w:lang w:eastAsia="es-MX"/>
    </w:rPr>
  </w:style>
  <w:style w:type="character" w:customStyle="1" w:styleId="parrafosChar">
    <w:name w:val="parrafos Char"/>
    <w:link w:val="parrafos"/>
    <w:rsid w:val="004A0FDE"/>
    <w:rPr>
      <w:rFonts w:ascii="Cambria" w:eastAsia="Cambria" w:hAnsi="Cambria" w:cs="Cambria"/>
      <w:color w:val="000000" w:themeColor="text1"/>
      <w:sz w:val="20"/>
      <w:szCs w:val="20"/>
      <w:lang w:eastAsia="es-MX"/>
    </w:rPr>
  </w:style>
  <w:style w:type="paragraph" w:customStyle="1" w:styleId="paragraph">
    <w:name w:val="paragraph"/>
    <w:basedOn w:val="Normal"/>
    <w:rsid w:val="001E195F"/>
    <w:pPr>
      <w:spacing w:before="100" w:beforeAutospacing="1" w:after="100" w:afterAutospacing="1"/>
    </w:pPr>
    <w:rPr>
      <w:lang w:val="es-US" w:eastAsia="es-MX"/>
    </w:rPr>
  </w:style>
  <w:style w:type="paragraph" w:styleId="Revision">
    <w:name w:val="Revision"/>
    <w:hidden/>
    <w:uiPriority w:val="99"/>
    <w:semiHidden/>
    <w:rsid w:val="001258B3"/>
    <w:rPr>
      <w:rFonts w:ascii="Calibri" w:eastAsia="Calibri" w:hAnsi="Calibri" w:cs="Calibri"/>
      <w:sz w:val="22"/>
      <w:szCs w:val="22"/>
      <w:lang w:val="es-ES" w:eastAsia="es-US"/>
    </w:rPr>
  </w:style>
  <w:style w:type="character" w:styleId="Mention">
    <w:name w:val="Mention"/>
    <w:basedOn w:val="DefaultParagraphFont"/>
    <w:uiPriority w:val="99"/>
    <w:unhideWhenUsed/>
    <w:rsid w:val="002906DA"/>
    <w:rPr>
      <w:color w:val="2B579A"/>
      <w:shd w:val="clear" w:color="auto" w:fill="E6E6E6"/>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32B29"/>
    <w:pPr>
      <w:spacing w:before="200" w:after="160" w:line="240" w:lineRule="exact"/>
    </w:pPr>
    <w:rPr>
      <w:rFonts w:asciiTheme="minorHAnsi" w:eastAsiaTheme="minorHAnsi" w:hAnsiTheme="minorHAnsi" w:cstheme="minorBidi"/>
      <w:vertAlign w:val="superscript"/>
      <w:lang w:val="es-MX"/>
    </w:rPr>
  </w:style>
  <w:style w:type="character" w:styleId="PageNumber">
    <w:name w:val="page number"/>
    <w:basedOn w:val="DefaultParagraphFont"/>
    <w:uiPriority w:val="99"/>
    <w:semiHidden/>
    <w:unhideWhenUsed/>
    <w:rsid w:val="00FB598D"/>
  </w:style>
  <w:style w:type="paragraph" w:customStyle="1" w:styleId="IACaptulo">
    <w:name w:val="IA   Capítulo"/>
    <w:basedOn w:val="Normal"/>
    <w:link w:val="IACaptuloChar"/>
    <w:qFormat/>
    <w:rsid w:val="00FB598D"/>
    <w:pPr>
      <w:suppressAutoHyphens/>
      <w:spacing w:after="240"/>
      <w:jc w:val="center"/>
    </w:pPr>
    <w:rPr>
      <w:rFonts w:ascii="Cambria" w:eastAsiaTheme="minorHAnsi" w:hAnsi="Cambria" w:cstheme="minorBidi"/>
      <w:b/>
      <w:caps/>
      <w:color w:val="000000"/>
      <w:sz w:val="32"/>
    </w:rPr>
  </w:style>
  <w:style w:type="character" w:customStyle="1" w:styleId="IACaptuloChar">
    <w:name w:val="IA   Capítulo Char"/>
    <w:basedOn w:val="DefaultParagraphFont"/>
    <w:link w:val="IACaptulo"/>
    <w:rsid w:val="00FB598D"/>
    <w:rPr>
      <w:rFonts w:ascii="Cambria" w:hAnsi="Cambria"/>
      <w:b/>
      <w:caps/>
      <w:color w:val="000000"/>
      <w:sz w:val="32"/>
      <w:szCs w:val="22"/>
    </w:rPr>
  </w:style>
  <w:style w:type="paragraph" w:customStyle="1" w:styleId="IATtulo">
    <w:name w:val="IA   Título"/>
    <w:basedOn w:val="List"/>
    <w:link w:val="IATtuloChar"/>
    <w:qFormat/>
    <w:rsid w:val="00FB598D"/>
    <w:pPr>
      <w:suppressAutoHyphens/>
      <w:spacing w:after="240"/>
      <w:ind w:left="0" w:firstLine="0"/>
      <w:contextualSpacing w:val="0"/>
    </w:pPr>
    <w:rPr>
      <w:rFonts w:ascii="Cambria" w:eastAsiaTheme="minorHAnsi" w:hAnsi="Cambria" w:cstheme="minorBidi"/>
      <w:b/>
      <w:caps/>
      <w:color w:val="000000"/>
    </w:rPr>
  </w:style>
  <w:style w:type="character" w:customStyle="1" w:styleId="IATtuloChar">
    <w:name w:val="IA   Título Char"/>
    <w:basedOn w:val="DefaultParagraphFont"/>
    <w:link w:val="IATtulo"/>
    <w:rsid w:val="00FB598D"/>
    <w:rPr>
      <w:rFonts w:ascii="Cambria" w:hAnsi="Cambria"/>
      <w:b/>
      <w:caps/>
      <w:color w:val="000000"/>
      <w:sz w:val="22"/>
      <w:szCs w:val="22"/>
    </w:rPr>
  </w:style>
  <w:style w:type="paragraph" w:styleId="List">
    <w:name w:val="List"/>
    <w:basedOn w:val="Normal"/>
    <w:uiPriority w:val="99"/>
    <w:semiHidden/>
    <w:unhideWhenUsed/>
    <w:rsid w:val="00FB598D"/>
    <w:pPr>
      <w:ind w:left="283" w:hanging="283"/>
      <w:contextualSpacing/>
    </w:pPr>
  </w:style>
  <w:style w:type="paragraph" w:customStyle="1" w:styleId="IASubttulo2">
    <w:name w:val="IA  Subtítulo 2"/>
    <w:basedOn w:val="List"/>
    <w:link w:val="IASubttulo2Char"/>
    <w:qFormat/>
    <w:rsid w:val="00FB598D"/>
    <w:pPr>
      <w:suppressAutoHyphens/>
      <w:spacing w:after="240"/>
      <w:ind w:left="0" w:firstLine="0"/>
      <w:contextualSpacing w:val="0"/>
    </w:pPr>
    <w:rPr>
      <w:rFonts w:ascii="Cambria" w:eastAsiaTheme="minorHAnsi" w:hAnsi="Cambria" w:cstheme="minorBidi"/>
      <w:b/>
      <w:color w:val="000000"/>
    </w:rPr>
  </w:style>
  <w:style w:type="character" w:customStyle="1" w:styleId="IASubttulo2Char">
    <w:name w:val="IA  Subtítulo 2 Char"/>
    <w:basedOn w:val="DefaultParagraphFont"/>
    <w:link w:val="IASubttulo2"/>
    <w:rsid w:val="00FB598D"/>
    <w:rPr>
      <w:rFonts w:ascii="Cambria" w:hAnsi="Cambria"/>
      <w:b/>
      <w:color w:val="000000"/>
      <w:sz w:val="22"/>
      <w:szCs w:val="22"/>
    </w:rPr>
  </w:style>
  <w:style w:type="paragraph" w:customStyle="1" w:styleId="IASubttulo3">
    <w:name w:val="IA  Subtítulo 3"/>
    <w:basedOn w:val="List"/>
    <w:link w:val="IASubttulo3Char"/>
    <w:qFormat/>
    <w:rsid w:val="00FB598D"/>
    <w:pPr>
      <w:tabs>
        <w:tab w:val="num" w:pos="720"/>
      </w:tabs>
      <w:suppressAutoHyphens/>
      <w:spacing w:after="240"/>
      <w:ind w:left="1440" w:hanging="720"/>
      <w:contextualSpacing w:val="0"/>
    </w:pPr>
    <w:rPr>
      <w:rFonts w:ascii="Cambria" w:eastAsiaTheme="minorHAnsi" w:hAnsi="Cambria" w:cstheme="minorBidi"/>
      <w:b/>
      <w:color w:val="000000"/>
      <w:sz w:val="20"/>
    </w:rPr>
  </w:style>
  <w:style w:type="character" w:customStyle="1" w:styleId="IASubttulo3Char">
    <w:name w:val="IA  Subtítulo 3 Char"/>
    <w:basedOn w:val="DefaultParagraphFont"/>
    <w:link w:val="IASubttulo3"/>
    <w:rsid w:val="00FB598D"/>
    <w:rPr>
      <w:rFonts w:ascii="Cambria" w:hAnsi="Cambria"/>
      <w:b/>
      <w:color w:val="000000"/>
      <w:sz w:val="20"/>
      <w:szCs w:val="22"/>
    </w:rPr>
  </w:style>
  <w:style w:type="paragraph" w:styleId="TOC3">
    <w:name w:val="toc 3"/>
    <w:basedOn w:val="Normal"/>
    <w:next w:val="Normal"/>
    <w:autoRedefine/>
    <w:uiPriority w:val="39"/>
    <w:unhideWhenUsed/>
    <w:rsid w:val="006D610A"/>
    <w:pPr>
      <w:suppressAutoHyphens/>
      <w:spacing w:after="120"/>
      <w:ind w:left="2160" w:right="720" w:hanging="720"/>
    </w:pPr>
    <w:rPr>
      <w:rFonts w:ascii="Cambria" w:hAnsi="Cambria"/>
      <w:sz w:val="22"/>
    </w:rPr>
  </w:style>
  <w:style w:type="paragraph" w:styleId="TOC4">
    <w:name w:val="toc 4"/>
    <w:basedOn w:val="Normal"/>
    <w:next w:val="Normal"/>
    <w:autoRedefine/>
    <w:uiPriority w:val="39"/>
    <w:unhideWhenUsed/>
    <w:rsid w:val="006D610A"/>
    <w:pPr>
      <w:suppressAutoHyphens/>
      <w:ind w:left="2160" w:right="720" w:hanging="720"/>
    </w:pPr>
    <w:rPr>
      <w:rFonts w:ascii="Cambria" w:hAnsi="Cambria"/>
      <w:sz w:val="20"/>
    </w:rPr>
  </w:style>
  <w:style w:type="paragraph" w:styleId="TOC1">
    <w:name w:val="toc 1"/>
    <w:basedOn w:val="Normal"/>
    <w:next w:val="Normal"/>
    <w:autoRedefine/>
    <w:uiPriority w:val="39"/>
    <w:unhideWhenUsed/>
    <w:rsid w:val="006D610A"/>
    <w:pPr>
      <w:suppressAutoHyphens/>
      <w:spacing w:before="320"/>
      <w:ind w:left="720" w:right="720" w:hanging="720"/>
    </w:pPr>
    <w:rPr>
      <w:rFonts w:ascii="Cambria" w:eastAsiaTheme="minorEastAsia" w:hAnsi="Cambria" w:cstheme="minorBidi"/>
      <w:b/>
      <w:caps/>
      <w:kern w:val="2"/>
      <w:sz w:val="32"/>
      <w14:ligatures w14:val="standardContextual"/>
    </w:rPr>
  </w:style>
  <w:style w:type="paragraph" w:styleId="TOC2">
    <w:name w:val="toc 2"/>
    <w:basedOn w:val="Normal"/>
    <w:next w:val="Normal"/>
    <w:autoRedefine/>
    <w:uiPriority w:val="39"/>
    <w:unhideWhenUsed/>
    <w:rsid w:val="006D610A"/>
    <w:pPr>
      <w:suppressAutoHyphens/>
      <w:spacing w:before="240" w:after="240"/>
      <w:ind w:left="1440" w:right="720" w:hanging="720"/>
    </w:pPr>
    <w:rPr>
      <w:rFonts w:ascii="Cambria" w:eastAsiaTheme="minorEastAsia" w:hAnsi="Cambria" w:cstheme="minorBidi"/>
      <w:kern w:val="2"/>
      <w:sz w:val="22"/>
      <w14:ligatures w14:val="standardContextual"/>
    </w:rPr>
  </w:style>
  <w:style w:type="paragraph" w:styleId="TOC5">
    <w:name w:val="toc 5"/>
    <w:basedOn w:val="Normal"/>
    <w:next w:val="Normal"/>
    <w:autoRedefine/>
    <w:uiPriority w:val="39"/>
    <w:unhideWhenUsed/>
    <w:rsid w:val="006D610A"/>
    <w:pPr>
      <w:spacing w:after="100"/>
      <w:ind w:left="960"/>
    </w:pPr>
    <w:rPr>
      <w:rFonts w:asciiTheme="minorHAnsi" w:eastAsiaTheme="minorEastAsia" w:hAnsiTheme="minorHAnsi" w:cstheme="minorBidi"/>
      <w:kern w:val="2"/>
      <w14:ligatures w14:val="standardContextual"/>
    </w:rPr>
  </w:style>
  <w:style w:type="paragraph" w:styleId="TOC6">
    <w:name w:val="toc 6"/>
    <w:basedOn w:val="Normal"/>
    <w:next w:val="Normal"/>
    <w:autoRedefine/>
    <w:uiPriority w:val="39"/>
    <w:unhideWhenUsed/>
    <w:rsid w:val="006D610A"/>
    <w:pPr>
      <w:spacing w:after="100"/>
      <w:ind w:left="1200"/>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rsid w:val="006D610A"/>
    <w:pPr>
      <w:spacing w:after="100"/>
      <w:ind w:left="1440"/>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rsid w:val="006D610A"/>
    <w:pPr>
      <w:spacing w:after="100"/>
      <w:ind w:left="1680"/>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rsid w:val="006D610A"/>
    <w:pPr>
      <w:spacing w:after="100"/>
      <w:ind w:left="1920"/>
    </w:pPr>
    <w:rPr>
      <w:rFonts w:asciiTheme="minorHAnsi" w:eastAsiaTheme="minorEastAsia" w:hAnsiTheme="minorHAnsi" w:cstheme="minorBidi"/>
      <w:kern w:val="2"/>
      <w14:ligatures w14:val="standardContextual"/>
    </w:rPr>
  </w:style>
  <w:style w:type="paragraph" w:customStyle="1" w:styleId="IAPrrafo">
    <w:name w:val="IA Párrafo"/>
    <w:basedOn w:val="List"/>
    <w:link w:val="IAPrrafoChar"/>
    <w:qFormat/>
    <w:rsid w:val="006D610A"/>
    <w:pPr>
      <w:suppressAutoHyphens/>
      <w:spacing w:after="240"/>
      <w:ind w:left="0" w:firstLine="0"/>
      <w:contextualSpacing w:val="0"/>
      <w:jc w:val="both"/>
    </w:pPr>
    <w:rPr>
      <w:rFonts w:ascii="Cambria" w:eastAsiaTheme="minorHAnsi" w:hAnsi="Cambria" w:cstheme="minorBidi"/>
      <w:color w:val="000000"/>
      <w:sz w:val="20"/>
    </w:rPr>
  </w:style>
  <w:style w:type="character" w:customStyle="1" w:styleId="IAPrrafoChar">
    <w:name w:val="IA Párrafo Char"/>
    <w:basedOn w:val="DefaultParagraphFont"/>
    <w:link w:val="IAPrrafo"/>
    <w:rsid w:val="006D610A"/>
    <w:rPr>
      <w:rFonts w:ascii="Cambria" w:hAnsi="Cambria"/>
      <w:color w:val="000000"/>
      <w:sz w:val="20"/>
      <w:szCs w:val="22"/>
    </w:rPr>
  </w:style>
  <w:style w:type="table" w:customStyle="1" w:styleId="1">
    <w:name w:val="1"/>
    <w:basedOn w:val="TableNormal"/>
    <w:rsid w:val="004F00DE"/>
    <w:pPr>
      <w:spacing w:after="160" w:line="259" w:lineRule="auto"/>
    </w:pPr>
    <w:rPr>
      <w:rFonts w:ascii="Calibri" w:eastAsia="Calibri" w:hAnsi="Calibri" w:cs="Calibri"/>
      <w:sz w:val="22"/>
      <w:szCs w:val="22"/>
      <w:lang w:val="es-MX" w:eastAsia="es-ES_tradnl"/>
    </w:rPr>
    <w:tblPr>
      <w:tblStyleRowBandSize w:val="1"/>
      <w:tblStyleColBandSize w:val="1"/>
      <w:tblInd w:w="0" w:type="nil"/>
      <w:tblCellMar>
        <w:left w:w="115" w:type="dxa"/>
        <w:right w:w="115" w:type="dxa"/>
      </w:tblCellMar>
    </w:tblPr>
  </w:style>
  <w:style w:type="character" w:customStyle="1" w:styleId="selectable-text">
    <w:name w:val="selectable-text"/>
    <w:basedOn w:val="DefaultParagraphFont"/>
    <w:rsid w:val="004463A4"/>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1F5394"/>
    <w:pPr>
      <w:spacing w:after="160" w:line="259" w:lineRule="auto"/>
      <w:jc w:val="both"/>
    </w:pPr>
    <w:rPr>
      <w:rFonts w:asciiTheme="minorHAnsi" w:eastAsiaTheme="minorHAnsi" w:hAnsiTheme="minorHAnsi" w:cstheme="minorBidi"/>
      <w:sz w:val="22"/>
      <w:szCs w:val="22"/>
      <w:vertAlign w:val="superscript"/>
      <w:lang w:val="es-MX"/>
    </w:rPr>
  </w:style>
  <w:style w:type="table" w:customStyle="1" w:styleId="3">
    <w:name w:val="3"/>
    <w:basedOn w:val="TableNormal"/>
    <w:rsid w:val="00F0068F"/>
    <w:rPr>
      <w:rFonts w:ascii="Cambria" w:eastAsia="Cambria" w:hAnsi="Cambria" w:cs="Cambria"/>
      <w:sz w:val="22"/>
      <w:szCs w:val="22"/>
      <w:lang w:val="es-ES" w:eastAsia="es-US"/>
    </w:rPr>
    <w:tblPr>
      <w:tblStyleRowBandSize w:val="1"/>
      <w:tblStyleColBandSize w:val="1"/>
      <w:tblCellMar>
        <w:left w:w="115" w:type="dxa"/>
        <w:right w:w="115" w:type="dxa"/>
      </w:tblCellMar>
    </w:tblPr>
  </w:style>
  <w:style w:type="paragraph" w:customStyle="1" w:styleId="has-text-align-left">
    <w:name w:val="has-text-align-left"/>
    <w:basedOn w:val="Normal"/>
    <w:rsid w:val="00952419"/>
    <w:pPr>
      <w:spacing w:before="100" w:beforeAutospacing="1" w:after="100" w:afterAutospacing="1"/>
    </w:pPr>
  </w:style>
  <w:style w:type="paragraph" w:styleId="ListBullet3">
    <w:name w:val="List Bullet 3"/>
    <w:basedOn w:val="Normal"/>
    <w:uiPriority w:val="99"/>
    <w:unhideWhenUsed/>
    <w:rsid w:val="009C3034"/>
    <w:pPr>
      <w:numPr>
        <w:numId w:val="6"/>
      </w:numPr>
      <w:suppressAutoHyphens/>
      <w:contextualSpacing/>
    </w:pPr>
    <w:rPr>
      <w:rFonts w:ascii="Cambria" w:eastAsia="Cambria" w:hAnsi="Cambria" w:cs="Cambria"/>
      <w:sz w:val="22"/>
      <w:szCs w:val="22"/>
      <w:lang w:val="es-ES"/>
    </w:rPr>
  </w:style>
  <w:style w:type="character" w:customStyle="1" w:styleId="ui-provider">
    <w:name w:val="ui-provider"/>
    <w:basedOn w:val="DefaultParagraphFont"/>
    <w:rsid w:val="00AF4E17"/>
  </w:style>
  <w:style w:type="paragraph" w:customStyle="1" w:styleId="Cita1">
    <w:name w:val="Cita1"/>
    <w:basedOn w:val="Normal"/>
    <w:qFormat/>
    <w:rsid w:val="007F752C"/>
    <w:pPr>
      <w:shd w:val="clear" w:color="auto" w:fill="FFFFFF"/>
      <w:jc w:val="both"/>
    </w:pPr>
    <w:rPr>
      <w:rFonts w:eastAsiaTheme="minorEastAsia"/>
      <w:sz w:val="20"/>
      <w:szCs w:val="20"/>
      <w:lang w:val="es-MX"/>
    </w:rPr>
  </w:style>
  <w:style w:type="character" w:styleId="Emphasis">
    <w:name w:val="Emphasis"/>
    <w:basedOn w:val="DefaultParagraphFont"/>
    <w:uiPriority w:val="20"/>
    <w:qFormat/>
    <w:rsid w:val="007B7AAF"/>
    <w:rPr>
      <w:i/>
      <w:iCs/>
    </w:rPr>
  </w:style>
  <w:style w:type="character" w:customStyle="1" w:styleId="Heading5Char">
    <w:name w:val="Heading 5 Char"/>
    <w:basedOn w:val="DefaultParagraphFont"/>
    <w:link w:val="Heading5"/>
    <w:uiPriority w:val="9"/>
    <w:semiHidden/>
    <w:rsid w:val="001055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55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5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5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530"/>
    <w:rPr>
      <w:rFonts w:eastAsiaTheme="majorEastAsia" w:cstheme="majorBidi"/>
      <w:color w:val="272727" w:themeColor="text1" w:themeTint="D8"/>
    </w:rPr>
  </w:style>
  <w:style w:type="paragraph" w:styleId="Quote">
    <w:name w:val="Quote"/>
    <w:basedOn w:val="Normal"/>
    <w:next w:val="Normal"/>
    <w:link w:val="QuoteChar"/>
    <w:uiPriority w:val="29"/>
    <w:qFormat/>
    <w:rsid w:val="001055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5530"/>
    <w:rPr>
      <w:rFonts w:ascii="Times New Roman" w:eastAsia="Times New Roman" w:hAnsi="Times New Roman" w:cs="Times New Roman"/>
      <w:i/>
      <w:iCs/>
      <w:color w:val="404040" w:themeColor="text1" w:themeTint="BF"/>
    </w:rPr>
  </w:style>
  <w:style w:type="character" w:styleId="IntenseEmphasis">
    <w:name w:val="Intense Emphasis"/>
    <w:basedOn w:val="DefaultParagraphFont"/>
    <w:uiPriority w:val="21"/>
    <w:qFormat/>
    <w:rsid w:val="00105530"/>
    <w:rPr>
      <w:i/>
      <w:iCs/>
      <w:color w:val="2F5496" w:themeColor="accent1" w:themeShade="BF"/>
    </w:rPr>
  </w:style>
  <w:style w:type="paragraph" w:styleId="IntenseQuote">
    <w:name w:val="Intense Quote"/>
    <w:basedOn w:val="Normal"/>
    <w:next w:val="Normal"/>
    <w:link w:val="IntenseQuoteChar"/>
    <w:uiPriority w:val="30"/>
    <w:qFormat/>
    <w:rsid w:val="00105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5530"/>
    <w:rPr>
      <w:rFonts w:ascii="Times New Roman" w:eastAsia="Times New Roman" w:hAnsi="Times New Roman" w:cs="Times New Roman"/>
      <w:i/>
      <w:iCs/>
      <w:color w:val="2F5496" w:themeColor="accent1" w:themeShade="BF"/>
    </w:rPr>
  </w:style>
  <w:style w:type="character" w:styleId="IntenseReference">
    <w:name w:val="Intense Reference"/>
    <w:basedOn w:val="DefaultParagraphFont"/>
    <w:uiPriority w:val="32"/>
    <w:qFormat/>
    <w:rsid w:val="00105530"/>
    <w:rPr>
      <w:b/>
      <w:bCs/>
      <w:smallCaps/>
      <w:color w:val="2F5496" w:themeColor="accent1" w:themeShade="BF"/>
      <w:spacing w:val="5"/>
    </w:rPr>
  </w:style>
  <w:style w:type="paragraph" w:customStyle="1" w:styleId="p1">
    <w:name w:val="p1"/>
    <w:basedOn w:val="Normal"/>
    <w:rsid w:val="00B80A67"/>
    <w:rPr>
      <w:rFonts w:ascii="Arial" w:hAnsi="Arial" w:cs="Arial"/>
      <w:color w:val="000000"/>
      <w:sz w:val="15"/>
      <w:szCs w:val="15"/>
    </w:rPr>
  </w:style>
  <w:style w:type="paragraph" w:customStyle="1" w:styleId="IANOTAALPIE">
    <w:name w:val="IA NOTA AL PIE"/>
    <w:basedOn w:val="NoSpacing"/>
    <w:link w:val="IANOTAALPIEChar"/>
    <w:qFormat/>
    <w:rsid w:val="009D1CE2"/>
    <w:pPr>
      <w:ind w:firstLine="720"/>
      <w:contextualSpacing/>
      <w:jc w:val="both"/>
    </w:pPr>
    <w:rPr>
      <w:rFonts w:ascii="Cambria" w:hAnsi="Cambria"/>
      <w:sz w:val="16"/>
      <w:szCs w:val="16"/>
      <w:lang w:val="es-CO"/>
    </w:rPr>
  </w:style>
  <w:style w:type="character" w:customStyle="1" w:styleId="NoSpacingChar">
    <w:name w:val="No Spacing Char"/>
    <w:basedOn w:val="DefaultParagraphFont"/>
    <w:link w:val="NoSpacing"/>
    <w:uiPriority w:val="1"/>
    <w:rsid w:val="009D1CE2"/>
    <w:rPr>
      <w:rFonts w:ascii="Calibri" w:eastAsia="Calibri" w:hAnsi="Calibri" w:cs="Calibri"/>
      <w:sz w:val="22"/>
      <w:szCs w:val="22"/>
      <w:lang w:val="es-ES" w:eastAsia="es-US"/>
    </w:rPr>
  </w:style>
  <w:style w:type="character" w:customStyle="1" w:styleId="IANOTAALPIEChar">
    <w:name w:val="IA NOTA AL PIE Char"/>
    <w:basedOn w:val="NoSpacingChar"/>
    <w:link w:val="IANOTAALPIE"/>
    <w:rsid w:val="009D1CE2"/>
    <w:rPr>
      <w:rFonts w:ascii="Cambria" w:eastAsia="Calibri" w:hAnsi="Cambria" w:cs="Calibri"/>
      <w:sz w:val="16"/>
      <w:szCs w:val="16"/>
      <w:lang w:val="es-CO" w:eastAsia="es-US"/>
    </w:rPr>
  </w:style>
  <w:style w:type="paragraph" w:customStyle="1" w:styleId="Corpo">
    <w:name w:val="Corpo"/>
    <w:rsid w:val="00852144"/>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character" w:customStyle="1" w:styleId="Nenhum">
    <w:name w:val="Nenhum"/>
    <w:rsid w:val="00852144"/>
  </w:style>
  <w:style w:type="paragraph" w:customStyle="1" w:styleId="TOCCaptulo">
    <w:name w:val="TOC_Capítulo"/>
    <w:basedOn w:val="Normal"/>
    <w:link w:val="TOCCaptuloChar"/>
    <w:rsid w:val="00D8753A"/>
    <w:pPr>
      <w:suppressAutoHyphens/>
      <w:spacing w:after="240"/>
    </w:pPr>
    <w:rPr>
      <w:rFonts w:ascii="Cambria" w:hAnsi="Cambria"/>
      <w:b/>
      <w:color w:val="0070C0"/>
      <w:sz w:val="32"/>
      <w:szCs w:val="22"/>
      <w:lang w:val="es-ES"/>
    </w:rPr>
  </w:style>
  <w:style w:type="character" w:customStyle="1" w:styleId="TOCCaptuloChar">
    <w:name w:val="TOC_Capítulo Char"/>
    <w:basedOn w:val="IACaptuloChar"/>
    <w:link w:val="TOCCaptulo"/>
    <w:rsid w:val="00D8753A"/>
    <w:rPr>
      <w:rFonts w:ascii="Cambria" w:eastAsia="Times New Roman" w:hAnsi="Cambria" w:cs="Times New Roman"/>
      <w:b/>
      <w:caps w:val="0"/>
      <w:color w:val="0070C0"/>
      <w:sz w:val="3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73">
      <w:bodyDiv w:val="1"/>
      <w:marLeft w:val="0"/>
      <w:marRight w:val="0"/>
      <w:marTop w:val="0"/>
      <w:marBottom w:val="0"/>
      <w:divBdr>
        <w:top w:val="none" w:sz="0" w:space="0" w:color="auto"/>
        <w:left w:val="none" w:sz="0" w:space="0" w:color="auto"/>
        <w:bottom w:val="none" w:sz="0" w:space="0" w:color="auto"/>
        <w:right w:val="none" w:sz="0" w:space="0" w:color="auto"/>
      </w:divBdr>
      <w:divsChild>
        <w:div w:id="225841073">
          <w:marLeft w:val="0"/>
          <w:marRight w:val="0"/>
          <w:marTop w:val="0"/>
          <w:marBottom w:val="0"/>
          <w:divBdr>
            <w:top w:val="none" w:sz="0" w:space="0" w:color="auto"/>
            <w:left w:val="none" w:sz="0" w:space="0" w:color="auto"/>
            <w:bottom w:val="none" w:sz="0" w:space="0" w:color="auto"/>
            <w:right w:val="none" w:sz="0" w:space="0" w:color="auto"/>
          </w:divBdr>
          <w:divsChild>
            <w:div w:id="82453980">
              <w:marLeft w:val="0"/>
              <w:marRight w:val="0"/>
              <w:marTop w:val="0"/>
              <w:marBottom w:val="0"/>
              <w:divBdr>
                <w:top w:val="none" w:sz="0" w:space="0" w:color="auto"/>
                <w:left w:val="none" w:sz="0" w:space="0" w:color="auto"/>
                <w:bottom w:val="none" w:sz="0" w:space="0" w:color="auto"/>
                <w:right w:val="none" w:sz="0" w:space="0" w:color="auto"/>
              </w:divBdr>
              <w:divsChild>
                <w:div w:id="15998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61">
      <w:bodyDiv w:val="1"/>
      <w:marLeft w:val="0"/>
      <w:marRight w:val="0"/>
      <w:marTop w:val="0"/>
      <w:marBottom w:val="0"/>
      <w:divBdr>
        <w:top w:val="none" w:sz="0" w:space="0" w:color="auto"/>
        <w:left w:val="none" w:sz="0" w:space="0" w:color="auto"/>
        <w:bottom w:val="none" w:sz="0" w:space="0" w:color="auto"/>
        <w:right w:val="none" w:sz="0" w:space="0" w:color="auto"/>
      </w:divBdr>
      <w:divsChild>
        <w:div w:id="2024165151">
          <w:marLeft w:val="0"/>
          <w:marRight w:val="0"/>
          <w:marTop w:val="0"/>
          <w:marBottom w:val="0"/>
          <w:divBdr>
            <w:top w:val="none" w:sz="0" w:space="0" w:color="auto"/>
            <w:left w:val="none" w:sz="0" w:space="0" w:color="auto"/>
            <w:bottom w:val="none" w:sz="0" w:space="0" w:color="auto"/>
            <w:right w:val="none" w:sz="0" w:space="0" w:color="auto"/>
          </w:divBdr>
          <w:divsChild>
            <w:div w:id="1184173133">
              <w:marLeft w:val="0"/>
              <w:marRight w:val="0"/>
              <w:marTop w:val="0"/>
              <w:marBottom w:val="0"/>
              <w:divBdr>
                <w:top w:val="none" w:sz="0" w:space="0" w:color="auto"/>
                <w:left w:val="none" w:sz="0" w:space="0" w:color="auto"/>
                <w:bottom w:val="none" w:sz="0" w:space="0" w:color="auto"/>
                <w:right w:val="none" w:sz="0" w:space="0" w:color="auto"/>
              </w:divBdr>
              <w:divsChild>
                <w:div w:id="575945247">
                  <w:marLeft w:val="0"/>
                  <w:marRight w:val="0"/>
                  <w:marTop w:val="0"/>
                  <w:marBottom w:val="0"/>
                  <w:divBdr>
                    <w:top w:val="none" w:sz="0" w:space="0" w:color="auto"/>
                    <w:left w:val="none" w:sz="0" w:space="0" w:color="auto"/>
                    <w:bottom w:val="none" w:sz="0" w:space="0" w:color="auto"/>
                    <w:right w:val="none" w:sz="0" w:space="0" w:color="auto"/>
                  </w:divBdr>
                  <w:divsChild>
                    <w:div w:id="5839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841">
      <w:bodyDiv w:val="1"/>
      <w:marLeft w:val="0"/>
      <w:marRight w:val="0"/>
      <w:marTop w:val="0"/>
      <w:marBottom w:val="0"/>
      <w:divBdr>
        <w:top w:val="none" w:sz="0" w:space="0" w:color="auto"/>
        <w:left w:val="none" w:sz="0" w:space="0" w:color="auto"/>
        <w:bottom w:val="none" w:sz="0" w:space="0" w:color="auto"/>
        <w:right w:val="none" w:sz="0" w:space="0" w:color="auto"/>
      </w:divBdr>
      <w:divsChild>
        <w:div w:id="11761612">
          <w:marLeft w:val="0"/>
          <w:marRight w:val="0"/>
          <w:marTop w:val="0"/>
          <w:marBottom w:val="0"/>
          <w:divBdr>
            <w:top w:val="none" w:sz="0" w:space="0" w:color="auto"/>
            <w:left w:val="none" w:sz="0" w:space="0" w:color="auto"/>
            <w:bottom w:val="none" w:sz="0" w:space="0" w:color="auto"/>
            <w:right w:val="none" w:sz="0" w:space="0" w:color="auto"/>
          </w:divBdr>
          <w:divsChild>
            <w:div w:id="271716486">
              <w:marLeft w:val="0"/>
              <w:marRight w:val="0"/>
              <w:marTop w:val="0"/>
              <w:marBottom w:val="0"/>
              <w:divBdr>
                <w:top w:val="none" w:sz="0" w:space="0" w:color="auto"/>
                <w:left w:val="none" w:sz="0" w:space="0" w:color="auto"/>
                <w:bottom w:val="none" w:sz="0" w:space="0" w:color="auto"/>
                <w:right w:val="none" w:sz="0" w:space="0" w:color="auto"/>
              </w:divBdr>
              <w:divsChild>
                <w:div w:id="1483423378">
                  <w:marLeft w:val="0"/>
                  <w:marRight w:val="0"/>
                  <w:marTop w:val="0"/>
                  <w:marBottom w:val="0"/>
                  <w:divBdr>
                    <w:top w:val="none" w:sz="0" w:space="0" w:color="auto"/>
                    <w:left w:val="none" w:sz="0" w:space="0" w:color="auto"/>
                    <w:bottom w:val="none" w:sz="0" w:space="0" w:color="auto"/>
                    <w:right w:val="none" w:sz="0" w:space="0" w:color="auto"/>
                  </w:divBdr>
                  <w:divsChild>
                    <w:div w:id="19624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6005">
      <w:bodyDiv w:val="1"/>
      <w:marLeft w:val="0"/>
      <w:marRight w:val="0"/>
      <w:marTop w:val="0"/>
      <w:marBottom w:val="0"/>
      <w:divBdr>
        <w:top w:val="none" w:sz="0" w:space="0" w:color="auto"/>
        <w:left w:val="none" w:sz="0" w:space="0" w:color="auto"/>
        <w:bottom w:val="none" w:sz="0" w:space="0" w:color="auto"/>
        <w:right w:val="none" w:sz="0" w:space="0" w:color="auto"/>
      </w:divBdr>
      <w:divsChild>
        <w:div w:id="1515339970">
          <w:marLeft w:val="0"/>
          <w:marRight w:val="0"/>
          <w:marTop w:val="0"/>
          <w:marBottom w:val="0"/>
          <w:divBdr>
            <w:top w:val="none" w:sz="0" w:space="0" w:color="auto"/>
            <w:left w:val="none" w:sz="0" w:space="0" w:color="auto"/>
            <w:bottom w:val="none" w:sz="0" w:space="0" w:color="auto"/>
            <w:right w:val="none" w:sz="0" w:space="0" w:color="auto"/>
          </w:divBdr>
          <w:divsChild>
            <w:div w:id="1069813426">
              <w:marLeft w:val="0"/>
              <w:marRight w:val="0"/>
              <w:marTop w:val="0"/>
              <w:marBottom w:val="0"/>
              <w:divBdr>
                <w:top w:val="none" w:sz="0" w:space="0" w:color="auto"/>
                <w:left w:val="none" w:sz="0" w:space="0" w:color="auto"/>
                <w:bottom w:val="none" w:sz="0" w:space="0" w:color="auto"/>
                <w:right w:val="none" w:sz="0" w:space="0" w:color="auto"/>
              </w:divBdr>
              <w:divsChild>
                <w:div w:id="1159351183">
                  <w:marLeft w:val="0"/>
                  <w:marRight w:val="0"/>
                  <w:marTop w:val="0"/>
                  <w:marBottom w:val="0"/>
                  <w:divBdr>
                    <w:top w:val="none" w:sz="0" w:space="0" w:color="auto"/>
                    <w:left w:val="none" w:sz="0" w:space="0" w:color="auto"/>
                    <w:bottom w:val="none" w:sz="0" w:space="0" w:color="auto"/>
                    <w:right w:val="none" w:sz="0" w:space="0" w:color="auto"/>
                  </w:divBdr>
                  <w:divsChild>
                    <w:div w:id="4538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590">
      <w:bodyDiv w:val="1"/>
      <w:marLeft w:val="0"/>
      <w:marRight w:val="0"/>
      <w:marTop w:val="0"/>
      <w:marBottom w:val="0"/>
      <w:divBdr>
        <w:top w:val="none" w:sz="0" w:space="0" w:color="auto"/>
        <w:left w:val="none" w:sz="0" w:space="0" w:color="auto"/>
        <w:bottom w:val="none" w:sz="0" w:space="0" w:color="auto"/>
        <w:right w:val="none" w:sz="0" w:space="0" w:color="auto"/>
      </w:divBdr>
      <w:divsChild>
        <w:div w:id="108739818">
          <w:marLeft w:val="0"/>
          <w:marRight w:val="0"/>
          <w:marTop w:val="0"/>
          <w:marBottom w:val="0"/>
          <w:divBdr>
            <w:top w:val="none" w:sz="0" w:space="0" w:color="auto"/>
            <w:left w:val="none" w:sz="0" w:space="0" w:color="auto"/>
            <w:bottom w:val="none" w:sz="0" w:space="0" w:color="auto"/>
            <w:right w:val="none" w:sz="0" w:space="0" w:color="auto"/>
          </w:divBdr>
          <w:divsChild>
            <w:div w:id="871066298">
              <w:marLeft w:val="0"/>
              <w:marRight w:val="0"/>
              <w:marTop w:val="0"/>
              <w:marBottom w:val="0"/>
              <w:divBdr>
                <w:top w:val="none" w:sz="0" w:space="0" w:color="auto"/>
                <w:left w:val="none" w:sz="0" w:space="0" w:color="auto"/>
                <w:bottom w:val="none" w:sz="0" w:space="0" w:color="auto"/>
                <w:right w:val="none" w:sz="0" w:space="0" w:color="auto"/>
              </w:divBdr>
              <w:divsChild>
                <w:div w:id="7946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901">
      <w:bodyDiv w:val="1"/>
      <w:marLeft w:val="0"/>
      <w:marRight w:val="0"/>
      <w:marTop w:val="0"/>
      <w:marBottom w:val="0"/>
      <w:divBdr>
        <w:top w:val="none" w:sz="0" w:space="0" w:color="auto"/>
        <w:left w:val="none" w:sz="0" w:space="0" w:color="auto"/>
        <w:bottom w:val="none" w:sz="0" w:space="0" w:color="auto"/>
        <w:right w:val="none" w:sz="0" w:space="0" w:color="auto"/>
      </w:divBdr>
      <w:divsChild>
        <w:div w:id="243880582">
          <w:marLeft w:val="0"/>
          <w:marRight w:val="0"/>
          <w:marTop w:val="0"/>
          <w:marBottom w:val="0"/>
          <w:divBdr>
            <w:top w:val="none" w:sz="0" w:space="0" w:color="auto"/>
            <w:left w:val="none" w:sz="0" w:space="0" w:color="auto"/>
            <w:bottom w:val="none" w:sz="0" w:space="0" w:color="auto"/>
            <w:right w:val="none" w:sz="0" w:space="0" w:color="auto"/>
          </w:divBdr>
          <w:divsChild>
            <w:div w:id="1698963895">
              <w:marLeft w:val="0"/>
              <w:marRight w:val="0"/>
              <w:marTop w:val="0"/>
              <w:marBottom w:val="0"/>
              <w:divBdr>
                <w:top w:val="none" w:sz="0" w:space="0" w:color="auto"/>
                <w:left w:val="none" w:sz="0" w:space="0" w:color="auto"/>
                <w:bottom w:val="none" w:sz="0" w:space="0" w:color="auto"/>
                <w:right w:val="none" w:sz="0" w:space="0" w:color="auto"/>
              </w:divBdr>
              <w:divsChild>
                <w:div w:id="18141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095">
      <w:bodyDiv w:val="1"/>
      <w:marLeft w:val="0"/>
      <w:marRight w:val="0"/>
      <w:marTop w:val="0"/>
      <w:marBottom w:val="0"/>
      <w:divBdr>
        <w:top w:val="none" w:sz="0" w:space="0" w:color="auto"/>
        <w:left w:val="none" w:sz="0" w:space="0" w:color="auto"/>
        <w:bottom w:val="none" w:sz="0" w:space="0" w:color="auto"/>
        <w:right w:val="none" w:sz="0" w:space="0" w:color="auto"/>
      </w:divBdr>
      <w:divsChild>
        <w:div w:id="1903366318">
          <w:marLeft w:val="0"/>
          <w:marRight w:val="0"/>
          <w:marTop w:val="0"/>
          <w:marBottom w:val="0"/>
          <w:divBdr>
            <w:top w:val="none" w:sz="0" w:space="0" w:color="auto"/>
            <w:left w:val="none" w:sz="0" w:space="0" w:color="auto"/>
            <w:bottom w:val="none" w:sz="0" w:space="0" w:color="auto"/>
            <w:right w:val="none" w:sz="0" w:space="0" w:color="auto"/>
          </w:divBdr>
          <w:divsChild>
            <w:div w:id="157578461">
              <w:marLeft w:val="0"/>
              <w:marRight w:val="0"/>
              <w:marTop w:val="0"/>
              <w:marBottom w:val="0"/>
              <w:divBdr>
                <w:top w:val="none" w:sz="0" w:space="0" w:color="auto"/>
                <w:left w:val="none" w:sz="0" w:space="0" w:color="auto"/>
                <w:bottom w:val="none" w:sz="0" w:space="0" w:color="auto"/>
                <w:right w:val="none" w:sz="0" w:space="0" w:color="auto"/>
              </w:divBdr>
              <w:divsChild>
                <w:div w:id="1375154316">
                  <w:marLeft w:val="0"/>
                  <w:marRight w:val="0"/>
                  <w:marTop w:val="0"/>
                  <w:marBottom w:val="0"/>
                  <w:divBdr>
                    <w:top w:val="none" w:sz="0" w:space="0" w:color="auto"/>
                    <w:left w:val="none" w:sz="0" w:space="0" w:color="auto"/>
                    <w:bottom w:val="none" w:sz="0" w:space="0" w:color="auto"/>
                    <w:right w:val="none" w:sz="0" w:space="0" w:color="auto"/>
                  </w:divBdr>
                  <w:divsChild>
                    <w:div w:id="12424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80911">
      <w:bodyDiv w:val="1"/>
      <w:marLeft w:val="0"/>
      <w:marRight w:val="0"/>
      <w:marTop w:val="0"/>
      <w:marBottom w:val="0"/>
      <w:divBdr>
        <w:top w:val="none" w:sz="0" w:space="0" w:color="auto"/>
        <w:left w:val="none" w:sz="0" w:space="0" w:color="auto"/>
        <w:bottom w:val="none" w:sz="0" w:space="0" w:color="auto"/>
        <w:right w:val="none" w:sz="0" w:space="0" w:color="auto"/>
      </w:divBdr>
    </w:div>
    <w:div w:id="31851226">
      <w:bodyDiv w:val="1"/>
      <w:marLeft w:val="0"/>
      <w:marRight w:val="0"/>
      <w:marTop w:val="0"/>
      <w:marBottom w:val="0"/>
      <w:divBdr>
        <w:top w:val="none" w:sz="0" w:space="0" w:color="auto"/>
        <w:left w:val="none" w:sz="0" w:space="0" w:color="auto"/>
        <w:bottom w:val="none" w:sz="0" w:space="0" w:color="auto"/>
        <w:right w:val="none" w:sz="0" w:space="0" w:color="auto"/>
      </w:divBdr>
      <w:divsChild>
        <w:div w:id="1536580204">
          <w:marLeft w:val="0"/>
          <w:marRight w:val="0"/>
          <w:marTop w:val="0"/>
          <w:marBottom w:val="0"/>
          <w:divBdr>
            <w:top w:val="none" w:sz="0" w:space="0" w:color="auto"/>
            <w:left w:val="none" w:sz="0" w:space="0" w:color="auto"/>
            <w:bottom w:val="none" w:sz="0" w:space="0" w:color="auto"/>
            <w:right w:val="none" w:sz="0" w:space="0" w:color="auto"/>
          </w:divBdr>
          <w:divsChild>
            <w:div w:id="810680713">
              <w:marLeft w:val="0"/>
              <w:marRight w:val="0"/>
              <w:marTop w:val="0"/>
              <w:marBottom w:val="0"/>
              <w:divBdr>
                <w:top w:val="none" w:sz="0" w:space="0" w:color="auto"/>
                <w:left w:val="none" w:sz="0" w:space="0" w:color="auto"/>
                <w:bottom w:val="none" w:sz="0" w:space="0" w:color="auto"/>
                <w:right w:val="none" w:sz="0" w:space="0" w:color="auto"/>
              </w:divBdr>
              <w:divsChild>
                <w:div w:id="1198198636">
                  <w:marLeft w:val="0"/>
                  <w:marRight w:val="0"/>
                  <w:marTop w:val="0"/>
                  <w:marBottom w:val="0"/>
                  <w:divBdr>
                    <w:top w:val="none" w:sz="0" w:space="0" w:color="auto"/>
                    <w:left w:val="none" w:sz="0" w:space="0" w:color="auto"/>
                    <w:bottom w:val="none" w:sz="0" w:space="0" w:color="auto"/>
                    <w:right w:val="none" w:sz="0" w:space="0" w:color="auto"/>
                  </w:divBdr>
                  <w:divsChild>
                    <w:div w:id="12651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5184">
      <w:bodyDiv w:val="1"/>
      <w:marLeft w:val="0"/>
      <w:marRight w:val="0"/>
      <w:marTop w:val="0"/>
      <w:marBottom w:val="0"/>
      <w:divBdr>
        <w:top w:val="none" w:sz="0" w:space="0" w:color="auto"/>
        <w:left w:val="none" w:sz="0" w:space="0" w:color="auto"/>
        <w:bottom w:val="none" w:sz="0" w:space="0" w:color="auto"/>
        <w:right w:val="none" w:sz="0" w:space="0" w:color="auto"/>
      </w:divBdr>
      <w:divsChild>
        <w:div w:id="1262883918">
          <w:marLeft w:val="0"/>
          <w:marRight w:val="0"/>
          <w:marTop w:val="0"/>
          <w:marBottom w:val="0"/>
          <w:divBdr>
            <w:top w:val="none" w:sz="0" w:space="0" w:color="auto"/>
            <w:left w:val="none" w:sz="0" w:space="0" w:color="auto"/>
            <w:bottom w:val="none" w:sz="0" w:space="0" w:color="auto"/>
            <w:right w:val="none" w:sz="0" w:space="0" w:color="auto"/>
          </w:divBdr>
          <w:divsChild>
            <w:div w:id="880675582">
              <w:marLeft w:val="0"/>
              <w:marRight w:val="0"/>
              <w:marTop w:val="0"/>
              <w:marBottom w:val="0"/>
              <w:divBdr>
                <w:top w:val="none" w:sz="0" w:space="0" w:color="auto"/>
                <w:left w:val="none" w:sz="0" w:space="0" w:color="auto"/>
                <w:bottom w:val="none" w:sz="0" w:space="0" w:color="auto"/>
                <w:right w:val="none" w:sz="0" w:space="0" w:color="auto"/>
              </w:divBdr>
              <w:divsChild>
                <w:div w:id="1126774199">
                  <w:marLeft w:val="0"/>
                  <w:marRight w:val="0"/>
                  <w:marTop w:val="0"/>
                  <w:marBottom w:val="0"/>
                  <w:divBdr>
                    <w:top w:val="none" w:sz="0" w:space="0" w:color="auto"/>
                    <w:left w:val="none" w:sz="0" w:space="0" w:color="auto"/>
                    <w:bottom w:val="none" w:sz="0" w:space="0" w:color="auto"/>
                    <w:right w:val="none" w:sz="0" w:space="0" w:color="auto"/>
                  </w:divBdr>
                  <w:divsChild>
                    <w:div w:id="2759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7452">
      <w:bodyDiv w:val="1"/>
      <w:marLeft w:val="0"/>
      <w:marRight w:val="0"/>
      <w:marTop w:val="0"/>
      <w:marBottom w:val="0"/>
      <w:divBdr>
        <w:top w:val="none" w:sz="0" w:space="0" w:color="auto"/>
        <w:left w:val="none" w:sz="0" w:space="0" w:color="auto"/>
        <w:bottom w:val="none" w:sz="0" w:space="0" w:color="auto"/>
        <w:right w:val="none" w:sz="0" w:space="0" w:color="auto"/>
      </w:divBdr>
      <w:divsChild>
        <w:div w:id="187719954">
          <w:marLeft w:val="0"/>
          <w:marRight w:val="0"/>
          <w:marTop w:val="0"/>
          <w:marBottom w:val="0"/>
          <w:divBdr>
            <w:top w:val="none" w:sz="0" w:space="0" w:color="auto"/>
            <w:left w:val="none" w:sz="0" w:space="0" w:color="auto"/>
            <w:bottom w:val="none" w:sz="0" w:space="0" w:color="auto"/>
            <w:right w:val="none" w:sz="0" w:space="0" w:color="auto"/>
          </w:divBdr>
          <w:divsChild>
            <w:div w:id="708993131">
              <w:marLeft w:val="0"/>
              <w:marRight w:val="0"/>
              <w:marTop w:val="0"/>
              <w:marBottom w:val="0"/>
              <w:divBdr>
                <w:top w:val="none" w:sz="0" w:space="0" w:color="auto"/>
                <w:left w:val="none" w:sz="0" w:space="0" w:color="auto"/>
                <w:bottom w:val="none" w:sz="0" w:space="0" w:color="auto"/>
                <w:right w:val="none" w:sz="0" w:space="0" w:color="auto"/>
              </w:divBdr>
              <w:divsChild>
                <w:div w:id="17167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5060">
      <w:bodyDiv w:val="1"/>
      <w:marLeft w:val="0"/>
      <w:marRight w:val="0"/>
      <w:marTop w:val="0"/>
      <w:marBottom w:val="0"/>
      <w:divBdr>
        <w:top w:val="none" w:sz="0" w:space="0" w:color="auto"/>
        <w:left w:val="none" w:sz="0" w:space="0" w:color="auto"/>
        <w:bottom w:val="none" w:sz="0" w:space="0" w:color="auto"/>
        <w:right w:val="none" w:sz="0" w:space="0" w:color="auto"/>
      </w:divBdr>
      <w:divsChild>
        <w:div w:id="1367412870">
          <w:marLeft w:val="0"/>
          <w:marRight w:val="0"/>
          <w:marTop w:val="0"/>
          <w:marBottom w:val="0"/>
          <w:divBdr>
            <w:top w:val="none" w:sz="0" w:space="0" w:color="auto"/>
            <w:left w:val="none" w:sz="0" w:space="0" w:color="auto"/>
            <w:bottom w:val="none" w:sz="0" w:space="0" w:color="auto"/>
            <w:right w:val="none" w:sz="0" w:space="0" w:color="auto"/>
          </w:divBdr>
          <w:divsChild>
            <w:div w:id="1072849372">
              <w:marLeft w:val="0"/>
              <w:marRight w:val="0"/>
              <w:marTop w:val="0"/>
              <w:marBottom w:val="0"/>
              <w:divBdr>
                <w:top w:val="none" w:sz="0" w:space="0" w:color="auto"/>
                <w:left w:val="none" w:sz="0" w:space="0" w:color="auto"/>
                <w:bottom w:val="none" w:sz="0" w:space="0" w:color="auto"/>
                <w:right w:val="none" w:sz="0" w:space="0" w:color="auto"/>
              </w:divBdr>
              <w:divsChild>
                <w:div w:id="12473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6248">
      <w:bodyDiv w:val="1"/>
      <w:marLeft w:val="0"/>
      <w:marRight w:val="0"/>
      <w:marTop w:val="0"/>
      <w:marBottom w:val="0"/>
      <w:divBdr>
        <w:top w:val="none" w:sz="0" w:space="0" w:color="auto"/>
        <w:left w:val="none" w:sz="0" w:space="0" w:color="auto"/>
        <w:bottom w:val="none" w:sz="0" w:space="0" w:color="auto"/>
        <w:right w:val="none" w:sz="0" w:space="0" w:color="auto"/>
      </w:divBdr>
      <w:divsChild>
        <w:div w:id="723215981">
          <w:marLeft w:val="0"/>
          <w:marRight w:val="0"/>
          <w:marTop w:val="0"/>
          <w:marBottom w:val="0"/>
          <w:divBdr>
            <w:top w:val="none" w:sz="0" w:space="0" w:color="auto"/>
            <w:left w:val="none" w:sz="0" w:space="0" w:color="auto"/>
            <w:bottom w:val="none" w:sz="0" w:space="0" w:color="auto"/>
            <w:right w:val="none" w:sz="0" w:space="0" w:color="auto"/>
          </w:divBdr>
          <w:divsChild>
            <w:div w:id="133641578">
              <w:marLeft w:val="0"/>
              <w:marRight w:val="0"/>
              <w:marTop w:val="0"/>
              <w:marBottom w:val="0"/>
              <w:divBdr>
                <w:top w:val="none" w:sz="0" w:space="0" w:color="auto"/>
                <w:left w:val="none" w:sz="0" w:space="0" w:color="auto"/>
                <w:bottom w:val="none" w:sz="0" w:space="0" w:color="auto"/>
                <w:right w:val="none" w:sz="0" w:space="0" w:color="auto"/>
              </w:divBdr>
              <w:divsChild>
                <w:div w:id="118305737">
                  <w:marLeft w:val="0"/>
                  <w:marRight w:val="0"/>
                  <w:marTop w:val="0"/>
                  <w:marBottom w:val="0"/>
                  <w:divBdr>
                    <w:top w:val="none" w:sz="0" w:space="0" w:color="auto"/>
                    <w:left w:val="none" w:sz="0" w:space="0" w:color="auto"/>
                    <w:bottom w:val="none" w:sz="0" w:space="0" w:color="auto"/>
                    <w:right w:val="none" w:sz="0" w:space="0" w:color="auto"/>
                  </w:divBdr>
                  <w:divsChild>
                    <w:div w:id="207688275">
                      <w:marLeft w:val="0"/>
                      <w:marRight w:val="0"/>
                      <w:marTop w:val="0"/>
                      <w:marBottom w:val="0"/>
                      <w:divBdr>
                        <w:top w:val="none" w:sz="0" w:space="0" w:color="auto"/>
                        <w:left w:val="none" w:sz="0" w:space="0" w:color="auto"/>
                        <w:bottom w:val="none" w:sz="0" w:space="0" w:color="auto"/>
                        <w:right w:val="none" w:sz="0" w:space="0" w:color="auto"/>
                      </w:divBdr>
                    </w:div>
                  </w:divsChild>
                </w:div>
                <w:div w:id="858664106">
                  <w:marLeft w:val="0"/>
                  <w:marRight w:val="0"/>
                  <w:marTop w:val="0"/>
                  <w:marBottom w:val="0"/>
                  <w:divBdr>
                    <w:top w:val="none" w:sz="0" w:space="0" w:color="auto"/>
                    <w:left w:val="none" w:sz="0" w:space="0" w:color="auto"/>
                    <w:bottom w:val="none" w:sz="0" w:space="0" w:color="auto"/>
                    <w:right w:val="none" w:sz="0" w:space="0" w:color="auto"/>
                  </w:divBdr>
                  <w:divsChild>
                    <w:div w:id="1206602338">
                      <w:marLeft w:val="0"/>
                      <w:marRight w:val="0"/>
                      <w:marTop w:val="0"/>
                      <w:marBottom w:val="0"/>
                      <w:divBdr>
                        <w:top w:val="none" w:sz="0" w:space="0" w:color="auto"/>
                        <w:left w:val="none" w:sz="0" w:space="0" w:color="auto"/>
                        <w:bottom w:val="none" w:sz="0" w:space="0" w:color="auto"/>
                        <w:right w:val="none" w:sz="0" w:space="0" w:color="auto"/>
                      </w:divBdr>
                    </w:div>
                  </w:divsChild>
                </w:div>
                <w:div w:id="1593390224">
                  <w:marLeft w:val="0"/>
                  <w:marRight w:val="0"/>
                  <w:marTop w:val="0"/>
                  <w:marBottom w:val="0"/>
                  <w:divBdr>
                    <w:top w:val="none" w:sz="0" w:space="0" w:color="auto"/>
                    <w:left w:val="none" w:sz="0" w:space="0" w:color="auto"/>
                    <w:bottom w:val="none" w:sz="0" w:space="0" w:color="auto"/>
                    <w:right w:val="none" w:sz="0" w:space="0" w:color="auto"/>
                  </w:divBdr>
                  <w:divsChild>
                    <w:div w:id="2060589994">
                      <w:marLeft w:val="0"/>
                      <w:marRight w:val="0"/>
                      <w:marTop w:val="0"/>
                      <w:marBottom w:val="0"/>
                      <w:divBdr>
                        <w:top w:val="none" w:sz="0" w:space="0" w:color="auto"/>
                        <w:left w:val="none" w:sz="0" w:space="0" w:color="auto"/>
                        <w:bottom w:val="none" w:sz="0" w:space="0" w:color="auto"/>
                        <w:right w:val="none" w:sz="0" w:space="0" w:color="auto"/>
                      </w:divBdr>
                    </w:div>
                  </w:divsChild>
                </w:div>
                <w:div w:id="1997565930">
                  <w:marLeft w:val="0"/>
                  <w:marRight w:val="0"/>
                  <w:marTop w:val="0"/>
                  <w:marBottom w:val="0"/>
                  <w:divBdr>
                    <w:top w:val="none" w:sz="0" w:space="0" w:color="auto"/>
                    <w:left w:val="none" w:sz="0" w:space="0" w:color="auto"/>
                    <w:bottom w:val="none" w:sz="0" w:space="0" w:color="auto"/>
                    <w:right w:val="none" w:sz="0" w:space="0" w:color="auto"/>
                  </w:divBdr>
                  <w:divsChild>
                    <w:div w:id="14296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2756">
      <w:bodyDiv w:val="1"/>
      <w:marLeft w:val="0"/>
      <w:marRight w:val="0"/>
      <w:marTop w:val="0"/>
      <w:marBottom w:val="0"/>
      <w:divBdr>
        <w:top w:val="none" w:sz="0" w:space="0" w:color="auto"/>
        <w:left w:val="none" w:sz="0" w:space="0" w:color="auto"/>
        <w:bottom w:val="none" w:sz="0" w:space="0" w:color="auto"/>
        <w:right w:val="none" w:sz="0" w:space="0" w:color="auto"/>
      </w:divBdr>
      <w:divsChild>
        <w:div w:id="278923375">
          <w:marLeft w:val="0"/>
          <w:marRight w:val="0"/>
          <w:marTop w:val="0"/>
          <w:marBottom w:val="0"/>
          <w:divBdr>
            <w:top w:val="none" w:sz="0" w:space="0" w:color="auto"/>
            <w:left w:val="none" w:sz="0" w:space="0" w:color="auto"/>
            <w:bottom w:val="none" w:sz="0" w:space="0" w:color="auto"/>
            <w:right w:val="none" w:sz="0" w:space="0" w:color="auto"/>
          </w:divBdr>
          <w:divsChild>
            <w:div w:id="451098618">
              <w:marLeft w:val="0"/>
              <w:marRight w:val="0"/>
              <w:marTop w:val="0"/>
              <w:marBottom w:val="0"/>
              <w:divBdr>
                <w:top w:val="none" w:sz="0" w:space="0" w:color="auto"/>
                <w:left w:val="none" w:sz="0" w:space="0" w:color="auto"/>
                <w:bottom w:val="none" w:sz="0" w:space="0" w:color="auto"/>
                <w:right w:val="none" w:sz="0" w:space="0" w:color="auto"/>
              </w:divBdr>
              <w:divsChild>
                <w:div w:id="1362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9401">
      <w:bodyDiv w:val="1"/>
      <w:marLeft w:val="0"/>
      <w:marRight w:val="0"/>
      <w:marTop w:val="0"/>
      <w:marBottom w:val="0"/>
      <w:divBdr>
        <w:top w:val="none" w:sz="0" w:space="0" w:color="auto"/>
        <w:left w:val="none" w:sz="0" w:space="0" w:color="auto"/>
        <w:bottom w:val="none" w:sz="0" w:space="0" w:color="auto"/>
        <w:right w:val="none" w:sz="0" w:space="0" w:color="auto"/>
      </w:divBdr>
      <w:divsChild>
        <w:div w:id="511996763">
          <w:marLeft w:val="0"/>
          <w:marRight w:val="0"/>
          <w:marTop w:val="0"/>
          <w:marBottom w:val="0"/>
          <w:divBdr>
            <w:top w:val="none" w:sz="0" w:space="0" w:color="auto"/>
            <w:left w:val="none" w:sz="0" w:space="0" w:color="auto"/>
            <w:bottom w:val="none" w:sz="0" w:space="0" w:color="auto"/>
            <w:right w:val="none" w:sz="0" w:space="0" w:color="auto"/>
          </w:divBdr>
          <w:divsChild>
            <w:div w:id="1514032327">
              <w:marLeft w:val="0"/>
              <w:marRight w:val="0"/>
              <w:marTop w:val="0"/>
              <w:marBottom w:val="0"/>
              <w:divBdr>
                <w:top w:val="none" w:sz="0" w:space="0" w:color="auto"/>
                <w:left w:val="none" w:sz="0" w:space="0" w:color="auto"/>
                <w:bottom w:val="none" w:sz="0" w:space="0" w:color="auto"/>
                <w:right w:val="none" w:sz="0" w:space="0" w:color="auto"/>
              </w:divBdr>
              <w:divsChild>
                <w:div w:id="17693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2805">
      <w:bodyDiv w:val="1"/>
      <w:marLeft w:val="0"/>
      <w:marRight w:val="0"/>
      <w:marTop w:val="0"/>
      <w:marBottom w:val="0"/>
      <w:divBdr>
        <w:top w:val="none" w:sz="0" w:space="0" w:color="auto"/>
        <w:left w:val="none" w:sz="0" w:space="0" w:color="auto"/>
        <w:bottom w:val="none" w:sz="0" w:space="0" w:color="auto"/>
        <w:right w:val="none" w:sz="0" w:space="0" w:color="auto"/>
      </w:divBdr>
      <w:divsChild>
        <w:div w:id="261256327">
          <w:marLeft w:val="0"/>
          <w:marRight w:val="0"/>
          <w:marTop w:val="0"/>
          <w:marBottom w:val="0"/>
          <w:divBdr>
            <w:top w:val="none" w:sz="0" w:space="0" w:color="auto"/>
            <w:left w:val="none" w:sz="0" w:space="0" w:color="auto"/>
            <w:bottom w:val="none" w:sz="0" w:space="0" w:color="auto"/>
            <w:right w:val="none" w:sz="0" w:space="0" w:color="auto"/>
          </w:divBdr>
          <w:divsChild>
            <w:div w:id="689834846">
              <w:marLeft w:val="0"/>
              <w:marRight w:val="0"/>
              <w:marTop w:val="0"/>
              <w:marBottom w:val="0"/>
              <w:divBdr>
                <w:top w:val="none" w:sz="0" w:space="0" w:color="auto"/>
                <w:left w:val="none" w:sz="0" w:space="0" w:color="auto"/>
                <w:bottom w:val="none" w:sz="0" w:space="0" w:color="auto"/>
                <w:right w:val="none" w:sz="0" w:space="0" w:color="auto"/>
              </w:divBdr>
              <w:divsChild>
                <w:div w:id="11155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2820">
      <w:bodyDiv w:val="1"/>
      <w:marLeft w:val="0"/>
      <w:marRight w:val="0"/>
      <w:marTop w:val="0"/>
      <w:marBottom w:val="0"/>
      <w:divBdr>
        <w:top w:val="none" w:sz="0" w:space="0" w:color="auto"/>
        <w:left w:val="none" w:sz="0" w:space="0" w:color="auto"/>
        <w:bottom w:val="none" w:sz="0" w:space="0" w:color="auto"/>
        <w:right w:val="none" w:sz="0" w:space="0" w:color="auto"/>
      </w:divBdr>
      <w:divsChild>
        <w:div w:id="1824082302">
          <w:marLeft w:val="0"/>
          <w:marRight w:val="0"/>
          <w:marTop w:val="0"/>
          <w:marBottom w:val="0"/>
          <w:divBdr>
            <w:top w:val="none" w:sz="0" w:space="0" w:color="auto"/>
            <w:left w:val="none" w:sz="0" w:space="0" w:color="auto"/>
            <w:bottom w:val="none" w:sz="0" w:space="0" w:color="auto"/>
            <w:right w:val="none" w:sz="0" w:space="0" w:color="auto"/>
          </w:divBdr>
          <w:divsChild>
            <w:div w:id="564297182">
              <w:marLeft w:val="0"/>
              <w:marRight w:val="0"/>
              <w:marTop w:val="0"/>
              <w:marBottom w:val="0"/>
              <w:divBdr>
                <w:top w:val="none" w:sz="0" w:space="0" w:color="auto"/>
                <w:left w:val="none" w:sz="0" w:space="0" w:color="auto"/>
                <w:bottom w:val="none" w:sz="0" w:space="0" w:color="auto"/>
                <w:right w:val="none" w:sz="0" w:space="0" w:color="auto"/>
              </w:divBdr>
              <w:divsChild>
                <w:div w:id="109405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9600">
      <w:bodyDiv w:val="1"/>
      <w:marLeft w:val="0"/>
      <w:marRight w:val="0"/>
      <w:marTop w:val="0"/>
      <w:marBottom w:val="0"/>
      <w:divBdr>
        <w:top w:val="none" w:sz="0" w:space="0" w:color="auto"/>
        <w:left w:val="none" w:sz="0" w:space="0" w:color="auto"/>
        <w:bottom w:val="none" w:sz="0" w:space="0" w:color="auto"/>
        <w:right w:val="none" w:sz="0" w:space="0" w:color="auto"/>
      </w:divBdr>
      <w:divsChild>
        <w:div w:id="653606591">
          <w:marLeft w:val="0"/>
          <w:marRight w:val="0"/>
          <w:marTop w:val="0"/>
          <w:marBottom w:val="0"/>
          <w:divBdr>
            <w:top w:val="none" w:sz="0" w:space="0" w:color="auto"/>
            <w:left w:val="none" w:sz="0" w:space="0" w:color="auto"/>
            <w:bottom w:val="none" w:sz="0" w:space="0" w:color="auto"/>
            <w:right w:val="none" w:sz="0" w:space="0" w:color="auto"/>
          </w:divBdr>
          <w:divsChild>
            <w:div w:id="1834174673">
              <w:marLeft w:val="0"/>
              <w:marRight w:val="0"/>
              <w:marTop w:val="0"/>
              <w:marBottom w:val="0"/>
              <w:divBdr>
                <w:top w:val="none" w:sz="0" w:space="0" w:color="auto"/>
                <w:left w:val="none" w:sz="0" w:space="0" w:color="auto"/>
                <w:bottom w:val="none" w:sz="0" w:space="0" w:color="auto"/>
                <w:right w:val="none" w:sz="0" w:space="0" w:color="auto"/>
              </w:divBdr>
              <w:divsChild>
                <w:div w:id="1888879491">
                  <w:marLeft w:val="0"/>
                  <w:marRight w:val="0"/>
                  <w:marTop w:val="0"/>
                  <w:marBottom w:val="0"/>
                  <w:divBdr>
                    <w:top w:val="none" w:sz="0" w:space="0" w:color="auto"/>
                    <w:left w:val="none" w:sz="0" w:space="0" w:color="auto"/>
                    <w:bottom w:val="none" w:sz="0" w:space="0" w:color="auto"/>
                    <w:right w:val="none" w:sz="0" w:space="0" w:color="auto"/>
                  </w:divBdr>
                  <w:divsChild>
                    <w:div w:id="1743287988">
                      <w:marLeft w:val="0"/>
                      <w:marRight w:val="0"/>
                      <w:marTop w:val="0"/>
                      <w:marBottom w:val="0"/>
                      <w:divBdr>
                        <w:top w:val="none" w:sz="0" w:space="0" w:color="auto"/>
                        <w:left w:val="none" w:sz="0" w:space="0" w:color="auto"/>
                        <w:bottom w:val="none" w:sz="0" w:space="0" w:color="auto"/>
                        <w:right w:val="none" w:sz="0" w:space="0" w:color="auto"/>
                      </w:divBdr>
                    </w:div>
                  </w:divsChild>
                </w:div>
                <w:div w:id="2051765342">
                  <w:marLeft w:val="0"/>
                  <w:marRight w:val="0"/>
                  <w:marTop w:val="0"/>
                  <w:marBottom w:val="0"/>
                  <w:divBdr>
                    <w:top w:val="none" w:sz="0" w:space="0" w:color="auto"/>
                    <w:left w:val="none" w:sz="0" w:space="0" w:color="auto"/>
                    <w:bottom w:val="none" w:sz="0" w:space="0" w:color="auto"/>
                    <w:right w:val="none" w:sz="0" w:space="0" w:color="auto"/>
                  </w:divBdr>
                  <w:divsChild>
                    <w:div w:id="12733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06950">
          <w:marLeft w:val="0"/>
          <w:marRight w:val="0"/>
          <w:marTop w:val="0"/>
          <w:marBottom w:val="0"/>
          <w:divBdr>
            <w:top w:val="none" w:sz="0" w:space="0" w:color="auto"/>
            <w:left w:val="none" w:sz="0" w:space="0" w:color="auto"/>
            <w:bottom w:val="none" w:sz="0" w:space="0" w:color="auto"/>
            <w:right w:val="none" w:sz="0" w:space="0" w:color="auto"/>
          </w:divBdr>
          <w:divsChild>
            <w:div w:id="191043850">
              <w:marLeft w:val="0"/>
              <w:marRight w:val="0"/>
              <w:marTop w:val="0"/>
              <w:marBottom w:val="0"/>
              <w:divBdr>
                <w:top w:val="none" w:sz="0" w:space="0" w:color="auto"/>
                <w:left w:val="none" w:sz="0" w:space="0" w:color="auto"/>
                <w:bottom w:val="none" w:sz="0" w:space="0" w:color="auto"/>
                <w:right w:val="none" w:sz="0" w:space="0" w:color="auto"/>
              </w:divBdr>
              <w:divsChild>
                <w:div w:id="1822456387">
                  <w:marLeft w:val="0"/>
                  <w:marRight w:val="0"/>
                  <w:marTop w:val="0"/>
                  <w:marBottom w:val="0"/>
                  <w:divBdr>
                    <w:top w:val="none" w:sz="0" w:space="0" w:color="auto"/>
                    <w:left w:val="none" w:sz="0" w:space="0" w:color="auto"/>
                    <w:bottom w:val="none" w:sz="0" w:space="0" w:color="auto"/>
                    <w:right w:val="none" w:sz="0" w:space="0" w:color="auto"/>
                  </w:divBdr>
                  <w:divsChild>
                    <w:div w:id="9044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0436">
      <w:bodyDiv w:val="1"/>
      <w:marLeft w:val="0"/>
      <w:marRight w:val="0"/>
      <w:marTop w:val="0"/>
      <w:marBottom w:val="0"/>
      <w:divBdr>
        <w:top w:val="none" w:sz="0" w:space="0" w:color="auto"/>
        <w:left w:val="none" w:sz="0" w:space="0" w:color="auto"/>
        <w:bottom w:val="none" w:sz="0" w:space="0" w:color="auto"/>
        <w:right w:val="none" w:sz="0" w:space="0" w:color="auto"/>
      </w:divBdr>
    </w:div>
    <w:div w:id="73861168">
      <w:bodyDiv w:val="1"/>
      <w:marLeft w:val="0"/>
      <w:marRight w:val="0"/>
      <w:marTop w:val="0"/>
      <w:marBottom w:val="0"/>
      <w:divBdr>
        <w:top w:val="none" w:sz="0" w:space="0" w:color="auto"/>
        <w:left w:val="none" w:sz="0" w:space="0" w:color="auto"/>
        <w:bottom w:val="none" w:sz="0" w:space="0" w:color="auto"/>
        <w:right w:val="none" w:sz="0" w:space="0" w:color="auto"/>
      </w:divBdr>
      <w:divsChild>
        <w:div w:id="1964336952">
          <w:marLeft w:val="0"/>
          <w:marRight w:val="0"/>
          <w:marTop w:val="0"/>
          <w:marBottom w:val="0"/>
          <w:divBdr>
            <w:top w:val="none" w:sz="0" w:space="0" w:color="auto"/>
            <w:left w:val="none" w:sz="0" w:space="0" w:color="auto"/>
            <w:bottom w:val="none" w:sz="0" w:space="0" w:color="auto"/>
            <w:right w:val="none" w:sz="0" w:space="0" w:color="auto"/>
          </w:divBdr>
          <w:divsChild>
            <w:div w:id="1841314603">
              <w:marLeft w:val="0"/>
              <w:marRight w:val="0"/>
              <w:marTop w:val="0"/>
              <w:marBottom w:val="0"/>
              <w:divBdr>
                <w:top w:val="none" w:sz="0" w:space="0" w:color="auto"/>
                <w:left w:val="none" w:sz="0" w:space="0" w:color="auto"/>
                <w:bottom w:val="none" w:sz="0" w:space="0" w:color="auto"/>
                <w:right w:val="none" w:sz="0" w:space="0" w:color="auto"/>
              </w:divBdr>
              <w:divsChild>
                <w:div w:id="80102147">
                  <w:marLeft w:val="0"/>
                  <w:marRight w:val="0"/>
                  <w:marTop w:val="0"/>
                  <w:marBottom w:val="0"/>
                  <w:divBdr>
                    <w:top w:val="none" w:sz="0" w:space="0" w:color="auto"/>
                    <w:left w:val="none" w:sz="0" w:space="0" w:color="auto"/>
                    <w:bottom w:val="none" w:sz="0" w:space="0" w:color="auto"/>
                    <w:right w:val="none" w:sz="0" w:space="0" w:color="auto"/>
                  </w:divBdr>
                  <w:divsChild>
                    <w:div w:id="3446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49501">
      <w:bodyDiv w:val="1"/>
      <w:marLeft w:val="0"/>
      <w:marRight w:val="0"/>
      <w:marTop w:val="0"/>
      <w:marBottom w:val="0"/>
      <w:divBdr>
        <w:top w:val="none" w:sz="0" w:space="0" w:color="auto"/>
        <w:left w:val="none" w:sz="0" w:space="0" w:color="auto"/>
        <w:bottom w:val="none" w:sz="0" w:space="0" w:color="auto"/>
        <w:right w:val="none" w:sz="0" w:space="0" w:color="auto"/>
      </w:divBdr>
    </w:div>
    <w:div w:id="76677611">
      <w:bodyDiv w:val="1"/>
      <w:marLeft w:val="0"/>
      <w:marRight w:val="0"/>
      <w:marTop w:val="0"/>
      <w:marBottom w:val="0"/>
      <w:divBdr>
        <w:top w:val="none" w:sz="0" w:space="0" w:color="auto"/>
        <w:left w:val="none" w:sz="0" w:space="0" w:color="auto"/>
        <w:bottom w:val="none" w:sz="0" w:space="0" w:color="auto"/>
        <w:right w:val="none" w:sz="0" w:space="0" w:color="auto"/>
      </w:divBdr>
      <w:divsChild>
        <w:div w:id="1992058590">
          <w:marLeft w:val="0"/>
          <w:marRight w:val="0"/>
          <w:marTop w:val="0"/>
          <w:marBottom w:val="0"/>
          <w:divBdr>
            <w:top w:val="none" w:sz="0" w:space="0" w:color="auto"/>
            <w:left w:val="none" w:sz="0" w:space="0" w:color="auto"/>
            <w:bottom w:val="none" w:sz="0" w:space="0" w:color="auto"/>
            <w:right w:val="none" w:sz="0" w:space="0" w:color="auto"/>
          </w:divBdr>
          <w:divsChild>
            <w:div w:id="1627814216">
              <w:marLeft w:val="0"/>
              <w:marRight w:val="0"/>
              <w:marTop w:val="0"/>
              <w:marBottom w:val="0"/>
              <w:divBdr>
                <w:top w:val="none" w:sz="0" w:space="0" w:color="auto"/>
                <w:left w:val="none" w:sz="0" w:space="0" w:color="auto"/>
                <w:bottom w:val="none" w:sz="0" w:space="0" w:color="auto"/>
                <w:right w:val="none" w:sz="0" w:space="0" w:color="auto"/>
              </w:divBdr>
              <w:divsChild>
                <w:div w:id="152454612">
                  <w:marLeft w:val="0"/>
                  <w:marRight w:val="0"/>
                  <w:marTop w:val="0"/>
                  <w:marBottom w:val="0"/>
                  <w:divBdr>
                    <w:top w:val="none" w:sz="0" w:space="0" w:color="auto"/>
                    <w:left w:val="none" w:sz="0" w:space="0" w:color="auto"/>
                    <w:bottom w:val="none" w:sz="0" w:space="0" w:color="auto"/>
                    <w:right w:val="none" w:sz="0" w:space="0" w:color="auto"/>
                  </w:divBdr>
                  <w:divsChild>
                    <w:div w:id="11658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0892">
      <w:bodyDiv w:val="1"/>
      <w:marLeft w:val="0"/>
      <w:marRight w:val="0"/>
      <w:marTop w:val="0"/>
      <w:marBottom w:val="0"/>
      <w:divBdr>
        <w:top w:val="none" w:sz="0" w:space="0" w:color="auto"/>
        <w:left w:val="none" w:sz="0" w:space="0" w:color="auto"/>
        <w:bottom w:val="none" w:sz="0" w:space="0" w:color="auto"/>
        <w:right w:val="none" w:sz="0" w:space="0" w:color="auto"/>
      </w:divBdr>
      <w:divsChild>
        <w:div w:id="1990018977">
          <w:marLeft w:val="0"/>
          <w:marRight w:val="0"/>
          <w:marTop w:val="0"/>
          <w:marBottom w:val="0"/>
          <w:divBdr>
            <w:top w:val="none" w:sz="0" w:space="0" w:color="auto"/>
            <w:left w:val="none" w:sz="0" w:space="0" w:color="auto"/>
            <w:bottom w:val="none" w:sz="0" w:space="0" w:color="auto"/>
            <w:right w:val="none" w:sz="0" w:space="0" w:color="auto"/>
          </w:divBdr>
          <w:divsChild>
            <w:div w:id="744717597">
              <w:marLeft w:val="0"/>
              <w:marRight w:val="0"/>
              <w:marTop w:val="0"/>
              <w:marBottom w:val="0"/>
              <w:divBdr>
                <w:top w:val="none" w:sz="0" w:space="0" w:color="auto"/>
                <w:left w:val="none" w:sz="0" w:space="0" w:color="auto"/>
                <w:bottom w:val="none" w:sz="0" w:space="0" w:color="auto"/>
                <w:right w:val="none" w:sz="0" w:space="0" w:color="auto"/>
              </w:divBdr>
              <w:divsChild>
                <w:div w:id="5878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2820">
      <w:bodyDiv w:val="1"/>
      <w:marLeft w:val="0"/>
      <w:marRight w:val="0"/>
      <w:marTop w:val="0"/>
      <w:marBottom w:val="0"/>
      <w:divBdr>
        <w:top w:val="none" w:sz="0" w:space="0" w:color="auto"/>
        <w:left w:val="none" w:sz="0" w:space="0" w:color="auto"/>
        <w:bottom w:val="none" w:sz="0" w:space="0" w:color="auto"/>
        <w:right w:val="none" w:sz="0" w:space="0" w:color="auto"/>
      </w:divBdr>
      <w:divsChild>
        <w:div w:id="1184788768">
          <w:marLeft w:val="0"/>
          <w:marRight w:val="0"/>
          <w:marTop w:val="0"/>
          <w:marBottom w:val="0"/>
          <w:divBdr>
            <w:top w:val="none" w:sz="0" w:space="0" w:color="auto"/>
            <w:left w:val="none" w:sz="0" w:space="0" w:color="auto"/>
            <w:bottom w:val="none" w:sz="0" w:space="0" w:color="auto"/>
            <w:right w:val="none" w:sz="0" w:space="0" w:color="auto"/>
          </w:divBdr>
          <w:divsChild>
            <w:div w:id="1514101795">
              <w:marLeft w:val="0"/>
              <w:marRight w:val="0"/>
              <w:marTop w:val="0"/>
              <w:marBottom w:val="0"/>
              <w:divBdr>
                <w:top w:val="none" w:sz="0" w:space="0" w:color="auto"/>
                <w:left w:val="none" w:sz="0" w:space="0" w:color="auto"/>
                <w:bottom w:val="none" w:sz="0" w:space="0" w:color="auto"/>
                <w:right w:val="none" w:sz="0" w:space="0" w:color="auto"/>
              </w:divBdr>
              <w:divsChild>
                <w:div w:id="2722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3784">
      <w:bodyDiv w:val="1"/>
      <w:marLeft w:val="0"/>
      <w:marRight w:val="0"/>
      <w:marTop w:val="0"/>
      <w:marBottom w:val="0"/>
      <w:divBdr>
        <w:top w:val="none" w:sz="0" w:space="0" w:color="auto"/>
        <w:left w:val="none" w:sz="0" w:space="0" w:color="auto"/>
        <w:bottom w:val="none" w:sz="0" w:space="0" w:color="auto"/>
        <w:right w:val="none" w:sz="0" w:space="0" w:color="auto"/>
      </w:divBdr>
    </w:div>
    <w:div w:id="88553119">
      <w:bodyDiv w:val="1"/>
      <w:marLeft w:val="0"/>
      <w:marRight w:val="0"/>
      <w:marTop w:val="0"/>
      <w:marBottom w:val="0"/>
      <w:divBdr>
        <w:top w:val="none" w:sz="0" w:space="0" w:color="auto"/>
        <w:left w:val="none" w:sz="0" w:space="0" w:color="auto"/>
        <w:bottom w:val="none" w:sz="0" w:space="0" w:color="auto"/>
        <w:right w:val="none" w:sz="0" w:space="0" w:color="auto"/>
      </w:divBdr>
      <w:divsChild>
        <w:div w:id="870990763">
          <w:marLeft w:val="0"/>
          <w:marRight w:val="0"/>
          <w:marTop w:val="0"/>
          <w:marBottom w:val="0"/>
          <w:divBdr>
            <w:top w:val="none" w:sz="0" w:space="0" w:color="auto"/>
            <w:left w:val="none" w:sz="0" w:space="0" w:color="auto"/>
            <w:bottom w:val="none" w:sz="0" w:space="0" w:color="auto"/>
            <w:right w:val="none" w:sz="0" w:space="0" w:color="auto"/>
          </w:divBdr>
          <w:divsChild>
            <w:div w:id="1700545562">
              <w:marLeft w:val="0"/>
              <w:marRight w:val="0"/>
              <w:marTop w:val="0"/>
              <w:marBottom w:val="0"/>
              <w:divBdr>
                <w:top w:val="none" w:sz="0" w:space="0" w:color="auto"/>
                <w:left w:val="none" w:sz="0" w:space="0" w:color="auto"/>
                <w:bottom w:val="none" w:sz="0" w:space="0" w:color="auto"/>
                <w:right w:val="none" w:sz="0" w:space="0" w:color="auto"/>
              </w:divBdr>
              <w:divsChild>
                <w:div w:id="800422052">
                  <w:marLeft w:val="0"/>
                  <w:marRight w:val="0"/>
                  <w:marTop w:val="0"/>
                  <w:marBottom w:val="0"/>
                  <w:divBdr>
                    <w:top w:val="none" w:sz="0" w:space="0" w:color="auto"/>
                    <w:left w:val="none" w:sz="0" w:space="0" w:color="auto"/>
                    <w:bottom w:val="none" w:sz="0" w:space="0" w:color="auto"/>
                    <w:right w:val="none" w:sz="0" w:space="0" w:color="auto"/>
                  </w:divBdr>
                  <w:divsChild>
                    <w:div w:id="8148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8126">
      <w:bodyDiv w:val="1"/>
      <w:marLeft w:val="0"/>
      <w:marRight w:val="0"/>
      <w:marTop w:val="0"/>
      <w:marBottom w:val="0"/>
      <w:divBdr>
        <w:top w:val="none" w:sz="0" w:space="0" w:color="auto"/>
        <w:left w:val="none" w:sz="0" w:space="0" w:color="auto"/>
        <w:bottom w:val="none" w:sz="0" w:space="0" w:color="auto"/>
        <w:right w:val="none" w:sz="0" w:space="0" w:color="auto"/>
      </w:divBdr>
    </w:div>
    <w:div w:id="94063642">
      <w:bodyDiv w:val="1"/>
      <w:marLeft w:val="0"/>
      <w:marRight w:val="0"/>
      <w:marTop w:val="0"/>
      <w:marBottom w:val="0"/>
      <w:divBdr>
        <w:top w:val="none" w:sz="0" w:space="0" w:color="auto"/>
        <w:left w:val="none" w:sz="0" w:space="0" w:color="auto"/>
        <w:bottom w:val="none" w:sz="0" w:space="0" w:color="auto"/>
        <w:right w:val="none" w:sz="0" w:space="0" w:color="auto"/>
      </w:divBdr>
      <w:divsChild>
        <w:div w:id="1719551414">
          <w:marLeft w:val="0"/>
          <w:marRight w:val="0"/>
          <w:marTop w:val="0"/>
          <w:marBottom w:val="0"/>
          <w:divBdr>
            <w:top w:val="none" w:sz="0" w:space="0" w:color="auto"/>
            <w:left w:val="none" w:sz="0" w:space="0" w:color="auto"/>
            <w:bottom w:val="none" w:sz="0" w:space="0" w:color="auto"/>
            <w:right w:val="none" w:sz="0" w:space="0" w:color="auto"/>
          </w:divBdr>
          <w:divsChild>
            <w:div w:id="2059552379">
              <w:marLeft w:val="0"/>
              <w:marRight w:val="0"/>
              <w:marTop w:val="0"/>
              <w:marBottom w:val="0"/>
              <w:divBdr>
                <w:top w:val="none" w:sz="0" w:space="0" w:color="auto"/>
                <w:left w:val="none" w:sz="0" w:space="0" w:color="auto"/>
                <w:bottom w:val="none" w:sz="0" w:space="0" w:color="auto"/>
                <w:right w:val="none" w:sz="0" w:space="0" w:color="auto"/>
              </w:divBdr>
              <w:divsChild>
                <w:div w:id="107438133">
                  <w:marLeft w:val="0"/>
                  <w:marRight w:val="0"/>
                  <w:marTop w:val="0"/>
                  <w:marBottom w:val="0"/>
                  <w:divBdr>
                    <w:top w:val="none" w:sz="0" w:space="0" w:color="auto"/>
                    <w:left w:val="none" w:sz="0" w:space="0" w:color="auto"/>
                    <w:bottom w:val="none" w:sz="0" w:space="0" w:color="auto"/>
                    <w:right w:val="none" w:sz="0" w:space="0" w:color="auto"/>
                  </w:divBdr>
                  <w:divsChild>
                    <w:div w:id="202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6759">
      <w:bodyDiv w:val="1"/>
      <w:marLeft w:val="0"/>
      <w:marRight w:val="0"/>
      <w:marTop w:val="0"/>
      <w:marBottom w:val="0"/>
      <w:divBdr>
        <w:top w:val="none" w:sz="0" w:space="0" w:color="auto"/>
        <w:left w:val="none" w:sz="0" w:space="0" w:color="auto"/>
        <w:bottom w:val="none" w:sz="0" w:space="0" w:color="auto"/>
        <w:right w:val="none" w:sz="0" w:space="0" w:color="auto"/>
      </w:divBdr>
      <w:divsChild>
        <w:div w:id="1046222762">
          <w:marLeft w:val="0"/>
          <w:marRight w:val="0"/>
          <w:marTop w:val="0"/>
          <w:marBottom w:val="0"/>
          <w:divBdr>
            <w:top w:val="none" w:sz="0" w:space="0" w:color="auto"/>
            <w:left w:val="none" w:sz="0" w:space="0" w:color="auto"/>
            <w:bottom w:val="none" w:sz="0" w:space="0" w:color="auto"/>
            <w:right w:val="none" w:sz="0" w:space="0" w:color="auto"/>
          </w:divBdr>
        </w:div>
        <w:div w:id="1719820872">
          <w:marLeft w:val="0"/>
          <w:marRight w:val="0"/>
          <w:marTop w:val="0"/>
          <w:marBottom w:val="0"/>
          <w:divBdr>
            <w:top w:val="none" w:sz="0" w:space="0" w:color="auto"/>
            <w:left w:val="none" w:sz="0" w:space="0" w:color="auto"/>
            <w:bottom w:val="none" w:sz="0" w:space="0" w:color="auto"/>
            <w:right w:val="none" w:sz="0" w:space="0" w:color="auto"/>
          </w:divBdr>
        </w:div>
      </w:divsChild>
    </w:div>
    <w:div w:id="95290244">
      <w:bodyDiv w:val="1"/>
      <w:marLeft w:val="0"/>
      <w:marRight w:val="0"/>
      <w:marTop w:val="0"/>
      <w:marBottom w:val="0"/>
      <w:divBdr>
        <w:top w:val="none" w:sz="0" w:space="0" w:color="auto"/>
        <w:left w:val="none" w:sz="0" w:space="0" w:color="auto"/>
        <w:bottom w:val="none" w:sz="0" w:space="0" w:color="auto"/>
        <w:right w:val="none" w:sz="0" w:space="0" w:color="auto"/>
      </w:divBdr>
    </w:div>
    <w:div w:id="95371887">
      <w:bodyDiv w:val="1"/>
      <w:marLeft w:val="0"/>
      <w:marRight w:val="0"/>
      <w:marTop w:val="0"/>
      <w:marBottom w:val="0"/>
      <w:divBdr>
        <w:top w:val="none" w:sz="0" w:space="0" w:color="auto"/>
        <w:left w:val="none" w:sz="0" w:space="0" w:color="auto"/>
        <w:bottom w:val="none" w:sz="0" w:space="0" w:color="auto"/>
        <w:right w:val="none" w:sz="0" w:space="0" w:color="auto"/>
      </w:divBdr>
      <w:divsChild>
        <w:div w:id="1552885793">
          <w:marLeft w:val="0"/>
          <w:marRight w:val="0"/>
          <w:marTop w:val="0"/>
          <w:marBottom w:val="0"/>
          <w:divBdr>
            <w:top w:val="none" w:sz="0" w:space="0" w:color="auto"/>
            <w:left w:val="none" w:sz="0" w:space="0" w:color="auto"/>
            <w:bottom w:val="none" w:sz="0" w:space="0" w:color="auto"/>
            <w:right w:val="none" w:sz="0" w:space="0" w:color="auto"/>
          </w:divBdr>
          <w:divsChild>
            <w:div w:id="1786727558">
              <w:marLeft w:val="0"/>
              <w:marRight w:val="0"/>
              <w:marTop w:val="0"/>
              <w:marBottom w:val="0"/>
              <w:divBdr>
                <w:top w:val="none" w:sz="0" w:space="0" w:color="auto"/>
                <w:left w:val="none" w:sz="0" w:space="0" w:color="auto"/>
                <w:bottom w:val="none" w:sz="0" w:space="0" w:color="auto"/>
                <w:right w:val="none" w:sz="0" w:space="0" w:color="auto"/>
              </w:divBdr>
              <w:divsChild>
                <w:div w:id="347098107">
                  <w:marLeft w:val="0"/>
                  <w:marRight w:val="0"/>
                  <w:marTop w:val="0"/>
                  <w:marBottom w:val="0"/>
                  <w:divBdr>
                    <w:top w:val="none" w:sz="0" w:space="0" w:color="auto"/>
                    <w:left w:val="none" w:sz="0" w:space="0" w:color="auto"/>
                    <w:bottom w:val="none" w:sz="0" w:space="0" w:color="auto"/>
                    <w:right w:val="none" w:sz="0" w:space="0" w:color="auto"/>
                  </w:divBdr>
                  <w:divsChild>
                    <w:div w:id="14920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58878">
      <w:bodyDiv w:val="1"/>
      <w:marLeft w:val="0"/>
      <w:marRight w:val="0"/>
      <w:marTop w:val="0"/>
      <w:marBottom w:val="0"/>
      <w:divBdr>
        <w:top w:val="none" w:sz="0" w:space="0" w:color="auto"/>
        <w:left w:val="none" w:sz="0" w:space="0" w:color="auto"/>
        <w:bottom w:val="none" w:sz="0" w:space="0" w:color="auto"/>
        <w:right w:val="none" w:sz="0" w:space="0" w:color="auto"/>
      </w:divBdr>
      <w:divsChild>
        <w:div w:id="1486317322">
          <w:marLeft w:val="0"/>
          <w:marRight w:val="0"/>
          <w:marTop w:val="0"/>
          <w:marBottom w:val="0"/>
          <w:divBdr>
            <w:top w:val="none" w:sz="0" w:space="0" w:color="auto"/>
            <w:left w:val="none" w:sz="0" w:space="0" w:color="auto"/>
            <w:bottom w:val="none" w:sz="0" w:space="0" w:color="auto"/>
            <w:right w:val="none" w:sz="0" w:space="0" w:color="auto"/>
          </w:divBdr>
          <w:divsChild>
            <w:div w:id="1102337663">
              <w:marLeft w:val="0"/>
              <w:marRight w:val="0"/>
              <w:marTop w:val="0"/>
              <w:marBottom w:val="0"/>
              <w:divBdr>
                <w:top w:val="none" w:sz="0" w:space="0" w:color="auto"/>
                <w:left w:val="none" w:sz="0" w:space="0" w:color="auto"/>
                <w:bottom w:val="none" w:sz="0" w:space="0" w:color="auto"/>
                <w:right w:val="none" w:sz="0" w:space="0" w:color="auto"/>
              </w:divBdr>
              <w:divsChild>
                <w:div w:id="919945402">
                  <w:marLeft w:val="0"/>
                  <w:marRight w:val="0"/>
                  <w:marTop w:val="0"/>
                  <w:marBottom w:val="0"/>
                  <w:divBdr>
                    <w:top w:val="none" w:sz="0" w:space="0" w:color="auto"/>
                    <w:left w:val="none" w:sz="0" w:space="0" w:color="auto"/>
                    <w:bottom w:val="none" w:sz="0" w:space="0" w:color="auto"/>
                    <w:right w:val="none" w:sz="0" w:space="0" w:color="auto"/>
                  </w:divBdr>
                  <w:divsChild>
                    <w:div w:id="591359509">
                      <w:marLeft w:val="0"/>
                      <w:marRight w:val="0"/>
                      <w:marTop w:val="0"/>
                      <w:marBottom w:val="0"/>
                      <w:divBdr>
                        <w:top w:val="none" w:sz="0" w:space="0" w:color="auto"/>
                        <w:left w:val="none" w:sz="0" w:space="0" w:color="auto"/>
                        <w:bottom w:val="none" w:sz="0" w:space="0" w:color="auto"/>
                        <w:right w:val="none" w:sz="0" w:space="0" w:color="auto"/>
                      </w:divBdr>
                    </w:div>
                  </w:divsChild>
                </w:div>
                <w:div w:id="2017418345">
                  <w:marLeft w:val="0"/>
                  <w:marRight w:val="0"/>
                  <w:marTop w:val="0"/>
                  <w:marBottom w:val="0"/>
                  <w:divBdr>
                    <w:top w:val="none" w:sz="0" w:space="0" w:color="auto"/>
                    <w:left w:val="none" w:sz="0" w:space="0" w:color="auto"/>
                    <w:bottom w:val="none" w:sz="0" w:space="0" w:color="auto"/>
                    <w:right w:val="none" w:sz="0" w:space="0" w:color="auto"/>
                  </w:divBdr>
                  <w:divsChild>
                    <w:div w:id="1241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3813">
          <w:marLeft w:val="0"/>
          <w:marRight w:val="0"/>
          <w:marTop w:val="0"/>
          <w:marBottom w:val="0"/>
          <w:divBdr>
            <w:top w:val="none" w:sz="0" w:space="0" w:color="auto"/>
            <w:left w:val="none" w:sz="0" w:space="0" w:color="auto"/>
            <w:bottom w:val="none" w:sz="0" w:space="0" w:color="auto"/>
            <w:right w:val="none" w:sz="0" w:space="0" w:color="auto"/>
          </w:divBdr>
          <w:divsChild>
            <w:div w:id="2142648887">
              <w:marLeft w:val="0"/>
              <w:marRight w:val="0"/>
              <w:marTop w:val="0"/>
              <w:marBottom w:val="0"/>
              <w:divBdr>
                <w:top w:val="none" w:sz="0" w:space="0" w:color="auto"/>
                <w:left w:val="none" w:sz="0" w:space="0" w:color="auto"/>
                <w:bottom w:val="none" w:sz="0" w:space="0" w:color="auto"/>
                <w:right w:val="none" w:sz="0" w:space="0" w:color="auto"/>
              </w:divBdr>
              <w:divsChild>
                <w:div w:id="1463958052">
                  <w:marLeft w:val="0"/>
                  <w:marRight w:val="0"/>
                  <w:marTop w:val="0"/>
                  <w:marBottom w:val="0"/>
                  <w:divBdr>
                    <w:top w:val="none" w:sz="0" w:space="0" w:color="auto"/>
                    <w:left w:val="none" w:sz="0" w:space="0" w:color="auto"/>
                    <w:bottom w:val="none" w:sz="0" w:space="0" w:color="auto"/>
                    <w:right w:val="none" w:sz="0" w:space="0" w:color="auto"/>
                  </w:divBdr>
                  <w:divsChild>
                    <w:div w:id="4029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04762">
      <w:bodyDiv w:val="1"/>
      <w:marLeft w:val="0"/>
      <w:marRight w:val="0"/>
      <w:marTop w:val="0"/>
      <w:marBottom w:val="0"/>
      <w:divBdr>
        <w:top w:val="none" w:sz="0" w:space="0" w:color="auto"/>
        <w:left w:val="none" w:sz="0" w:space="0" w:color="auto"/>
        <w:bottom w:val="none" w:sz="0" w:space="0" w:color="auto"/>
        <w:right w:val="none" w:sz="0" w:space="0" w:color="auto"/>
      </w:divBdr>
    </w:div>
    <w:div w:id="116921347">
      <w:bodyDiv w:val="1"/>
      <w:marLeft w:val="0"/>
      <w:marRight w:val="0"/>
      <w:marTop w:val="0"/>
      <w:marBottom w:val="0"/>
      <w:divBdr>
        <w:top w:val="none" w:sz="0" w:space="0" w:color="auto"/>
        <w:left w:val="none" w:sz="0" w:space="0" w:color="auto"/>
        <w:bottom w:val="none" w:sz="0" w:space="0" w:color="auto"/>
        <w:right w:val="none" w:sz="0" w:space="0" w:color="auto"/>
      </w:divBdr>
    </w:div>
    <w:div w:id="123231617">
      <w:bodyDiv w:val="1"/>
      <w:marLeft w:val="0"/>
      <w:marRight w:val="0"/>
      <w:marTop w:val="0"/>
      <w:marBottom w:val="0"/>
      <w:divBdr>
        <w:top w:val="none" w:sz="0" w:space="0" w:color="auto"/>
        <w:left w:val="none" w:sz="0" w:space="0" w:color="auto"/>
        <w:bottom w:val="none" w:sz="0" w:space="0" w:color="auto"/>
        <w:right w:val="none" w:sz="0" w:space="0" w:color="auto"/>
      </w:divBdr>
      <w:divsChild>
        <w:div w:id="1819955146">
          <w:marLeft w:val="0"/>
          <w:marRight w:val="0"/>
          <w:marTop w:val="0"/>
          <w:marBottom w:val="0"/>
          <w:divBdr>
            <w:top w:val="none" w:sz="0" w:space="0" w:color="auto"/>
            <w:left w:val="none" w:sz="0" w:space="0" w:color="auto"/>
            <w:bottom w:val="none" w:sz="0" w:space="0" w:color="auto"/>
            <w:right w:val="none" w:sz="0" w:space="0" w:color="auto"/>
          </w:divBdr>
          <w:divsChild>
            <w:div w:id="47999927">
              <w:marLeft w:val="0"/>
              <w:marRight w:val="0"/>
              <w:marTop w:val="0"/>
              <w:marBottom w:val="0"/>
              <w:divBdr>
                <w:top w:val="none" w:sz="0" w:space="0" w:color="auto"/>
                <w:left w:val="none" w:sz="0" w:space="0" w:color="auto"/>
                <w:bottom w:val="none" w:sz="0" w:space="0" w:color="auto"/>
                <w:right w:val="none" w:sz="0" w:space="0" w:color="auto"/>
              </w:divBdr>
              <w:divsChild>
                <w:div w:id="19457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1643">
      <w:bodyDiv w:val="1"/>
      <w:marLeft w:val="0"/>
      <w:marRight w:val="0"/>
      <w:marTop w:val="0"/>
      <w:marBottom w:val="0"/>
      <w:divBdr>
        <w:top w:val="none" w:sz="0" w:space="0" w:color="auto"/>
        <w:left w:val="none" w:sz="0" w:space="0" w:color="auto"/>
        <w:bottom w:val="none" w:sz="0" w:space="0" w:color="auto"/>
        <w:right w:val="none" w:sz="0" w:space="0" w:color="auto"/>
      </w:divBdr>
      <w:divsChild>
        <w:div w:id="535851256">
          <w:marLeft w:val="0"/>
          <w:marRight w:val="0"/>
          <w:marTop w:val="0"/>
          <w:marBottom w:val="0"/>
          <w:divBdr>
            <w:top w:val="none" w:sz="0" w:space="0" w:color="auto"/>
            <w:left w:val="none" w:sz="0" w:space="0" w:color="auto"/>
            <w:bottom w:val="none" w:sz="0" w:space="0" w:color="auto"/>
            <w:right w:val="none" w:sz="0" w:space="0" w:color="auto"/>
          </w:divBdr>
          <w:divsChild>
            <w:div w:id="502936797">
              <w:marLeft w:val="0"/>
              <w:marRight w:val="0"/>
              <w:marTop w:val="0"/>
              <w:marBottom w:val="0"/>
              <w:divBdr>
                <w:top w:val="none" w:sz="0" w:space="0" w:color="auto"/>
                <w:left w:val="none" w:sz="0" w:space="0" w:color="auto"/>
                <w:bottom w:val="none" w:sz="0" w:space="0" w:color="auto"/>
                <w:right w:val="none" w:sz="0" w:space="0" w:color="auto"/>
              </w:divBdr>
              <w:divsChild>
                <w:div w:id="12866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9380">
      <w:bodyDiv w:val="1"/>
      <w:marLeft w:val="0"/>
      <w:marRight w:val="0"/>
      <w:marTop w:val="0"/>
      <w:marBottom w:val="0"/>
      <w:divBdr>
        <w:top w:val="none" w:sz="0" w:space="0" w:color="auto"/>
        <w:left w:val="none" w:sz="0" w:space="0" w:color="auto"/>
        <w:bottom w:val="none" w:sz="0" w:space="0" w:color="auto"/>
        <w:right w:val="none" w:sz="0" w:space="0" w:color="auto"/>
      </w:divBdr>
      <w:divsChild>
        <w:div w:id="163013432">
          <w:marLeft w:val="0"/>
          <w:marRight w:val="0"/>
          <w:marTop w:val="0"/>
          <w:marBottom w:val="0"/>
          <w:divBdr>
            <w:top w:val="none" w:sz="0" w:space="0" w:color="auto"/>
            <w:left w:val="none" w:sz="0" w:space="0" w:color="auto"/>
            <w:bottom w:val="none" w:sz="0" w:space="0" w:color="auto"/>
            <w:right w:val="none" w:sz="0" w:space="0" w:color="auto"/>
          </w:divBdr>
          <w:divsChild>
            <w:div w:id="81877542">
              <w:marLeft w:val="0"/>
              <w:marRight w:val="0"/>
              <w:marTop w:val="0"/>
              <w:marBottom w:val="0"/>
              <w:divBdr>
                <w:top w:val="none" w:sz="0" w:space="0" w:color="auto"/>
                <w:left w:val="none" w:sz="0" w:space="0" w:color="auto"/>
                <w:bottom w:val="none" w:sz="0" w:space="0" w:color="auto"/>
                <w:right w:val="none" w:sz="0" w:space="0" w:color="auto"/>
              </w:divBdr>
              <w:divsChild>
                <w:div w:id="1175463021">
                  <w:marLeft w:val="0"/>
                  <w:marRight w:val="0"/>
                  <w:marTop w:val="0"/>
                  <w:marBottom w:val="0"/>
                  <w:divBdr>
                    <w:top w:val="none" w:sz="0" w:space="0" w:color="auto"/>
                    <w:left w:val="none" w:sz="0" w:space="0" w:color="auto"/>
                    <w:bottom w:val="none" w:sz="0" w:space="0" w:color="auto"/>
                    <w:right w:val="none" w:sz="0" w:space="0" w:color="auto"/>
                  </w:divBdr>
                  <w:divsChild>
                    <w:div w:id="919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7975">
      <w:bodyDiv w:val="1"/>
      <w:marLeft w:val="0"/>
      <w:marRight w:val="0"/>
      <w:marTop w:val="0"/>
      <w:marBottom w:val="0"/>
      <w:divBdr>
        <w:top w:val="none" w:sz="0" w:space="0" w:color="auto"/>
        <w:left w:val="none" w:sz="0" w:space="0" w:color="auto"/>
        <w:bottom w:val="none" w:sz="0" w:space="0" w:color="auto"/>
        <w:right w:val="none" w:sz="0" w:space="0" w:color="auto"/>
      </w:divBdr>
      <w:divsChild>
        <w:div w:id="755051403">
          <w:marLeft w:val="0"/>
          <w:marRight w:val="0"/>
          <w:marTop w:val="0"/>
          <w:marBottom w:val="0"/>
          <w:divBdr>
            <w:top w:val="none" w:sz="0" w:space="0" w:color="auto"/>
            <w:left w:val="none" w:sz="0" w:space="0" w:color="auto"/>
            <w:bottom w:val="none" w:sz="0" w:space="0" w:color="auto"/>
            <w:right w:val="none" w:sz="0" w:space="0" w:color="auto"/>
          </w:divBdr>
          <w:divsChild>
            <w:div w:id="1382434829">
              <w:marLeft w:val="0"/>
              <w:marRight w:val="0"/>
              <w:marTop w:val="0"/>
              <w:marBottom w:val="0"/>
              <w:divBdr>
                <w:top w:val="none" w:sz="0" w:space="0" w:color="auto"/>
                <w:left w:val="none" w:sz="0" w:space="0" w:color="auto"/>
                <w:bottom w:val="none" w:sz="0" w:space="0" w:color="auto"/>
                <w:right w:val="none" w:sz="0" w:space="0" w:color="auto"/>
              </w:divBdr>
              <w:divsChild>
                <w:div w:id="842666674">
                  <w:marLeft w:val="0"/>
                  <w:marRight w:val="0"/>
                  <w:marTop w:val="0"/>
                  <w:marBottom w:val="0"/>
                  <w:divBdr>
                    <w:top w:val="none" w:sz="0" w:space="0" w:color="auto"/>
                    <w:left w:val="none" w:sz="0" w:space="0" w:color="auto"/>
                    <w:bottom w:val="none" w:sz="0" w:space="0" w:color="auto"/>
                    <w:right w:val="none" w:sz="0" w:space="0" w:color="auto"/>
                  </w:divBdr>
                  <w:divsChild>
                    <w:div w:id="5773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864">
      <w:bodyDiv w:val="1"/>
      <w:marLeft w:val="0"/>
      <w:marRight w:val="0"/>
      <w:marTop w:val="0"/>
      <w:marBottom w:val="0"/>
      <w:divBdr>
        <w:top w:val="none" w:sz="0" w:space="0" w:color="auto"/>
        <w:left w:val="none" w:sz="0" w:space="0" w:color="auto"/>
        <w:bottom w:val="none" w:sz="0" w:space="0" w:color="auto"/>
        <w:right w:val="none" w:sz="0" w:space="0" w:color="auto"/>
      </w:divBdr>
      <w:divsChild>
        <w:div w:id="1656881436">
          <w:marLeft w:val="0"/>
          <w:marRight w:val="0"/>
          <w:marTop w:val="0"/>
          <w:marBottom w:val="0"/>
          <w:divBdr>
            <w:top w:val="none" w:sz="0" w:space="0" w:color="auto"/>
            <w:left w:val="none" w:sz="0" w:space="0" w:color="auto"/>
            <w:bottom w:val="none" w:sz="0" w:space="0" w:color="auto"/>
            <w:right w:val="none" w:sz="0" w:space="0" w:color="auto"/>
          </w:divBdr>
          <w:divsChild>
            <w:div w:id="1380787849">
              <w:marLeft w:val="0"/>
              <w:marRight w:val="0"/>
              <w:marTop w:val="0"/>
              <w:marBottom w:val="0"/>
              <w:divBdr>
                <w:top w:val="none" w:sz="0" w:space="0" w:color="auto"/>
                <w:left w:val="none" w:sz="0" w:space="0" w:color="auto"/>
                <w:bottom w:val="none" w:sz="0" w:space="0" w:color="auto"/>
                <w:right w:val="none" w:sz="0" w:space="0" w:color="auto"/>
              </w:divBdr>
              <w:divsChild>
                <w:div w:id="173230941">
                  <w:marLeft w:val="0"/>
                  <w:marRight w:val="0"/>
                  <w:marTop w:val="0"/>
                  <w:marBottom w:val="0"/>
                  <w:divBdr>
                    <w:top w:val="none" w:sz="0" w:space="0" w:color="auto"/>
                    <w:left w:val="none" w:sz="0" w:space="0" w:color="auto"/>
                    <w:bottom w:val="none" w:sz="0" w:space="0" w:color="auto"/>
                    <w:right w:val="none" w:sz="0" w:space="0" w:color="auto"/>
                  </w:divBdr>
                  <w:divsChild>
                    <w:div w:id="15259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9749">
      <w:bodyDiv w:val="1"/>
      <w:marLeft w:val="0"/>
      <w:marRight w:val="0"/>
      <w:marTop w:val="0"/>
      <w:marBottom w:val="0"/>
      <w:divBdr>
        <w:top w:val="none" w:sz="0" w:space="0" w:color="auto"/>
        <w:left w:val="none" w:sz="0" w:space="0" w:color="auto"/>
        <w:bottom w:val="none" w:sz="0" w:space="0" w:color="auto"/>
        <w:right w:val="none" w:sz="0" w:space="0" w:color="auto"/>
      </w:divBdr>
      <w:divsChild>
        <w:div w:id="1905873449">
          <w:marLeft w:val="0"/>
          <w:marRight w:val="0"/>
          <w:marTop w:val="0"/>
          <w:marBottom w:val="0"/>
          <w:divBdr>
            <w:top w:val="none" w:sz="0" w:space="0" w:color="auto"/>
            <w:left w:val="none" w:sz="0" w:space="0" w:color="auto"/>
            <w:bottom w:val="none" w:sz="0" w:space="0" w:color="auto"/>
            <w:right w:val="none" w:sz="0" w:space="0" w:color="auto"/>
          </w:divBdr>
          <w:divsChild>
            <w:div w:id="1517423483">
              <w:marLeft w:val="0"/>
              <w:marRight w:val="0"/>
              <w:marTop w:val="0"/>
              <w:marBottom w:val="0"/>
              <w:divBdr>
                <w:top w:val="none" w:sz="0" w:space="0" w:color="auto"/>
                <w:left w:val="none" w:sz="0" w:space="0" w:color="auto"/>
                <w:bottom w:val="none" w:sz="0" w:space="0" w:color="auto"/>
                <w:right w:val="none" w:sz="0" w:space="0" w:color="auto"/>
              </w:divBdr>
              <w:divsChild>
                <w:div w:id="1424835881">
                  <w:marLeft w:val="0"/>
                  <w:marRight w:val="0"/>
                  <w:marTop w:val="0"/>
                  <w:marBottom w:val="0"/>
                  <w:divBdr>
                    <w:top w:val="none" w:sz="0" w:space="0" w:color="auto"/>
                    <w:left w:val="none" w:sz="0" w:space="0" w:color="auto"/>
                    <w:bottom w:val="none" w:sz="0" w:space="0" w:color="auto"/>
                    <w:right w:val="none" w:sz="0" w:space="0" w:color="auto"/>
                  </w:divBdr>
                  <w:divsChild>
                    <w:div w:id="7865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05103">
      <w:bodyDiv w:val="1"/>
      <w:marLeft w:val="0"/>
      <w:marRight w:val="0"/>
      <w:marTop w:val="0"/>
      <w:marBottom w:val="0"/>
      <w:divBdr>
        <w:top w:val="none" w:sz="0" w:space="0" w:color="auto"/>
        <w:left w:val="none" w:sz="0" w:space="0" w:color="auto"/>
        <w:bottom w:val="none" w:sz="0" w:space="0" w:color="auto"/>
        <w:right w:val="none" w:sz="0" w:space="0" w:color="auto"/>
      </w:divBdr>
      <w:divsChild>
        <w:div w:id="183516384">
          <w:marLeft w:val="0"/>
          <w:marRight w:val="0"/>
          <w:marTop w:val="0"/>
          <w:marBottom w:val="0"/>
          <w:divBdr>
            <w:top w:val="none" w:sz="0" w:space="0" w:color="auto"/>
            <w:left w:val="none" w:sz="0" w:space="0" w:color="auto"/>
            <w:bottom w:val="none" w:sz="0" w:space="0" w:color="auto"/>
            <w:right w:val="none" w:sz="0" w:space="0" w:color="auto"/>
          </w:divBdr>
          <w:divsChild>
            <w:div w:id="142897006">
              <w:marLeft w:val="0"/>
              <w:marRight w:val="0"/>
              <w:marTop w:val="0"/>
              <w:marBottom w:val="0"/>
              <w:divBdr>
                <w:top w:val="none" w:sz="0" w:space="0" w:color="auto"/>
                <w:left w:val="none" w:sz="0" w:space="0" w:color="auto"/>
                <w:bottom w:val="none" w:sz="0" w:space="0" w:color="auto"/>
                <w:right w:val="none" w:sz="0" w:space="0" w:color="auto"/>
              </w:divBdr>
              <w:divsChild>
                <w:div w:id="8539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2253">
      <w:bodyDiv w:val="1"/>
      <w:marLeft w:val="0"/>
      <w:marRight w:val="0"/>
      <w:marTop w:val="0"/>
      <w:marBottom w:val="0"/>
      <w:divBdr>
        <w:top w:val="none" w:sz="0" w:space="0" w:color="auto"/>
        <w:left w:val="none" w:sz="0" w:space="0" w:color="auto"/>
        <w:bottom w:val="none" w:sz="0" w:space="0" w:color="auto"/>
        <w:right w:val="none" w:sz="0" w:space="0" w:color="auto"/>
      </w:divBdr>
    </w:div>
    <w:div w:id="159927037">
      <w:bodyDiv w:val="1"/>
      <w:marLeft w:val="0"/>
      <w:marRight w:val="0"/>
      <w:marTop w:val="0"/>
      <w:marBottom w:val="0"/>
      <w:divBdr>
        <w:top w:val="none" w:sz="0" w:space="0" w:color="auto"/>
        <w:left w:val="none" w:sz="0" w:space="0" w:color="auto"/>
        <w:bottom w:val="none" w:sz="0" w:space="0" w:color="auto"/>
        <w:right w:val="none" w:sz="0" w:space="0" w:color="auto"/>
      </w:divBdr>
      <w:divsChild>
        <w:div w:id="1264068371">
          <w:marLeft w:val="0"/>
          <w:marRight w:val="0"/>
          <w:marTop w:val="0"/>
          <w:marBottom w:val="0"/>
          <w:divBdr>
            <w:top w:val="none" w:sz="0" w:space="0" w:color="auto"/>
            <w:left w:val="none" w:sz="0" w:space="0" w:color="auto"/>
            <w:bottom w:val="none" w:sz="0" w:space="0" w:color="auto"/>
            <w:right w:val="none" w:sz="0" w:space="0" w:color="auto"/>
          </w:divBdr>
          <w:divsChild>
            <w:div w:id="578101786">
              <w:marLeft w:val="0"/>
              <w:marRight w:val="0"/>
              <w:marTop w:val="0"/>
              <w:marBottom w:val="0"/>
              <w:divBdr>
                <w:top w:val="none" w:sz="0" w:space="0" w:color="auto"/>
                <w:left w:val="none" w:sz="0" w:space="0" w:color="auto"/>
                <w:bottom w:val="none" w:sz="0" w:space="0" w:color="auto"/>
                <w:right w:val="none" w:sz="0" w:space="0" w:color="auto"/>
              </w:divBdr>
              <w:divsChild>
                <w:div w:id="4794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1502">
      <w:bodyDiv w:val="1"/>
      <w:marLeft w:val="0"/>
      <w:marRight w:val="0"/>
      <w:marTop w:val="0"/>
      <w:marBottom w:val="0"/>
      <w:divBdr>
        <w:top w:val="none" w:sz="0" w:space="0" w:color="auto"/>
        <w:left w:val="none" w:sz="0" w:space="0" w:color="auto"/>
        <w:bottom w:val="none" w:sz="0" w:space="0" w:color="auto"/>
        <w:right w:val="none" w:sz="0" w:space="0" w:color="auto"/>
      </w:divBdr>
      <w:divsChild>
        <w:div w:id="477381170">
          <w:marLeft w:val="0"/>
          <w:marRight w:val="0"/>
          <w:marTop w:val="0"/>
          <w:marBottom w:val="0"/>
          <w:divBdr>
            <w:top w:val="none" w:sz="0" w:space="0" w:color="auto"/>
            <w:left w:val="none" w:sz="0" w:space="0" w:color="auto"/>
            <w:bottom w:val="none" w:sz="0" w:space="0" w:color="auto"/>
            <w:right w:val="none" w:sz="0" w:space="0" w:color="auto"/>
          </w:divBdr>
          <w:divsChild>
            <w:div w:id="1303190450">
              <w:marLeft w:val="0"/>
              <w:marRight w:val="0"/>
              <w:marTop w:val="0"/>
              <w:marBottom w:val="0"/>
              <w:divBdr>
                <w:top w:val="none" w:sz="0" w:space="0" w:color="auto"/>
                <w:left w:val="none" w:sz="0" w:space="0" w:color="auto"/>
                <w:bottom w:val="none" w:sz="0" w:space="0" w:color="auto"/>
                <w:right w:val="none" w:sz="0" w:space="0" w:color="auto"/>
              </w:divBdr>
              <w:divsChild>
                <w:div w:id="879244020">
                  <w:marLeft w:val="0"/>
                  <w:marRight w:val="0"/>
                  <w:marTop w:val="0"/>
                  <w:marBottom w:val="0"/>
                  <w:divBdr>
                    <w:top w:val="none" w:sz="0" w:space="0" w:color="auto"/>
                    <w:left w:val="none" w:sz="0" w:space="0" w:color="auto"/>
                    <w:bottom w:val="none" w:sz="0" w:space="0" w:color="auto"/>
                    <w:right w:val="none" w:sz="0" w:space="0" w:color="auto"/>
                  </w:divBdr>
                  <w:divsChild>
                    <w:div w:id="12353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6098">
      <w:bodyDiv w:val="1"/>
      <w:marLeft w:val="0"/>
      <w:marRight w:val="0"/>
      <w:marTop w:val="0"/>
      <w:marBottom w:val="0"/>
      <w:divBdr>
        <w:top w:val="none" w:sz="0" w:space="0" w:color="auto"/>
        <w:left w:val="none" w:sz="0" w:space="0" w:color="auto"/>
        <w:bottom w:val="none" w:sz="0" w:space="0" w:color="auto"/>
        <w:right w:val="none" w:sz="0" w:space="0" w:color="auto"/>
      </w:divBdr>
      <w:divsChild>
        <w:div w:id="1858424758">
          <w:marLeft w:val="0"/>
          <w:marRight w:val="0"/>
          <w:marTop w:val="0"/>
          <w:marBottom w:val="0"/>
          <w:divBdr>
            <w:top w:val="none" w:sz="0" w:space="0" w:color="auto"/>
            <w:left w:val="none" w:sz="0" w:space="0" w:color="auto"/>
            <w:bottom w:val="none" w:sz="0" w:space="0" w:color="auto"/>
            <w:right w:val="none" w:sz="0" w:space="0" w:color="auto"/>
          </w:divBdr>
          <w:divsChild>
            <w:div w:id="164782647">
              <w:marLeft w:val="0"/>
              <w:marRight w:val="0"/>
              <w:marTop w:val="0"/>
              <w:marBottom w:val="0"/>
              <w:divBdr>
                <w:top w:val="none" w:sz="0" w:space="0" w:color="auto"/>
                <w:left w:val="none" w:sz="0" w:space="0" w:color="auto"/>
                <w:bottom w:val="none" w:sz="0" w:space="0" w:color="auto"/>
                <w:right w:val="none" w:sz="0" w:space="0" w:color="auto"/>
              </w:divBdr>
              <w:divsChild>
                <w:div w:id="16673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5829">
      <w:bodyDiv w:val="1"/>
      <w:marLeft w:val="0"/>
      <w:marRight w:val="0"/>
      <w:marTop w:val="0"/>
      <w:marBottom w:val="0"/>
      <w:divBdr>
        <w:top w:val="none" w:sz="0" w:space="0" w:color="auto"/>
        <w:left w:val="none" w:sz="0" w:space="0" w:color="auto"/>
        <w:bottom w:val="none" w:sz="0" w:space="0" w:color="auto"/>
        <w:right w:val="none" w:sz="0" w:space="0" w:color="auto"/>
      </w:divBdr>
    </w:div>
    <w:div w:id="176963313">
      <w:bodyDiv w:val="1"/>
      <w:marLeft w:val="0"/>
      <w:marRight w:val="0"/>
      <w:marTop w:val="0"/>
      <w:marBottom w:val="0"/>
      <w:divBdr>
        <w:top w:val="none" w:sz="0" w:space="0" w:color="auto"/>
        <w:left w:val="none" w:sz="0" w:space="0" w:color="auto"/>
        <w:bottom w:val="none" w:sz="0" w:space="0" w:color="auto"/>
        <w:right w:val="none" w:sz="0" w:space="0" w:color="auto"/>
      </w:divBdr>
      <w:divsChild>
        <w:div w:id="518471124">
          <w:marLeft w:val="0"/>
          <w:marRight w:val="0"/>
          <w:marTop w:val="0"/>
          <w:marBottom w:val="0"/>
          <w:divBdr>
            <w:top w:val="none" w:sz="0" w:space="0" w:color="auto"/>
            <w:left w:val="none" w:sz="0" w:space="0" w:color="auto"/>
            <w:bottom w:val="none" w:sz="0" w:space="0" w:color="auto"/>
            <w:right w:val="none" w:sz="0" w:space="0" w:color="auto"/>
          </w:divBdr>
          <w:divsChild>
            <w:div w:id="1548908680">
              <w:marLeft w:val="0"/>
              <w:marRight w:val="0"/>
              <w:marTop w:val="0"/>
              <w:marBottom w:val="0"/>
              <w:divBdr>
                <w:top w:val="none" w:sz="0" w:space="0" w:color="auto"/>
                <w:left w:val="none" w:sz="0" w:space="0" w:color="auto"/>
                <w:bottom w:val="none" w:sz="0" w:space="0" w:color="auto"/>
                <w:right w:val="none" w:sz="0" w:space="0" w:color="auto"/>
              </w:divBdr>
              <w:divsChild>
                <w:div w:id="1241214179">
                  <w:marLeft w:val="0"/>
                  <w:marRight w:val="0"/>
                  <w:marTop w:val="0"/>
                  <w:marBottom w:val="0"/>
                  <w:divBdr>
                    <w:top w:val="none" w:sz="0" w:space="0" w:color="auto"/>
                    <w:left w:val="none" w:sz="0" w:space="0" w:color="auto"/>
                    <w:bottom w:val="none" w:sz="0" w:space="0" w:color="auto"/>
                    <w:right w:val="none" w:sz="0" w:space="0" w:color="auto"/>
                  </w:divBdr>
                  <w:divsChild>
                    <w:div w:id="21311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7300">
      <w:bodyDiv w:val="1"/>
      <w:marLeft w:val="0"/>
      <w:marRight w:val="0"/>
      <w:marTop w:val="0"/>
      <w:marBottom w:val="0"/>
      <w:divBdr>
        <w:top w:val="none" w:sz="0" w:space="0" w:color="auto"/>
        <w:left w:val="none" w:sz="0" w:space="0" w:color="auto"/>
        <w:bottom w:val="none" w:sz="0" w:space="0" w:color="auto"/>
        <w:right w:val="none" w:sz="0" w:space="0" w:color="auto"/>
      </w:divBdr>
    </w:div>
    <w:div w:id="181405937">
      <w:bodyDiv w:val="1"/>
      <w:marLeft w:val="0"/>
      <w:marRight w:val="0"/>
      <w:marTop w:val="0"/>
      <w:marBottom w:val="0"/>
      <w:divBdr>
        <w:top w:val="none" w:sz="0" w:space="0" w:color="auto"/>
        <w:left w:val="none" w:sz="0" w:space="0" w:color="auto"/>
        <w:bottom w:val="none" w:sz="0" w:space="0" w:color="auto"/>
        <w:right w:val="none" w:sz="0" w:space="0" w:color="auto"/>
      </w:divBdr>
      <w:divsChild>
        <w:div w:id="288173440">
          <w:marLeft w:val="0"/>
          <w:marRight w:val="0"/>
          <w:marTop w:val="0"/>
          <w:marBottom w:val="0"/>
          <w:divBdr>
            <w:top w:val="none" w:sz="0" w:space="0" w:color="auto"/>
            <w:left w:val="none" w:sz="0" w:space="0" w:color="auto"/>
            <w:bottom w:val="none" w:sz="0" w:space="0" w:color="auto"/>
            <w:right w:val="none" w:sz="0" w:space="0" w:color="auto"/>
          </w:divBdr>
          <w:divsChild>
            <w:div w:id="1235239564">
              <w:marLeft w:val="0"/>
              <w:marRight w:val="0"/>
              <w:marTop w:val="0"/>
              <w:marBottom w:val="0"/>
              <w:divBdr>
                <w:top w:val="none" w:sz="0" w:space="0" w:color="auto"/>
                <w:left w:val="none" w:sz="0" w:space="0" w:color="auto"/>
                <w:bottom w:val="none" w:sz="0" w:space="0" w:color="auto"/>
                <w:right w:val="none" w:sz="0" w:space="0" w:color="auto"/>
              </w:divBdr>
              <w:divsChild>
                <w:div w:id="1835492701">
                  <w:marLeft w:val="0"/>
                  <w:marRight w:val="0"/>
                  <w:marTop w:val="0"/>
                  <w:marBottom w:val="0"/>
                  <w:divBdr>
                    <w:top w:val="none" w:sz="0" w:space="0" w:color="auto"/>
                    <w:left w:val="none" w:sz="0" w:space="0" w:color="auto"/>
                    <w:bottom w:val="none" w:sz="0" w:space="0" w:color="auto"/>
                    <w:right w:val="none" w:sz="0" w:space="0" w:color="auto"/>
                  </w:divBdr>
                  <w:divsChild>
                    <w:div w:id="9171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75358">
      <w:bodyDiv w:val="1"/>
      <w:marLeft w:val="0"/>
      <w:marRight w:val="0"/>
      <w:marTop w:val="0"/>
      <w:marBottom w:val="0"/>
      <w:divBdr>
        <w:top w:val="none" w:sz="0" w:space="0" w:color="auto"/>
        <w:left w:val="none" w:sz="0" w:space="0" w:color="auto"/>
        <w:bottom w:val="none" w:sz="0" w:space="0" w:color="auto"/>
        <w:right w:val="none" w:sz="0" w:space="0" w:color="auto"/>
      </w:divBdr>
    </w:div>
    <w:div w:id="185602807">
      <w:bodyDiv w:val="1"/>
      <w:marLeft w:val="0"/>
      <w:marRight w:val="0"/>
      <w:marTop w:val="0"/>
      <w:marBottom w:val="0"/>
      <w:divBdr>
        <w:top w:val="none" w:sz="0" w:space="0" w:color="auto"/>
        <w:left w:val="none" w:sz="0" w:space="0" w:color="auto"/>
        <w:bottom w:val="none" w:sz="0" w:space="0" w:color="auto"/>
        <w:right w:val="none" w:sz="0" w:space="0" w:color="auto"/>
      </w:divBdr>
      <w:divsChild>
        <w:div w:id="2104105452">
          <w:marLeft w:val="0"/>
          <w:marRight w:val="0"/>
          <w:marTop w:val="0"/>
          <w:marBottom w:val="0"/>
          <w:divBdr>
            <w:top w:val="none" w:sz="0" w:space="0" w:color="auto"/>
            <w:left w:val="none" w:sz="0" w:space="0" w:color="auto"/>
            <w:bottom w:val="none" w:sz="0" w:space="0" w:color="auto"/>
            <w:right w:val="none" w:sz="0" w:space="0" w:color="auto"/>
          </w:divBdr>
          <w:divsChild>
            <w:div w:id="1237864820">
              <w:marLeft w:val="0"/>
              <w:marRight w:val="0"/>
              <w:marTop w:val="0"/>
              <w:marBottom w:val="0"/>
              <w:divBdr>
                <w:top w:val="none" w:sz="0" w:space="0" w:color="auto"/>
                <w:left w:val="none" w:sz="0" w:space="0" w:color="auto"/>
                <w:bottom w:val="none" w:sz="0" w:space="0" w:color="auto"/>
                <w:right w:val="none" w:sz="0" w:space="0" w:color="auto"/>
              </w:divBdr>
              <w:divsChild>
                <w:div w:id="2126266341">
                  <w:marLeft w:val="0"/>
                  <w:marRight w:val="0"/>
                  <w:marTop w:val="0"/>
                  <w:marBottom w:val="0"/>
                  <w:divBdr>
                    <w:top w:val="none" w:sz="0" w:space="0" w:color="auto"/>
                    <w:left w:val="none" w:sz="0" w:space="0" w:color="auto"/>
                    <w:bottom w:val="none" w:sz="0" w:space="0" w:color="auto"/>
                    <w:right w:val="none" w:sz="0" w:space="0" w:color="auto"/>
                  </w:divBdr>
                  <w:divsChild>
                    <w:div w:id="16888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8330">
      <w:bodyDiv w:val="1"/>
      <w:marLeft w:val="0"/>
      <w:marRight w:val="0"/>
      <w:marTop w:val="0"/>
      <w:marBottom w:val="0"/>
      <w:divBdr>
        <w:top w:val="none" w:sz="0" w:space="0" w:color="auto"/>
        <w:left w:val="none" w:sz="0" w:space="0" w:color="auto"/>
        <w:bottom w:val="none" w:sz="0" w:space="0" w:color="auto"/>
        <w:right w:val="none" w:sz="0" w:space="0" w:color="auto"/>
      </w:divBdr>
    </w:div>
    <w:div w:id="193929180">
      <w:bodyDiv w:val="1"/>
      <w:marLeft w:val="0"/>
      <w:marRight w:val="0"/>
      <w:marTop w:val="0"/>
      <w:marBottom w:val="0"/>
      <w:divBdr>
        <w:top w:val="none" w:sz="0" w:space="0" w:color="auto"/>
        <w:left w:val="none" w:sz="0" w:space="0" w:color="auto"/>
        <w:bottom w:val="none" w:sz="0" w:space="0" w:color="auto"/>
        <w:right w:val="none" w:sz="0" w:space="0" w:color="auto"/>
      </w:divBdr>
      <w:divsChild>
        <w:div w:id="595477145">
          <w:marLeft w:val="0"/>
          <w:marRight w:val="0"/>
          <w:marTop w:val="0"/>
          <w:marBottom w:val="0"/>
          <w:divBdr>
            <w:top w:val="none" w:sz="0" w:space="0" w:color="auto"/>
            <w:left w:val="none" w:sz="0" w:space="0" w:color="auto"/>
            <w:bottom w:val="none" w:sz="0" w:space="0" w:color="auto"/>
            <w:right w:val="none" w:sz="0" w:space="0" w:color="auto"/>
          </w:divBdr>
          <w:divsChild>
            <w:div w:id="1912228697">
              <w:marLeft w:val="0"/>
              <w:marRight w:val="0"/>
              <w:marTop w:val="0"/>
              <w:marBottom w:val="0"/>
              <w:divBdr>
                <w:top w:val="none" w:sz="0" w:space="0" w:color="auto"/>
                <w:left w:val="none" w:sz="0" w:space="0" w:color="auto"/>
                <w:bottom w:val="none" w:sz="0" w:space="0" w:color="auto"/>
                <w:right w:val="none" w:sz="0" w:space="0" w:color="auto"/>
              </w:divBdr>
              <w:divsChild>
                <w:div w:id="1750542008">
                  <w:marLeft w:val="0"/>
                  <w:marRight w:val="0"/>
                  <w:marTop w:val="0"/>
                  <w:marBottom w:val="0"/>
                  <w:divBdr>
                    <w:top w:val="none" w:sz="0" w:space="0" w:color="auto"/>
                    <w:left w:val="none" w:sz="0" w:space="0" w:color="auto"/>
                    <w:bottom w:val="none" w:sz="0" w:space="0" w:color="auto"/>
                    <w:right w:val="none" w:sz="0" w:space="0" w:color="auto"/>
                  </w:divBdr>
                  <w:divsChild>
                    <w:div w:id="14050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9569">
      <w:bodyDiv w:val="1"/>
      <w:marLeft w:val="0"/>
      <w:marRight w:val="0"/>
      <w:marTop w:val="0"/>
      <w:marBottom w:val="0"/>
      <w:divBdr>
        <w:top w:val="none" w:sz="0" w:space="0" w:color="auto"/>
        <w:left w:val="none" w:sz="0" w:space="0" w:color="auto"/>
        <w:bottom w:val="none" w:sz="0" w:space="0" w:color="auto"/>
        <w:right w:val="none" w:sz="0" w:space="0" w:color="auto"/>
      </w:divBdr>
      <w:divsChild>
        <w:div w:id="1582518485">
          <w:marLeft w:val="0"/>
          <w:marRight w:val="0"/>
          <w:marTop w:val="0"/>
          <w:marBottom w:val="0"/>
          <w:divBdr>
            <w:top w:val="none" w:sz="0" w:space="0" w:color="auto"/>
            <w:left w:val="none" w:sz="0" w:space="0" w:color="auto"/>
            <w:bottom w:val="none" w:sz="0" w:space="0" w:color="auto"/>
            <w:right w:val="none" w:sz="0" w:space="0" w:color="auto"/>
          </w:divBdr>
          <w:divsChild>
            <w:div w:id="975186182">
              <w:marLeft w:val="0"/>
              <w:marRight w:val="0"/>
              <w:marTop w:val="0"/>
              <w:marBottom w:val="0"/>
              <w:divBdr>
                <w:top w:val="none" w:sz="0" w:space="0" w:color="auto"/>
                <w:left w:val="none" w:sz="0" w:space="0" w:color="auto"/>
                <w:bottom w:val="none" w:sz="0" w:space="0" w:color="auto"/>
                <w:right w:val="none" w:sz="0" w:space="0" w:color="auto"/>
              </w:divBdr>
              <w:divsChild>
                <w:div w:id="7311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4891">
      <w:bodyDiv w:val="1"/>
      <w:marLeft w:val="0"/>
      <w:marRight w:val="0"/>
      <w:marTop w:val="0"/>
      <w:marBottom w:val="0"/>
      <w:divBdr>
        <w:top w:val="none" w:sz="0" w:space="0" w:color="auto"/>
        <w:left w:val="none" w:sz="0" w:space="0" w:color="auto"/>
        <w:bottom w:val="none" w:sz="0" w:space="0" w:color="auto"/>
        <w:right w:val="none" w:sz="0" w:space="0" w:color="auto"/>
      </w:divBdr>
    </w:div>
    <w:div w:id="206381972">
      <w:bodyDiv w:val="1"/>
      <w:marLeft w:val="0"/>
      <w:marRight w:val="0"/>
      <w:marTop w:val="0"/>
      <w:marBottom w:val="0"/>
      <w:divBdr>
        <w:top w:val="none" w:sz="0" w:space="0" w:color="auto"/>
        <w:left w:val="none" w:sz="0" w:space="0" w:color="auto"/>
        <w:bottom w:val="none" w:sz="0" w:space="0" w:color="auto"/>
        <w:right w:val="none" w:sz="0" w:space="0" w:color="auto"/>
      </w:divBdr>
      <w:divsChild>
        <w:div w:id="1258900118">
          <w:marLeft w:val="0"/>
          <w:marRight w:val="0"/>
          <w:marTop w:val="0"/>
          <w:marBottom w:val="0"/>
          <w:divBdr>
            <w:top w:val="none" w:sz="0" w:space="0" w:color="auto"/>
            <w:left w:val="none" w:sz="0" w:space="0" w:color="auto"/>
            <w:bottom w:val="none" w:sz="0" w:space="0" w:color="auto"/>
            <w:right w:val="none" w:sz="0" w:space="0" w:color="auto"/>
          </w:divBdr>
          <w:divsChild>
            <w:div w:id="10109341">
              <w:marLeft w:val="0"/>
              <w:marRight w:val="0"/>
              <w:marTop w:val="0"/>
              <w:marBottom w:val="0"/>
              <w:divBdr>
                <w:top w:val="none" w:sz="0" w:space="0" w:color="auto"/>
                <w:left w:val="none" w:sz="0" w:space="0" w:color="auto"/>
                <w:bottom w:val="none" w:sz="0" w:space="0" w:color="auto"/>
                <w:right w:val="none" w:sz="0" w:space="0" w:color="auto"/>
              </w:divBdr>
              <w:divsChild>
                <w:div w:id="2057772488">
                  <w:marLeft w:val="0"/>
                  <w:marRight w:val="0"/>
                  <w:marTop w:val="0"/>
                  <w:marBottom w:val="0"/>
                  <w:divBdr>
                    <w:top w:val="none" w:sz="0" w:space="0" w:color="auto"/>
                    <w:left w:val="none" w:sz="0" w:space="0" w:color="auto"/>
                    <w:bottom w:val="none" w:sz="0" w:space="0" w:color="auto"/>
                    <w:right w:val="none" w:sz="0" w:space="0" w:color="auto"/>
                  </w:divBdr>
                  <w:divsChild>
                    <w:div w:id="19205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0833">
      <w:bodyDiv w:val="1"/>
      <w:marLeft w:val="0"/>
      <w:marRight w:val="0"/>
      <w:marTop w:val="0"/>
      <w:marBottom w:val="0"/>
      <w:divBdr>
        <w:top w:val="none" w:sz="0" w:space="0" w:color="auto"/>
        <w:left w:val="none" w:sz="0" w:space="0" w:color="auto"/>
        <w:bottom w:val="none" w:sz="0" w:space="0" w:color="auto"/>
        <w:right w:val="none" w:sz="0" w:space="0" w:color="auto"/>
      </w:divBdr>
      <w:divsChild>
        <w:div w:id="1610969540">
          <w:marLeft w:val="0"/>
          <w:marRight w:val="0"/>
          <w:marTop w:val="0"/>
          <w:marBottom w:val="0"/>
          <w:divBdr>
            <w:top w:val="none" w:sz="0" w:space="0" w:color="auto"/>
            <w:left w:val="none" w:sz="0" w:space="0" w:color="auto"/>
            <w:bottom w:val="none" w:sz="0" w:space="0" w:color="auto"/>
            <w:right w:val="none" w:sz="0" w:space="0" w:color="auto"/>
          </w:divBdr>
          <w:divsChild>
            <w:div w:id="1745683075">
              <w:marLeft w:val="0"/>
              <w:marRight w:val="0"/>
              <w:marTop w:val="0"/>
              <w:marBottom w:val="0"/>
              <w:divBdr>
                <w:top w:val="none" w:sz="0" w:space="0" w:color="auto"/>
                <w:left w:val="none" w:sz="0" w:space="0" w:color="auto"/>
                <w:bottom w:val="none" w:sz="0" w:space="0" w:color="auto"/>
                <w:right w:val="none" w:sz="0" w:space="0" w:color="auto"/>
              </w:divBdr>
              <w:divsChild>
                <w:div w:id="2035034438">
                  <w:marLeft w:val="0"/>
                  <w:marRight w:val="0"/>
                  <w:marTop w:val="0"/>
                  <w:marBottom w:val="0"/>
                  <w:divBdr>
                    <w:top w:val="none" w:sz="0" w:space="0" w:color="auto"/>
                    <w:left w:val="none" w:sz="0" w:space="0" w:color="auto"/>
                    <w:bottom w:val="none" w:sz="0" w:space="0" w:color="auto"/>
                    <w:right w:val="none" w:sz="0" w:space="0" w:color="auto"/>
                  </w:divBdr>
                  <w:divsChild>
                    <w:div w:id="14673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5609">
      <w:bodyDiv w:val="1"/>
      <w:marLeft w:val="0"/>
      <w:marRight w:val="0"/>
      <w:marTop w:val="0"/>
      <w:marBottom w:val="0"/>
      <w:divBdr>
        <w:top w:val="none" w:sz="0" w:space="0" w:color="auto"/>
        <w:left w:val="none" w:sz="0" w:space="0" w:color="auto"/>
        <w:bottom w:val="none" w:sz="0" w:space="0" w:color="auto"/>
        <w:right w:val="none" w:sz="0" w:space="0" w:color="auto"/>
      </w:divBdr>
      <w:divsChild>
        <w:div w:id="312953344">
          <w:marLeft w:val="0"/>
          <w:marRight w:val="0"/>
          <w:marTop w:val="0"/>
          <w:marBottom w:val="0"/>
          <w:divBdr>
            <w:top w:val="none" w:sz="0" w:space="0" w:color="auto"/>
            <w:left w:val="none" w:sz="0" w:space="0" w:color="auto"/>
            <w:bottom w:val="none" w:sz="0" w:space="0" w:color="auto"/>
            <w:right w:val="none" w:sz="0" w:space="0" w:color="auto"/>
          </w:divBdr>
          <w:divsChild>
            <w:div w:id="319387183">
              <w:marLeft w:val="0"/>
              <w:marRight w:val="0"/>
              <w:marTop w:val="0"/>
              <w:marBottom w:val="0"/>
              <w:divBdr>
                <w:top w:val="none" w:sz="0" w:space="0" w:color="auto"/>
                <w:left w:val="none" w:sz="0" w:space="0" w:color="auto"/>
                <w:bottom w:val="none" w:sz="0" w:space="0" w:color="auto"/>
                <w:right w:val="none" w:sz="0" w:space="0" w:color="auto"/>
              </w:divBdr>
              <w:divsChild>
                <w:div w:id="1903131607">
                  <w:marLeft w:val="0"/>
                  <w:marRight w:val="0"/>
                  <w:marTop w:val="0"/>
                  <w:marBottom w:val="0"/>
                  <w:divBdr>
                    <w:top w:val="none" w:sz="0" w:space="0" w:color="auto"/>
                    <w:left w:val="none" w:sz="0" w:space="0" w:color="auto"/>
                    <w:bottom w:val="none" w:sz="0" w:space="0" w:color="auto"/>
                    <w:right w:val="none" w:sz="0" w:space="0" w:color="auto"/>
                  </w:divBdr>
                  <w:divsChild>
                    <w:div w:id="155754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84846">
      <w:bodyDiv w:val="1"/>
      <w:marLeft w:val="0"/>
      <w:marRight w:val="0"/>
      <w:marTop w:val="0"/>
      <w:marBottom w:val="0"/>
      <w:divBdr>
        <w:top w:val="none" w:sz="0" w:space="0" w:color="auto"/>
        <w:left w:val="none" w:sz="0" w:space="0" w:color="auto"/>
        <w:bottom w:val="none" w:sz="0" w:space="0" w:color="auto"/>
        <w:right w:val="none" w:sz="0" w:space="0" w:color="auto"/>
      </w:divBdr>
      <w:divsChild>
        <w:div w:id="329404725">
          <w:marLeft w:val="0"/>
          <w:marRight w:val="0"/>
          <w:marTop w:val="0"/>
          <w:marBottom w:val="0"/>
          <w:divBdr>
            <w:top w:val="none" w:sz="0" w:space="0" w:color="auto"/>
            <w:left w:val="none" w:sz="0" w:space="0" w:color="auto"/>
            <w:bottom w:val="none" w:sz="0" w:space="0" w:color="auto"/>
            <w:right w:val="none" w:sz="0" w:space="0" w:color="auto"/>
          </w:divBdr>
        </w:div>
        <w:div w:id="580025810">
          <w:marLeft w:val="0"/>
          <w:marRight w:val="0"/>
          <w:marTop w:val="0"/>
          <w:marBottom w:val="0"/>
          <w:divBdr>
            <w:top w:val="none" w:sz="0" w:space="0" w:color="auto"/>
            <w:left w:val="none" w:sz="0" w:space="0" w:color="auto"/>
            <w:bottom w:val="none" w:sz="0" w:space="0" w:color="auto"/>
            <w:right w:val="none" w:sz="0" w:space="0" w:color="auto"/>
          </w:divBdr>
        </w:div>
      </w:divsChild>
    </w:div>
    <w:div w:id="218518722">
      <w:bodyDiv w:val="1"/>
      <w:marLeft w:val="0"/>
      <w:marRight w:val="0"/>
      <w:marTop w:val="0"/>
      <w:marBottom w:val="0"/>
      <w:divBdr>
        <w:top w:val="none" w:sz="0" w:space="0" w:color="auto"/>
        <w:left w:val="none" w:sz="0" w:space="0" w:color="auto"/>
        <w:bottom w:val="none" w:sz="0" w:space="0" w:color="auto"/>
        <w:right w:val="none" w:sz="0" w:space="0" w:color="auto"/>
      </w:divBdr>
      <w:divsChild>
        <w:div w:id="145055694">
          <w:marLeft w:val="0"/>
          <w:marRight w:val="0"/>
          <w:marTop w:val="0"/>
          <w:marBottom w:val="0"/>
          <w:divBdr>
            <w:top w:val="none" w:sz="0" w:space="0" w:color="auto"/>
            <w:left w:val="none" w:sz="0" w:space="0" w:color="auto"/>
            <w:bottom w:val="none" w:sz="0" w:space="0" w:color="auto"/>
            <w:right w:val="none" w:sz="0" w:space="0" w:color="auto"/>
          </w:divBdr>
          <w:divsChild>
            <w:div w:id="506674204">
              <w:marLeft w:val="0"/>
              <w:marRight w:val="0"/>
              <w:marTop w:val="0"/>
              <w:marBottom w:val="0"/>
              <w:divBdr>
                <w:top w:val="none" w:sz="0" w:space="0" w:color="auto"/>
                <w:left w:val="none" w:sz="0" w:space="0" w:color="auto"/>
                <w:bottom w:val="none" w:sz="0" w:space="0" w:color="auto"/>
                <w:right w:val="none" w:sz="0" w:space="0" w:color="auto"/>
              </w:divBdr>
              <w:divsChild>
                <w:div w:id="987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6670">
      <w:bodyDiv w:val="1"/>
      <w:marLeft w:val="0"/>
      <w:marRight w:val="0"/>
      <w:marTop w:val="0"/>
      <w:marBottom w:val="0"/>
      <w:divBdr>
        <w:top w:val="none" w:sz="0" w:space="0" w:color="auto"/>
        <w:left w:val="none" w:sz="0" w:space="0" w:color="auto"/>
        <w:bottom w:val="none" w:sz="0" w:space="0" w:color="auto"/>
        <w:right w:val="none" w:sz="0" w:space="0" w:color="auto"/>
      </w:divBdr>
    </w:div>
    <w:div w:id="230699305">
      <w:bodyDiv w:val="1"/>
      <w:marLeft w:val="0"/>
      <w:marRight w:val="0"/>
      <w:marTop w:val="0"/>
      <w:marBottom w:val="0"/>
      <w:divBdr>
        <w:top w:val="none" w:sz="0" w:space="0" w:color="auto"/>
        <w:left w:val="none" w:sz="0" w:space="0" w:color="auto"/>
        <w:bottom w:val="none" w:sz="0" w:space="0" w:color="auto"/>
        <w:right w:val="none" w:sz="0" w:space="0" w:color="auto"/>
      </w:divBdr>
      <w:divsChild>
        <w:div w:id="285281298">
          <w:marLeft w:val="0"/>
          <w:marRight w:val="0"/>
          <w:marTop w:val="0"/>
          <w:marBottom w:val="0"/>
          <w:divBdr>
            <w:top w:val="none" w:sz="0" w:space="0" w:color="auto"/>
            <w:left w:val="none" w:sz="0" w:space="0" w:color="auto"/>
            <w:bottom w:val="none" w:sz="0" w:space="0" w:color="auto"/>
            <w:right w:val="none" w:sz="0" w:space="0" w:color="auto"/>
          </w:divBdr>
          <w:divsChild>
            <w:div w:id="1466392780">
              <w:marLeft w:val="0"/>
              <w:marRight w:val="0"/>
              <w:marTop w:val="0"/>
              <w:marBottom w:val="0"/>
              <w:divBdr>
                <w:top w:val="none" w:sz="0" w:space="0" w:color="auto"/>
                <w:left w:val="none" w:sz="0" w:space="0" w:color="auto"/>
                <w:bottom w:val="none" w:sz="0" w:space="0" w:color="auto"/>
                <w:right w:val="none" w:sz="0" w:space="0" w:color="auto"/>
              </w:divBdr>
              <w:divsChild>
                <w:div w:id="383677587">
                  <w:marLeft w:val="0"/>
                  <w:marRight w:val="0"/>
                  <w:marTop w:val="0"/>
                  <w:marBottom w:val="0"/>
                  <w:divBdr>
                    <w:top w:val="none" w:sz="0" w:space="0" w:color="auto"/>
                    <w:left w:val="none" w:sz="0" w:space="0" w:color="auto"/>
                    <w:bottom w:val="none" w:sz="0" w:space="0" w:color="auto"/>
                    <w:right w:val="none" w:sz="0" w:space="0" w:color="auto"/>
                  </w:divBdr>
                  <w:divsChild>
                    <w:div w:id="15456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21574">
      <w:bodyDiv w:val="1"/>
      <w:marLeft w:val="0"/>
      <w:marRight w:val="0"/>
      <w:marTop w:val="0"/>
      <w:marBottom w:val="0"/>
      <w:divBdr>
        <w:top w:val="none" w:sz="0" w:space="0" w:color="auto"/>
        <w:left w:val="none" w:sz="0" w:space="0" w:color="auto"/>
        <w:bottom w:val="none" w:sz="0" w:space="0" w:color="auto"/>
        <w:right w:val="none" w:sz="0" w:space="0" w:color="auto"/>
      </w:divBdr>
    </w:div>
    <w:div w:id="237862050">
      <w:bodyDiv w:val="1"/>
      <w:marLeft w:val="0"/>
      <w:marRight w:val="0"/>
      <w:marTop w:val="0"/>
      <w:marBottom w:val="0"/>
      <w:divBdr>
        <w:top w:val="none" w:sz="0" w:space="0" w:color="auto"/>
        <w:left w:val="none" w:sz="0" w:space="0" w:color="auto"/>
        <w:bottom w:val="none" w:sz="0" w:space="0" w:color="auto"/>
        <w:right w:val="none" w:sz="0" w:space="0" w:color="auto"/>
      </w:divBdr>
    </w:div>
    <w:div w:id="240218709">
      <w:bodyDiv w:val="1"/>
      <w:marLeft w:val="0"/>
      <w:marRight w:val="0"/>
      <w:marTop w:val="0"/>
      <w:marBottom w:val="0"/>
      <w:divBdr>
        <w:top w:val="none" w:sz="0" w:space="0" w:color="auto"/>
        <w:left w:val="none" w:sz="0" w:space="0" w:color="auto"/>
        <w:bottom w:val="none" w:sz="0" w:space="0" w:color="auto"/>
        <w:right w:val="none" w:sz="0" w:space="0" w:color="auto"/>
      </w:divBdr>
      <w:divsChild>
        <w:div w:id="1532375454">
          <w:marLeft w:val="0"/>
          <w:marRight w:val="0"/>
          <w:marTop w:val="0"/>
          <w:marBottom w:val="0"/>
          <w:divBdr>
            <w:top w:val="none" w:sz="0" w:space="0" w:color="auto"/>
            <w:left w:val="none" w:sz="0" w:space="0" w:color="auto"/>
            <w:bottom w:val="none" w:sz="0" w:space="0" w:color="auto"/>
            <w:right w:val="none" w:sz="0" w:space="0" w:color="auto"/>
          </w:divBdr>
          <w:divsChild>
            <w:div w:id="742920305">
              <w:marLeft w:val="0"/>
              <w:marRight w:val="0"/>
              <w:marTop w:val="0"/>
              <w:marBottom w:val="0"/>
              <w:divBdr>
                <w:top w:val="none" w:sz="0" w:space="0" w:color="auto"/>
                <w:left w:val="none" w:sz="0" w:space="0" w:color="auto"/>
                <w:bottom w:val="none" w:sz="0" w:space="0" w:color="auto"/>
                <w:right w:val="none" w:sz="0" w:space="0" w:color="auto"/>
              </w:divBdr>
              <w:divsChild>
                <w:div w:id="522866014">
                  <w:marLeft w:val="0"/>
                  <w:marRight w:val="0"/>
                  <w:marTop w:val="0"/>
                  <w:marBottom w:val="0"/>
                  <w:divBdr>
                    <w:top w:val="none" w:sz="0" w:space="0" w:color="auto"/>
                    <w:left w:val="none" w:sz="0" w:space="0" w:color="auto"/>
                    <w:bottom w:val="none" w:sz="0" w:space="0" w:color="auto"/>
                    <w:right w:val="none" w:sz="0" w:space="0" w:color="auto"/>
                  </w:divBdr>
                  <w:divsChild>
                    <w:div w:id="5249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341317">
      <w:bodyDiv w:val="1"/>
      <w:marLeft w:val="0"/>
      <w:marRight w:val="0"/>
      <w:marTop w:val="0"/>
      <w:marBottom w:val="0"/>
      <w:divBdr>
        <w:top w:val="none" w:sz="0" w:space="0" w:color="auto"/>
        <w:left w:val="none" w:sz="0" w:space="0" w:color="auto"/>
        <w:bottom w:val="none" w:sz="0" w:space="0" w:color="auto"/>
        <w:right w:val="none" w:sz="0" w:space="0" w:color="auto"/>
      </w:divBdr>
      <w:divsChild>
        <w:div w:id="1286883734">
          <w:marLeft w:val="0"/>
          <w:marRight w:val="0"/>
          <w:marTop w:val="0"/>
          <w:marBottom w:val="0"/>
          <w:divBdr>
            <w:top w:val="none" w:sz="0" w:space="0" w:color="auto"/>
            <w:left w:val="none" w:sz="0" w:space="0" w:color="auto"/>
            <w:bottom w:val="none" w:sz="0" w:space="0" w:color="auto"/>
            <w:right w:val="none" w:sz="0" w:space="0" w:color="auto"/>
          </w:divBdr>
          <w:divsChild>
            <w:div w:id="1863202468">
              <w:marLeft w:val="0"/>
              <w:marRight w:val="0"/>
              <w:marTop w:val="0"/>
              <w:marBottom w:val="0"/>
              <w:divBdr>
                <w:top w:val="none" w:sz="0" w:space="0" w:color="auto"/>
                <w:left w:val="none" w:sz="0" w:space="0" w:color="auto"/>
                <w:bottom w:val="none" w:sz="0" w:space="0" w:color="auto"/>
                <w:right w:val="none" w:sz="0" w:space="0" w:color="auto"/>
              </w:divBdr>
              <w:divsChild>
                <w:div w:id="2003312308">
                  <w:marLeft w:val="0"/>
                  <w:marRight w:val="0"/>
                  <w:marTop w:val="0"/>
                  <w:marBottom w:val="0"/>
                  <w:divBdr>
                    <w:top w:val="none" w:sz="0" w:space="0" w:color="auto"/>
                    <w:left w:val="none" w:sz="0" w:space="0" w:color="auto"/>
                    <w:bottom w:val="none" w:sz="0" w:space="0" w:color="auto"/>
                    <w:right w:val="none" w:sz="0" w:space="0" w:color="auto"/>
                  </w:divBdr>
                  <w:divsChild>
                    <w:div w:id="3767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814508">
      <w:bodyDiv w:val="1"/>
      <w:marLeft w:val="0"/>
      <w:marRight w:val="0"/>
      <w:marTop w:val="0"/>
      <w:marBottom w:val="0"/>
      <w:divBdr>
        <w:top w:val="none" w:sz="0" w:space="0" w:color="auto"/>
        <w:left w:val="none" w:sz="0" w:space="0" w:color="auto"/>
        <w:bottom w:val="none" w:sz="0" w:space="0" w:color="auto"/>
        <w:right w:val="none" w:sz="0" w:space="0" w:color="auto"/>
      </w:divBdr>
      <w:divsChild>
        <w:div w:id="437915519">
          <w:marLeft w:val="0"/>
          <w:marRight w:val="0"/>
          <w:marTop w:val="0"/>
          <w:marBottom w:val="0"/>
          <w:divBdr>
            <w:top w:val="none" w:sz="0" w:space="0" w:color="auto"/>
            <w:left w:val="none" w:sz="0" w:space="0" w:color="auto"/>
            <w:bottom w:val="none" w:sz="0" w:space="0" w:color="auto"/>
            <w:right w:val="none" w:sz="0" w:space="0" w:color="auto"/>
          </w:divBdr>
          <w:divsChild>
            <w:div w:id="407773344">
              <w:marLeft w:val="0"/>
              <w:marRight w:val="0"/>
              <w:marTop w:val="0"/>
              <w:marBottom w:val="0"/>
              <w:divBdr>
                <w:top w:val="none" w:sz="0" w:space="0" w:color="auto"/>
                <w:left w:val="none" w:sz="0" w:space="0" w:color="auto"/>
                <w:bottom w:val="none" w:sz="0" w:space="0" w:color="auto"/>
                <w:right w:val="none" w:sz="0" w:space="0" w:color="auto"/>
              </w:divBdr>
              <w:divsChild>
                <w:div w:id="755638365">
                  <w:marLeft w:val="0"/>
                  <w:marRight w:val="0"/>
                  <w:marTop w:val="0"/>
                  <w:marBottom w:val="0"/>
                  <w:divBdr>
                    <w:top w:val="none" w:sz="0" w:space="0" w:color="auto"/>
                    <w:left w:val="none" w:sz="0" w:space="0" w:color="auto"/>
                    <w:bottom w:val="none" w:sz="0" w:space="0" w:color="auto"/>
                    <w:right w:val="none" w:sz="0" w:space="0" w:color="auto"/>
                  </w:divBdr>
                  <w:divsChild>
                    <w:div w:id="12277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586040">
      <w:bodyDiv w:val="1"/>
      <w:marLeft w:val="0"/>
      <w:marRight w:val="0"/>
      <w:marTop w:val="0"/>
      <w:marBottom w:val="0"/>
      <w:divBdr>
        <w:top w:val="none" w:sz="0" w:space="0" w:color="auto"/>
        <w:left w:val="none" w:sz="0" w:space="0" w:color="auto"/>
        <w:bottom w:val="none" w:sz="0" w:space="0" w:color="auto"/>
        <w:right w:val="none" w:sz="0" w:space="0" w:color="auto"/>
      </w:divBdr>
    </w:div>
    <w:div w:id="249965994">
      <w:bodyDiv w:val="1"/>
      <w:marLeft w:val="0"/>
      <w:marRight w:val="0"/>
      <w:marTop w:val="0"/>
      <w:marBottom w:val="0"/>
      <w:divBdr>
        <w:top w:val="none" w:sz="0" w:space="0" w:color="auto"/>
        <w:left w:val="none" w:sz="0" w:space="0" w:color="auto"/>
        <w:bottom w:val="none" w:sz="0" w:space="0" w:color="auto"/>
        <w:right w:val="none" w:sz="0" w:space="0" w:color="auto"/>
      </w:divBdr>
      <w:divsChild>
        <w:div w:id="1060712905">
          <w:marLeft w:val="0"/>
          <w:marRight w:val="0"/>
          <w:marTop w:val="0"/>
          <w:marBottom w:val="0"/>
          <w:divBdr>
            <w:top w:val="none" w:sz="0" w:space="0" w:color="auto"/>
            <w:left w:val="none" w:sz="0" w:space="0" w:color="auto"/>
            <w:bottom w:val="none" w:sz="0" w:space="0" w:color="auto"/>
            <w:right w:val="none" w:sz="0" w:space="0" w:color="auto"/>
          </w:divBdr>
          <w:divsChild>
            <w:div w:id="2092466026">
              <w:marLeft w:val="0"/>
              <w:marRight w:val="0"/>
              <w:marTop w:val="0"/>
              <w:marBottom w:val="0"/>
              <w:divBdr>
                <w:top w:val="none" w:sz="0" w:space="0" w:color="auto"/>
                <w:left w:val="none" w:sz="0" w:space="0" w:color="auto"/>
                <w:bottom w:val="none" w:sz="0" w:space="0" w:color="auto"/>
                <w:right w:val="none" w:sz="0" w:space="0" w:color="auto"/>
              </w:divBdr>
              <w:divsChild>
                <w:div w:id="14882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5375">
      <w:bodyDiv w:val="1"/>
      <w:marLeft w:val="0"/>
      <w:marRight w:val="0"/>
      <w:marTop w:val="0"/>
      <w:marBottom w:val="0"/>
      <w:divBdr>
        <w:top w:val="none" w:sz="0" w:space="0" w:color="auto"/>
        <w:left w:val="none" w:sz="0" w:space="0" w:color="auto"/>
        <w:bottom w:val="none" w:sz="0" w:space="0" w:color="auto"/>
        <w:right w:val="none" w:sz="0" w:space="0" w:color="auto"/>
      </w:divBdr>
      <w:divsChild>
        <w:div w:id="1045561988">
          <w:marLeft w:val="0"/>
          <w:marRight w:val="0"/>
          <w:marTop w:val="0"/>
          <w:marBottom w:val="0"/>
          <w:divBdr>
            <w:top w:val="none" w:sz="0" w:space="0" w:color="auto"/>
            <w:left w:val="none" w:sz="0" w:space="0" w:color="auto"/>
            <w:bottom w:val="none" w:sz="0" w:space="0" w:color="auto"/>
            <w:right w:val="none" w:sz="0" w:space="0" w:color="auto"/>
          </w:divBdr>
          <w:divsChild>
            <w:div w:id="77944606">
              <w:marLeft w:val="0"/>
              <w:marRight w:val="0"/>
              <w:marTop w:val="0"/>
              <w:marBottom w:val="0"/>
              <w:divBdr>
                <w:top w:val="none" w:sz="0" w:space="0" w:color="auto"/>
                <w:left w:val="none" w:sz="0" w:space="0" w:color="auto"/>
                <w:bottom w:val="none" w:sz="0" w:space="0" w:color="auto"/>
                <w:right w:val="none" w:sz="0" w:space="0" w:color="auto"/>
              </w:divBdr>
              <w:divsChild>
                <w:div w:id="1888296085">
                  <w:marLeft w:val="0"/>
                  <w:marRight w:val="0"/>
                  <w:marTop w:val="0"/>
                  <w:marBottom w:val="0"/>
                  <w:divBdr>
                    <w:top w:val="none" w:sz="0" w:space="0" w:color="auto"/>
                    <w:left w:val="none" w:sz="0" w:space="0" w:color="auto"/>
                    <w:bottom w:val="none" w:sz="0" w:space="0" w:color="auto"/>
                    <w:right w:val="none" w:sz="0" w:space="0" w:color="auto"/>
                  </w:divBdr>
                  <w:divsChild>
                    <w:div w:id="12081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712853">
      <w:bodyDiv w:val="1"/>
      <w:marLeft w:val="0"/>
      <w:marRight w:val="0"/>
      <w:marTop w:val="0"/>
      <w:marBottom w:val="0"/>
      <w:divBdr>
        <w:top w:val="none" w:sz="0" w:space="0" w:color="auto"/>
        <w:left w:val="none" w:sz="0" w:space="0" w:color="auto"/>
        <w:bottom w:val="none" w:sz="0" w:space="0" w:color="auto"/>
        <w:right w:val="none" w:sz="0" w:space="0" w:color="auto"/>
      </w:divBdr>
      <w:divsChild>
        <w:div w:id="910774638">
          <w:marLeft w:val="0"/>
          <w:marRight w:val="0"/>
          <w:marTop w:val="0"/>
          <w:marBottom w:val="0"/>
          <w:divBdr>
            <w:top w:val="none" w:sz="0" w:space="0" w:color="auto"/>
            <w:left w:val="none" w:sz="0" w:space="0" w:color="auto"/>
            <w:bottom w:val="none" w:sz="0" w:space="0" w:color="auto"/>
            <w:right w:val="none" w:sz="0" w:space="0" w:color="auto"/>
          </w:divBdr>
          <w:divsChild>
            <w:div w:id="381635801">
              <w:marLeft w:val="0"/>
              <w:marRight w:val="0"/>
              <w:marTop w:val="0"/>
              <w:marBottom w:val="0"/>
              <w:divBdr>
                <w:top w:val="none" w:sz="0" w:space="0" w:color="auto"/>
                <w:left w:val="none" w:sz="0" w:space="0" w:color="auto"/>
                <w:bottom w:val="none" w:sz="0" w:space="0" w:color="auto"/>
                <w:right w:val="none" w:sz="0" w:space="0" w:color="auto"/>
              </w:divBdr>
              <w:divsChild>
                <w:div w:id="11038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5460">
      <w:bodyDiv w:val="1"/>
      <w:marLeft w:val="0"/>
      <w:marRight w:val="0"/>
      <w:marTop w:val="0"/>
      <w:marBottom w:val="0"/>
      <w:divBdr>
        <w:top w:val="none" w:sz="0" w:space="0" w:color="auto"/>
        <w:left w:val="none" w:sz="0" w:space="0" w:color="auto"/>
        <w:bottom w:val="none" w:sz="0" w:space="0" w:color="auto"/>
        <w:right w:val="none" w:sz="0" w:space="0" w:color="auto"/>
      </w:divBdr>
    </w:div>
    <w:div w:id="258299291">
      <w:bodyDiv w:val="1"/>
      <w:marLeft w:val="0"/>
      <w:marRight w:val="0"/>
      <w:marTop w:val="0"/>
      <w:marBottom w:val="0"/>
      <w:divBdr>
        <w:top w:val="none" w:sz="0" w:space="0" w:color="auto"/>
        <w:left w:val="none" w:sz="0" w:space="0" w:color="auto"/>
        <w:bottom w:val="none" w:sz="0" w:space="0" w:color="auto"/>
        <w:right w:val="none" w:sz="0" w:space="0" w:color="auto"/>
      </w:divBdr>
      <w:divsChild>
        <w:div w:id="1273316741">
          <w:marLeft w:val="0"/>
          <w:marRight w:val="0"/>
          <w:marTop w:val="0"/>
          <w:marBottom w:val="0"/>
          <w:divBdr>
            <w:top w:val="none" w:sz="0" w:space="0" w:color="auto"/>
            <w:left w:val="none" w:sz="0" w:space="0" w:color="auto"/>
            <w:bottom w:val="none" w:sz="0" w:space="0" w:color="auto"/>
            <w:right w:val="none" w:sz="0" w:space="0" w:color="auto"/>
          </w:divBdr>
          <w:divsChild>
            <w:div w:id="893783019">
              <w:marLeft w:val="0"/>
              <w:marRight w:val="0"/>
              <w:marTop w:val="0"/>
              <w:marBottom w:val="0"/>
              <w:divBdr>
                <w:top w:val="none" w:sz="0" w:space="0" w:color="auto"/>
                <w:left w:val="none" w:sz="0" w:space="0" w:color="auto"/>
                <w:bottom w:val="none" w:sz="0" w:space="0" w:color="auto"/>
                <w:right w:val="none" w:sz="0" w:space="0" w:color="auto"/>
              </w:divBdr>
              <w:divsChild>
                <w:div w:id="409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13946">
      <w:bodyDiv w:val="1"/>
      <w:marLeft w:val="0"/>
      <w:marRight w:val="0"/>
      <w:marTop w:val="0"/>
      <w:marBottom w:val="0"/>
      <w:divBdr>
        <w:top w:val="none" w:sz="0" w:space="0" w:color="auto"/>
        <w:left w:val="none" w:sz="0" w:space="0" w:color="auto"/>
        <w:bottom w:val="none" w:sz="0" w:space="0" w:color="auto"/>
        <w:right w:val="none" w:sz="0" w:space="0" w:color="auto"/>
      </w:divBdr>
      <w:divsChild>
        <w:div w:id="30109000">
          <w:marLeft w:val="0"/>
          <w:marRight w:val="0"/>
          <w:marTop w:val="0"/>
          <w:marBottom w:val="0"/>
          <w:divBdr>
            <w:top w:val="none" w:sz="0" w:space="0" w:color="auto"/>
            <w:left w:val="none" w:sz="0" w:space="0" w:color="auto"/>
            <w:bottom w:val="none" w:sz="0" w:space="0" w:color="auto"/>
            <w:right w:val="none" w:sz="0" w:space="0" w:color="auto"/>
          </w:divBdr>
          <w:divsChild>
            <w:div w:id="1895507670">
              <w:marLeft w:val="0"/>
              <w:marRight w:val="0"/>
              <w:marTop w:val="0"/>
              <w:marBottom w:val="0"/>
              <w:divBdr>
                <w:top w:val="none" w:sz="0" w:space="0" w:color="auto"/>
                <w:left w:val="none" w:sz="0" w:space="0" w:color="auto"/>
                <w:bottom w:val="none" w:sz="0" w:space="0" w:color="auto"/>
                <w:right w:val="none" w:sz="0" w:space="0" w:color="auto"/>
              </w:divBdr>
              <w:divsChild>
                <w:div w:id="15153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10913">
      <w:bodyDiv w:val="1"/>
      <w:marLeft w:val="0"/>
      <w:marRight w:val="0"/>
      <w:marTop w:val="0"/>
      <w:marBottom w:val="0"/>
      <w:divBdr>
        <w:top w:val="none" w:sz="0" w:space="0" w:color="auto"/>
        <w:left w:val="none" w:sz="0" w:space="0" w:color="auto"/>
        <w:bottom w:val="none" w:sz="0" w:space="0" w:color="auto"/>
        <w:right w:val="none" w:sz="0" w:space="0" w:color="auto"/>
      </w:divBdr>
      <w:divsChild>
        <w:div w:id="1332374623">
          <w:marLeft w:val="0"/>
          <w:marRight w:val="0"/>
          <w:marTop w:val="0"/>
          <w:marBottom w:val="0"/>
          <w:divBdr>
            <w:top w:val="none" w:sz="0" w:space="0" w:color="auto"/>
            <w:left w:val="none" w:sz="0" w:space="0" w:color="auto"/>
            <w:bottom w:val="none" w:sz="0" w:space="0" w:color="auto"/>
            <w:right w:val="none" w:sz="0" w:space="0" w:color="auto"/>
          </w:divBdr>
          <w:divsChild>
            <w:div w:id="129369274">
              <w:marLeft w:val="0"/>
              <w:marRight w:val="0"/>
              <w:marTop w:val="0"/>
              <w:marBottom w:val="0"/>
              <w:divBdr>
                <w:top w:val="none" w:sz="0" w:space="0" w:color="auto"/>
                <w:left w:val="none" w:sz="0" w:space="0" w:color="auto"/>
                <w:bottom w:val="none" w:sz="0" w:space="0" w:color="auto"/>
                <w:right w:val="none" w:sz="0" w:space="0" w:color="auto"/>
              </w:divBdr>
              <w:divsChild>
                <w:div w:id="21199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2269">
      <w:bodyDiv w:val="1"/>
      <w:marLeft w:val="0"/>
      <w:marRight w:val="0"/>
      <w:marTop w:val="0"/>
      <w:marBottom w:val="0"/>
      <w:divBdr>
        <w:top w:val="none" w:sz="0" w:space="0" w:color="auto"/>
        <w:left w:val="none" w:sz="0" w:space="0" w:color="auto"/>
        <w:bottom w:val="none" w:sz="0" w:space="0" w:color="auto"/>
        <w:right w:val="none" w:sz="0" w:space="0" w:color="auto"/>
      </w:divBdr>
      <w:divsChild>
        <w:div w:id="2093550403">
          <w:marLeft w:val="0"/>
          <w:marRight w:val="0"/>
          <w:marTop w:val="0"/>
          <w:marBottom w:val="0"/>
          <w:divBdr>
            <w:top w:val="none" w:sz="0" w:space="0" w:color="auto"/>
            <w:left w:val="none" w:sz="0" w:space="0" w:color="auto"/>
            <w:bottom w:val="none" w:sz="0" w:space="0" w:color="auto"/>
            <w:right w:val="none" w:sz="0" w:space="0" w:color="auto"/>
          </w:divBdr>
          <w:divsChild>
            <w:div w:id="1022632148">
              <w:marLeft w:val="0"/>
              <w:marRight w:val="0"/>
              <w:marTop w:val="0"/>
              <w:marBottom w:val="0"/>
              <w:divBdr>
                <w:top w:val="none" w:sz="0" w:space="0" w:color="auto"/>
                <w:left w:val="none" w:sz="0" w:space="0" w:color="auto"/>
                <w:bottom w:val="none" w:sz="0" w:space="0" w:color="auto"/>
                <w:right w:val="none" w:sz="0" w:space="0" w:color="auto"/>
              </w:divBdr>
              <w:divsChild>
                <w:div w:id="4000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3193">
      <w:bodyDiv w:val="1"/>
      <w:marLeft w:val="0"/>
      <w:marRight w:val="0"/>
      <w:marTop w:val="0"/>
      <w:marBottom w:val="0"/>
      <w:divBdr>
        <w:top w:val="none" w:sz="0" w:space="0" w:color="auto"/>
        <w:left w:val="none" w:sz="0" w:space="0" w:color="auto"/>
        <w:bottom w:val="none" w:sz="0" w:space="0" w:color="auto"/>
        <w:right w:val="none" w:sz="0" w:space="0" w:color="auto"/>
      </w:divBdr>
      <w:divsChild>
        <w:div w:id="1157383183">
          <w:marLeft w:val="0"/>
          <w:marRight w:val="0"/>
          <w:marTop w:val="0"/>
          <w:marBottom w:val="0"/>
          <w:divBdr>
            <w:top w:val="none" w:sz="0" w:space="0" w:color="auto"/>
            <w:left w:val="none" w:sz="0" w:space="0" w:color="auto"/>
            <w:bottom w:val="none" w:sz="0" w:space="0" w:color="auto"/>
            <w:right w:val="none" w:sz="0" w:space="0" w:color="auto"/>
          </w:divBdr>
          <w:divsChild>
            <w:div w:id="97601756">
              <w:marLeft w:val="0"/>
              <w:marRight w:val="0"/>
              <w:marTop w:val="0"/>
              <w:marBottom w:val="0"/>
              <w:divBdr>
                <w:top w:val="none" w:sz="0" w:space="0" w:color="auto"/>
                <w:left w:val="none" w:sz="0" w:space="0" w:color="auto"/>
                <w:bottom w:val="none" w:sz="0" w:space="0" w:color="auto"/>
                <w:right w:val="none" w:sz="0" w:space="0" w:color="auto"/>
              </w:divBdr>
              <w:divsChild>
                <w:div w:id="1630549283">
                  <w:marLeft w:val="0"/>
                  <w:marRight w:val="0"/>
                  <w:marTop w:val="0"/>
                  <w:marBottom w:val="0"/>
                  <w:divBdr>
                    <w:top w:val="none" w:sz="0" w:space="0" w:color="auto"/>
                    <w:left w:val="none" w:sz="0" w:space="0" w:color="auto"/>
                    <w:bottom w:val="none" w:sz="0" w:space="0" w:color="auto"/>
                    <w:right w:val="none" w:sz="0" w:space="0" w:color="auto"/>
                  </w:divBdr>
                  <w:divsChild>
                    <w:div w:id="7803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122239">
      <w:bodyDiv w:val="1"/>
      <w:marLeft w:val="0"/>
      <w:marRight w:val="0"/>
      <w:marTop w:val="0"/>
      <w:marBottom w:val="0"/>
      <w:divBdr>
        <w:top w:val="none" w:sz="0" w:space="0" w:color="auto"/>
        <w:left w:val="none" w:sz="0" w:space="0" w:color="auto"/>
        <w:bottom w:val="none" w:sz="0" w:space="0" w:color="auto"/>
        <w:right w:val="none" w:sz="0" w:space="0" w:color="auto"/>
      </w:divBdr>
      <w:divsChild>
        <w:div w:id="481889131">
          <w:marLeft w:val="0"/>
          <w:marRight w:val="0"/>
          <w:marTop w:val="0"/>
          <w:marBottom w:val="0"/>
          <w:divBdr>
            <w:top w:val="none" w:sz="0" w:space="0" w:color="auto"/>
            <w:left w:val="none" w:sz="0" w:space="0" w:color="auto"/>
            <w:bottom w:val="none" w:sz="0" w:space="0" w:color="auto"/>
            <w:right w:val="none" w:sz="0" w:space="0" w:color="auto"/>
          </w:divBdr>
          <w:divsChild>
            <w:div w:id="2116825295">
              <w:marLeft w:val="0"/>
              <w:marRight w:val="0"/>
              <w:marTop w:val="0"/>
              <w:marBottom w:val="0"/>
              <w:divBdr>
                <w:top w:val="none" w:sz="0" w:space="0" w:color="auto"/>
                <w:left w:val="none" w:sz="0" w:space="0" w:color="auto"/>
                <w:bottom w:val="none" w:sz="0" w:space="0" w:color="auto"/>
                <w:right w:val="none" w:sz="0" w:space="0" w:color="auto"/>
              </w:divBdr>
              <w:divsChild>
                <w:div w:id="877817387">
                  <w:marLeft w:val="0"/>
                  <w:marRight w:val="0"/>
                  <w:marTop w:val="0"/>
                  <w:marBottom w:val="0"/>
                  <w:divBdr>
                    <w:top w:val="none" w:sz="0" w:space="0" w:color="auto"/>
                    <w:left w:val="none" w:sz="0" w:space="0" w:color="auto"/>
                    <w:bottom w:val="none" w:sz="0" w:space="0" w:color="auto"/>
                    <w:right w:val="none" w:sz="0" w:space="0" w:color="auto"/>
                  </w:divBdr>
                  <w:divsChild>
                    <w:div w:id="15152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73021">
      <w:bodyDiv w:val="1"/>
      <w:marLeft w:val="0"/>
      <w:marRight w:val="0"/>
      <w:marTop w:val="0"/>
      <w:marBottom w:val="0"/>
      <w:divBdr>
        <w:top w:val="none" w:sz="0" w:space="0" w:color="auto"/>
        <w:left w:val="none" w:sz="0" w:space="0" w:color="auto"/>
        <w:bottom w:val="none" w:sz="0" w:space="0" w:color="auto"/>
        <w:right w:val="none" w:sz="0" w:space="0" w:color="auto"/>
      </w:divBdr>
      <w:divsChild>
        <w:div w:id="1632124866">
          <w:marLeft w:val="0"/>
          <w:marRight w:val="0"/>
          <w:marTop w:val="0"/>
          <w:marBottom w:val="0"/>
          <w:divBdr>
            <w:top w:val="none" w:sz="0" w:space="0" w:color="auto"/>
            <w:left w:val="none" w:sz="0" w:space="0" w:color="auto"/>
            <w:bottom w:val="none" w:sz="0" w:space="0" w:color="auto"/>
            <w:right w:val="none" w:sz="0" w:space="0" w:color="auto"/>
          </w:divBdr>
          <w:divsChild>
            <w:div w:id="1150252520">
              <w:marLeft w:val="0"/>
              <w:marRight w:val="0"/>
              <w:marTop w:val="0"/>
              <w:marBottom w:val="0"/>
              <w:divBdr>
                <w:top w:val="none" w:sz="0" w:space="0" w:color="auto"/>
                <w:left w:val="none" w:sz="0" w:space="0" w:color="auto"/>
                <w:bottom w:val="none" w:sz="0" w:space="0" w:color="auto"/>
                <w:right w:val="none" w:sz="0" w:space="0" w:color="auto"/>
              </w:divBdr>
              <w:divsChild>
                <w:div w:id="9128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63149">
      <w:bodyDiv w:val="1"/>
      <w:marLeft w:val="0"/>
      <w:marRight w:val="0"/>
      <w:marTop w:val="0"/>
      <w:marBottom w:val="0"/>
      <w:divBdr>
        <w:top w:val="none" w:sz="0" w:space="0" w:color="auto"/>
        <w:left w:val="none" w:sz="0" w:space="0" w:color="auto"/>
        <w:bottom w:val="none" w:sz="0" w:space="0" w:color="auto"/>
        <w:right w:val="none" w:sz="0" w:space="0" w:color="auto"/>
      </w:divBdr>
      <w:divsChild>
        <w:div w:id="1954818622">
          <w:marLeft w:val="0"/>
          <w:marRight w:val="0"/>
          <w:marTop w:val="0"/>
          <w:marBottom w:val="0"/>
          <w:divBdr>
            <w:top w:val="none" w:sz="0" w:space="0" w:color="auto"/>
            <w:left w:val="none" w:sz="0" w:space="0" w:color="auto"/>
            <w:bottom w:val="none" w:sz="0" w:space="0" w:color="auto"/>
            <w:right w:val="none" w:sz="0" w:space="0" w:color="auto"/>
          </w:divBdr>
          <w:divsChild>
            <w:div w:id="451248080">
              <w:marLeft w:val="0"/>
              <w:marRight w:val="0"/>
              <w:marTop w:val="0"/>
              <w:marBottom w:val="0"/>
              <w:divBdr>
                <w:top w:val="none" w:sz="0" w:space="0" w:color="auto"/>
                <w:left w:val="none" w:sz="0" w:space="0" w:color="auto"/>
                <w:bottom w:val="none" w:sz="0" w:space="0" w:color="auto"/>
                <w:right w:val="none" w:sz="0" w:space="0" w:color="auto"/>
              </w:divBdr>
              <w:divsChild>
                <w:div w:id="1979215914">
                  <w:marLeft w:val="0"/>
                  <w:marRight w:val="0"/>
                  <w:marTop w:val="0"/>
                  <w:marBottom w:val="0"/>
                  <w:divBdr>
                    <w:top w:val="none" w:sz="0" w:space="0" w:color="auto"/>
                    <w:left w:val="none" w:sz="0" w:space="0" w:color="auto"/>
                    <w:bottom w:val="none" w:sz="0" w:space="0" w:color="auto"/>
                    <w:right w:val="none" w:sz="0" w:space="0" w:color="auto"/>
                  </w:divBdr>
                  <w:divsChild>
                    <w:div w:id="4584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02838">
      <w:bodyDiv w:val="1"/>
      <w:marLeft w:val="0"/>
      <w:marRight w:val="0"/>
      <w:marTop w:val="0"/>
      <w:marBottom w:val="0"/>
      <w:divBdr>
        <w:top w:val="none" w:sz="0" w:space="0" w:color="auto"/>
        <w:left w:val="none" w:sz="0" w:space="0" w:color="auto"/>
        <w:bottom w:val="none" w:sz="0" w:space="0" w:color="auto"/>
        <w:right w:val="none" w:sz="0" w:space="0" w:color="auto"/>
      </w:divBdr>
      <w:divsChild>
        <w:div w:id="1033962490">
          <w:marLeft w:val="0"/>
          <w:marRight w:val="0"/>
          <w:marTop w:val="0"/>
          <w:marBottom w:val="0"/>
          <w:divBdr>
            <w:top w:val="none" w:sz="0" w:space="0" w:color="auto"/>
            <w:left w:val="none" w:sz="0" w:space="0" w:color="auto"/>
            <w:bottom w:val="none" w:sz="0" w:space="0" w:color="auto"/>
            <w:right w:val="none" w:sz="0" w:space="0" w:color="auto"/>
          </w:divBdr>
          <w:divsChild>
            <w:div w:id="1767269575">
              <w:marLeft w:val="0"/>
              <w:marRight w:val="0"/>
              <w:marTop w:val="0"/>
              <w:marBottom w:val="0"/>
              <w:divBdr>
                <w:top w:val="none" w:sz="0" w:space="0" w:color="auto"/>
                <w:left w:val="none" w:sz="0" w:space="0" w:color="auto"/>
                <w:bottom w:val="none" w:sz="0" w:space="0" w:color="auto"/>
                <w:right w:val="none" w:sz="0" w:space="0" w:color="auto"/>
              </w:divBdr>
              <w:divsChild>
                <w:div w:id="2103259142">
                  <w:marLeft w:val="0"/>
                  <w:marRight w:val="0"/>
                  <w:marTop w:val="0"/>
                  <w:marBottom w:val="0"/>
                  <w:divBdr>
                    <w:top w:val="none" w:sz="0" w:space="0" w:color="auto"/>
                    <w:left w:val="none" w:sz="0" w:space="0" w:color="auto"/>
                    <w:bottom w:val="none" w:sz="0" w:space="0" w:color="auto"/>
                    <w:right w:val="none" w:sz="0" w:space="0" w:color="auto"/>
                  </w:divBdr>
                  <w:divsChild>
                    <w:div w:id="1097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19883">
      <w:bodyDiv w:val="1"/>
      <w:marLeft w:val="0"/>
      <w:marRight w:val="0"/>
      <w:marTop w:val="0"/>
      <w:marBottom w:val="0"/>
      <w:divBdr>
        <w:top w:val="none" w:sz="0" w:space="0" w:color="auto"/>
        <w:left w:val="none" w:sz="0" w:space="0" w:color="auto"/>
        <w:bottom w:val="none" w:sz="0" w:space="0" w:color="auto"/>
        <w:right w:val="none" w:sz="0" w:space="0" w:color="auto"/>
      </w:divBdr>
      <w:divsChild>
        <w:div w:id="499083558">
          <w:marLeft w:val="0"/>
          <w:marRight w:val="0"/>
          <w:marTop w:val="0"/>
          <w:marBottom w:val="0"/>
          <w:divBdr>
            <w:top w:val="none" w:sz="0" w:space="0" w:color="auto"/>
            <w:left w:val="none" w:sz="0" w:space="0" w:color="auto"/>
            <w:bottom w:val="none" w:sz="0" w:space="0" w:color="auto"/>
            <w:right w:val="none" w:sz="0" w:space="0" w:color="auto"/>
          </w:divBdr>
          <w:divsChild>
            <w:div w:id="458960263">
              <w:marLeft w:val="0"/>
              <w:marRight w:val="0"/>
              <w:marTop w:val="0"/>
              <w:marBottom w:val="0"/>
              <w:divBdr>
                <w:top w:val="none" w:sz="0" w:space="0" w:color="auto"/>
                <w:left w:val="none" w:sz="0" w:space="0" w:color="auto"/>
                <w:bottom w:val="none" w:sz="0" w:space="0" w:color="auto"/>
                <w:right w:val="none" w:sz="0" w:space="0" w:color="auto"/>
              </w:divBdr>
              <w:divsChild>
                <w:div w:id="2004310186">
                  <w:marLeft w:val="0"/>
                  <w:marRight w:val="0"/>
                  <w:marTop w:val="0"/>
                  <w:marBottom w:val="0"/>
                  <w:divBdr>
                    <w:top w:val="none" w:sz="0" w:space="0" w:color="auto"/>
                    <w:left w:val="none" w:sz="0" w:space="0" w:color="auto"/>
                    <w:bottom w:val="none" w:sz="0" w:space="0" w:color="auto"/>
                    <w:right w:val="none" w:sz="0" w:space="0" w:color="auto"/>
                  </w:divBdr>
                  <w:divsChild>
                    <w:div w:id="8535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05576">
      <w:bodyDiv w:val="1"/>
      <w:marLeft w:val="0"/>
      <w:marRight w:val="0"/>
      <w:marTop w:val="0"/>
      <w:marBottom w:val="0"/>
      <w:divBdr>
        <w:top w:val="none" w:sz="0" w:space="0" w:color="auto"/>
        <w:left w:val="none" w:sz="0" w:space="0" w:color="auto"/>
        <w:bottom w:val="none" w:sz="0" w:space="0" w:color="auto"/>
        <w:right w:val="none" w:sz="0" w:space="0" w:color="auto"/>
      </w:divBdr>
      <w:divsChild>
        <w:div w:id="1875187470">
          <w:marLeft w:val="0"/>
          <w:marRight w:val="0"/>
          <w:marTop w:val="0"/>
          <w:marBottom w:val="0"/>
          <w:divBdr>
            <w:top w:val="none" w:sz="0" w:space="0" w:color="auto"/>
            <w:left w:val="none" w:sz="0" w:space="0" w:color="auto"/>
            <w:bottom w:val="none" w:sz="0" w:space="0" w:color="auto"/>
            <w:right w:val="none" w:sz="0" w:space="0" w:color="auto"/>
          </w:divBdr>
          <w:divsChild>
            <w:div w:id="344209845">
              <w:marLeft w:val="0"/>
              <w:marRight w:val="0"/>
              <w:marTop w:val="0"/>
              <w:marBottom w:val="0"/>
              <w:divBdr>
                <w:top w:val="none" w:sz="0" w:space="0" w:color="auto"/>
                <w:left w:val="none" w:sz="0" w:space="0" w:color="auto"/>
                <w:bottom w:val="none" w:sz="0" w:space="0" w:color="auto"/>
                <w:right w:val="none" w:sz="0" w:space="0" w:color="auto"/>
              </w:divBdr>
              <w:divsChild>
                <w:div w:id="563949668">
                  <w:marLeft w:val="0"/>
                  <w:marRight w:val="0"/>
                  <w:marTop w:val="0"/>
                  <w:marBottom w:val="0"/>
                  <w:divBdr>
                    <w:top w:val="none" w:sz="0" w:space="0" w:color="auto"/>
                    <w:left w:val="none" w:sz="0" w:space="0" w:color="auto"/>
                    <w:bottom w:val="none" w:sz="0" w:space="0" w:color="auto"/>
                    <w:right w:val="none" w:sz="0" w:space="0" w:color="auto"/>
                  </w:divBdr>
                  <w:divsChild>
                    <w:div w:id="19133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571734">
      <w:bodyDiv w:val="1"/>
      <w:marLeft w:val="0"/>
      <w:marRight w:val="0"/>
      <w:marTop w:val="0"/>
      <w:marBottom w:val="0"/>
      <w:divBdr>
        <w:top w:val="none" w:sz="0" w:space="0" w:color="auto"/>
        <w:left w:val="none" w:sz="0" w:space="0" w:color="auto"/>
        <w:bottom w:val="none" w:sz="0" w:space="0" w:color="auto"/>
        <w:right w:val="none" w:sz="0" w:space="0" w:color="auto"/>
      </w:divBdr>
      <w:divsChild>
        <w:div w:id="1359701944">
          <w:marLeft w:val="0"/>
          <w:marRight w:val="0"/>
          <w:marTop w:val="0"/>
          <w:marBottom w:val="0"/>
          <w:divBdr>
            <w:top w:val="none" w:sz="0" w:space="0" w:color="auto"/>
            <w:left w:val="none" w:sz="0" w:space="0" w:color="auto"/>
            <w:bottom w:val="none" w:sz="0" w:space="0" w:color="auto"/>
            <w:right w:val="none" w:sz="0" w:space="0" w:color="auto"/>
          </w:divBdr>
          <w:divsChild>
            <w:div w:id="1926260275">
              <w:marLeft w:val="0"/>
              <w:marRight w:val="0"/>
              <w:marTop w:val="0"/>
              <w:marBottom w:val="0"/>
              <w:divBdr>
                <w:top w:val="none" w:sz="0" w:space="0" w:color="auto"/>
                <w:left w:val="none" w:sz="0" w:space="0" w:color="auto"/>
                <w:bottom w:val="none" w:sz="0" w:space="0" w:color="auto"/>
                <w:right w:val="none" w:sz="0" w:space="0" w:color="auto"/>
              </w:divBdr>
              <w:divsChild>
                <w:div w:id="949556599">
                  <w:marLeft w:val="0"/>
                  <w:marRight w:val="0"/>
                  <w:marTop w:val="0"/>
                  <w:marBottom w:val="0"/>
                  <w:divBdr>
                    <w:top w:val="none" w:sz="0" w:space="0" w:color="auto"/>
                    <w:left w:val="none" w:sz="0" w:space="0" w:color="auto"/>
                    <w:bottom w:val="none" w:sz="0" w:space="0" w:color="auto"/>
                    <w:right w:val="none" w:sz="0" w:space="0" w:color="auto"/>
                  </w:divBdr>
                  <w:divsChild>
                    <w:div w:id="10166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312101">
      <w:bodyDiv w:val="1"/>
      <w:marLeft w:val="0"/>
      <w:marRight w:val="0"/>
      <w:marTop w:val="0"/>
      <w:marBottom w:val="0"/>
      <w:divBdr>
        <w:top w:val="none" w:sz="0" w:space="0" w:color="auto"/>
        <w:left w:val="none" w:sz="0" w:space="0" w:color="auto"/>
        <w:bottom w:val="none" w:sz="0" w:space="0" w:color="auto"/>
        <w:right w:val="none" w:sz="0" w:space="0" w:color="auto"/>
      </w:divBdr>
      <w:divsChild>
        <w:div w:id="1105686089">
          <w:marLeft w:val="0"/>
          <w:marRight w:val="0"/>
          <w:marTop w:val="0"/>
          <w:marBottom w:val="0"/>
          <w:divBdr>
            <w:top w:val="none" w:sz="0" w:space="0" w:color="auto"/>
            <w:left w:val="none" w:sz="0" w:space="0" w:color="auto"/>
            <w:bottom w:val="none" w:sz="0" w:space="0" w:color="auto"/>
            <w:right w:val="none" w:sz="0" w:space="0" w:color="auto"/>
          </w:divBdr>
          <w:divsChild>
            <w:div w:id="1434126809">
              <w:marLeft w:val="0"/>
              <w:marRight w:val="0"/>
              <w:marTop w:val="0"/>
              <w:marBottom w:val="0"/>
              <w:divBdr>
                <w:top w:val="none" w:sz="0" w:space="0" w:color="auto"/>
                <w:left w:val="none" w:sz="0" w:space="0" w:color="auto"/>
                <w:bottom w:val="none" w:sz="0" w:space="0" w:color="auto"/>
                <w:right w:val="none" w:sz="0" w:space="0" w:color="auto"/>
              </w:divBdr>
              <w:divsChild>
                <w:div w:id="8698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37183">
      <w:bodyDiv w:val="1"/>
      <w:marLeft w:val="0"/>
      <w:marRight w:val="0"/>
      <w:marTop w:val="0"/>
      <w:marBottom w:val="0"/>
      <w:divBdr>
        <w:top w:val="none" w:sz="0" w:space="0" w:color="auto"/>
        <w:left w:val="none" w:sz="0" w:space="0" w:color="auto"/>
        <w:bottom w:val="none" w:sz="0" w:space="0" w:color="auto"/>
        <w:right w:val="none" w:sz="0" w:space="0" w:color="auto"/>
      </w:divBdr>
      <w:divsChild>
        <w:div w:id="1058630090">
          <w:marLeft w:val="0"/>
          <w:marRight w:val="0"/>
          <w:marTop w:val="0"/>
          <w:marBottom w:val="0"/>
          <w:divBdr>
            <w:top w:val="none" w:sz="0" w:space="0" w:color="auto"/>
            <w:left w:val="none" w:sz="0" w:space="0" w:color="auto"/>
            <w:bottom w:val="none" w:sz="0" w:space="0" w:color="auto"/>
            <w:right w:val="none" w:sz="0" w:space="0" w:color="auto"/>
          </w:divBdr>
          <w:divsChild>
            <w:div w:id="1162086309">
              <w:marLeft w:val="0"/>
              <w:marRight w:val="0"/>
              <w:marTop w:val="0"/>
              <w:marBottom w:val="0"/>
              <w:divBdr>
                <w:top w:val="none" w:sz="0" w:space="0" w:color="auto"/>
                <w:left w:val="none" w:sz="0" w:space="0" w:color="auto"/>
                <w:bottom w:val="none" w:sz="0" w:space="0" w:color="auto"/>
                <w:right w:val="none" w:sz="0" w:space="0" w:color="auto"/>
              </w:divBdr>
              <w:divsChild>
                <w:div w:id="1385059582">
                  <w:marLeft w:val="0"/>
                  <w:marRight w:val="0"/>
                  <w:marTop w:val="0"/>
                  <w:marBottom w:val="0"/>
                  <w:divBdr>
                    <w:top w:val="none" w:sz="0" w:space="0" w:color="auto"/>
                    <w:left w:val="none" w:sz="0" w:space="0" w:color="auto"/>
                    <w:bottom w:val="none" w:sz="0" w:space="0" w:color="auto"/>
                    <w:right w:val="none" w:sz="0" w:space="0" w:color="auto"/>
                  </w:divBdr>
                  <w:divsChild>
                    <w:div w:id="17286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98987">
      <w:bodyDiv w:val="1"/>
      <w:marLeft w:val="0"/>
      <w:marRight w:val="0"/>
      <w:marTop w:val="0"/>
      <w:marBottom w:val="0"/>
      <w:divBdr>
        <w:top w:val="none" w:sz="0" w:space="0" w:color="auto"/>
        <w:left w:val="none" w:sz="0" w:space="0" w:color="auto"/>
        <w:bottom w:val="none" w:sz="0" w:space="0" w:color="auto"/>
        <w:right w:val="none" w:sz="0" w:space="0" w:color="auto"/>
      </w:divBdr>
      <w:divsChild>
        <w:div w:id="233246862">
          <w:marLeft w:val="0"/>
          <w:marRight w:val="0"/>
          <w:marTop w:val="0"/>
          <w:marBottom w:val="0"/>
          <w:divBdr>
            <w:top w:val="none" w:sz="0" w:space="0" w:color="auto"/>
            <w:left w:val="none" w:sz="0" w:space="0" w:color="auto"/>
            <w:bottom w:val="none" w:sz="0" w:space="0" w:color="auto"/>
            <w:right w:val="none" w:sz="0" w:space="0" w:color="auto"/>
          </w:divBdr>
          <w:divsChild>
            <w:div w:id="697511976">
              <w:marLeft w:val="0"/>
              <w:marRight w:val="0"/>
              <w:marTop w:val="0"/>
              <w:marBottom w:val="0"/>
              <w:divBdr>
                <w:top w:val="none" w:sz="0" w:space="0" w:color="auto"/>
                <w:left w:val="none" w:sz="0" w:space="0" w:color="auto"/>
                <w:bottom w:val="none" w:sz="0" w:space="0" w:color="auto"/>
                <w:right w:val="none" w:sz="0" w:space="0" w:color="auto"/>
              </w:divBdr>
              <w:divsChild>
                <w:div w:id="16656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52672">
      <w:bodyDiv w:val="1"/>
      <w:marLeft w:val="0"/>
      <w:marRight w:val="0"/>
      <w:marTop w:val="0"/>
      <w:marBottom w:val="0"/>
      <w:divBdr>
        <w:top w:val="none" w:sz="0" w:space="0" w:color="auto"/>
        <w:left w:val="none" w:sz="0" w:space="0" w:color="auto"/>
        <w:bottom w:val="none" w:sz="0" w:space="0" w:color="auto"/>
        <w:right w:val="none" w:sz="0" w:space="0" w:color="auto"/>
      </w:divBdr>
      <w:divsChild>
        <w:div w:id="834489660">
          <w:marLeft w:val="0"/>
          <w:marRight w:val="0"/>
          <w:marTop w:val="0"/>
          <w:marBottom w:val="0"/>
          <w:divBdr>
            <w:top w:val="none" w:sz="0" w:space="0" w:color="auto"/>
            <w:left w:val="none" w:sz="0" w:space="0" w:color="auto"/>
            <w:bottom w:val="none" w:sz="0" w:space="0" w:color="auto"/>
            <w:right w:val="none" w:sz="0" w:space="0" w:color="auto"/>
          </w:divBdr>
          <w:divsChild>
            <w:div w:id="136841348">
              <w:marLeft w:val="0"/>
              <w:marRight w:val="0"/>
              <w:marTop w:val="0"/>
              <w:marBottom w:val="0"/>
              <w:divBdr>
                <w:top w:val="none" w:sz="0" w:space="0" w:color="auto"/>
                <w:left w:val="none" w:sz="0" w:space="0" w:color="auto"/>
                <w:bottom w:val="none" w:sz="0" w:space="0" w:color="auto"/>
                <w:right w:val="none" w:sz="0" w:space="0" w:color="auto"/>
              </w:divBdr>
              <w:divsChild>
                <w:div w:id="488984535">
                  <w:marLeft w:val="0"/>
                  <w:marRight w:val="0"/>
                  <w:marTop w:val="0"/>
                  <w:marBottom w:val="0"/>
                  <w:divBdr>
                    <w:top w:val="none" w:sz="0" w:space="0" w:color="auto"/>
                    <w:left w:val="none" w:sz="0" w:space="0" w:color="auto"/>
                    <w:bottom w:val="none" w:sz="0" w:space="0" w:color="auto"/>
                    <w:right w:val="none" w:sz="0" w:space="0" w:color="auto"/>
                  </w:divBdr>
                  <w:divsChild>
                    <w:div w:id="15699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95419">
      <w:bodyDiv w:val="1"/>
      <w:marLeft w:val="0"/>
      <w:marRight w:val="0"/>
      <w:marTop w:val="0"/>
      <w:marBottom w:val="0"/>
      <w:divBdr>
        <w:top w:val="none" w:sz="0" w:space="0" w:color="auto"/>
        <w:left w:val="none" w:sz="0" w:space="0" w:color="auto"/>
        <w:bottom w:val="none" w:sz="0" w:space="0" w:color="auto"/>
        <w:right w:val="none" w:sz="0" w:space="0" w:color="auto"/>
      </w:divBdr>
      <w:divsChild>
        <w:div w:id="1850873998">
          <w:marLeft w:val="0"/>
          <w:marRight w:val="0"/>
          <w:marTop w:val="0"/>
          <w:marBottom w:val="0"/>
          <w:divBdr>
            <w:top w:val="none" w:sz="0" w:space="0" w:color="auto"/>
            <w:left w:val="none" w:sz="0" w:space="0" w:color="auto"/>
            <w:bottom w:val="none" w:sz="0" w:space="0" w:color="auto"/>
            <w:right w:val="none" w:sz="0" w:space="0" w:color="auto"/>
          </w:divBdr>
          <w:divsChild>
            <w:div w:id="762578006">
              <w:marLeft w:val="0"/>
              <w:marRight w:val="0"/>
              <w:marTop w:val="0"/>
              <w:marBottom w:val="0"/>
              <w:divBdr>
                <w:top w:val="none" w:sz="0" w:space="0" w:color="auto"/>
                <w:left w:val="none" w:sz="0" w:space="0" w:color="auto"/>
                <w:bottom w:val="none" w:sz="0" w:space="0" w:color="auto"/>
                <w:right w:val="none" w:sz="0" w:space="0" w:color="auto"/>
              </w:divBdr>
              <w:divsChild>
                <w:div w:id="1048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13803">
      <w:bodyDiv w:val="1"/>
      <w:marLeft w:val="0"/>
      <w:marRight w:val="0"/>
      <w:marTop w:val="0"/>
      <w:marBottom w:val="0"/>
      <w:divBdr>
        <w:top w:val="none" w:sz="0" w:space="0" w:color="auto"/>
        <w:left w:val="none" w:sz="0" w:space="0" w:color="auto"/>
        <w:bottom w:val="none" w:sz="0" w:space="0" w:color="auto"/>
        <w:right w:val="none" w:sz="0" w:space="0" w:color="auto"/>
      </w:divBdr>
      <w:divsChild>
        <w:div w:id="1156189509">
          <w:marLeft w:val="0"/>
          <w:marRight w:val="0"/>
          <w:marTop w:val="0"/>
          <w:marBottom w:val="0"/>
          <w:divBdr>
            <w:top w:val="none" w:sz="0" w:space="0" w:color="auto"/>
            <w:left w:val="none" w:sz="0" w:space="0" w:color="auto"/>
            <w:bottom w:val="none" w:sz="0" w:space="0" w:color="auto"/>
            <w:right w:val="none" w:sz="0" w:space="0" w:color="auto"/>
          </w:divBdr>
          <w:divsChild>
            <w:div w:id="875505712">
              <w:marLeft w:val="0"/>
              <w:marRight w:val="0"/>
              <w:marTop w:val="0"/>
              <w:marBottom w:val="0"/>
              <w:divBdr>
                <w:top w:val="none" w:sz="0" w:space="0" w:color="auto"/>
                <w:left w:val="none" w:sz="0" w:space="0" w:color="auto"/>
                <w:bottom w:val="none" w:sz="0" w:space="0" w:color="auto"/>
                <w:right w:val="none" w:sz="0" w:space="0" w:color="auto"/>
              </w:divBdr>
              <w:divsChild>
                <w:div w:id="325518304">
                  <w:marLeft w:val="0"/>
                  <w:marRight w:val="0"/>
                  <w:marTop w:val="0"/>
                  <w:marBottom w:val="0"/>
                  <w:divBdr>
                    <w:top w:val="none" w:sz="0" w:space="0" w:color="auto"/>
                    <w:left w:val="none" w:sz="0" w:space="0" w:color="auto"/>
                    <w:bottom w:val="none" w:sz="0" w:space="0" w:color="auto"/>
                    <w:right w:val="none" w:sz="0" w:space="0" w:color="auto"/>
                  </w:divBdr>
                  <w:divsChild>
                    <w:div w:id="20895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93248">
      <w:bodyDiv w:val="1"/>
      <w:marLeft w:val="0"/>
      <w:marRight w:val="0"/>
      <w:marTop w:val="0"/>
      <w:marBottom w:val="0"/>
      <w:divBdr>
        <w:top w:val="none" w:sz="0" w:space="0" w:color="auto"/>
        <w:left w:val="none" w:sz="0" w:space="0" w:color="auto"/>
        <w:bottom w:val="none" w:sz="0" w:space="0" w:color="auto"/>
        <w:right w:val="none" w:sz="0" w:space="0" w:color="auto"/>
      </w:divBdr>
      <w:divsChild>
        <w:div w:id="93744873">
          <w:marLeft w:val="0"/>
          <w:marRight w:val="0"/>
          <w:marTop w:val="0"/>
          <w:marBottom w:val="0"/>
          <w:divBdr>
            <w:top w:val="none" w:sz="0" w:space="0" w:color="auto"/>
            <w:left w:val="none" w:sz="0" w:space="0" w:color="auto"/>
            <w:bottom w:val="none" w:sz="0" w:space="0" w:color="auto"/>
            <w:right w:val="none" w:sz="0" w:space="0" w:color="auto"/>
          </w:divBdr>
          <w:divsChild>
            <w:div w:id="484399674">
              <w:marLeft w:val="0"/>
              <w:marRight w:val="0"/>
              <w:marTop w:val="0"/>
              <w:marBottom w:val="0"/>
              <w:divBdr>
                <w:top w:val="none" w:sz="0" w:space="0" w:color="auto"/>
                <w:left w:val="none" w:sz="0" w:space="0" w:color="auto"/>
                <w:bottom w:val="none" w:sz="0" w:space="0" w:color="auto"/>
                <w:right w:val="none" w:sz="0" w:space="0" w:color="auto"/>
              </w:divBdr>
              <w:divsChild>
                <w:div w:id="2076662601">
                  <w:marLeft w:val="0"/>
                  <w:marRight w:val="0"/>
                  <w:marTop w:val="0"/>
                  <w:marBottom w:val="0"/>
                  <w:divBdr>
                    <w:top w:val="none" w:sz="0" w:space="0" w:color="auto"/>
                    <w:left w:val="none" w:sz="0" w:space="0" w:color="auto"/>
                    <w:bottom w:val="none" w:sz="0" w:space="0" w:color="auto"/>
                    <w:right w:val="none" w:sz="0" w:space="0" w:color="auto"/>
                  </w:divBdr>
                  <w:divsChild>
                    <w:div w:id="150374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134213">
      <w:bodyDiv w:val="1"/>
      <w:marLeft w:val="0"/>
      <w:marRight w:val="0"/>
      <w:marTop w:val="0"/>
      <w:marBottom w:val="0"/>
      <w:divBdr>
        <w:top w:val="none" w:sz="0" w:space="0" w:color="auto"/>
        <w:left w:val="none" w:sz="0" w:space="0" w:color="auto"/>
        <w:bottom w:val="none" w:sz="0" w:space="0" w:color="auto"/>
        <w:right w:val="none" w:sz="0" w:space="0" w:color="auto"/>
      </w:divBdr>
    </w:div>
    <w:div w:id="327833229">
      <w:bodyDiv w:val="1"/>
      <w:marLeft w:val="0"/>
      <w:marRight w:val="0"/>
      <w:marTop w:val="0"/>
      <w:marBottom w:val="0"/>
      <w:divBdr>
        <w:top w:val="none" w:sz="0" w:space="0" w:color="auto"/>
        <w:left w:val="none" w:sz="0" w:space="0" w:color="auto"/>
        <w:bottom w:val="none" w:sz="0" w:space="0" w:color="auto"/>
        <w:right w:val="none" w:sz="0" w:space="0" w:color="auto"/>
      </w:divBdr>
      <w:divsChild>
        <w:div w:id="941182535">
          <w:marLeft w:val="0"/>
          <w:marRight w:val="0"/>
          <w:marTop w:val="0"/>
          <w:marBottom w:val="0"/>
          <w:divBdr>
            <w:top w:val="none" w:sz="0" w:space="0" w:color="auto"/>
            <w:left w:val="none" w:sz="0" w:space="0" w:color="auto"/>
            <w:bottom w:val="none" w:sz="0" w:space="0" w:color="auto"/>
            <w:right w:val="none" w:sz="0" w:space="0" w:color="auto"/>
          </w:divBdr>
          <w:divsChild>
            <w:div w:id="164173697">
              <w:marLeft w:val="0"/>
              <w:marRight w:val="0"/>
              <w:marTop w:val="0"/>
              <w:marBottom w:val="0"/>
              <w:divBdr>
                <w:top w:val="none" w:sz="0" w:space="0" w:color="auto"/>
                <w:left w:val="none" w:sz="0" w:space="0" w:color="auto"/>
                <w:bottom w:val="none" w:sz="0" w:space="0" w:color="auto"/>
                <w:right w:val="none" w:sz="0" w:space="0" w:color="auto"/>
              </w:divBdr>
              <w:divsChild>
                <w:div w:id="14946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03975">
      <w:bodyDiv w:val="1"/>
      <w:marLeft w:val="0"/>
      <w:marRight w:val="0"/>
      <w:marTop w:val="0"/>
      <w:marBottom w:val="0"/>
      <w:divBdr>
        <w:top w:val="none" w:sz="0" w:space="0" w:color="auto"/>
        <w:left w:val="none" w:sz="0" w:space="0" w:color="auto"/>
        <w:bottom w:val="none" w:sz="0" w:space="0" w:color="auto"/>
        <w:right w:val="none" w:sz="0" w:space="0" w:color="auto"/>
      </w:divBdr>
      <w:divsChild>
        <w:div w:id="689994874">
          <w:marLeft w:val="0"/>
          <w:marRight w:val="0"/>
          <w:marTop w:val="0"/>
          <w:marBottom w:val="0"/>
          <w:divBdr>
            <w:top w:val="none" w:sz="0" w:space="0" w:color="auto"/>
            <w:left w:val="none" w:sz="0" w:space="0" w:color="auto"/>
            <w:bottom w:val="none" w:sz="0" w:space="0" w:color="auto"/>
            <w:right w:val="none" w:sz="0" w:space="0" w:color="auto"/>
          </w:divBdr>
          <w:divsChild>
            <w:div w:id="212428398">
              <w:marLeft w:val="0"/>
              <w:marRight w:val="0"/>
              <w:marTop w:val="0"/>
              <w:marBottom w:val="0"/>
              <w:divBdr>
                <w:top w:val="none" w:sz="0" w:space="0" w:color="auto"/>
                <w:left w:val="none" w:sz="0" w:space="0" w:color="auto"/>
                <w:bottom w:val="none" w:sz="0" w:space="0" w:color="auto"/>
                <w:right w:val="none" w:sz="0" w:space="0" w:color="auto"/>
              </w:divBdr>
              <w:divsChild>
                <w:div w:id="1666929820">
                  <w:marLeft w:val="0"/>
                  <w:marRight w:val="0"/>
                  <w:marTop w:val="0"/>
                  <w:marBottom w:val="0"/>
                  <w:divBdr>
                    <w:top w:val="none" w:sz="0" w:space="0" w:color="auto"/>
                    <w:left w:val="none" w:sz="0" w:space="0" w:color="auto"/>
                    <w:bottom w:val="none" w:sz="0" w:space="0" w:color="auto"/>
                    <w:right w:val="none" w:sz="0" w:space="0" w:color="auto"/>
                  </w:divBdr>
                  <w:divsChild>
                    <w:div w:id="19708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90110">
      <w:bodyDiv w:val="1"/>
      <w:marLeft w:val="0"/>
      <w:marRight w:val="0"/>
      <w:marTop w:val="0"/>
      <w:marBottom w:val="0"/>
      <w:divBdr>
        <w:top w:val="none" w:sz="0" w:space="0" w:color="auto"/>
        <w:left w:val="none" w:sz="0" w:space="0" w:color="auto"/>
        <w:bottom w:val="none" w:sz="0" w:space="0" w:color="auto"/>
        <w:right w:val="none" w:sz="0" w:space="0" w:color="auto"/>
      </w:divBdr>
    </w:div>
    <w:div w:id="346449527">
      <w:bodyDiv w:val="1"/>
      <w:marLeft w:val="0"/>
      <w:marRight w:val="0"/>
      <w:marTop w:val="0"/>
      <w:marBottom w:val="0"/>
      <w:divBdr>
        <w:top w:val="none" w:sz="0" w:space="0" w:color="auto"/>
        <w:left w:val="none" w:sz="0" w:space="0" w:color="auto"/>
        <w:bottom w:val="none" w:sz="0" w:space="0" w:color="auto"/>
        <w:right w:val="none" w:sz="0" w:space="0" w:color="auto"/>
      </w:divBdr>
    </w:div>
    <w:div w:id="349989447">
      <w:bodyDiv w:val="1"/>
      <w:marLeft w:val="0"/>
      <w:marRight w:val="0"/>
      <w:marTop w:val="0"/>
      <w:marBottom w:val="0"/>
      <w:divBdr>
        <w:top w:val="none" w:sz="0" w:space="0" w:color="auto"/>
        <w:left w:val="none" w:sz="0" w:space="0" w:color="auto"/>
        <w:bottom w:val="none" w:sz="0" w:space="0" w:color="auto"/>
        <w:right w:val="none" w:sz="0" w:space="0" w:color="auto"/>
      </w:divBdr>
      <w:divsChild>
        <w:div w:id="56440376">
          <w:marLeft w:val="0"/>
          <w:marRight w:val="0"/>
          <w:marTop w:val="0"/>
          <w:marBottom w:val="0"/>
          <w:divBdr>
            <w:top w:val="none" w:sz="0" w:space="0" w:color="auto"/>
            <w:left w:val="none" w:sz="0" w:space="0" w:color="auto"/>
            <w:bottom w:val="none" w:sz="0" w:space="0" w:color="auto"/>
            <w:right w:val="none" w:sz="0" w:space="0" w:color="auto"/>
          </w:divBdr>
          <w:divsChild>
            <w:div w:id="1446120128">
              <w:marLeft w:val="0"/>
              <w:marRight w:val="0"/>
              <w:marTop w:val="0"/>
              <w:marBottom w:val="0"/>
              <w:divBdr>
                <w:top w:val="none" w:sz="0" w:space="0" w:color="auto"/>
                <w:left w:val="none" w:sz="0" w:space="0" w:color="auto"/>
                <w:bottom w:val="none" w:sz="0" w:space="0" w:color="auto"/>
                <w:right w:val="none" w:sz="0" w:space="0" w:color="auto"/>
              </w:divBdr>
              <w:divsChild>
                <w:div w:id="1445810898">
                  <w:marLeft w:val="0"/>
                  <w:marRight w:val="0"/>
                  <w:marTop w:val="0"/>
                  <w:marBottom w:val="0"/>
                  <w:divBdr>
                    <w:top w:val="none" w:sz="0" w:space="0" w:color="auto"/>
                    <w:left w:val="none" w:sz="0" w:space="0" w:color="auto"/>
                    <w:bottom w:val="none" w:sz="0" w:space="0" w:color="auto"/>
                    <w:right w:val="none" w:sz="0" w:space="0" w:color="auto"/>
                  </w:divBdr>
                  <w:divsChild>
                    <w:div w:id="14374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2577">
      <w:bodyDiv w:val="1"/>
      <w:marLeft w:val="0"/>
      <w:marRight w:val="0"/>
      <w:marTop w:val="0"/>
      <w:marBottom w:val="0"/>
      <w:divBdr>
        <w:top w:val="none" w:sz="0" w:space="0" w:color="auto"/>
        <w:left w:val="none" w:sz="0" w:space="0" w:color="auto"/>
        <w:bottom w:val="none" w:sz="0" w:space="0" w:color="auto"/>
        <w:right w:val="none" w:sz="0" w:space="0" w:color="auto"/>
      </w:divBdr>
      <w:divsChild>
        <w:div w:id="2069109776">
          <w:marLeft w:val="0"/>
          <w:marRight w:val="0"/>
          <w:marTop w:val="0"/>
          <w:marBottom w:val="0"/>
          <w:divBdr>
            <w:top w:val="none" w:sz="0" w:space="0" w:color="auto"/>
            <w:left w:val="none" w:sz="0" w:space="0" w:color="auto"/>
            <w:bottom w:val="none" w:sz="0" w:space="0" w:color="auto"/>
            <w:right w:val="none" w:sz="0" w:space="0" w:color="auto"/>
          </w:divBdr>
          <w:divsChild>
            <w:div w:id="1029724046">
              <w:marLeft w:val="0"/>
              <w:marRight w:val="0"/>
              <w:marTop w:val="0"/>
              <w:marBottom w:val="0"/>
              <w:divBdr>
                <w:top w:val="none" w:sz="0" w:space="0" w:color="auto"/>
                <w:left w:val="none" w:sz="0" w:space="0" w:color="auto"/>
                <w:bottom w:val="none" w:sz="0" w:space="0" w:color="auto"/>
                <w:right w:val="none" w:sz="0" w:space="0" w:color="auto"/>
              </w:divBdr>
              <w:divsChild>
                <w:div w:id="1549564531">
                  <w:marLeft w:val="0"/>
                  <w:marRight w:val="0"/>
                  <w:marTop w:val="0"/>
                  <w:marBottom w:val="0"/>
                  <w:divBdr>
                    <w:top w:val="none" w:sz="0" w:space="0" w:color="auto"/>
                    <w:left w:val="none" w:sz="0" w:space="0" w:color="auto"/>
                    <w:bottom w:val="none" w:sz="0" w:space="0" w:color="auto"/>
                    <w:right w:val="none" w:sz="0" w:space="0" w:color="auto"/>
                  </w:divBdr>
                  <w:divsChild>
                    <w:div w:id="7113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5846">
      <w:bodyDiv w:val="1"/>
      <w:marLeft w:val="0"/>
      <w:marRight w:val="0"/>
      <w:marTop w:val="0"/>
      <w:marBottom w:val="0"/>
      <w:divBdr>
        <w:top w:val="none" w:sz="0" w:space="0" w:color="auto"/>
        <w:left w:val="none" w:sz="0" w:space="0" w:color="auto"/>
        <w:bottom w:val="none" w:sz="0" w:space="0" w:color="auto"/>
        <w:right w:val="none" w:sz="0" w:space="0" w:color="auto"/>
      </w:divBdr>
      <w:divsChild>
        <w:div w:id="1304044981">
          <w:marLeft w:val="0"/>
          <w:marRight w:val="0"/>
          <w:marTop w:val="0"/>
          <w:marBottom w:val="0"/>
          <w:divBdr>
            <w:top w:val="none" w:sz="0" w:space="0" w:color="auto"/>
            <w:left w:val="none" w:sz="0" w:space="0" w:color="auto"/>
            <w:bottom w:val="none" w:sz="0" w:space="0" w:color="auto"/>
            <w:right w:val="none" w:sz="0" w:space="0" w:color="auto"/>
          </w:divBdr>
          <w:divsChild>
            <w:div w:id="1638027912">
              <w:marLeft w:val="0"/>
              <w:marRight w:val="0"/>
              <w:marTop w:val="0"/>
              <w:marBottom w:val="0"/>
              <w:divBdr>
                <w:top w:val="none" w:sz="0" w:space="0" w:color="auto"/>
                <w:left w:val="none" w:sz="0" w:space="0" w:color="auto"/>
                <w:bottom w:val="none" w:sz="0" w:space="0" w:color="auto"/>
                <w:right w:val="none" w:sz="0" w:space="0" w:color="auto"/>
              </w:divBdr>
              <w:divsChild>
                <w:div w:id="713506029">
                  <w:marLeft w:val="0"/>
                  <w:marRight w:val="0"/>
                  <w:marTop w:val="0"/>
                  <w:marBottom w:val="0"/>
                  <w:divBdr>
                    <w:top w:val="none" w:sz="0" w:space="0" w:color="auto"/>
                    <w:left w:val="none" w:sz="0" w:space="0" w:color="auto"/>
                    <w:bottom w:val="none" w:sz="0" w:space="0" w:color="auto"/>
                    <w:right w:val="none" w:sz="0" w:space="0" w:color="auto"/>
                  </w:divBdr>
                  <w:divsChild>
                    <w:div w:id="3852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80226">
      <w:bodyDiv w:val="1"/>
      <w:marLeft w:val="0"/>
      <w:marRight w:val="0"/>
      <w:marTop w:val="0"/>
      <w:marBottom w:val="0"/>
      <w:divBdr>
        <w:top w:val="none" w:sz="0" w:space="0" w:color="auto"/>
        <w:left w:val="none" w:sz="0" w:space="0" w:color="auto"/>
        <w:bottom w:val="none" w:sz="0" w:space="0" w:color="auto"/>
        <w:right w:val="none" w:sz="0" w:space="0" w:color="auto"/>
      </w:divBdr>
      <w:divsChild>
        <w:div w:id="651494617">
          <w:marLeft w:val="0"/>
          <w:marRight w:val="0"/>
          <w:marTop w:val="0"/>
          <w:marBottom w:val="0"/>
          <w:divBdr>
            <w:top w:val="none" w:sz="0" w:space="0" w:color="auto"/>
            <w:left w:val="none" w:sz="0" w:space="0" w:color="auto"/>
            <w:bottom w:val="none" w:sz="0" w:space="0" w:color="auto"/>
            <w:right w:val="none" w:sz="0" w:space="0" w:color="auto"/>
          </w:divBdr>
          <w:divsChild>
            <w:div w:id="1765682620">
              <w:marLeft w:val="0"/>
              <w:marRight w:val="0"/>
              <w:marTop w:val="0"/>
              <w:marBottom w:val="0"/>
              <w:divBdr>
                <w:top w:val="none" w:sz="0" w:space="0" w:color="auto"/>
                <w:left w:val="none" w:sz="0" w:space="0" w:color="auto"/>
                <w:bottom w:val="none" w:sz="0" w:space="0" w:color="auto"/>
                <w:right w:val="none" w:sz="0" w:space="0" w:color="auto"/>
              </w:divBdr>
              <w:divsChild>
                <w:div w:id="12147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15553">
      <w:bodyDiv w:val="1"/>
      <w:marLeft w:val="0"/>
      <w:marRight w:val="0"/>
      <w:marTop w:val="0"/>
      <w:marBottom w:val="0"/>
      <w:divBdr>
        <w:top w:val="none" w:sz="0" w:space="0" w:color="auto"/>
        <w:left w:val="none" w:sz="0" w:space="0" w:color="auto"/>
        <w:bottom w:val="none" w:sz="0" w:space="0" w:color="auto"/>
        <w:right w:val="none" w:sz="0" w:space="0" w:color="auto"/>
      </w:divBdr>
      <w:divsChild>
        <w:div w:id="208493031">
          <w:marLeft w:val="0"/>
          <w:marRight w:val="0"/>
          <w:marTop w:val="0"/>
          <w:marBottom w:val="0"/>
          <w:divBdr>
            <w:top w:val="none" w:sz="0" w:space="0" w:color="auto"/>
            <w:left w:val="none" w:sz="0" w:space="0" w:color="auto"/>
            <w:bottom w:val="none" w:sz="0" w:space="0" w:color="auto"/>
            <w:right w:val="none" w:sz="0" w:space="0" w:color="auto"/>
          </w:divBdr>
          <w:divsChild>
            <w:div w:id="1673533519">
              <w:marLeft w:val="0"/>
              <w:marRight w:val="0"/>
              <w:marTop w:val="0"/>
              <w:marBottom w:val="0"/>
              <w:divBdr>
                <w:top w:val="none" w:sz="0" w:space="0" w:color="auto"/>
                <w:left w:val="none" w:sz="0" w:space="0" w:color="auto"/>
                <w:bottom w:val="none" w:sz="0" w:space="0" w:color="auto"/>
                <w:right w:val="none" w:sz="0" w:space="0" w:color="auto"/>
              </w:divBdr>
              <w:divsChild>
                <w:div w:id="2002350587">
                  <w:marLeft w:val="0"/>
                  <w:marRight w:val="0"/>
                  <w:marTop w:val="0"/>
                  <w:marBottom w:val="0"/>
                  <w:divBdr>
                    <w:top w:val="none" w:sz="0" w:space="0" w:color="auto"/>
                    <w:left w:val="none" w:sz="0" w:space="0" w:color="auto"/>
                    <w:bottom w:val="none" w:sz="0" w:space="0" w:color="auto"/>
                    <w:right w:val="none" w:sz="0" w:space="0" w:color="auto"/>
                  </w:divBdr>
                  <w:divsChild>
                    <w:div w:id="9685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252628">
      <w:bodyDiv w:val="1"/>
      <w:marLeft w:val="0"/>
      <w:marRight w:val="0"/>
      <w:marTop w:val="0"/>
      <w:marBottom w:val="0"/>
      <w:divBdr>
        <w:top w:val="none" w:sz="0" w:space="0" w:color="auto"/>
        <w:left w:val="none" w:sz="0" w:space="0" w:color="auto"/>
        <w:bottom w:val="none" w:sz="0" w:space="0" w:color="auto"/>
        <w:right w:val="none" w:sz="0" w:space="0" w:color="auto"/>
      </w:divBdr>
      <w:divsChild>
        <w:div w:id="105464891">
          <w:marLeft w:val="0"/>
          <w:marRight w:val="0"/>
          <w:marTop w:val="0"/>
          <w:marBottom w:val="0"/>
          <w:divBdr>
            <w:top w:val="none" w:sz="0" w:space="0" w:color="auto"/>
            <w:left w:val="none" w:sz="0" w:space="0" w:color="auto"/>
            <w:bottom w:val="none" w:sz="0" w:space="0" w:color="auto"/>
            <w:right w:val="none" w:sz="0" w:space="0" w:color="auto"/>
          </w:divBdr>
          <w:divsChild>
            <w:div w:id="630526180">
              <w:marLeft w:val="0"/>
              <w:marRight w:val="0"/>
              <w:marTop w:val="0"/>
              <w:marBottom w:val="0"/>
              <w:divBdr>
                <w:top w:val="none" w:sz="0" w:space="0" w:color="auto"/>
                <w:left w:val="none" w:sz="0" w:space="0" w:color="auto"/>
                <w:bottom w:val="none" w:sz="0" w:space="0" w:color="auto"/>
                <w:right w:val="none" w:sz="0" w:space="0" w:color="auto"/>
              </w:divBdr>
              <w:divsChild>
                <w:div w:id="988631343">
                  <w:marLeft w:val="0"/>
                  <w:marRight w:val="0"/>
                  <w:marTop w:val="0"/>
                  <w:marBottom w:val="0"/>
                  <w:divBdr>
                    <w:top w:val="none" w:sz="0" w:space="0" w:color="auto"/>
                    <w:left w:val="none" w:sz="0" w:space="0" w:color="auto"/>
                    <w:bottom w:val="none" w:sz="0" w:space="0" w:color="auto"/>
                    <w:right w:val="none" w:sz="0" w:space="0" w:color="auto"/>
                  </w:divBdr>
                  <w:divsChild>
                    <w:div w:id="12105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14364">
      <w:bodyDiv w:val="1"/>
      <w:marLeft w:val="0"/>
      <w:marRight w:val="0"/>
      <w:marTop w:val="0"/>
      <w:marBottom w:val="0"/>
      <w:divBdr>
        <w:top w:val="none" w:sz="0" w:space="0" w:color="auto"/>
        <w:left w:val="none" w:sz="0" w:space="0" w:color="auto"/>
        <w:bottom w:val="none" w:sz="0" w:space="0" w:color="auto"/>
        <w:right w:val="none" w:sz="0" w:space="0" w:color="auto"/>
      </w:divBdr>
      <w:divsChild>
        <w:div w:id="1896235774">
          <w:marLeft w:val="0"/>
          <w:marRight w:val="0"/>
          <w:marTop w:val="0"/>
          <w:marBottom w:val="0"/>
          <w:divBdr>
            <w:top w:val="none" w:sz="0" w:space="0" w:color="auto"/>
            <w:left w:val="none" w:sz="0" w:space="0" w:color="auto"/>
            <w:bottom w:val="none" w:sz="0" w:space="0" w:color="auto"/>
            <w:right w:val="none" w:sz="0" w:space="0" w:color="auto"/>
          </w:divBdr>
          <w:divsChild>
            <w:div w:id="208956143">
              <w:marLeft w:val="0"/>
              <w:marRight w:val="0"/>
              <w:marTop w:val="0"/>
              <w:marBottom w:val="0"/>
              <w:divBdr>
                <w:top w:val="none" w:sz="0" w:space="0" w:color="auto"/>
                <w:left w:val="none" w:sz="0" w:space="0" w:color="auto"/>
                <w:bottom w:val="none" w:sz="0" w:space="0" w:color="auto"/>
                <w:right w:val="none" w:sz="0" w:space="0" w:color="auto"/>
              </w:divBdr>
              <w:divsChild>
                <w:div w:id="56319213">
                  <w:marLeft w:val="0"/>
                  <w:marRight w:val="0"/>
                  <w:marTop w:val="0"/>
                  <w:marBottom w:val="0"/>
                  <w:divBdr>
                    <w:top w:val="none" w:sz="0" w:space="0" w:color="auto"/>
                    <w:left w:val="none" w:sz="0" w:space="0" w:color="auto"/>
                    <w:bottom w:val="none" w:sz="0" w:space="0" w:color="auto"/>
                    <w:right w:val="none" w:sz="0" w:space="0" w:color="auto"/>
                  </w:divBdr>
                  <w:divsChild>
                    <w:div w:id="19580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0544">
      <w:bodyDiv w:val="1"/>
      <w:marLeft w:val="0"/>
      <w:marRight w:val="0"/>
      <w:marTop w:val="0"/>
      <w:marBottom w:val="0"/>
      <w:divBdr>
        <w:top w:val="none" w:sz="0" w:space="0" w:color="auto"/>
        <w:left w:val="none" w:sz="0" w:space="0" w:color="auto"/>
        <w:bottom w:val="none" w:sz="0" w:space="0" w:color="auto"/>
        <w:right w:val="none" w:sz="0" w:space="0" w:color="auto"/>
      </w:divBdr>
      <w:divsChild>
        <w:div w:id="815417817">
          <w:marLeft w:val="-225"/>
          <w:marRight w:val="-225"/>
          <w:marTop w:val="0"/>
          <w:marBottom w:val="0"/>
          <w:divBdr>
            <w:top w:val="none" w:sz="0" w:space="0" w:color="auto"/>
            <w:left w:val="none" w:sz="0" w:space="0" w:color="auto"/>
            <w:bottom w:val="none" w:sz="0" w:space="0" w:color="auto"/>
            <w:right w:val="none" w:sz="0" w:space="0" w:color="auto"/>
          </w:divBdr>
          <w:divsChild>
            <w:div w:id="12047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41438">
      <w:bodyDiv w:val="1"/>
      <w:marLeft w:val="0"/>
      <w:marRight w:val="0"/>
      <w:marTop w:val="0"/>
      <w:marBottom w:val="0"/>
      <w:divBdr>
        <w:top w:val="none" w:sz="0" w:space="0" w:color="auto"/>
        <w:left w:val="none" w:sz="0" w:space="0" w:color="auto"/>
        <w:bottom w:val="none" w:sz="0" w:space="0" w:color="auto"/>
        <w:right w:val="none" w:sz="0" w:space="0" w:color="auto"/>
      </w:divBdr>
      <w:divsChild>
        <w:div w:id="1820881708">
          <w:marLeft w:val="0"/>
          <w:marRight w:val="0"/>
          <w:marTop w:val="0"/>
          <w:marBottom w:val="0"/>
          <w:divBdr>
            <w:top w:val="none" w:sz="0" w:space="0" w:color="auto"/>
            <w:left w:val="none" w:sz="0" w:space="0" w:color="auto"/>
            <w:bottom w:val="none" w:sz="0" w:space="0" w:color="auto"/>
            <w:right w:val="none" w:sz="0" w:space="0" w:color="auto"/>
          </w:divBdr>
          <w:divsChild>
            <w:div w:id="1146049548">
              <w:marLeft w:val="0"/>
              <w:marRight w:val="0"/>
              <w:marTop w:val="0"/>
              <w:marBottom w:val="0"/>
              <w:divBdr>
                <w:top w:val="none" w:sz="0" w:space="0" w:color="auto"/>
                <w:left w:val="none" w:sz="0" w:space="0" w:color="auto"/>
                <w:bottom w:val="none" w:sz="0" w:space="0" w:color="auto"/>
                <w:right w:val="none" w:sz="0" w:space="0" w:color="auto"/>
              </w:divBdr>
              <w:divsChild>
                <w:div w:id="16345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90541">
      <w:bodyDiv w:val="1"/>
      <w:marLeft w:val="0"/>
      <w:marRight w:val="0"/>
      <w:marTop w:val="0"/>
      <w:marBottom w:val="0"/>
      <w:divBdr>
        <w:top w:val="none" w:sz="0" w:space="0" w:color="auto"/>
        <w:left w:val="none" w:sz="0" w:space="0" w:color="auto"/>
        <w:bottom w:val="none" w:sz="0" w:space="0" w:color="auto"/>
        <w:right w:val="none" w:sz="0" w:space="0" w:color="auto"/>
      </w:divBdr>
      <w:divsChild>
        <w:div w:id="1571770734">
          <w:marLeft w:val="0"/>
          <w:marRight w:val="0"/>
          <w:marTop w:val="0"/>
          <w:marBottom w:val="0"/>
          <w:divBdr>
            <w:top w:val="none" w:sz="0" w:space="0" w:color="auto"/>
            <w:left w:val="none" w:sz="0" w:space="0" w:color="auto"/>
            <w:bottom w:val="none" w:sz="0" w:space="0" w:color="auto"/>
            <w:right w:val="none" w:sz="0" w:space="0" w:color="auto"/>
          </w:divBdr>
          <w:divsChild>
            <w:div w:id="1045909068">
              <w:marLeft w:val="0"/>
              <w:marRight w:val="0"/>
              <w:marTop w:val="0"/>
              <w:marBottom w:val="0"/>
              <w:divBdr>
                <w:top w:val="none" w:sz="0" w:space="0" w:color="auto"/>
                <w:left w:val="none" w:sz="0" w:space="0" w:color="auto"/>
                <w:bottom w:val="none" w:sz="0" w:space="0" w:color="auto"/>
                <w:right w:val="none" w:sz="0" w:space="0" w:color="auto"/>
              </w:divBdr>
              <w:divsChild>
                <w:div w:id="5985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01922">
      <w:bodyDiv w:val="1"/>
      <w:marLeft w:val="0"/>
      <w:marRight w:val="0"/>
      <w:marTop w:val="0"/>
      <w:marBottom w:val="0"/>
      <w:divBdr>
        <w:top w:val="none" w:sz="0" w:space="0" w:color="auto"/>
        <w:left w:val="none" w:sz="0" w:space="0" w:color="auto"/>
        <w:bottom w:val="none" w:sz="0" w:space="0" w:color="auto"/>
        <w:right w:val="none" w:sz="0" w:space="0" w:color="auto"/>
      </w:divBdr>
    </w:div>
    <w:div w:id="388919766">
      <w:bodyDiv w:val="1"/>
      <w:marLeft w:val="0"/>
      <w:marRight w:val="0"/>
      <w:marTop w:val="0"/>
      <w:marBottom w:val="0"/>
      <w:divBdr>
        <w:top w:val="none" w:sz="0" w:space="0" w:color="auto"/>
        <w:left w:val="none" w:sz="0" w:space="0" w:color="auto"/>
        <w:bottom w:val="none" w:sz="0" w:space="0" w:color="auto"/>
        <w:right w:val="none" w:sz="0" w:space="0" w:color="auto"/>
      </w:divBdr>
      <w:divsChild>
        <w:div w:id="1091197322">
          <w:marLeft w:val="0"/>
          <w:marRight w:val="0"/>
          <w:marTop w:val="0"/>
          <w:marBottom w:val="0"/>
          <w:divBdr>
            <w:top w:val="none" w:sz="0" w:space="0" w:color="auto"/>
            <w:left w:val="none" w:sz="0" w:space="0" w:color="auto"/>
            <w:bottom w:val="none" w:sz="0" w:space="0" w:color="auto"/>
            <w:right w:val="none" w:sz="0" w:space="0" w:color="auto"/>
          </w:divBdr>
          <w:divsChild>
            <w:div w:id="527063358">
              <w:marLeft w:val="0"/>
              <w:marRight w:val="0"/>
              <w:marTop w:val="0"/>
              <w:marBottom w:val="0"/>
              <w:divBdr>
                <w:top w:val="none" w:sz="0" w:space="0" w:color="auto"/>
                <w:left w:val="none" w:sz="0" w:space="0" w:color="auto"/>
                <w:bottom w:val="none" w:sz="0" w:space="0" w:color="auto"/>
                <w:right w:val="none" w:sz="0" w:space="0" w:color="auto"/>
              </w:divBdr>
              <w:divsChild>
                <w:div w:id="11177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99277">
      <w:bodyDiv w:val="1"/>
      <w:marLeft w:val="0"/>
      <w:marRight w:val="0"/>
      <w:marTop w:val="0"/>
      <w:marBottom w:val="0"/>
      <w:divBdr>
        <w:top w:val="none" w:sz="0" w:space="0" w:color="auto"/>
        <w:left w:val="none" w:sz="0" w:space="0" w:color="auto"/>
        <w:bottom w:val="none" w:sz="0" w:space="0" w:color="auto"/>
        <w:right w:val="none" w:sz="0" w:space="0" w:color="auto"/>
      </w:divBdr>
      <w:divsChild>
        <w:div w:id="104078255">
          <w:marLeft w:val="0"/>
          <w:marRight w:val="0"/>
          <w:marTop w:val="0"/>
          <w:marBottom w:val="0"/>
          <w:divBdr>
            <w:top w:val="none" w:sz="0" w:space="0" w:color="auto"/>
            <w:left w:val="none" w:sz="0" w:space="0" w:color="auto"/>
            <w:bottom w:val="none" w:sz="0" w:space="0" w:color="auto"/>
            <w:right w:val="none" w:sz="0" w:space="0" w:color="auto"/>
          </w:divBdr>
          <w:divsChild>
            <w:div w:id="177816461">
              <w:marLeft w:val="0"/>
              <w:marRight w:val="0"/>
              <w:marTop w:val="0"/>
              <w:marBottom w:val="0"/>
              <w:divBdr>
                <w:top w:val="none" w:sz="0" w:space="0" w:color="auto"/>
                <w:left w:val="none" w:sz="0" w:space="0" w:color="auto"/>
                <w:bottom w:val="none" w:sz="0" w:space="0" w:color="auto"/>
                <w:right w:val="none" w:sz="0" w:space="0" w:color="auto"/>
              </w:divBdr>
              <w:divsChild>
                <w:div w:id="20661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145732">
      <w:bodyDiv w:val="1"/>
      <w:marLeft w:val="0"/>
      <w:marRight w:val="0"/>
      <w:marTop w:val="0"/>
      <w:marBottom w:val="0"/>
      <w:divBdr>
        <w:top w:val="none" w:sz="0" w:space="0" w:color="auto"/>
        <w:left w:val="none" w:sz="0" w:space="0" w:color="auto"/>
        <w:bottom w:val="none" w:sz="0" w:space="0" w:color="auto"/>
        <w:right w:val="none" w:sz="0" w:space="0" w:color="auto"/>
      </w:divBdr>
      <w:divsChild>
        <w:div w:id="535657151">
          <w:marLeft w:val="0"/>
          <w:marRight w:val="0"/>
          <w:marTop w:val="0"/>
          <w:marBottom w:val="0"/>
          <w:divBdr>
            <w:top w:val="none" w:sz="0" w:space="0" w:color="auto"/>
            <w:left w:val="none" w:sz="0" w:space="0" w:color="auto"/>
            <w:bottom w:val="none" w:sz="0" w:space="0" w:color="auto"/>
            <w:right w:val="none" w:sz="0" w:space="0" w:color="auto"/>
          </w:divBdr>
          <w:divsChild>
            <w:div w:id="1442265393">
              <w:marLeft w:val="0"/>
              <w:marRight w:val="0"/>
              <w:marTop w:val="0"/>
              <w:marBottom w:val="0"/>
              <w:divBdr>
                <w:top w:val="none" w:sz="0" w:space="0" w:color="auto"/>
                <w:left w:val="none" w:sz="0" w:space="0" w:color="auto"/>
                <w:bottom w:val="none" w:sz="0" w:space="0" w:color="auto"/>
                <w:right w:val="none" w:sz="0" w:space="0" w:color="auto"/>
              </w:divBdr>
              <w:divsChild>
                <w:div w:id="944460111">
                  <w:marLeft w:val="0"/>
                  <w:marRight w:val="0"/>
                  <w:marTop w:val="0"/>
                  <w:marBottom w:val="0"/>
                  <w:divBdr>
                    <w:top w:val="none" w:sz="0" w:space="0" w:color="auto"/>
                    <w:left w:val="none" w:sz="0" w:space="0" w:color="auto"/>
                    <w:bottom w:val="none" w:sz="0" w:space="0" w:color="auto"/>
                    <w:right w:val="none" w:sz="0" w:space="0" w:color="auto"/>
                  </w:divBdr>
                  <w:divsChild>
                    <w:div w:id="21229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93948">
      <w:bodyDiv w:val="1"/>
      <w:marLeft w:val="0"/>
      <w:marRight w:val="0"/>
      <w:marTop w:val="0"/>
      <w:marBottom w:val="0"/>
      <w:divBdr>
        <w:top w:val="none" w:sz="0" w:space="0" w:color="auto"/>
        <w:left w:val="none" w:sz="0" w:space="0" w:color="auto"/>
        <w:bottom w:val="none" w:sz="0" w:space="0" w:color="auto"/>
        <w:right w:val="none" w:sz="0" w:space="0" w:color="auto"/>
      </w:divBdr>
      <w:divsChild>
        <w:div w:id="1553930979">
          <w:marLeft w:val="0"/>
          <w:marRight w:val="0"/>
          <w:marTop w:val="0"/>
          <w:marBottom w:val="0"/>
          <w:divBdr>
            <w:top w:val="none" w:sz="0" w:space="0" w:color="auto"/>
            <w:left w:val="none" w:sz="0" w:space="0" w:color="auto"/>
            <w:bottom w:val="none" w:sz="0" w:space="0" w:color="auto"/>
            <w:right w:val="none" w:sz="0" w:space="0" w:color="auto"/>
          </w:divBdr>
          <w:divsChild>
            <w:div w:id="234971919">
              <w:marLeft w:val="0"/>
              <w:marRight w:val="0"/>
              <w:marTop w:val="0"/>
              <w:marBottom w:val="0"/>
              <w:divBdr>
                <w:top w:val="none" w:sz="0" w:space="0" w:color="auto"/>
                <w:left w:val="none" w:sz="0" w:space="0" w:color="auto"/>
                <w:bottom w:val="none" w:sz="0" w:space="0" w:color="auto"/>
                <w:right w:val="none" w:sz="0" w:space="0" w:color="auto"/>
              </w:divBdr>
              <w:divsChild>
                <w:div w:id="852495011">
                  <w:marLeft w:val="0"/>
                  <w:marRight w:val="0"/>
                  <w:marTop w:val="0"/>
                  <w:marBottom w:val="0"/>
                  <w:divBdr>
                    <w:top w:val="none" w:sz="0" w:space="0" w:color="auto"/>
                    <w:left w:val="none" w:sz="0" w:space="0" w:color="auto"/>
                    <w:bottom w:val="none" w:sz="0" w:space="0" w:color="auto"/>
                    <w:right w:val="none" w:sz="0" w:space="0" w:color="auto"/>
                  </w:divBdr>
                  <w:divsChild>
                    <w:div w:id="1006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315406">
      <w:bodyDiv w:val="1"/>
      <w:marLeft w:val="0"/>
      <w:marRight w:val="0"/>
      <w:marTop w:val="0"/>
      <w:marBottom w:val="0"/>
      <w:divBdr>
        <w:top w:val="none" w:sz="0" w:space="0" w:color="auto"/>
        <w:left w:val="none" w:sz="0" w:space="0" w:color="auto"/>
        <w:bottom w:val="none" w:sz="0" w:space="0" w:color="auto"/>
        <w:right w:val="none" w:sz="0" w:space="0" w:color="auto"/>
      </w:divBdr>
      <w:divsChild>
        <w:div w:id="176627905">
          <w:marLeft w:val="0"/>
          <w:marRight w:val="0"/>
          <w:marTop w:val="0"/>
          <w:marBottom w:val="0"/>
          <w:divBdr>
            <w:top w:val="none" w:sz="0" w:space="0" w:color="auto"/>
            <w:left w:val="none" w:sz="0" w:space="0" w:color="auto"/>
            <w:bottom w:val="none" w:sz="0" w:space="0" w:color="auto"/>
            <w:right w:val="none" w:sz="0" w:space="0" w:color="auto"/>
          </w:divBdr>
          <w:divsChild>
            <w:div w:id="1470896303">
              <w:marLeft w:val="0"/>
              <w:marRight w:val="0"/>
              <w:marTop w:val="0"/>
              <w:marBottom w:val="0"/>
              <w:divBdr>
                <w:top w:val="none" w:sz="0" w:space="0" w:color="auto"/>
                <w:left w:val="none" w:sz="0" w:space="0" w:color="auto"/>
                <w:bottom w:val="none" w:sz="0" w:space="0" w:color="auto"/>
                <w:right w:val="none" w:sz="0" w:space="0" w:color="auto"/>
              </w:divBdr>
              <w:divsChild>
                <w:div w:id="1064521822">
                  <w:marLeft w:val="0"/>
                  <w:marRight w:val="0"/>
                  <w:marTop w:val="0"/>
                  <w:marBottom w:val="0"/>
                  <w:divBdr>
                    <w:top w:val="none" w:sz="0" w:space="0" w:color="auto"/>
                    <w:left w:val="none" w:sz="0" w:space="0" w:color="auto"/>
                    <w:bottom w:val="none" w:sz="0" w:space="0" w:color="auto"/>
                    <w:right w:val="none" w:sz="0" w:space="0" w:color="auto"/>
                  </w:divBdr>
                  <w:divsChild>
                    <w:div w:id="2491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745903">
      <w:bodyDiv w:val="1"/>
      <w:marLeft w:val="0"/>
      <w:marRight w:val="0"/>
      <w:marTop w:val="0"/>
      <w:marBottom w:val="0"/>
      <w:divBdr>
        <w:top w:val="none" w:sz="0" w:space="0" w:color="auto"/>
        <w:left w:val="none" w:sz="0" w:space="0" w:color="auto"/>
        <w:bottom w:val="none" w:sz="0" w:space="0" w:color="auto"/>
        <w:right w:val="none" w:sz="0" w:space="0" w:color="auto"/>
      </w:divBdr>
      <w:divsChild>
        <w:div w:id="778372691">
          <w:marLeft w:val="0"/>
          <w:marRight w:val="0"/>
          <w:marTop w:val="0"/>
          <w:marBottom w:val="0"/>
          <w:divBdr>
            <w:top w:val="none" w:sz="0" w:space="0" w:color="auto"/>
            <w:left w:val="none" w:sz="0" w:space="0" w:color="auto"/>
            <w:bottom w:val="none" w:sz="0" w:space="0" w:color="auto"/>
            <w:right w:val="none" w:sz="0" w:space="0" w:color="auto"/>
          </w:divBdr>
          <w:divsChild>
            <w:div w:id="1928490363">
              <w:marLeft w:val="0"/>
              <w:marRight w:val="0"/>
              <w:marTop w:val="0"/>
              <w:marBottom w:val="0"/>
              <w:divBdr>
                <w:top w:val="none" w:sz="0" w:space="0" w:color="auto"/>
                <w:left w:val="none" w:sz="0" w:space="0" w:color="auto"/>
                <w:bottom w:val="none" w:sz="0" w:space="0" w:color="auto"/>
                <w:right w:val="none" w:sz="0" w:space="0" w:color="auto"/>
              </w:divBdr>
              <w:divsChild>
                <w:div w:id="1729914803">
                  <w:marLeft w:val="0"/>
                  <w:marRight w:val="0"/>
                  <w:marTop w:val="0"/>
                  <w:marBottom w:val="0"/>
                  <w:divBdr>
                    <w:top w:val="none" w:sz="0" w:space="0" w:color="auto"/>
                    <w:left w:val="none" w:sz="0" w:space="0" w:color="auto"/>
                    <w:bottom w:val="none" w:sz="0" w:space="0" w:color="auto"/>
                    <w:right w:val="none" w:sz="0" w:space="0" w:color="auto"/>
                  </w:divBdr>
                  <w:divsChild>
                    <w:div w:id="5712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77252">
      <w:bodyDiv w:val="1"/>
      <w:marLeft w:val="0"/>
      <w:marRight w:val="0"/>
      <w:marTop w:val="0"/>
      <w:marBottom w:val="0"/>
      <w:divBdr>
        <w:top w:val="none" w:sz="0" w:space="0" w:color="auto"/>
        <w:left w:val="none" w:sz="0" w:space="0" w:color="auto"/>
        <w:bottom w:val="none" w:sz="0" w:space="0" w:color="auto"/>
        <w:right w:val="none" w:sz="0" w:space="0" w:color="auto"/>
      </w:divBdr>
      <w:divsChild>
        <w:div w:id="520242291">
          <w:marLeft w:val="0"/>
          <w:marRight w:val="0"/>
          <w:marTop w:val="0"/>
          <w:marBottom w:val="0"/>
          <w:divBdr>
            <w:top w:val="none" w:sz="0" w:space="0" w:color="auto"/>
            <w:left w:val="none" w:sz="0" w:space="0" w:color="auto"/>
            <w:bottom w:val="none" w:sz="0" w:space="0" w:color="auto"/>
            <w:right w:val="none" w:sz="0" w:space="0" w:color="auto"/>
          </w:divBdr>
          <w:divsChild>
            <w:div w:id="1890140809">
              <w:marLeft w:val="0"/>
              <w:marRight w:val="0"/>
              <w:marTop w:val="0"/>
              <w:marBottom w:val="0"/>
              <w:divBdr>
                <w:top w:val="none" w:sz="0" w:space="0" w:color="auto"/>
                <w:left w:val="none" w:sz="0" w:space="0" w:color="auto"/>
                <w:bottom w:val="none" w:sz="0" w:space="0" w:color="auto"/>
                <w:right w:val="none" w:sz="0" w:space="0" w:color="auto"/>
              </w:divBdr>
              <w:divsChild>
                <w:div w:id="285091028">
                  <w:marLeft w:val="0"/>
                  <w:marRight w:val="0"/>
                  <w:marTop w:val="0"/>
                  <w:marBottom w:val="0"/>
                  <w:divBdr>
                    <w:top w:val="none" w:sz="0" w:space="0" w:color="auto"/>
                    <w:left w:val="none" w:sz="0" w:space="0" w:color="auto"/>
                    <w:bottom w:val="none" w:sz="0" w:space="0" w:color="auto"/>
                    <w:right w:val="none" w:sz="0" w:space="0" w:color="auto"/>
                  </w:divBdr>
                  <w:divsChild>
                    <w:div w:id="19622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263280">
      <w:bodyDiv w:val="1"/>
      <w:marLeft w:val="0"/>
      <w:marRight w:val="0"/>
      <w:marTop w:val="0"/>
      <w:marBottom w:val="0"/>
      <w:divBdr>
        <w:top w:val="none" w:sz="0" w:space="0" w:color="auto"/>
        <w:left w:val="none" w:sz="0" w:space="0" w:color="auto"/>
        <w:bottom w:val="none" w:sz="0" w:space="0" w:color="auto"/>
        <w:right w:val="none" w:sz="0" w:space="0" w:color="auto"/>
      </w:divBdr>
      <w:divsChild>
        <w:div w:id="2141803653">
          <w:marLeft w:val="0"/>
          <w:marRight w:val="0"/>
          <w:marTop w:val="0"/>
          <w:marBottom w:val="0"/>
          <w:divBdr>
            <w:top w:val="none" w:sz="0" w:space="0" w:color="auto"/>
            <w:left w:val="none" w:sz="0" w:space="0" w:color="auto"/>
            <w:bottom w:val="none" w:sz="0" w:space="0" w:color="auto"/>
            <w:right w:val="none" w:sz="0" w:space="0" w:color="auto"/>
          </w:divBdr>
          <w:divsChild>
            <w:div w:id="4720480">
              <w:marLeft w:val="0"/>
              <w:marRight w:val="0"/>
              <w:marTop w:val="0"/>
              <w:marBottom w:val="0"/>
              <w:divBdr>
                <w:top w:val="none" w:sz="0" w:space="0" w:color="auto"/>
                <w:left w:val="none" w:sz="0" w:space="0" w:color="auto"/>
                <w:bottom w:val="none" w:sz="0" w:space="0" w:color="auto"/>
                <w:right w:val="none" w:sz="0" w:space="0" w:color="auto"/>
              </w:divBdr>
              <w:divsChild>
                <w:div w:id="131366747">
                  <w:marLeft w:val="0"/>
                  <w:marRight w:val="0"/>
                  <w:marTop w:val="0"/>
                  <w:marBottom w:val="0"/>
                  <w:divBdr>
                    <w:top w:val="none" w:sz="0" w:space="0" w:color="auto"/>
                    <w:left w:val="none" w:sz="0" w:space="0" w:color="auto"/>
                    <w:bottom w:val="none" w:sz="0" w:space="0" w:color="auto"/>
                    <w:right w:val="none" w:sz="0" w:space="0" w:color="auto"/>
                  </w:divBdr>
                  <w:divsChild>
                    <w:div w:id="2343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93382">
      <w:bodyDiv w:val="1"/>
      <w:marLeft w:val="0"/>
      <w:marRight w:val="0"/>
      <w:marTop w:val="0"/>
      <w:marBottom w:val="0"/>
      <w:divBdr>
        <w:top w:val="none" w:sz="0" w:space="0" w:color="auto"/>
        <w:left w:val="none" w:sz="0" w:space="0" w:color="auto"/>
        <w:bottom w:val="none" w:sz="0" w:space="0" w:color="auto"/>
        <w:right w:val="none" w:sz="0" w:space="0" w:color="auto"/>
      </w:divBdr>
      <w:divsChild>
        <w:div w:id="1235428889">
          <w:marLeft w:val="0"/>
          <w:marRight w:val="0"/>
          <w:marTop w:val="0"/>
          <w:marBottom w:val="0"/>
          <w:divBdr>
            <w:top w:val="none" w:sz="0" w:space="0" w:color="auto"/>
            <w:left w:val="none" w:sz="0" w:space="0" w:color="auto"/>
            <w:bottom w:val="none" w:sz="0" w:space="0" w:color="auto"/>
            <w:right w:val="none" w:sz="0" w:space="0" w:color="auto"/>
          </w:divBdr>
          <w:divsChild>
            <w:div w:id="2046439623">
              <w:marLeft w:val="0"/>
              <w:marRight w:val="0"/>
              <w:marTop w:val="0"/>
              <w:marBottom w:val="0"/>
              <w:divBdr>
                <w:top w:val="none" w:sz="0" w:space="0" w:color="auto"/>
                <w:left w:val="none" w:sz="0" w:space="0" w:color="auto"/>
                <w:bottom w:val="none" w:sz="0" w:space="0" w:color="auto"/>
                <w:right w:val="none" w:sz="0" w:space="0" w:color="auto"/>
              </w:divBdr>
              <w:divsChild>
                <w:div w:id="1415782766">
                  <w:marLeft w:val="0"/>
                  <w:marRight w:val="0"/>
                  <w:marTop w:val="0"/>
                  <w:marBottom w:val="0"/>
                  <w:divBdr>
                    <w:top w:val="none" w:sz="0" w:space="0" w:color="auto"/>
                    <w:left w:val="none" w:sz="0" w:space="0" w:color="auto"/>
                    <w:bottom w:val="none" w:sz="0" w:space="0" w:color="auto"/>
                    <w:right w:val="none" w:sz="0" w:space="0" w:color="auto"/>
                  </w:divBdr>
                  <w:divsChild>
                    <w:div w:id="12530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99632">
      <w:bodyDiv w:val="1"/>
      <w:marLeft w:val="0"/>
      <w:marRight w:val="0"/>
      <w:marTop w:val="0"/>
      <w:marBottom w:val="0"/>
      <w:divBdr>
        <w:top w:val="none" w:sz="0" w:space="0" w:color="auto"/>
        <w:left w:val="none" w:sz="0" w:space="0" w:color="auto"/>
        <w:bottom w:val="none" w:sz="0" w:space="0" w:color="auto"/>
        <w:right w:val="none" w:sz="0" w:space="0" w:color="auto"/>
      </w:divBdr>
      <w:divsChild>
        <w:div w:id="210267234">
          <w:marLeft w:val="0"/>
          <w:marRight w:val="0"/>
          <w:marTop w:val="0"/>
          <w:marBottom w:val="0"/>
          <w:divBdr>
            <w:top w:val="none" w:sz="0" w:space="0" w:color="auto"/>
            <w:left w:val="none" w:sz="0" w:space="0" w:color="auto"/>
            <w:bottom w:val="none" w:sz="0" w:space="0" w:color="auto"/>
            <w:right w:val="none" w:sz="0" w:space="0" w:color="auto"/>
          </w:divBdr>
          <w:divsChild>
            <w:div w:id="777679944">
              <w:marLeft w:val="0"/>
              <w:marRight w:val="0"/>
              <w:marTop w:val="0"/>
              <w:marBottom w:val="0"/>
              <w:divBdr>
                <w:top w:val="none" w:sz="0" w:space="0" w:color="auto"/>
                <w:left w:val="none" w:sz="0" w:space="0" w:color="auto"/>
                <w:bottom w:val="none" w:sz="0" w:space="0" w:color="auto"/>
                <w:right w:val="none" w:sz="0" w:space="0" w:color="auto"/>
              </w:divBdr>
              <w:divsChild>
                <w:div w:id="2030138487">
                  <w:marLeft w:val="0"/>
                  <w:marRight w:val="0"/>
                  <w:marTop w:val="0"/>
                  <w:marBottom w:val="0"/>
                  <w:divBdr>
                    <w:top w:val="none" w:sz="0" w:space="0" w:color="auto"/>
                    <w:left w:val="none" w:sz="0" w:space="0" w:color="auto"/>
                    <w:bottom w:val="none" w:sz="0" w:space="0" w:color="auto"/>
                    <w:right w:val="none" w:sz="0" w:space="0" w:color="auto"/>
                  </w:divBdr>
                  <w:divsChild>
                    <w:div w:id="1296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88236">
      <w:bodyDiv w:val="1"/>
      <w:marLeft w:val="0"/>
      <w:marRight w:val="0"/>
      <w:marTop w:val="0"/>
      <w:marBottom w:val="0"/>
      <w:divBdr>
        <w:top w:val="none" w:sz="0" w:space="0" w:color="auto"/>
        <w:left w:val="none" w:sz="0" w:space="0" w:color="auto"/>
        <w:bottom w:val="none" w:sz="0" w:space="0" w:color="auto"/>
        <w:right w:val="none" w:sz="0" w:space="0" w:color="auto"/>
      </w:divBdr>
    </w:div>
    <w:div w:id="450173386">
      <w:bodyDiv w:val="1"/>
      <w:marLeft w:val="0"/>
      <w:marRight w:val="0"/>
      <w:marTop w:val="0"/>
      <w:marBottom w:val="0"/>
      <w:divBdr>
        <w:top w:val="none" w:sz="0" w:space="0" w:color="auto"/>
        <w:left w:val="none" w:sz="0" w:space="0" w:color="auto"/>
        <w:bottom w:val="none" w:sz="0" w:space="0" w:color="auto"/>
        <w:right w:val="none" w:sz="0" w:space="0" w:color="auto"/>
      </w:divBdr>
      <w:divsChild>
        <w:div w:id="358823654">
          <w:marLeft w:val="0"/>
          <w:marRight w:val="0"/>
          <w:marTop w:val="0"/>
          <w:marBottom w:val="0"/>
          <w:divBdr>
            <w:top w:val="none" w:sz="0" w:space="0" w:color="auto"/>
            <w:left w:val="none" w:sz="0" w:space="0" w:color="auto"/>
            <w:bottom w:val="none" w:sz="0" w:space="0" w:color="auto"/>
            <w:right w:val="none" w:sz="0" w:space="0" w:color="auto"/>
          </w:divBdr>
          <w:divsChild>
            <w:div w:id="1487478937">
              <w:marLeft w:val="0"/>
              <w:marRight w:val="0"/>
              <w:marTop w:val="0"/>
              <w:marBottom w:val="0"/>
              <w:divBdr>
                <w:top w:val="none" w:sz="0" w:space="0" w:color="auto"/>
                <w:left w:val="none" w:sz="0" w:space="0" w:color="auto"/>
                <w:bottom w:val="none" w:sz="0" w:space="0" w:color="auto"/>
                <w:right w:val="none" w:sz="0" w:space="0" w:color="auto"/>
              </w:divBdr>
              <w:divsChild>
                <w:div w:id="14710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93161">
      <w:bodyDiv w:val="1"/>
      <w:marLeft w:val="0"/>
      <w:marRight w:val="0"/>
      <w:marTop w:val="0"/>
      <w:marBottom w:val="0"/>
      <w:divBdr>
        <w:top w:val="none" w:sz="0" w:space="0" w:color="auto"/>
        <w:left w:val="none" w:sz="0" w:space="0" w:color="auto"/>
        <w:bottom w:val="none" w:sz="0" w:space="0" w:color="auto"/>
        <w:right w:val="none" w:sz="0" w:space="0" w:color="auto"/>
      </w:divBdr>
      <w:divsChild>
        <w:div w:id="150566134">
          <w:marLeft w:val="0"/>
          <w:marRight w:val="0"/>
          <w:marTop w:val="0"/>
          <w:marBottom w:val="0"/>
          <w:divBdr>
            <w:top w:val="none" w:sz="0" w:space="0" w:color="auto"/>
            <w:left w:val="none" w:sz="0" w:space="0" w:color="auto"/>
            <w:bottom w:val="none" w:sz="0" w:space="0" w:color="auto"/>
            <w:right w:val="none" w:sz="0" w:space="0" w:color="auto"/>
          </w:divBdr>
          <w:divsChild>
            <w:div w:id="1641568516">
              <w:marLeft w:val="0"/>
              <w:marRight w:val="0"/>
              <w:marTop w:val="0"/>
              <w:marBottom w:val="0"/>
              <w:divBdr>
                <w:top w:val="none" w:sz="0" w:space="0" w:color="auto"/>
                <w:left w:val="none" w:sz="0" w:space="0" w:color="auto"/>
                <w:bottom w:val="none" w:sz="0" w:space="0" w:color="auto"/>
                <w:right w:val="none" w:sz="0" w:space="0" w:color="auto"/>
              </w:divBdr>
              <w:divsChild>
                <w:div w:id="15042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45124">
      <w:bodyDiv w:val="1"/>
      <w:marLeft w:val="0"/>
      <w:marRight w:val="0"/>
      <w:marTop w:val="0"/>
      <w:marBottom w:val="0"/>
      <w:divBdr>
        <w:top w:val="none" w:sz="0" w:space="0" w:color="auto"/>
        <w:left w:val="none" w:sz="0" w:space="0" w:color="auto"/>
        <w:bottom w:val="none" w:sz="0" w:space="0" w:color="auto"/>
        <w:right w:val="none" w:sz="0" w:space="0" w:color="auto"/>
      </w:divBdr>
      <w:divsChild>
        <w:div w:id="641618990">
          <w:marLeft w:val="0"/>
          <w:marRight w:val="0"/>
          <w:marTop w:val="0"/>
          <w:marBottom w:val="0"/>
          <w:divBdr>
            <w:top w:val="none" w:sz="0" w:space="0" w:color="auto"/>
            <w:left w:val="none" w:sz="0" w:space="0" w:color="auto"/>
            <w:bottom w:val="none" w:sz="0" w:space="0" w:color="auto"/>
            <w:right w:val="none" w:sz="0" w:space="0" w:color="auto"/>
          </w:divBdr>
          <w:divsChild>
            <w:div w:id="880440653">
              <w:marLeft w:val="0"/>
              <w:marRight w:val="0"/>
              <w:marTop w:val="0"/>
              <w:marBottom w:val="0"/>
              <w:divBdr>
                <w:top w:val="none" w:sz="0" w:space="0" w:color="auto"/>
                <w:left w:val="none" w:sz="0" w:space="0" w:color="auto"/>
                <w:bottom w:val="none" w:sz="0" w:space="0" w:color="auto"/>
                <w:right w:val="none" w:sz="0" w:space="0" w:color="auto"/>
              </w:divBdr>
              <w:divsChild>
                <w:div w:id="913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2733">
      <w:bodyDiv w:val="1"/>
      <w:marLeft w:val="0"/>
      <w:marRight w:val="0"/>
      <w:marTop w:val="0"/>
      <w:marBottom w:val="0"/>
      <w:divBdr>
        <w:top w:val="none" w:sz="0" w:space="0" w:color="auto"/>
        <w:left w:val="none" w:sz="0" w:space="0" w:color="auto"/>
        <w:bottom w:val="none" w:sz="0" w:space="0" w:color="auto"/>
        <w:right w:val="none" w:sz="0" w:space="0" w:color="auto"/>
      </w:divBdr>
      <w:divsChild>
        <w:div w:id="159271688">
          <w:marLeft w:val="0"/>
          <w:marRight w:val="0"/>
          <w:marTop w:val="0"/>
          <w:marBottom w:val="0"/>
          <w:divBdr>
            <w:top w:val="none" w:sz="0" w:space="0" w:color="auto"/>
            <w:left w:val="none" w:sz="0" w:space="0" w:color="auto"/>
            <w:bottom w:val="none" w:sz="0" w:space="0" w:color="auto"/>
            <w:right w:val="none" w:sz="0" w:space="0" w:color="auto"/>
          </w:divBdr>
          <w:divsChild>
            <w:div w:id="932320067">
              <w:marLeft w:val="0"/>
              <w:marRight w:val="0"/>
              <w:marTop w:val="0"/>
              <w:marBottom w:val="0"/>
              <w:divBdr>
                <w:top w:val="none" w:sz="0" w:space="0" w:color="auto"/>
                <w:left w:val="none" w:sz="0" w:space="0" w:color="auto"/>
                <w:bottom w:val="none" w:sz="0" w:space="0" w:color="auto"/>
                <w:right w:val="none" w:sz="0" w:space="0" w:color="auto"/>
              </w:divBdr>
              <w:divsChild>
                <w:div w:id="1126505539">
                  <w:marLeft w:val="0"/>
                  <w:marRight w:val="0"/>
                  <w:marTop w:val="0"/>
                  <w:marBottom w:val="0"/>
                  <w:divBdr>
                    <w:top w:val="none" w:sz="0" w:space="0" w:color="auto"/>
                    <w:left w:val="none" w:sz="0" w:space="0" w:color="auto"/>
                    <w:bottom w:val="none" w:sz="0" w:space="0" w:color="auto"/>
                    <w:right w:val="none" w:sz="0" w:space="0" w:color="auto"/>
                  </w:divBdr>
                  <w:divsChild>
                    <w:div w:id="13134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3552">
      <w:bodyDiv w:val="1"/>
      <w:marLeft w:val="0"/>
      <w:marRight w:val="0"/>
      <w:marTop w:val="0"/>
      <w:marBottom w:val="0"/>
      <w:divBdr>
        <w:top w:val="none" w:sz="0" w:space="0" w:color="auto"/>
        <w:left w:val="none" w:sz="0" w:space="0" w:color="auto"/>
        <w:bottom w:val="none" w:sz="0" w:space="0" w:color="auto"/>
        <w:right w:val="none" w:sz="0" w:space="0" w:color="auto"/>
      </w:divBdr>
      <w:divsChild>
        <w:div w:id="1976720711">
          <w:marLeft w:val="0"/>
          <w:marRight w:val="0"/>
          <w:marTop w:val="0"/>
          <w:marBottom w:val="0"/>
          <w:divBdr>
            <w:top w:val="none" w:sz="0" w:space="0" w:color="auto"/>
            <w:left w:val="none" w:sz="0" w:space="0" w:color="auto"/>
            <w:bottom w:val="none" w:sz="0" w:space="0" w:color="auto"/>
            <w:right w:val="none" w:sz="0" w:space="0" w:color="auto"/>
          </w:divBdr>
          <w:divsChild>
            <w:div w:id="818112282">
              <w:marLeft w:val="0"/>
              <w:marRight w:val="0"/>
              <w:marTop w:val="0"/>
              <w:marBottom w:val="0"/>
              <w:divBdr>
                <w:top w:val="none" w:sz="0" w:space="0" w:color="auto"/>
                <w:left w:val="none" w:sz="0" w:space="0" w:color="auto"/>
                <w:bottom w:val="none" w:sz="0" w:space="0" w:color="auto"/>
                <w:right w:val="none" w:sz="0" w:space="0" w:color="auto"/>
              </w:divBdr>
              <w:divsChild>
                <w:div w:id="1067651234">
                  <w:marLeft w:val="0"/>
                  <w:marRight w:val="0"/>
                  <w:marTop w:val="0"/>
                  <w:marBottom w:val="0"/>
                  <w:divBdr>
                    <w:top w:val="none" w:sz="0" w:space="0" w:color="auto"/>
                    <w:left w:val="none" w:sz="0" w:space="0" w:color="auto"/>
                    <w:bottom w:val="none" w:sz="0" w:space="0" w:color="auto"/>
                    <w:right w:val="none" w:sz="0" w:space="0" w:color="auto"/>
                  </w:divBdr>
                </w:div>
              </w:divsChild>
            </w:div>
            <w:div w:id="1789158902">
              <w:marLeft w:val="0"/>
              <w:marRight w:val="0"/>
              <w:marTop w:val="0"/>
              <w:marBottom w:val="0"/>
              <w:divBdr>
                <w:top w:val="none" w:sz="0" w:space="0" w:color="auto"/>
                <w:left w:val="none" w:sz="0" w:space="0" w:color="auto"/>
                <w:bottom w:val="none" w:sz="0" w:space="0" w:color="auto"/>
                <w:right w:val="none" w:sz="0" w:space="0" w:color="auto"/>
              </w:divBdr>
              <w:divsChild>
                <w:div w:id="5997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4664">
      <w:bodyDiv w:val="1"/>
      <w:marLeft w:val="0"/>
      <w:marRight w:val="0"/>
      <w:marTop w:val="0"/>
      <w:marBottom w:val="0"/>
      <w:divBdr>
        <w:top w:val="none" w:sz="0" w:space="0" w:color="auto"/>
        <w:left w:val="none" w:sz="0" w:space="0" w:color="auto"/>
        <w:bottom w:val="none" w:sz="0" w:space="0" w:color="auto"/>
        <w:right w:val="none" w:sz="0" w:space="0" w:color="auto"/>
      </w:divBdr>
      <w:divsChild>
        <w:div w:id="601181423">
          <w:marLeft w:val="0"/>
          <w:marRight w:val="0"/>
          <w:marTop w:val="0"/>
          <w:marBottom w:val="0"/>
          <w:divBdr>
            <w:top w:val="none" w:sz="0" w:space="0" w:color="auto"/>
            <w:left w:val="none" w:sz="0" w:space="0" w:color="auto"/>
            <w:bottom w:val="none" w:sz="0" w:space="0" w:color="auto"/>
            <w:right w:val="none" w:sz="0" w:space="0" w:color="auto"/>
          </w:divBdr>
          <w:divsChild>
            <w:div w:id="511842944">
              <w:marLeft w:val="0"/>
              <w:marRight w:val="0"/>
              <w:marTop w:val="0"/>
              <w:marBottom w:val="0"/>
              <w:divBdr>
                <w:top w:val="none" w:sz="0" w:space="0" w:color="auto"/>
                <w:left w:val="none" w:sz="0" w:space="0" w:color="auto"/>
                <w:bottom w:val="none" w:sz="0" w:space="0" w:color="auto"/>
                <w:right w:val="none" w:sz="0" w:space="0" w:color="auto"/>
              </w:divBdr>
              <w:divsChild>
                <w:div w:id="278924339">
                  <w:marLeft w:val="0"/>
                  <w:marRight w:val="0"/>
                  <w:marTop w:val="0"/>
                  <w:marBottom w:val="0"/>
                  <w:divBdr>
                    <w:top w:val="none" w:sz="0" w:space="0" w:color="auto"/>
                    <w:left w:val="none" w:sz="0" w:space="0" w:color="auto"/>
                    <w:bottom w:val="none" w:sz="0" w:space="0" w:color="auto"/>
                    <w:right w:val="none" w:sz="0" w:space="0" w:color="auto"/>
                  </w:divBdr>
                  <w:divsChild>
                    <w:div w:id="16408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226967">
      <w:bodyDiv w:val="1"/>
      <w:marLeft w:val="0"/>
      <w:marRight w:val="0"/>
      <w:marTop w:val="0"/>
      <w:marBottom w:val="0"/>
      <w:divBdr>
        <w:top w:val="none" w:sz="0" w:space="0" w:color="auto"/>
        <w:left w:val="none" w:sz="0" w:space="0" w:color="auto"/>
        <w:bottom w:val="none" w:sz="0" w:space="0" w:color="auto"/>
        <w:right w:val="none" w:sz="0" w:space="0" w:color="auto"/>
      </w:divBdr>
      <w:divsChild>
        <w:div w:id="190382468">
          <w:marLeft w:val="0"/>
          <w:marRight w:val="0"/>
          <w:marTop w:val="0"/>
          <w:marBottom w:val="0"/>
          <w:divBdr>
            <w:top w:val="none" w:sz="0" w:space="0" w:color="auto"/>
            <w:left w:val="none" w:sz="0" w:space="0" w:color="auto"/>
            <w:bottom w:val="none" w:sz="0" w:space="0" w:color="auto"/>
            <w:right w:val="none" w:sz="0" w:space="0" w:color="auto"/>
          </w:divBdr>
          <w:divsChild>
            <w:div w:id="996106761">
              <w:marLeft w:val="0"/>
              <w:marRight w:val="0"/>
              <w:marTop w:val="0"/>
              <w:marBottom w:val="0"/>
              <w:divBdr>
                <w:top w:val="none" w:sz="0" w:space="0" w:color="auto"/>
                <w:left w:val="none" w:sz="0" w:space="0" w:color="auto"/>
                <w:bottom w:val="none" w:sz="0" w:space="0" w:color="auto"/>
                <w:right w:val="none" w:sz="0" w:space="0" w:color="auto"/>
              </w:divBdr>
              <w:divsChild>
                <w:div w:id="1930700297">
                  <w:marLeft w:val="0"/>
                  <w:marRight w:val="0"/>
                  <w:marTop w:val="0"/>
                  <w:marBottom w:val="0"/>
                  <w:divBdr>
                    <w:top w:val="none" w:sz="0" w:space="0" w:color="auto"/>
                    <w:left w:val="none" w:sz="0" w:space="0" w:color="auto"/>
                    <w:bottom w:val="none" w:sz="0" w:space="0" w:color="auto"/>
                    <w:right w:val="none" w:sz="0" w:space="0" w:color="auto"/>
                  </w:divBdr>
                  <w:divsChild>
                    <w:div w:id="1317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7710">
      <w:bodyDiv w:val="1"/>
      <w:marLeft w:val="0"/>
      <w:marRight w:val="0"/>
      <w:marTop w:val="0"/>
      <w:marBottom w:val="0"/>
      <w:divBdr>
        <w:top w:val="none" w:sz="0" w:space="0" w:color="auto"/>
        <w:left w:val="none" w:sz="0" w:space="0" w:color="auto"/>
        <w:bottom w:val="none" w:sz="0" w:space="0" w:color="auto"/>
        <w:right w:val="none" w:sz="0" w:space="0" w:color="auto"/>
      </w:divBdr>
      <w:divsChild>
        <w:div w:id="1423532920">
          <w:marLeft w:val="0"/>
          <w:marRight w:val="0"/>
          <w:marTop w:val="0"/>
          <w:marBottom w:val="0"/>
          <w:divBdr>
            <w:top w:val="none" w:sz="0" w:space="0" w:color="auto"/>
            <w:left w:val="none" w:sz="0" w:space="0" w:color="auto"/>
            <w:bottom w:val="none" w:sz="0" w:space="0" w:color="auto"/>
            <w:right w:val="none" w:sz="0" w:space="0" w:color="auto"/>
          </w:divBdr>
          <w:divsChild>
            <w:div w:id="948462978">
              <w:marLeft w:val="0"/>
              <w:marRight w:val="0"/>
              <w:marTop w:val="0"/>
              <w:marBottom w:val="0"/>
              <w:divBdr>
                <w:top w:val="none" w:sz="0" w:space="0" w:color="auto"/>
                <w:left w:val="none" w:sz="0" w:space="0" w:color="auto"/>
                <w:bottom w:val="none" w:sz="0" w:space="0" w:color="auto"/>
                <w:right w:val="none" w:sz="0" w:space="0" w:color="auto"/>
              </w:divBdr>
              <w:divsChild>
                <w:div w:id="1555971661">
                  <w:marLeft w:val="0"/>
                  <w:marRight w:val="0"/>
                  <w:marTop w:val="0"/>
                  <w:marBottom w:val="0"/>
                  <w:divBdr>
                    <w:top w:val="none" w:sz="0" w:space="0" w:color="auto"/>
                    <w:left w:val="none" w:sz="0" w:space="0" w:color="auto"/>
                    <w:bottom w:val="none" w:sz="0" w:space="0" w:color="auto"/>
                    <w:right w:val="none" w:sz="0" w:space="0" w:color="auto"/>
                  </w:divBdr>
                  <w:divsChild>
                    <w:div w:id="5640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1525">
      <w:bodyDiv w:val="1"/>
      <w:marLeft w:val="0"/>
      <w:marRight w:val="0"/>
      <w:marTop w:val="0"/>
      <w:marBottom w:val="0"/>
      <w:divBdr>
        <w:top w:val="none" w:sz="0" w:space="0" w:color="auto"/>
        <w:left w:val="none" w:sz="0" w:space="0" w:color="auto"/>
        <w:bottom w:val="none" w:sz="0" w:space="0" w:color="auto"/>
        <w:right w:val="none" w:sz="0" w:space="0" w:color="auto"/>
      </w:divBdr>
    </w:div>
    <w:div w:id="494228328">
      <w:bodyDiv w:val="1"/>
      <w:marLeft w:val="0"/>
      <w:marRight w:val="0"/>
      <w:marTop w:val="0"/>
      <w:marBottom w:val="0"/>
      <w:divBdr>
        <w:top w:val="none" w:sz="0" w:space="0" w:color="auto"/>
        <w:left w:val="none" w:sz="0" w:space="0" w:color="auto"/>
        <w:bottom w:val="none" w:sz="0" w:space="0" w:color="auto"/>
        <w:right w:val="none" w:sz="0" w:space="0" w:color="auto"/>
      </w:divBdr>
      <w:divsChild>
        <w:div w:id="2112966926">
          <w:marLeft w:val="0"/>
          <w:marRight w:val="0"/>
          <w:marTop w:val="0"/>
          <w:marBottom w:val="0"/>
          <w:divBdr>
            <w:top w:val="none" w:sz="0" w:space="0" w:color="auto"/>
            <w:left w:val="none" w:sz="0" w:space="0" w:color="auto"/>
            <w:bottom w:val="none" w:sz="0" w:space="0" w:color="auto"/>
            <w:right w:val="none" w:sz="0" w:space="0" w:color="auto"/>
          </w:divBdr>
          <w:divsChild>
            <w:div w:id="496699249">
              <w:marLeft w:val="0"/>
              <w:marRight w:val="0"/>
              <w:marTop w:val="0"/>
              <w:marBottom w:val="0"/>
              <w:divBdr>
                <w:top w:val="none" w:sz="0" w:space="0" w:color="auto"/>
                <w:left w:val="none" w:sz="0" w:space="0" w:color="auto"/>
                <w:bottom w:val="none" w:sz="0" w:space="0" w:color="auto"/>
                <w:right w:val="none" w:sz="0" w:space="0" w:color="auto"/>
              </w:divBdr>
              <w:divsChild>
                <w:div w:id="1981955020">
                  <w:marLeft w:val="0"/>
                  <w:marRight w:val="0"/>
                  <w:marTop w:val="0"/>
                  <w:marBottom w:val="0"/>
                  <w:divBdr>
                    <w:top w:val="none" w:sz="0" w:space="0" w:color="auto"/>
                    <w:left w:val="none" w:sz="0" w:space="0" w:color="auto"/>
                    <w:bottom w:val="none" w:sz="0" w:space="0" w:color="auto"/>
                    <w:right w:val="none" w:sz="0" w:space="0" w:color="auto"/>
                  </w:divBdr>
                  <w:divsChild>
                    <w:div w:id="17398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3795">
      <w:bodyDiv w:val="1"/>
      <w:marLeft w:val="0"/>
      <w:marRight w:val="0"/>
      <w:marTop w:val="0"/>
      <w:marBottom w:val="0"/>
      <w:divBdr>
        <w:top w:val="none" w:sz="0" w:space="0" w:color="auto"/>
        <w:left w:val="none" w:sz="0" w:space="0" w:color="auto"/>
        <w:bottom w:val="none" w:sz="0" w:space="0" w:color="auto"/>
        <w:right w:val="none" w:sz="0" w:space="0" w:color="auto"/>
      </w:divBdr>
      <w:divsChild>
        <w:div w:id="790515835">
          <w:marLeft w:val="0"/>
          <w:marRight w:val="0"/>
          <w:marTop w:val="0"/>
          <w:marBottom w:val="0"/>
          <w:divBdr>
            <w:top w:val="none" w:sz="0" w:space="0" w:color="auto"/>
            <w:left w:val="none" w:sz="0" w:space="0" w:color="auto"/>
            <w:bottom w:val="none" w:sz="0" w:space="0" w:color="auto"/>
            <w:right w:val="none" w:sz="0" w:space="0" w:color="auto"/>
          </w:divBdr>
          <w:divsChild>
            <w:div w:id="279919651">
              <w:marLeft w:val="0"/>
              <w:marRight w:val="0"/>
              <w:marTop w:val="0"/>
              <w:marBottom w:val="0"/>
              <w:divBdr>
                <w:top w:val="none" w:sz="0" w:space="0" w:color="auto"/>
                <w:left w:val="none" w:sz="0" w:space="0" w:color="auto"/>
                <w:bottom w:val="none" w:sz="0" w:space="0" w:color="auto"/>
                <w:right w:val="none" w:sz="0" w:space="0" w:color="auto"/>
              </w:divBdr>
              <w:divsChild>
                <w:div w:id="79566696">
                  <w:marLeft w:val="0"/>
                  <w:marRight w:val="0"/>
                  <w:marTop w:val="0"/>
                  <w:marBottom w:val="0"/>
                  <w:divBdr>
                    <w:top w:val="none" w:sz="0" w:space="0" w:color="auto"/>
                    <w:left w:val="none" w:sz="0" w:space="0" w:color="auto"/>
                    <w:bottom w:val="none" w:sz="0" w:space="0" w:color="auto"/>
                    <w:right w:val="none" w:sz="0" w:space="0" w:color="auto"/>
                  </w:divBdr>
                  <w:divsChild>
                    <w:div w:id="1332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01895">
      <w:bodyDiv w:val="1"/>
      <w:marLeft w:val="0"/>
      <w:marRight w:val="0"/>
      <w:marTop w:val="0"/>
      <w:marBottom w:val="0"/>
      <w:divBdr>
        <w:top w:val="none" w:sz="0" w:space="0" w:color="auto"/>
        <w:left w:val="none" w:sz="0" w:space="0" w:color="auto"/>
        <w:bottom w:val="none" w:sz="0" w:space="0" w:color="auto"/>
        <w:right w:val="none" w:sz="0" w:space="0" w:color="auto"/>
      </w:divBdr>
      <w:divsChild>
        <w:div w:id="1717661951">
          <w:marLeft w:val="0"/>
          <w:marRight w:val="0"/>
          <w:marTop w:val="0"/>
          <w:marBottom w:val="0"/>
          <w:divBdr>
            <w:top w:val="none" w:sz="0" w:space="0" w:color="auto"/>
            <w:left w:val="none" w:sz="0" w:space="0" w:color="auto"/>
            <w:bottom w:val="none" w:sz="0" w:space="0" w:color="auto"/>
            <w:right w:val="none" w:sz="0" w:space="0" w:color="auto"/>
          </w:divBdr>
          <w:divsChild>
            <w:div w:id="1748455025">
              <w:marLeft w:val="0"/>
              <w:marRight w:val="0"/>
              <w:marTop w:val="0"/>
              <w:marBottom w:val="0"/>
              <w:divBdr>
                <w:top w:val="none" w:sz="0" w:space="0" w:color="auto"/>
                <w:left w:val="none" w:sz="0" w:space="0" w:color="auto"/>
                <w:bottom w:val="none" w:sz="0" w:space="0" w:color="auto"/>
                <w:right w:val="none" w:sz="0" w:space="0" w:color="auto"/>
              </w:divBdr>
              <w:divsChild>
                <w:div w:id="1405955385">
                  <w:marLeft w:val="0"/>
                  <w:marRight w:val="0"/>
                  <w:marTop w:val="0"/>
                  <w:marBottom w:val="0"/>
                  <w:divBdr>
                    <w:top w:val="none" w:sz="0" w:space="0" w:color="auto"/>
                    <w:left w:val="none" w:sz="0" w:space="0" w:color="auto"/>
                    <w:bottom w:val="none" w:sz="0" w:space="0" w:color="auto"/>
                    <w:right w:val="none" w:sz="0" w:space="0" w:color="auto"/>
                  </w:divBdr>
                  <w:divsChild>
                    <w:div w:id="16059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870174">
      <w:bodyDiv w:val="1"/>
      <w:marLeft w:val="0"/>
      <w:marRight w:val="0"/>
      <w:marTop w:val="0"/>
      <w:marBottom w:val="0"/>
      <w:divBdr>
        <w:top w:val="none" w:sz="0" w:space="0" w:color="auto"/>
        <w:left w:val="none" w:sz="0" w:space="0" w:color="auto"/>
        <w:bottom w:val="none" w:sz="0" w:space="0" w:color="auto"/>
        <w:right w:val="none" w:sz="0" w:space="0" w:color="auto"/>
      </w:divBdr>
      <w:divsChild>
        <w:div w:id="1787920327">
          <w:marLeft w:val="0"/>
          <w:marRight w:val="0"/>
          <w:marTop w:val="0"/>
          <w:marBottom w:val="0"/>
          <w:divBdr>
            <w:top w:val="none" w:sz="0" w:space="0" w:color="auto"/>
            <w:left w:val="none" w:sz="0" w:space="0" w:color="auto"/>
            <w:bottom w:val="none" w:sz="0" w:space="0" w:color="auto"/>
            <w:right w:val="none" w:sz="0" w:space="0" w:color="auto"/>
          </w:divBdr>
          <w:divsChild>
            <w:div w:id="1667434579">
              <w:marLeft w:val="0"/>
              <w:marRight w:val="0"/>
              <w:marTop w:val="0"/>
              <w:marBottom w:val="0"/>
              <w:divBdr>
                <w:top w:val="none" w:sz="0" w:space="0" w:color="auto"/>
                <w:left w:val="none" w:sz="0" w:space="0" w:color="auto"/>
                <w:bottom w:val="none" w:sz="0" w:space="0" w:color="auto"/>
                <w:right w:val="none" w:sz="0" w:space="0" w:color="auto"/>
              </w:divBdr>
              <w:divsChild>
                <w:div w:id="1717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6162">
      <w:bodyDiv w:val="1"/>
      <w:marLeft w:val="0"/>
      <w:marRight w:val="0"/>
      <w:marTop w:val="0"/>
      <w:marBottom w:val="0"/>
      <w:divBdr>
        <w:top w:val="none" w:sz="0" w:space="0" w:color="auto"/>
        <w:left w:val="none" w:sz="0" w:space="0" w:color="auto"/>
        <w:bottom w:val="none" w:sz="0" w:space="0" w:color="auto"/>
        <w:right w:val="none" w:sz="0" w:space="0" w:color="auto"/>
      </w:divBdr>
      <w:divsChild>
        <w:div w:id="1179277659">
          <w:marLeft w:val="0"/>
          <w:marRight w:val="0"/>
          <w:marTop w:val="0"/>
          <w:marBottom w:val="0"/>
          <w:divBdr>
            <w:top w:val="none" w:sz="0" w:space="0" w:color="auto"/>
            <w:left w:val="none" w:sz="0" w:space="0" w:color="auto"/>
            <w:bottom w:val="none" w:sz="0" w:space="0" w:color="auto"/>
            <w:right w:val="none" w:sz="0" w:space="0" w:color="auto"/>
          </w:divBdr>
          <w:divsChild>
            <w:div w:id="540554822">
              <w:marLeft w:val="0"/>
              <w:marRight w:val="0"/>
              <w:marTop w:val="0"/>
              <w:marBottom w:val="0"/>
              <w:divBdr>
                <w:top w:val="none" w:sz="0" w:space="0" w:color="auto"/>
                <w:left w:val="none" w:sz="0" w:space="0" w:color="auto"/>
                <w:bottom w:val="none" w:sz="0" w:space="0" w:color="auto"/>
                <w:right w:val="none" w:sz="0" w:space="0" w:color="auto"/>
              </w:divBdr>
              <w:divsChild>
                <w:div w:id="281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4481">
      <w:bodyDiv w:val="1"/>
      <w:marLeft w:val="0"/>
      <w:marRight w:val="0"/>
      <w:marTop w:val="0"/>
      <w:marBottom w:val="0"/>
      <w:divBdr>
        <w:top w:val="none" w:sz="0" w:space="0" w:color="auto"/>
        <w:left w:val="none" w:sz="0" w:space="0" w:color="auto"/>
        <w:bottom w:val="none" w:sz="0" w:space="0" w:color="auto"/>
        <w:right w:val="none" w:sz="0" w:space="0" w:color="auto"/>
      </w:divBdr>
    </w:div>
    <w:div w:id="528369988">
      <w:bodyDiv w:val="1"/>
      <w:marLeft w:val="0"/>
      <w:marRight w:val="0"/>
      <w:marTop w:val="0"/>
      <w:marBottom w:val="0"/>
      <w:divBdr>
        <w:top w:val="none" w:sz="0" w:space="0" w:color="auto"/>
        <w:left w:val="none" w:sz="0" w:space="0" w:color="auto"/>
        <w:bottom w:val="none" w:sz="0" w:space="0" w:color="auto"/>
        <w:right w:val="none" w:sz="0" w:space="0" w:color="auto"/>
      </w:divBdr>
      <w:divsChild>
        <w:div w:id="942301191">
          <w:marLeft w:val="0"/>
          <w:marRight w:val="0"/>
          <w:marTop w:val="0"/>
          <w:marBottom w:val="0"/>
          <w:divBdr>
            <w:top w:val="none" w:sz="0" w:space="0" w:color="auto"/>
            <w:left w:val="none" w:sz="0" w:space="0" w:color="auto"/>
            <w:bottom w:val="none" w:sz="0" w:space="0" w:color="auto"/>
            <w:right w:val="none" w:sz="0" w:space="0" w:color="auto"/>
          </w:divBdr>
          <w:divsChild>
            <w:div w:id="1030061943">
              <w:marLeft w:val="0"/>
              <w:marRight w:val="0"/>
              <w:marTop w:val="0"/>
              <w:marBottom w:val="0"/>
              <w:divBdr>
                <w:top w:val="none" w:sz="0" w:space="0" w:color="auto"/>
                <w:left w:val="none" w:sz="0" w:space="0" w:color="auto"/>
                <w:bottom w:val="none" w:sz="0" w:space="0" w:color="auto"/>
                <w:right w:val="none" w:sz="0" w:space="0" w:color="auto"/>
              </w:divBdr>
              <w:divsChild>
                <w:div w:id="1578974707">
                  <w:marLeft w:val="0"/>
                  <w:marRight w:val="0"/>
                  <w:marTop w:val="0"/>
                  <w:marBottom w:val="0"/>
                  <w:divBdr>
                    <w:top w:val="none" w:sz="0" w:space="0" w:color="auto"/>
                    <w:left w:val="none" w:sz="0" w:space="0" w:color="auto"/>
                    <w:bottom w:val="none" w:sz="0" w:space="0" w:color="auto"/>
                    <w:right w:val="none" w:sz="0" w:space="0" w:color="auto"/>
                  </w:divBdr>
                  <w:divsChild>
                    <w:div w:id="6567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2110">
      <w:bodyDiv w:val="1"/>
      <w:marLeft w:val="0"/>
      <w:marRight w:val="0"/>
      <w:marTop w:val="0"/>
      <w:marBottom w:val="0"/>
      <w:divBdr>
        <w:top w:val="none" w:sz="0" w:space="0" w:color="auto"/>
        <w:left w:val="none" w:sz="0" w:space="0" w:color="auto"/>
        <w:bottom w:val="none" w:sz="0" w:space="0" w:color="auto"/>
        <w:right w:val="none" w:sz="0" w:space="0" w:color="auto"/>
      </w:divBdr>
      <w:divsChild>
        <w:div w:id="1600019023">
          <w:marLeft w:val="0"/>
          <w:marRight w:val="0"/>
          <w:marTop w:val="0"/>
          <w:marBottom w:val="0"/>
          <w:divBdr>
            <w:top w:val="none" w:sz="0" w:space="0" w:color="auto"/>
            <w:left w:val="none" w:sz="0" w:space="0" w:color="auto"/>
            <w:bottom w:val="none" w:sz="0" w:space="0" w:color="auto"/>
            <w:right w:val="none" w:sz="0" w:space="0" w:color="auto"/>
          </w:divBdr>
          <w:divsChild>
            <w:div w:id="1790539910">
              <w:marLeft w:val="0"/>
              <w:marRight w:val="0"/>
              <w:marTop w:val="0"/>
              <w:marBottom w:val="0"/>
              <w:divBdr>
                <w:top w:val="none" w:sz="0" w:space="0" w:color="auto"/>
                <w:left w:val="none" w:sz="0" w:space="0" w:color="auto"/>
                <w:bottom w:val="none" w:sz="0" w:space="0" w:color="auto"/>
                <w:right w:val="none" w:sz="0" w:space="0" w:color="auto"/>
              </w:divBdr>
              <w:divsChild>
                <w:div w:id="10633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01037">
      <w:bodyDiv w:val="1"/>
      <w:marLeft w:val="0"/>
      <w:marRight w:val="0"/>
      <w:marTop w:val="0"/>
      <w:marBottom w:val="0"/>
      <w:divBdr>
        <w:top w:val="none" w:sz="0" w:space="0" w:color="auto"/>
        <w:left w:val="none" w:sz="0" w:space="0" w:color="auto"/>
        <w:bottom w:val="none" w:sz="0" w:space="0" w:color="auto"/>
        <w:right w:val="none" w:sz="0" w:space="0" w:color="auto"/>
      </w:divBdr>
    </w:div>
    <w:div w:id="549732217">
      <w:bodyDiv w:val="1"/>
      <w:marLeft w:val="0"/>
      <w:marRight w:val="0"/>
      <w:marTop w:val="0"/>
      <w:marBottom w:val="0"/>
      <w:divBdr>
        <w:top w:val="none" w:sz="0" w:space="0" w:color="auto"/>
        <w:left w:val="none" w:sz="0" w:space="0" w:color="auto"/>
        <w:bottom w:val="none" w:sz="0" w:space="0" w:color="auto"/>
        <w:right w:val="none" w:sz="0" w:space="0" w:color="auto"/>
      </w:divBdr>
      <w:divsChild>
        <w:div w:id="1075397114">
          <w:marLeft w:val="0"/>
          <w:marRight w:val="0"/>
          <w:marTop w:val="0"/>
          <w:marBottom w:val="0"/>
          <w:divBdr>
            <w:top w:val="none" w:sz="0" w:space="0" w:color="auto"/>
            <w:left w:val="none" w:sz="0" w:space="0" w:color="auto"/>
            <w:bottom w:val="none" w:sz="0" w:space="0" w:color="auto"/>
            <w:right w:val="none" w:sz="0" w:space="0" w:color="auto"/>
          </w:divBdr>
          <w:divsChild>
            <w:div w:id="236205969">
              <w:marLeft w:val="0"/>
              <w:marRight w:val="0"/>
              <w:marTop w:val="0"/>
              <w:marBottom w:val="0"/>
              <w:divBdr>
                <w:top w:val="none" w:sz="0" w:space="0" w:color="auto"/>
                <w:left w:val="none" w:sz="0" w:space="0" w:color="auto"/>
                <w:bottom w:val="none" w:sz="0" w:space="0" w:color="auto"/>
                <w:right w:val="none" w:sz="0" w:space="0" w:color="auto"/>
              </w:divBdr>
              <w:divsChild>
                <w:div w:id="2023042699">
                  <w:marLeft w:val="0"/>
                  <w:marRight w:val="0"/>
                  <w:marTop w:val="0"/>
                  <w:marBottom w:val="0"/>
                  <w:divBdr>
                    <w:top w:val="none" w:sz="0" w:space="0" w:color="auto"/>
                    <w:left w:val="none" w:sz="0" w:space="0" w:color="auto"/>
                    <w:bottom w:val="none" w:sz="0" w:space="0" w:color="auto"/>
                    <w:right w:val="none" w:sz="0" w:space="0" w:color="auto"/>
                  </w:divBdr>
                  <w:divsChild>
                    <w:div w:id="23143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429981">
      <w:bodyDiv w:val="1"/>
      <w:marLeft w:val="0"/>
      <w:marRight w:val="0"/>
      <w:marTop w:val="0"/>
      <w:marBottom w:val="0"/>
      <w:divBdr>
        <w:top w:val="none" w:sz="0" w:space="0" w:color="auto"/>
        <w:left w:val="none" w:sz="0" w:space="0" w:color="auto"/>
        <w:bottom w:val="none" w:sz="0" w:space="0" w:color="auto"/>
        <w:right w:val="none" w:sz="0" w:space="0" w:color="auto"/>
      </w:divBdr>
      <w:divsChild>
        <w:div w:id="2018537214">
          <w:marLeft w:val="0"/>
          <w:marRight w:val="0"/>
          <w:marTop w:val="0"/>
          <w:marBottom w:val="0"/>
          <w:divBdr>
            <w:top w:val="none" w:sz="0" w:space="0" w:color="auto"/>
            <w:left w:val="none" w:sz="0" w:space="0" w:color="auto"/>
            <w:bottom w:val="none" w:sz="0" w:space="0" w:color="auto"/>
            <w:right w:val="none" w:sz="0" w:space="0" w:color="auto"/>
          </w:divBdr>
          <w:divsChild>
            <w:div w:id="719015301">
              <w:marLeft w:val="0"/>
              <w:marRight w:val="0"/>
              <w:marTop w:val="0"/>
              <w:marBottom w:val="0"/>
              <w:divBdr>
                <w:top w:val="none" w:sz="0" w:space="0" w:color="auto"/>
                <w:left w:val="none" w:sz="0" w:space="0" w:color="auto"/>
                <w:bottom w:val="none" w:sz="0" w:space="0" w:color="auto"/>
                <w:right w:val="none" w:sz="0" w:space="0" w:color="auto"/>
              </w:divBdr>
              <w:divsChild>
                <w:div w:id="1147940585">
                  <w:marLeft w:val="0"/>
                  <w:marRight w:val="0"/>
                  <w:marTop w:val="0"/>
                  <w:marBottom w:val="0"/>
                  <w:divBdr>
                    <w:top w:val="none" w:sz="0" w:space="0" w:color="auto"/>
                    <w:left w:val="none" w:sz="0" w:space="0" w:color="auto"/>
                    <w:bottom w:val="none" w:sz="0" w:space="0" w:color="auto"/>
                    <w:right w:val="none" w:sz="0" w:space="0" w:color="auto"/>
                  </w:divBdr>
                  <w:divsChild>
                    <w:div w:id="15808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065856">
      <w:bodyDiv w:val="1"/>
      <w:marLeft w:val="0"/>
      <w:marRight w:val="0"/>
      <w:marTop w:val="0"/>
      <w:marBottom w:val="0"/>
      <w:divBdr>
        <w:top w:val="none" w:sz="0" w:space="0" w:color="auto"/>
        <w:left w:val="none" w:sz="0" w:space="0" w:color="auto"/>
        <w:bottom w:val="none" w:sz="0" w:space="0" w:color="auto"/>
        <w:right w:val="none" w:sz="0" w:space="0" w:color="auto"/>
      </w:divBdr>
      <w:divsChild>
        <w:div w:id="875897799">
          <w:marLeft w:val="0"/>
          <w:marRight w:val="0"/>
          <w:marTop w:val="0"/>
          <w:marBottom w:val="0"/>
          <w:divBdr>
            <w:top w:val="none" w:sz="0" w:space="0" w:color="auto"/>
            <w:left w:val="none" w:sz="0" w:space="0" w:color="auto"/>
            <w:bottom w:val="none" w:sz="0" w:space="0" w:color="auto"/>
            <w:right w:val="none" w:sz="0" w:space="0" w:color="auto"/>
          </w:divBdr>
          <w:divsChild>
            <w:div w:id="930429480">
              <w:marLeft w:val="0"/>
              <w:marRight w:val="0"/>
              <w:marTop w:val="0"/>
              <w:marBottom w:val="0"/>
              <w:divBdr>
                <w:top w:val="none" w:sz="0" w:space="0" w:color="auto"/>
                <w:left w:val="none" w:sz="0" w:space="0" w:color="auto"/>
                <w:bottom w:val="none" w:sz="0" w:space="0" w:color="auto"/>
                <w:right w:val="none" w:sz="0" w:space="0" w:color="auto"/>
              </w:divBdr>
              <w:divsChild>
                <w:div w:id="5824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3617">
      <w:bodyDiv w:val="1"/>
      <w:marLeft w:val="0"/>
      <w:marRight w:val="0"/>
      <w:marTop w:val="0"/>
      <w:marBottom w:val="0"/>
      <w:divBdr>
        <w:top w:val="none" w:sz="0" w:space="0" w:color="auto"/>
        <w:left w:val="none" w:sz="0" w:space="0" w:color="auto"/>
        <w:bottom w:val="none" w:sz="0" w:space="0" w:color="auto"/>
        <w:right w:val="none" w:sz="0" w:space="0" w:color="auto"/>
      </w:divBdr>
      <w:divsChild>
        <w:div w:id="118302717">
          <w:marLeft w:val="0"/>
          <w:marRight w:val="0"/>
          <w:marTop w:val="0"/>
          <w:marBottom w:val="0"/>
          <w:divBdr>
            <w:top w:val="none" w:sz="0" w:space="0" w:color="auto"/>
            <w:left w:val="none" w:sz="0" w:space="0" w:color="auto"/>
            <w:bottom w:val="none" w:sz="0" w:space="0" w:color="auto"/>
            <w:right w:val="none" w:sz="0" w:space="0" w:color="auto"/>
          </w:divBdr>
          <w:divsChild>
            <w:div w:id="531114997">
              <w:marLeft w:val="0"/>
              <w:marRight w:val="0"/>
              <w:marTop w:val="0"/>
              <w:marBottom w:val="0"/>
              <w:divBdr>
                <w:top w:val="none" w:sz="0" w:space="0" w:color="auto"/>
                <w:left w:val="none" w:sz="0" w:space="0" w:color="auto"/>
                <w:bottom w:val="none" w:sz="0" w:space="0" w:color="auto"/>
                <w:right w:val="none" w:sz="0" w:space="0" w:color="auto"/>
              </w:divBdr>
              <w:divsChild>
                <w:div w:id="51778762">
                  <w:marLeft w:val="0"/>
                  <w:marRight w:val="0"/>
                  <w:marTop w:val="0"/>
                  <w:marBottom w:val="0"/>
                  <w:divBdr>
                    <w:top w:val="none" w:sz="0" w:space="0" w:color="auto"/>
                    <w:left w:val="none" w:sz="0" w:space="0" w:color="auto"/>
                    <w:bottom w:val="none" w:sz="0" w:space="0" w:color="auto"/>
                    <w:right w:val="none" w:sz="0" w:space="0" w:color="auto"/>
                  </w:divBdr>
                </w:div>
              </w:divsChild>
            </w:div>
            <w:div w:id="1037461782">
              <w:marLeft w:val="0"/>
              <w:marRight w:val="0"/>
              <w:marTop w:val="0"/>
              <w:marBottom w:val="0"/>
              <w:divBdr>
                <w:top w:val="none" w:sz="0" w:space="0" w:color="auto"/>
                <w:left w:val="none" w:sz="0" w:space="0" w:color="auto"/>
                <w:bottom w:val="none" w:sz="0" w:space="0" w:color="auto"/>
                <w:right w:val="none" w:sz="0" w:space="0" w:color="auto"/>
              </w:divBdr>
              <w:divsChild>
                <w:div w:id="503325400">
                  <w:marLeft w:val="0"/>
                  <w:marRight w:val="0"/>
                  <w:marTop w:val="0"/>
                  <w:marBottom w:val="0"/>
                  <w:divBdr>
                    <w:top w:val="none" w:sz="0" w:space="0" w:color="auto"/>
                    <w:left w:val="none" w:sz="0" w:space="0" w:color="auto"/>
                    <w:bottom w:val="none" w:sz="0" w:space="0" w:color="auto"/>
                    <w:right w:val="none" w:sz="0" w:space="0" w:color="auto"/>
                  </w:divBdr>
                </w:div>
              </w:divsChild>
            </w:div>
            <w:div w:id="1494175096">
              <w:marLeft w:val="0"/>
              <w:marRight w:val="0"/>
              <w:marTop w:val="0"/>
              <w:marBottom w:val="0"/>
              <w:divBdr>
                <w:top w:val="none" w:sz="0" w:space="0" w:color="auto"/>
                <w:left w:val="none" w:sz="0" w:space="0" w:color="auto"/>
                <w:bottom w:val="none" w:sz="0" w:space="0" w:color="auto"/>
                <w:right w:val="none" w:sz="0" w:space="0" w:color="auto"/>
              </w:divBdr>
              <w:divsChild>
                <w:div w:id="108665323">
                  <w:marLeft w:val="0"/>
                  <w:marRight w:val="0"/>
                  <w:marTop w:val="0"/>
                  <w:marBottom w:val="0"/>
                  <w:divBdr>
                    <w:top w:val="none" w:sz="0" w:space="0" w:color="auto"/>
                    <w:left w:val="none" w:sz="0" w:space="0" w:color="auto"/>
                    <w:bottom w:val="none" w:sz="0" w:space="0" w:color="auto"/>
                    <w:right w:val="none" w:sz="0" w:space="0" w:color="auto"/>
                  </w:divBdr>
                </w:div>
              </w:divsChild>
            </w:div>
            <w:div w:id="1663121248">
              <w:marLeft w:val="0"/>
              <w:marRight w:val="0"/>
              <w:marTop w:val="0"/>
              <w:marBottom w:val="0"/>
              <w:divBdr>
                <w:top w:val="none" w:sz="0" w:space="0" w:color="auto"/>
                <w:left w:val="none" w:sz="0" w:space="0" w:color="auto"/>
                <w:bottom w:val="none" w:sz="0" w:space="0" w:color="auto"/>
                <w:right w:val="none" w:sz="0" w:space="0" w:color="auto"/>
              </w:divBdr>
              <w:divsChild>
                <w:div w:id="89742634">
                  <w:marLeft w:val="0"/>
                  <w:marRight w:val="0"/>
                  <w:marTop w:val="0"/>
                  <w:marBottom w:val="0"/>
                  <w:divBdr>
                    <w:top w:val="none" w:sz="0" w:space="0" w:color="auto"/>
                    <w:left w:val="none" w:sz="0" w:space="0" w:color="auto"/>
                    <w:bottom w:val="none" w:sz="0" w:space="0" w:color="auto"/>
                    <w:right w:val="none" w:sz="0" w:space="0" w:color="auto"/>
                  </w:divBdr>
                  <w:divsChild>
                    <w:div w:id="2051757139">
                      <w:marLeft w:val="0"/>
                      <w:marRight w:val="0"/>
                      <w:marTop w:val="0"/>
                      <w:marBottom w:val="0"/>
                      <w:divBdr>
                        <w:top w:val="none" w:sz="0" w:space="0" w:color="auto"/>
                        <w:left w:val="none" w:sz="0" w:space="0" w:color="auto"/>
                        <w:bottom w:val="none" w:sz="0" w:space="0" w:color="auto"/>
                        <w:right w:val="none" w:sz="0" w:space="0" w:color="auto"/>
                      </w:divBdr>
                    </w:div>
                  </w:divsChild>
                </w:div>
                <w:div w:id="677386948">
                  <w:marLeft w:val="0"/>
                  <w:marRight w:val="0"/>
                  <w:marTop w:val="0"/>
                  <w:marBottom w:val="0"/>
                  <w:divBdr>
                    <w:top w:val="none" w:sz="0" w:space="0" w:color="auto"/>
                    <w:left w:val="none" w:sz="0" w:space="0" w:color="auto"/>
                    <w:bottom w:val="none" w:sz="0" w:space="0" w:color="auto"/>
                    <w:right w:val="none" w:sz="0" w:space="0" w:color="auto"/>
                  </w:divBdr>
                  <w:divsChild>
                    <w:div w:id="788166111">
                      <w:marLeft w:val="0"/>
                      <w:marRight w:val="0"/>
                      <w:marTop w:val="0"/>
                      <w:marBottom w:val="0"/>
                      <w:divBdr>
                        <w:top w:val="none" w:sz="0" w:space="0" w:color="auto"/>
                        <w:left w:val="none" w:sz="0" w:space="0" w:color="auto"/>
                        <w:bottom w:val="none" w:sz="0" w:space="0" w:color="auto"/>
                        <w:right w:val="none" w:sz="0" w:space="0" w:color="auto"/>
                      </w:divBdr>
                    </w:div>
                  </w:divsChild>
                </w:div>
                <w:div w:id="801532734">
                  <w:marLeft w:val="0"/>
                  <w:marRight w:val="0"/>
                  <w:marTop w:val="0"/>
                  <w:marBottom w:val="0"/>
                  <w:divBdr>
                    <w:top w:val="none" w:sz="0" w:space="0" w:color="auto"/>
                    <w:left w:val="none" w:sz="0" w:space="0" w:color="auto"/>
                    <w:bottom w:val="none" w:sz="0" w:space="0" w:color="auto"/>
                    <w:right w:val="none" w:sz="0" w:space="0" w:color="auto"/>
                  </w:divBdr>
                  <w:divsChild>
                    <w:div w:id="1175999285">
                      <w:marLeft w:val="0"/>
                      <w:marRight w:val="0"/>
                      <w:marTop w:val="0"/>
                      <w:marBottom w:val="0"/>
                      <w:divBdr>
                        <w:top w:val="none" w:sz="0" w:space="0" w:color="auto"/>
                        <w:left w:val="none" w:sz="0" w:space="0" w:color="auto"/>
                        <w:bottom w:val="none" w:sz="0" w:space="0" w:color="auto"/>
                        <w:right w:val="none" w:sz="0" w:space="0" w:color="auto"/>
                      </w:divBdr>
                    </w:div>
                  </w:divsChild>
                </w:div>
                <w:div w:id="933168693">
                  <w:marLeft w:val="0"/>
                  <w:marRight w:val="0"/>
                  <w:marTop w:val="0"/>
                  <w:marBottom w:val="0"/>
                  <w:divBdr>
                    <w:top w:val="none" w:sz="0" w:space="0" w:color="auto"/>
                    <w:left w:val="none" w:sz="0" w:space="0" w:color="auto"/>
                    <w:bottom w:val="none" w:sz="0" w:space="0" w:color="auto"/>
                    <w:right w:val="none" w:sz="0" w:space="0" w:color="auto"/>
                  </w:divBdr>
                  <w:divsChild>
                    <w:div w:id="133960029">
                      <w:marLeft w:val="0"/>
                      <w:marRight w:val="0"/>
                      <w:marTop w:val="0"/>
                      <w:marBottom w:val="0"/>
                      <w:divBdr>
                        <w:top w:val="none" w:sz="0" w:space="0" w:color="auto"/>
                        <w:left w:val="none" w:sz="0" w:space="0" w:color="auto"/>
                        <w:bottom w:val="none" w:sz="0" w:space="0" w:color="auto"/>
                        <w:right w:val="none" w:sz="0" w:space="0" w:color="auto"/>
                      </w:divBdr>
                    </w:div>
                  </w:divsChild>
                </w:div>
                <w:div w:id="950429046">
                  <w:marLeft w:val="0"/>
                  <w:marRight w:val="0"/>
                  <w:marTop w:val="0"/>
                  <w:marBottom w:val="0"/>
                  <w:divBdr>
                    <w:top w:val="none" w:sz="0" w:space="0" w:color="auto"/>
                    <w:left w:val="none" w:sz="0" w:space="0" w:color="auto"/>
                    <w:bottom w:val="none" w:sz="0" w:space="0" w:color="auto"/>
                    <w:right w:val="none" w:sz="0" w:space="0" w:color="auto"/>
                  </w:divBdr>
                  <w:divsChild>
                    <w:div w:id="1237976389">
                      <w:marLeft w:val="0"/>
                      <w:marRight w:val="0"/>
                      <w:marTop w:val="0"/>
                      <w:marBottom w:val="0"/>
                      <w:divBdr>
                        <w:top w:val="none" w:sz="0" w:space="0" w:color="auto"/>
                        <w:left w:val="none" w:sz="0" w:space="0" w:color="auto"/>
                        <w:bottom w:val="none" w:sz="0" w:space="0" w:color="auto"/>
                        <w:right w:val="none" w:sz="0" w:space="0" w:color="auto"/>
                      </w:divBdr>
                    </w:div>
                  </w:divsChild>
                </w:div>
                <w:div w:id="1384329107">
                  <w:marLeft w:val="0"/>
                  <w:marRight w:val="0"/>
                  <w:marTop w:val="0"/>
                  <w:marBottom w:val="0"/>
                  <w:divBdr>
                    <w:top w:val="none" w:sz="0" w:space="0" w:color="auto"/>
                    <w:left w:val="none" w:sz="0" w:space="0" w:color="auto"/>
                    <w:bottom w:val="none" w:sz="0" w:space="0" w:color="auto"/>
                    <w:right w:val="none" w:sz="0" w:space="0" w:color="auto"/>
                  </w:divBdr>
                  <w:divsChild>
                    <w:div w:id="7466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073125">
      <w:bodyDiv w:val="1"/>
      <w:marLeft w:val="0"/>
      <w:marRight w:val="0"/>
      <w:marTop w:val="0"/>
      <w:marBottom w:val="0"/>
      <w:divBdr>
        <w:top w:val="none" w:sz="0" w:space="0" w:color="auto"/>
        <w:left w:val="none" w:sz="0" w:space="0" w:color="auto"/>
        <w:bottom w:val="none" w:sz="0" w:space="0" w:color="auto"/>
        <w:right w:val="none" w:sz="0" w:space="0" w:color="auto"/>
      </w:divBdr>
      <w:divsChild>
        <w:div w:id="1220941236">
          <w:marLeft w:val="0"/>
          <w:marRight w:val="0"/>
          <w:marTop w:val="0"/>
          <w:marBottom w:val="0"/>
          <w:divBdr>
            <w:top w:val="none" w:sz="0" w:space="0" w:color="auto"/>
            <w:left w:val="none" w:sz="0" w:space="0" w:color="auto"/>
            <w:bottom w:val="none" w:sz="0" w:space="0" w:color="auto"/>
            <w:right w:val="none" w:sz="0" w:space="0" w:color="auto"/>
          </w:divBdr>
          <w:divsChild>
            <w:div w:id="952639285">
              <w:marLeft w:val="0"/>
              <w:marRight w:val="0"/>
              <w:marTop w:val="0"/>
              <w:marBottom w:val="0"/>
              <w:divBdr>
                <w:top w:val="none" w:sz="0" w:space="0" w:color="auto"/>
                <w:left w:val="none" w:sz="0" w:space="0" w:color="auto"/>
                <w:bottom w:val="none" w:sz="0" w:space="0" w:color="auto"/>
                <w:right w:val="none" w:sz="0" w:space="0" w:color="auto"/>
              </w:divBdr>
              <w:divsChild>
                <w:div w:id="330839589">
                  <w:marLeft w:val="0"/>
                  <w:marRight w:val="0"/>
                  <w:marTop w:val="0"/>
                  <w:marBottom w:val="0"/>
                  <w:divBdr>
                    <w:top w:val="none" w:sz="0" w:space="0" w:color="auto"/>
                    <w:left w:val="none" w:sz="0" w:space="0" w:color="auto"/>
                    <w:bottom w:val="none" w:sz="0" w:space="0" w:color="auto"/>
                    <w:right w:val="none" w:sz="0" w:space="0" w:color="auto"/>
                  </w:divBdr>
                  <w:divsChild>
                    <w:div w:id="11711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738567">
      <w:bodyDiv w:val="1"/>
      <w:marLeft w:val="0"/>
      <w:marRight w:val="0"/>
      <w:marTop w:val="0"/>
      <w:marBottom w:val="0"/>
      <w:divBdr>
        <w:top w:val="none" w:sz="0" w:space="0" w:color="auto"/>
        <w:left w:val="none" w:sz="0" w:space="0" w:color="auto"/>
        <w:bottom w:val="none" w:sz="0" w:space="0" w:color="auto"/>
        <w:right w:val="none" w:sz="0" w:space="0" w:color="auto"/>
      </w:divBdr>
      <w:divsChild>
        <w:div w:id="1996716155">
          <w:marLeft w:val="0"/>
          <w:marRight w:val="0"/>
          <w:marTop w:val="0"/>
          <w:marBottom w:val="0"/>
          <w:divBdr>
            <w:top w:val="none" w:sz="0" w:space="0" w:color="auto"/>
            <w:left w:val="none" w:sz="0" w:space="0" w:color="auto"/>
            <w:bottom w:val="none" w:sz="0" w:space="0" w:color="auto"/>
            <w:right w:val="none" w:sz="0" w:space="0" w:color="auto"/>
          </w:divBdr>
          <w:divsChild>
            <w:div w:id="703408240">
              <w:marLeft w:val="0"/>
              <w:marRight w:val="0"/>
              <w:marTop w:val="0"/>
              <w:marBottom w:val="0"/>
              <w:divBdr>
                <w:top w:val="none" w:sz="0" w:space="0" w:color="auto"/>
                <w:left w:val="none" w:sz="0" w:space="0" w:color="auto"/>
                <w:bottom w:val="none" w:sz="0" w:space="0" w:color="auto"/>
                <w:right w:val="none" w:sz="0" w:space="0" w:color="auto"/>
              </w:divBdr>
              <w:divsChild>
                <w:div w:id="10306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7501">
      <w:bodyDiv w:val="1"/>
      <w:marLeft w:val="0"/>
      <w:marRight w:val="0"/>
      <w:marTop w:val="0"/>
      <w:marBottom w:val="0"/>
      <w:divBdr>
        <w:top w:val="none" w:sz="0" w:space="0" w:color="auto"/>
        <w:left w:val="none" w:sz="0" w:space="0" w:color="auto"/>
        <w:bottom w:val="none" w:sz="0" w:space="0" w:color="auto"/>
        <w:right w:val="none" w:sz="0" w:space="0" w:color="auto"/>
      </w:divBdr>
      <w:divsChild>
        <w:div w:id="140385286">
          <w:marLeft w:val="0"/>
          <w:marRight w:val="0"/>
          <w:marTop w:val="0"/>
          <w:marBottom w:val="0"/>
          <w:divBdr>
            <w:top w:val="none" w:sz="0" w:space="0" w:color="auto"/>
            <w:left w:val="none" w:sz="0" w:space="0" w:color="auto"/>
            <w:bottom w:val="none" w:sz="0" w:space="0" w:color="auto"/>
            <w:right w:val="none" w:sz="0" w:space="0" w:color="auto"/>
          </w:divBdr>
          <w:divsChild>
            <w:div w:id="331294840">
              <w:marLeft w:val="0"/>
              <w:marRight w:val="0"/>
              <w:marTop w:val="0"/>
              <w:marBottom w:val="0"/>
              <w:divBdr>
                <w:top w:val="none" w:sz="0" w:space="0" w:color="auto"/>
                <w:left w:val="none" w:sz="0" w:space="0" w:color="auto"/>
                <w:bottom w:val="none" w:sz="0" w:space="0" w:color="auto"/>
                <w:right w:val="none" w:sz="0" w:space="0" w:color="auto"/>
              </w:divBdr>
              <w:divsChild>
                <w:div w:id="1830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90316">
      <w:bodyDiv w:val="1"/>
      <w:marLeft w:val="0"/>
      <w:marRight w:val="0"/>
      <w:marTop w:val="0"/>
      <w:marBottom w:val="0"/>
      <w:divBdr>
        <w:top w:val="none" w:sz="0" w:space="0" w:color="auto"/>
        <w:left w:val="none" w:sz="0" w:space="0" w:color="auto"/>
        <w:bottom w:val="none" w:sz="0" w:space="0" w:color="auto"/>
        <w:right w:val="none" w:sz="0" w:space="0" w:color="auto"/>
      </w:divBdr>
    </w:div>
    <w:div w:id="582953014">
      <w:bodyDiv w:val="1"/>
      <w:marLeft w:val="0"/>
      <w:marRight w:val="0"/>
      <w:marTop w:val="0"/>
      <w:marBottom w:val="0"/>
      <w:divBdr>
        <w:top w:val="none" w:sz="0" w:space="0" w:color="auto"/>
        <w:left w:val="none" w:sz="0" w:space="0" w:color="auto"/>
        <w:bottom w:val="none" w:sz="0" w:space="0" w:color="auto"/>
        <w:right w:val="none" w:sz="0" w:space="0" w:color="auto"/>
      </w:divBdr>
      <w:divsChild>
        <w:div w:id="23025631">
          <w:marLeft w:val="0"/>
          <w:marRight w:val="0"/>
          <w:marTop w:val="0"/>
          <w:marBottom w:val="0"/>
          <w:divBdr>
            <w:top w:val="none" w:sz="0" w:space="0" w:color="auto"/>
            <w:left w:val="none" w:sz="0" w:space="0" w:color="auto"/>
            <w:bottom w:val="none" w:sz="0" w:space="0" w:color="auto"/>
            <w:right w:val="none" w:sz="0" w:space="0" w:color="auto"/>
          </w:divBdr>
          <w:divsChild>
            <w:div w:id="494958944">
              <w:marLeft w:val="0"/>
              <w:marRight w:val="0"/>
              <w:marTop w:val="0"/>
              <w:marBottom w:val="0"/>
              <w:divBdr>
                <w:top w:val="none" w:sz="0" w:space="0" w:color="auto"/>
                <w:left w:val="none" w:sz="0" w:space="0" w:color="auto"/>
                <w:bottom w:val="none" w:sz="0" w:space="0" w:color="auto"/>
                <w:right w:val="none" w:sz="0" w:space="0" w:color="auto"/>
              </w:divBdr>
              <w:divsChild>
                <w:div w:id="15764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09845">
      <w:bodyDiv w:val="1"/>
      <w:marLeft w:val="0"/>
      <w:marRight w:val="0"/>
      <w:marTop w:val="0"/>
      <w:marBottom w:val="0"/>
      <w:divBdr>
        <w:top w:val="none" w:sz="0" w:space="0" w:color="auto"/>
        <w:left w:val="none" w:sz="0" w:space="0" w:color="auto"/>
        <w:bottom w:val="none" w:sz="0" w:space="0" w:color="auto"/>
        <w:right w:val="none" w:sz="0" w:space="0" w:color="auto"/>
      </w:divBdr>
      <w:divsChild>
        <w:div w:id="487597366">
          <w:marLeft w:val="0"/>
          <w:marRight w:val="0"/>
          <w:marTop w:val="0"/>
          <w:marBottom w:val="0"/>
          <w:divBdr>
            <w:top w:val="none" w:sz="0" w:space="0" w:color="auto"/>
            <w:left w:val="none" w:sz="0" w:space="0" w:color="auto"/>
            <w:bottom w:val="none" w:sz="0" w:space="0" w:color="auto"/>
            <w:right w:val="none" w:sz="0" w:space="0" w:color="auto"/>
          </w:divBdr>
          <w:divsChild>
            <w:div w:id="1770078900">
              <w:marLeft w:val="0"/>
              <w:marRight w:val="0"/>
              <w:marTop w:val="0"/>
              <w:marBottom w:val="0"/>
              <w:divBdr>
                <w:top w:val="none" w:sz="0" w:space="0" w:color="auto"/>
                <w:left w:val="none" w:sz="0" w:space="0" w:color="auto"/>
                <w:bottom w:val="none" w:sz="0" w:space="0" w:color="auto"/>
                <w:right w:val="none" w:sz="0" w:space="0" w:color="auto"/>
              </w:divBdr>
              <w:divsChild>
                <w:div w:id="176357623">
                  <w:marLeft w:val="0"/>
                  <w:marRight w:val="0"/>
                  <w:marTop w:val="0"/>
                  <w:marBottom w:val="0"/>
                  <w:divBdr>
                    <w:top w:val="none" w:sz="0" w:space="0" w:color="auto"/>
                    <w:left w:val="none" w:sz="0" w:space="0" w:color="auto"/>
                    <w:bottom w:val="none" w:sz="0" w:space="0" w:color="auto"/>
                    <w:right w:val="none" w:sz="0" w:space="0" w:color="auto"/>
                  </w:divBdr>
                  <w:divsChild>
                    <w:div w:id="1143503020">
                      <w:marLeft w:val="0"/>
                      <w:marRight w:val="0"/>
                      <w:marTop w:val="0"/>
                      <w:marBottom w:val="0"/>
                      <w:divBdr>
                        <w:top w:val="none" w:sz="0" w:space="0" w:color="auto"/>
                        <w:left w:val="none" w:sz="0" w:space="0" w:color="auto"/>
                        <w:bottom w:val="none" w:sz="0" w:space="0" w:color="auto"/>
                        <w:right w:val="none" w:sz="0" w:space="0" w:color="auto"/>
                      </w:divBdr>
                    </w:div>
                  </w:divsChild>
                </w:div>
                <w:div w:id="243951496">
                  <w:marLeft w:val="0"/>
                  <w:marRight w:val="0"/>
                  <w:marTop w:val="0"/>
                  <w:marBottom w:val="0"/>
                  <w:divBdr>
                    <w:top w:val="none" w:sz="0" w:space="0" w:color="auto"/>
                    <w:left w:val="none" w:sz="0" w:space="0" w:color="auto"/>
                    <w:bottom w:val="none" w:sz="0" w:space="0" w:color="auto"/>
                    <w:right w:val="none" w:sz="0" w:space="0" w:color="auto"/>
                  </w:divBdr>
                  <w:divsChild>
                    <w:div w:id="1653094367">
                      <w:marLeft w:val="0"/>
                      <w:marRight w:val="0"/>
                      <w:marTop w:val="0"/>
                      <w:marBottom w:val="0"/>
                      <w:divBdr>
                        <w:top w:val="none" w:sz="0" w:space="0" w:color="auto"/>
                        <w:left w:val="none" w:sz="0" w:space="0" w:color="auto"/>
                        <w:bottom w:val="none" w:sz="0" w:space="0" w:color="auto"/>
                        <w:right w:val="none" w:sz="0" w:space="0" w:color="auto"/>
                      </w:divBdr>
                    </w:div>
                  </w:divsChild>
                </w:div>
                <w:div w:id="1226330067">
                  <w:marLeft w:val="0"/>
                  <w:marRight w:val="0"/>
                  <w:marTop w:val="0"/>
                  <w:marBottom w:val="0"/>
                  <w:divBdr>
                    <w:top w:val="none" w:sz="0" w:space="0" w:color="auto"/>
                    <w:left w:val="none" w:sz="0" w:space="0" w:color="auto"/>
                    <w:bottom w:val="none" w:sz="0" w:space="0" w:color="auto"/>
                    <w:right w:val="none" w:sz="0" w:space="0" w:color="auto"/>
                  </w:divBdr>
                  <w:divsChild>
                    <w:div w:id="2032291384">
                      <w:marLeft w:val="0"/>
                      <w:marRight w:val="0"/>
                      <w:marTop w:val="0"/>
                      <w:marBottom w:val="0"/>
                      <w:divBdr>
                        <w:top w:val="none" w:sz="0" w:space="0" w:color="auto"/>
                        <w:left w:val="none" w:sz="0" w:space="0" w:color="auto"/>
                        <w:bottom w:val="none" w:sz="0" w:space="0" w:color="auto"/>
                        <w:right w:val="none" w:sz="0" w:space="0" w:color="auto"/>
                      </w:divBdr>
                    </w:div>
                  </w:divsChild>
                </w:div>
                <w:div w:id="1744139294">
                  <w:marLeft w:val="0"/>
                  <w:marRight w:val="0"/>
                  <w:marTop w:val="0"/>
                  <w:marBottom w:val="0"/>
                  <w:divBdr>
                    <w:top w:val="none" w:sz="0" w:space="0" w:color="auto"/>
                    <w:left w:val="none" w:sz="0" w:space="0" w:color="auto"/>
                    <w:bottom w:val="none" w:sz="0" w:space="0" w:color="auto"/>
                    <w:right w:val="none" w:sz="0" w:space="0" w:color="auto"/>
                  </w:divBdr>
                  <w:divsChild>
                    <w:div w:id="189071760">
                      <w:marLeft w:val="0"/>
                      <w:marRight w:val="0"/>
                      <w:marTop w:val="0"/>
                      <w:marBottom w:val="0"/>
                      <w:divBdr>
                        <w:top w:val="none" w:sz="0" w:space="0" w:color="auto"/>
                        <w:left w:val="none" w:sz="0" w:space="0" w:color="auto"/>
                        <w:bottom w:val="none" w:sz="0" w:space="0" w:color="auto"/>
                        <w:right w:val="none" w:sz="0" w:space="0" w:color="auto"/>
                      </w:divBdr>
                    </w:div>
                  </w:divsChild>
                </w:div>
                <w:div w:id="2013336654">
                  <w:marLeft w:val="0"/>
                  <w:marRight w:val="0"/>
                  <w:marTop w:val="0"/>
                  <w:marBottom w:val="0"/>
                  <w:divBdr>
                    <w:top w:val="none" w:sz="0" w:space="0" w:color="auto"/>
                    <w:left w:val="none" w:sz="0" w:space="0" w:color="auto"/>
                    <w:bottom w:val="none" w:sz="0" w:space="0" w:color="auto"/>
                    <w:right w:val="none" w:sz="0" w:space="0" w:color="auto"/>
                  </w:divBdr>
                  <w:divsChild>
                    <w:div w:id="1510827308">
                      <w:marLeft w:val="0"/>
                      <w:marRight w:val="0"/>
                      <w:marTop w:val="0"/>
                      <w:marBottom w:val="0"/>
                      <w:divBdr>
                        <w:top w:val="none" w:sz="0" w:space="0" w:color="auto"/>
                        <w:left w:val="none" w:sz="0" w:space="0" w:color="auto"/>
                        <w:bottom w:val="none" w:sz="0" w:space="0" w:color="auto"/>
                        <w:right w:val="none" w:sz="0" w:space="0" w:color="auto"/>
                      </w:divBdr>
                    </w:div>
                  </w:divsChild>
                </w:div>
                <w:div w:id="2080521124">
                  <w:marLeft w:val="0"/>
                  <w:marRight w:val="0"/>
                  <w:marTop w:val="0"/>
                  <w:marBottom w:val="0"/>
                  <w:divBdr>
                    <w:top w:val="none" w:sz="0" w:space="0" w:color="auto"/>
                    <w:left w:val="none" w:sz="0" w:space="0" w:color="auto"/>
                    <w:bottom w:val="none" w:sz="0" w:space="0" w:color="auto"/>
                    <w:right w:val="none" w:sz="0" w:space="0" w:color="auto"/>
                  </w:divBdr>
                  <w:divsChild>
                    <w:div w:id="1296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601557">
      <w:bodyDiv w:val="1"/>
      <w:marLeft w:val="0"/>
      <w:marRight w:val="0"/>
      <w:marTop w:val="0"/>
      <w:marBottom w:val="0"/>
      <w:divBdr>
        <w:top w:val="none" w:sz="0" w:space="0" w:color="auto"/>
        <w:left w:val="none" w:sz="0" w:space="0" w:color="auto"/>
        <w:bottom w:val="none" w:sz="0" w:space="0" w:color="auto"/>
        <w:right w:val="none" w:sz="0" w:space="0" w:color="auto"/>
      </w:divBdr>
      <w:divsChild>
        <w:div w:id="831019509">
          <w:marLeft w:val="0"/>
          <w:marRight w:val="0"/>
          <w:marTop w:val="0"/>
          <w:marBottom w:val="0"/>
          <w:divBdr>
            <w:top w:val="none" w:sz="0" w:space="0" w:color="auto"/>
            <w:left w:val="none" w:sz="0" w:space="0" w:color="auto"/>
            <w:bottom w:val="none" w:sz="0" w:space="0" w:color="auto"/>
            <w:right w:val="none" w:sz="0" w:space="0" w:color="auto"/>
          </w:divBdr>
          <w:divsChild>
            <w:div w:id="1185169043">
              <w:marLeft w:val="0"/>
              <w:marRight w:val="0"/>
              <w:marTop w:val="0"/>
              <w:marBottom w:val="0"/>
              <w:divBdr>
                <w:top w:val="none" w:sz="0" w:space="0" w:color="auto"/>
                <w:left w:val="none" w:sz="0" w:space="0" w:color="auto"/>
                <w:bottom w:val="none" w:sz="0" w:space="0" w:color="auto"/>
                <w:right w:val="none" w:sz="0" w:space="0" w:color="auto"/>
              </w:divBdr>
              <w:divsChild>
                <w:div w:id="416630407">
                  <w:marLeft w:val="0"/>
                  <w:marRight w:val="0"/>
                  <w:marTop w:val="0"/>
                  <w:marBottom w:val="0"/>
                  <w:divBdr>
                    <w:top w:val="none" w:sz="0" w:space="0" w:color="auto"/>
                    <w:left w:val="none" w:sz="0" w:space="0" w:color="auto"/>
                    <w:bottom w:val="none" w:sz="0" w:space="0" w:color="auto"/>
                    <w:right w:val="none" w:sz="0" w:space="0" w:color="auto"/>
                  </w:divBdr>
                  <w:divsChild>
                    <w:div w:id="15503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20085">
      <w:bodyDiv w:val="1"/>
      <w:marLeft w:val="0"/>
      <w:marRight w:val="0"/>
      <w:marTop w:val="0"/>
      <w:marBottom w:val="0"/>
      <w:divBdr>
        <w:top w:val="none" w:sz="0" w:space="0" w:color="auto"/>
        <w:left w:val="none" w:sz="0" w:space="0" w:color="auto"/>
        <w:bottom w:val="none" w:sz="0" w:space="0" w:color="auto"/>
        <w:right w:val="none" w:sz="0" w:space="0" w:color="auto"/>
      </w:divBdr>
      <w:divsChild>
        <w:div w:id="1087265669">
          <w:marLeft w:val="0"/>
          <w:marRight w:val="0"/>
          <w:marTop w:val="0"/>
          <w:marBottom w:val="0"/>
          <w:divBdr>
            <w:top w:val="none" w:sz="0" w:space="0" w:color="auto"/>
            <w:left w:val="none" w:sz="0" w:space="0" w:color="auto"/>
            <w:bottom w:val="none" w:sz="0" w:space="0" w:color="auto"/>
            <w:right w:val="none" w:sz="0" w:space="0" w:color="auto"/>
          </w:divBdr>
          <w:divsChild>
            <w:div w:id="540870134">
              <w:marLeft w:val="0"/>
              <w:marRight w:val="0"/>
              <w:marTop w:val="0"/>
              <w:marBottom w:val="0"/>
              <w:divBdr>
                <w:top w:val="none" w:sz="0" w:space="0" w:color="auto"/>
                <w:left w:val="none" w:sz="0" w:space="0" w:color="auto"/>
                <w:bottom w:val="none" w:sz="0" w:space="0" w:color="auto"/>
                <w:right w:val="none" w:sz="0" w:space="0" w:color="auto"/>
              </w:divBdr>
              <w:divsChild>
                <w:div w:id="1385367296">
                  <w:marLeft w:val="0"/>
                  <w:marRight w:val="0"/>
                  <w:marTop w:val="0"/>
                  <w:marBottom w:val="0"/>
                  <w:divBdr>
                    <w:top w:val="none" w:sz="0" w:space="0" w:color="auto"/>
                    <w:left w:val="none" w:sz="0" w:space="0" w:color="auto"/>
                    <w:bottom w:val="none" w:sz="0" w:space="0" w:color="auto"/>
                    <w:right w:val="none" w:sz="0" w:space="0" w:color="auto"/>
                  </w:divBdr>
                  <w:divsChild>
                    <w:div w:id="12797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416726">
      <w:bodyDiv w:val="1"/>
      <w:marLeft w:val="0"/>
      <w:marRight w:val="0"/>
      <w:marTop w:val="0"/>
      <w:marBottom w:val="0"/>
      <w:divBdr>
        <w:top w:val="none" w:sz="0" w:space="0" w:color="auto"/>
        <w:left w:val="none" w:sz="0" w:space="0" w:color="auto"/>
        <w:bottom w:val="none" w:sz="0" w:space="0" w:color="auto"/>
        <w:right w:val="none" w:sz="0" w:space="0" w:color="auto"/>
      </w:divBdr>
      <w:divsChild>
        <w:div w:id="653725504">
          <w:marLeft w:val="0"/>
          <w:marRight w:val="0"/>
          <w:marTop w:val="0"/>
          <w:marBottom w:val="0"/>
          <w:divBdr>
            <w:top w:val="none" w:sz="0" w:space="0" w:color="auto"/>
            <w:left w:val="none" w:sz="0" w:space="0" w:color="auto"/>
            <w:bottom w:val="none" w:sz="0" w:space="0" w:color="auto"/>
            <w:right w:val="none" w:sz="0" w:space="0" w:color="auto"/>
          </w:divBdr>
          <w:divsChild>
            <w:div w:id="1223517846">
              <w:marLeft w:val="0"/>
              <w:marRight w:val="0"/>
              <w:marTop w:val="0"/>
              <w:marBottom w:val="0"/>
              <w:divBdr>
                <w:top w:val="none" w:sz="0" w:space="0" w:color="auto"/>
                <w:left w:val="none" w:sz="0" w:space="0" w:color="auto"/>
                <w:bottom w:val="none" w:sz="0" w:space="0" w:color="auto"/>
                <w:right w:val="none" w:sz="0" w:space="0" w:color="auto"/>
              </w:divBdr>
              <w:divsChild>
                <w:div w:id="1673219596">
                  <w:marLeft w:val="0"/>
                  <w:marRight w:val="0"/>
                  <w:marTop w:val="0"/>
                  <w:marBottom w:val="0"/>
                  <w:divBdr>
                    <w:top w:val="none" w:sz="0" w:space="0" w:color="auto"/>
                    <w:left w:val="none" w:sz="0" w:space="0" w:color="auto"/>
                    <w:bottom w:val="none" w:sz="0" w:space="0" w:color="auto"/>
                    <w:right w:val="none" w:sz="0" w:space="0" w:color="auto"/>
                  </w:divBdr>
                  <w:divsChild>
                    <w:div w:id="20113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80148">
      <w:bodyDiv w:val="1"/>
      <w:marLeft w:val="0"/>
      <w:marRight w:val="0"/>
      <w:marTop w:val="0"/>
      <w:marBottom w:val="0"/>
      <w:divBdr>
        <w:top w:val="none" w:sz="0" w:space="0" w:color="auto"/>
        <w:left w:val="none" w:sz="0" w:space="0" w:color="auto"/>
        <w:bottom w:val="none" w:sz="0" w:space="0" w:color="auto"/>
        <w:right w:val="none" w:sz="0" w:space="0" w:color="auto"/>
      </w:divBdr>
      <w:divsChild>
        <w:div w:id="783816576">
          <w:marLeft w:val="0"/>
          <w:marRight w:val="0"/>
          <w:marTop w:val="0"/>
          <w:marBottom w:val="0"/>
          <w:divBdr>
            <w:top w:val="none" w:sz="0" w:space="0" w:color="auto"/>
            <w:left w:val="none" w:sz="0" w:space="0" w:color="auto"/>
            <w:bottom w:val="none" w:sz="0" w:space="0" w:color="auto"/>
            <w:right w:val="none" w:sz="0" w:space="0" w:color="auto"/>
          </w:divBdr>
          <w:divsChild>
            <w:div w:id="2131126584">
              <w:marLeft w:val="0"/>
              <w:marRight w:val="0"/>
              <w:marTop w:val="0"/>
              <w:marBottom w:val="0"/>
              <w:divBdr>
                <w:top w:val="none" w:sz="0" w:space="0" w:color="auto"/>
                <w:left w:val="none" w:sz="0" w:space="0" w:color="auto"/>
                <w:bottom w:val="none" w:sz="0" w:space="0" w:color="auto"/>
                <w:right w:val="none" w:sz="0" w:space="0" w:color="auto"/>
              </w:divBdr>
              <w:divsChild>
                <w:div w:id="805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243">
      <w:bodyDiv w:val="1"/>
      <w:marLeft w:val="0"/>
      <w:marRight w:val="0"/>
      <w:marTop w:val="0"/>
      <w:marBottom w:val="0"/>
      <w:divBdr>
        <w:top w:val="none" w:sz="0" w:space="0" w:color="auto"/>
        <w:left w:val="none" w:sz="0" w:space="0" w:color="auto"/>
        <w:bottom w:val="none" w:sz="0" w:space="0" w:color="auto"/>
        <w:right w:val="none" w:sz="0" w:space="0" w:color="auto"/>
      </w:divBdr>
      <w:divsChild>
        <w:div w:id="911426739">
          <w:marLeft w:val="0"/>
          <w:marRight w:val="0"/>
          <w:marTop w:val="0"/>
          <w:marBottom w:val="0"/>
          <w:divBdr>
            <w:top w:val="none" w:sz="0" w:space="0" w:color="auto"/>
            <w:left w:val="none" w:sz="0" w:space="0" w:color="auto"/>
            <w:bottom w:val="none" w:sz="0" w:space="0" w:color="auto"/>
            <w:right w:val="none" w:sz="0" w:space="0" w:color="auto"/>
          </w:divBdr>
          <w:divsChild>
            <w:div w:id="519127810">
              <w:marLeft w:val="0"/>
              <w:marRight w:val="0"/>
              <w:marTop w:val="0"/>
              <w:marBottom w:val="0"/>
              <w:divBdr>
                <w:top w:val="none" w:sz="0" w:space="0" w:color="auto"/>
                <w:left w:val="none" w:sz="0" w:space="0" w:color="auto"/>
                <w:bottom w:val="none" w:sz="0" w:space="0" w:color="auto"/>
                <w:right w:val="none" w:sz="0" w:space="0" w:color="auto"/>
              </w:divBdr>
              <w:divsChild>
                <w:div w:id="191918322">
                  <w:marLeft w:val="0"/>
                  <w:marRight w:val="0"/>
                  <w:marTop w:val="0"/>
                  <w:marBottom w:val="0"/>
                  <w:divBdr>
                    <w:top w:val="none" w:sz="0" w:space="0" w:color="auto"/>
                    <w:left w:val="none" w:sz="0" w:space="0" w:color="auto"/>
                    <w:bottom w:val="none" w:sz="0" w:space="0" w:color="auto"/>
                    <w:right w:val="none" w:sz="0" w:space="0" w:color="auto"/>
                  </w:divBdr>
                  <w:divsChild>
                    <w:div w:id="1853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50195">
      <w:bodyDiv w:val="1"/>
      <w:marLeft w:val="0"/>
      <w:marRight w:val="0"/>
      <w:marTop w:val="0"/>
      <w:marBottom w:val="0"/>
      <w:divBdr>
        <w:top w:val="none" w:sz="0" w:space="0" w:color="auto"/>
        <w:left w:val="none" w:sz="0" w:space="0" w:color="auto"/>
        <w:bottom w:val="none" w:sz="0" w:space="0" w:color="auto"/>
        <w:right w:val="none" w:sz="0" w:space="0" w:color="auto"/>
      </w:divBdr>
      <w:divsChild>
        <w:div w:id="475728464">
          <w:marLeft w:val="0"/>
          <w:marRight w:val="0"/>
          <w:marTop w:val="0"/>
          <w:marBottom w:val="0"/>
          <w:divBdr>
            <w:top w:val="none" w:sz="0" w:space="0" w:color="auto"/>
            <w:left w:val="none" w:sz="0" w:space="0" w:color="auto"/>
            <w:bottom w:val="none" w:sz="0" w:space="0" w:color="auto"/>
            <w:right w:val="none" w:sz="0" w:space="0" w:color="auto"/>
          </w:divBdr>
          <w:divsChild>
            <w:div w:id="1784573150">
              <w:marLeft w:val="0"/>
              <w:marRight w:val="0"/>
              <w:marTop w:val="0"/>
              <w:marBottom w:val="0"/>
              <w:divBdr>
                <w:top w:val="none" w:sz="0" w:space="0" w:color="auto"/>
                <w:left w:val="none" w:sz="0" w:space="0" w:color="auto"/>
                <w:bottom w:val="none" w:sz="0" w:space="0" w:color="auto"/>
                <w:right w:val="none" w:sz="0" w:space="0" w:color="auto"/>
              </w:divBdr>
              <w:divsChild>
                <w:div w:id="1683622822">
                  <w:marLeft w:val="0"/>
                  <w:marRight w:val="0"/>
                  <w:marTop w:val="0"/>
                  <w:marBottom w:val="0"/>
                  <w:divBdr>
                    <w:top w:val="none" w:sz="0" w:space="0" w:color="auto"/>
                    <w:left w:val="none" w:sz="0" w:space="0" w:color="auto"/>
                    <w:bottom w:val="none" w:sz="0" w:space="0" w:color="auto"/>
                    <w:right w:val="none" w:sz="0" w:space="0" w:color="auto"/>
                  </w:divBdr>
                  <w:divsChild>
                    <w:div w:id="974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6081">
      <w:bodyDiv w:val="1"/>
      <w:marLeft w:val="0"/>
      <w:marRight w:val="0"/>
      <w:marTop w:val="0"/>
      <w:marBottom w:val="0"/>
      <w:divBdr>
        <w:top w:val="none" w:sz="0" w:space="0" w:color="auto"/>
        <w:left w:val="none" w:sz="0" w:space="0" w:color="auto"/>
        <w:bottom w:val="none" w:sz="0" w:space="0" w:color="auto"/>
        <w:right w:val="none" w:sz="0" w:space="0" w:color="auto"/>
      </w:divBdr>
      <w:divsChild>
        <w:div w:id="730007504">
          <w:marLeft w:val="0"/>
          <w:marRight w:val="0"/>
          <w:marTop w:val="0"/>
          <w:marBottom w:val="0"/>
          <w:divBdr>
            <w:top w:val="none" w:sz="0" w:space="0" w:color="auto"/>
            <w:left w:val="none" w:sz="0" w:space="0" w:color="auto"/>
            <w:bottom w:val="none" w:sz="0" w:space="0" w:color="auto"/>
            <w:right w:val="none" w:sz="0" w:space="0" w:color="auto"/>
          </w:divBdr>
        </w:div>
        <w:div w:id="1172141058">
          <w:marLeft w:val="0"/>
          <w:marRight w:val="0"/>
          <w:marTop w:val="0"/>
          <w:marBottom w:val="0"/>
          <w:divBdr>
            <w:top w:val="none" w:sz="0" w:space="0" w:color="auto"/>
            <w:left w:val="none" w:sz="0" w:space="0" w:color="auto"/>
            <w:bottom w:val="none" w:sz="0" w:space="0" w:color="auto"/>
            <w:right w:val="none" w:sz="0" w:space="0" w:color="auto"/>
          </w:divBdr>
        </w:div>
      </w:divsChild>
    </w:div>
    <w:div w:id="620574632">
      <w:bodyDiv w:val="1"/>
      <w:marLeft w:val="0"/>
      <w:marRight w:val="0"/>
      <w:marTop w:val="0"/>
      <w:marBottom w:val="0"/>
      <w:divBdr>
        <w:top w:val="none" w:sz="0" w:space="0" w:color="auto"/>
        <w:left w:val="none" w:sz="0" w:space="0" w:color="auto"/>
        <w:bottom w:val="none" w:sz="0" w:space="0" w:color="auto"/>
        <w:right w:val="none" w:sz="0" w:space="0" w:color="auto"/>
      </w:divBdr>
      <w:divsChild>
        <w:div w:id="845444685">
          <w:marLeft w:val="0"/>
          <w:marRight w:val="0"/>
          <w:marTop w:val="0"/>
          <w:marBottom w:val="0"/>
          <w:divBdr>
            <w:top w:val="none" w:sz="0" w:space="0" w:color="auto"/>
            <w:left w:val="none" w:sz="0" w:space="0" w:color="auto"/>
            <w:bottom w:val="none" w:sz="0" w:space="0" w:color="auto"/>
            <w:right w:val="none" w:sz="0" w:space="0" w:color="auto"/>
          </w:divBdr>
          <w:divsChild>
            <w:div w:id="423840638">
              <w:marLeft w:val="0"/>
              <w:marRight w:val="0"/>
              <w:marTop w:val="0"/>
              <w:marBottom w:val="0"/>
              <w:divBdr>
                <w:top w:val="none" w:sz="0" w:space="0" w:color="auto"/>
                <w:left w:val="none" w:sz="0" w:space="0" w:color="auto"/>
                <w:bottom w:val="none" w:sz="0" w:space="0" w:color="auto"/>
                <w:right w:val="none" w:sz="0" w:space="0" w:color="auto"/>
              </w:divBdr>
              <w:divsChild>
                <w:div w:id="1086536285">
                  <w:marLeft w:val="0"/>
                  <w:marRight w:val="0"/>
                  <w:marTop w:val="0"/>
                  <w:marBottom w:val="0"/>
                  <w:divBdr>
                    <w:top w:val="none" w:sz="0" w:space="0" w:color="auto"/>
                    <w:left w:val="none" w:sz="0" w:space="0" w:color="auto"/>
                    <w:bottom w:val="none" w:sz="0" w:space="0" w:color="auto"/>
                    <w:right w:val="none" w:sz="0" w:space="0" w:color="auto"/>
                  </w:divBdr>
                  <w:divsChild>
                    <w:div w:id="9907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65234">
      <w:bodyDiv w:val="1"/>
      <w:marLeft w:val="0"/>
      <w:marRight w:val="0"/>
      <w:marTop w:val="0"/>
      <w:marBottom w:val="0"/>
      <w:divBdr>
        <w:top w:val="none" w:sz="0" w:space="0" w:color="auto"/>
        <w:left w:val="none" w:sz="0" w:space="0" w:color="auto"/>
        <w:bottom w:val="none" w:sz="0" w:space="0" w:color="auto"/>
        <w:right w:val="none" w:sz="0" w:space="0" w:color="auto"/>
      </w:divBdr>
      <w:divsChild>
        <w:div w:id="1478373694">
          <w:marLeft w:val="0"/>
          <w:marRight w:val="0"/>
          <w:marTop w:val="0"/>
          <w:marBottom w:val="0"/>
          <w:divBdr>
            <w:top w:val="none" w:sz="0" w:space="0" w:color="auto"/>
            <w:left w:val="none" w:sz="0" w:space="0" w:color="auto"/>
            <w:bottom w:val="none" w:sz="0" w:space="0" w:color="auto"/>
            <w:right w:val="none" w:sz="0" w:space="0" w:color="auto"/>
          </w:divBdr>
          <w:divsChild>
            <w:div w:id="288783104">
              <w:marLeft w:val="0"/>
              <w:marRight w:val="0"/>
              <w:marTop w:val="0"/>
              <w:marBottom w:val="0"/>
              <w:divBdr>
                <w:top w:val="none" w:sz="0" w:space="0" w:color="auto"/>
                <w:left w:val="none" w:sz="0" w:space="0" w:color="auto"/>
                <w:bottom w:val="none" w:sz="0" w:space="0" w:color="auto"/>
                <w:right w:val="none" w:sz="0" w:space="0" w:color="auto"/>
              </w:divBdr>
              <w:divsChild>
                <w:div w:id="18939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17732">
      <w:bodyDiv w:val="1"/>
      <w:marLeft w:val="0"/>
      <w:marRight w:val="0"/>
      <w:marTop w:val="0"/>
      <w:marBottom w:val="0"/>
      <w:divBdr>
        <w:top w:val="none" w:sz="0" w:space="0" w:color="auto"/>
        <w:left w:val="none" w:sz="0" w:space="0" w:color="auto"/>
        <w:bottom w:val="none" w:sz="0" w:space="0" w:color="auto"/>
        <w:right w:val="none" w:sz="0" w:space="0" w:color="auto"/>
      </w:divBdr>
      <w:divsChild>
        <w:div w:id="543058732">
          <w:marLeft w:val="0"/>
          <w:marRight w:val="0"/>
          <w:marTop w:val="0"/>
          <w:marBottom w:val="0"/>
          <w:divBdr>
            <w:top w:val="none" w:sz="0" w:space="0" w:color="auto"/>
            <w:left w:val="none" w:sz="0" w:space="0" w:color="auto"/>
            <w:bottom w:val="none" w:sz="0" w:space="0" w:color="auto"/>
            <w:right w:val="none" w:sz="0" w:space="0" w:color="auto"/>
          </w:divBdr>
          <w:divsChild>
            <w:div w:id="268007350">
              <w:marLeft w:val="0"/>
              <w:marRight w:val="0"/>
              <w:marTop w:val="0"/>
              <w:marBottom w:val="0"/>
              <w:divBdr>
                <w:top w:val="none" w:sz="0" w:space="0" w:color="auto"/>
                <w:left w:val="none" w:sz="0" w:space="0" w:color="auto"/>
                <w:bottom w:val="none" w:sz="0" w:space="0" w:color="auto"/>
                <w:right w:val="none" w:sz="0" w:space="0" w:color="auto"/>
              </w:divBdr>
              <w:divsChild>
                <w:div w:id="1836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32926">
      <w:bodyDiv w:val="1"/>
      <w:marLeft w:val="0"/>
      <w:marRight w:val="0"/>
      <w:marTop w:val="0"/>
      <w:marBottom w:val="0"/>
      <w:divBdr>
        <w:top w:val="none" w:sz="0" w:space="0" w:color="auto"/>
        <w:left w:val="none" w:sz="0" w:space="0" w:color="auto"/>
        <w:bottom w:val="none" w:sz="0" w:space="0" w:color="auto"/>
        <w:right w:val="none" w:sz="0" w:space="0" w:color="auto"/>
      </w:divBdr>
      <w:divsChild>
        <w:div w:id="172650328">
          <w:marLeft w:val="0"/>
          <w:marRight w:val="0"/>
          <w:marTop w:val="0"/>
          <w:marBottom w:val="0"/>
          <w:divBdr>
            <w:top w:val="none" w:sz="0" w:space="0" w:color="auto"/>
            <w:left w:val="none" w:sz="0" w:space="0" w:color="auto"/>
            <w:bottom w:val="none" w:sz="0" w:space="0" w:color="auto"/>
            <w:right w:val="none" w:sz="0" w:space="0" w:color="auto"/>
          </w:divBdr>
          <w:divsChild>
            <w:div w:id="650597035">
              <w:marLeft w:val="0"/>
              <w:marRight w:val="0"/>
              <w:marTop w:val="0"/>
              <w:marBottom w:val="0"/>
              <w:divBdr>
                <w:top w:val="none" w:sz="0" w:space="0" w:color="auto"/>
                <w:left w:val="none" w:sz="0" w:space="0" w:color="auto"/>
                <w:bottom w:val="none" w:sz="0" w:space="0" w:color="auto"/>
                <w:right w:val="none" w:sz="0" w:space="0" w:color="auto"/>
              </w:divBdr>
              <w:divsChild>
                <w:div w:id="14222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89561">
      <w:bodyDiv w:val="1"/>
      <w:marLeft w:val="0"/>
      <w:marRight w:val="0"/>
      <w:marTop w:val="0"/>
      <w:marBottom w:val="0"/>
      <w:divBdr>
        <w:top w:val="none" w:sz="0" w:space="0" w:color="auto"/>
        <w:left w:val="none" w:sz="0" w:space="0" w:color="auto"/>
        <w:bottom w:val="none" w:sz="0" w:space="0" w:color="auto"/>
        <w:right w:val="none" w:sz="0" w:space="0" w:color="auto"/>
      </w:divBdr>
    </w:div>
    <w:div w:id="639925071">
      <w:bodyDiv w:val="1"/>
      <w:marLeft w:val="0"/>
      <w:marRight w:val="0"/>
      <w:marTop w:val="0"/>
      <w:marBottom w:val="0"/>
      <w:divBdr>
        <w:top w:val="none" w:sz="0" w:space="0" w:color="auto"/>
        <w:left w:val="none" w:sz="0" w:space="0" w:color="auto"/>
        <w:bottom w:val="none" w:sz="0" w:space="0" w:color="auto"/>
        <w:right w:val="none" w:sz="0" w:space="0" w:color="auto"/>
      </w:divBdr>
      <w:divsChild>
        <w:div w:id="130443589">
          <w:marLeft w:val="0"/>
          <w:marRight w:val="0"/>
          <w:marTop w:val="0"/>
          <w:marBottom w:val="0"/>
          <w:divBdr>
            <w:top w:val="none" w:sz="0" w:space="0" w:color="auto"/>
            <w:left w:val="none" w:sz="0" w:space="0" w:color="auto"/>
            <w:bottom w:val="none" w:sz="0" w:space="0" w:color="auto"/>
            <w:right w:val="none" w:sz="0" w:space="0" w:color="auto"/>
          </w:divBdr>
          <w:divsChild>
            <w:div w:id="1521629545">
              <w:marLeft w:val="0"/>
              <w:marRight w:val="0"/>
              <w:marTop w:val="0"/>
              <w:marBottom w:val="0"/>
              <w:divBdr>
                <w:top w:val="none" w:sz="0" w:space="0" w:color="auto"/>
                <w:left w:val="none" w:sz="0" w:space="0" w:color="auto"/>
                <w:bottom w:val="none" w:sz="0" w:space="0" w:color="auto"/>
                <w:right w:val="none" w:sz="0" w:space="0" w:color="auto"/>
              </w:divBdr>
              <w:divsChild>
                <w:div w:id="19099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49365">
      <w:bodyDiv w:val="1"/>
      <w:marLeft w:val="0"/>
      <w:marRight w:val="0"/>
      <w:marTop w:val="0"/>
      <w:marBottom w:val="0"/>
      <w:divBdr>
        <w:top w:val="none" w:sz="0" w:space="0" w:color="auto"/>
        <w:left w:val="none" w:sz="0" w:space="0" w:color="auto"/>
        <w:bottom w:val="none" w:sz="0" w:space="0" w:color="auto"/>
        <w:right w:val="none" w:sz="0" w:space="0" w:color="auto"/>
      </w:divBdr>
    </w:div>
    <w:div w:id="647133387">
      <w:bodyDiv w:val="1"/>
      <w:marLeft w:val="0"/>
      <w:marRight w:val="0"/>
      <w:marTop w:val="0"/>
      <w:marBottom w:val="0"/>
      <w:divBdr>
        <w:top w:val="none" w:sz="0" w:space="0" w:color="auto"/>
        <w:left w:val="none" w:sz="0" w:space="0" w:color="auto"/>
        <w:bottom w:val="none" w:sz="0" w:space="0" w:color="auto"/>
        <w:right w:val="none" w:sz="0" w:space="0" w:color="auto"/>
      </w:divBdr>
    </w:div>
    <w:div w:id="658002380">
      <w:bodyDiv w:val="1"/>
      <w:marLeft w:val="0"/>
      <w:marRight w:val="0"/>
      <w:marTop w:val="0"/>
      <w:marBottom w:val="0"/>
      <w:divBdr>
        <w:top w:val="none" w:sz="0" w:space="0" w:color="auto"/>
        <w:left w:val="none" w:sz="0" w:space="0" w:color="auto"/>
        <w:bottom w:val="none" w:sz="0" w:space="0" w:color="auto"/>
        <w:right w:val="none" w:sz="0" w:space="0" w:color="auto"/>
      </w:divBdr>
      <w:divsChild>
        <w:div w:id="1377855299">
          <w:marLeft w:val="0"/>
          <w:marRight w:val="0"/>
          <w:marTop w:val="0"/>
          <w:marBottom w:val="0"/>
          <w:divBdr>
            <w:top w:val="none" w:sz="0" w:space="0" w:color="auto"/>
            <w:left w:val="none" w:sz="0" w:space="0" w:color="auto"/>
            <w:bottom w:val="none" w:sz="0" w:space="0" w:color="auto"/>
            <w:right w:val="none" w:sz="0" w:space="0" w:color="auto"/>
          </w:divBdr>
          <w:divsChild>
            <w:div w:id="1465612712">
              <w:marLeft w:val="0"/>
              <w:marRight w:val="0"/>
              <w:marTop w:val="0"/>
              <w:marBottom w:val="0"/>
              <w:divBdr>
                <w:top w:val="none" w:sz="0" w:space="0" w:color="auto"/>
                <w:left w:val="none" w:sz="0" w:space="0" w:color="auto"/>
                <w:bottom w:val="none" w:sz="0" w:space="0" w:color="auto"/>
                <w:right w:val="none" w:sz="0" w:space="0" w:color="auto"/>
              </w:divBdr>
              <w:divsChild>
                <w:div w:id="358044059">
                  <w:marLeft w:val="0"/>
                  <w:marRight w:val="0"/>
                  <w:marTop w:val="0"/>
                  <w:marBottom w:val="0"/>
                  <w:divBdr>
                    <w:top w:val="none" w:sz="0" w:space="0" w:color="auto"/>
                    <w:left w:val="none" w:sz="0" w:space="0" w:color="auto"/>
                    <w:bottom w:val="none" w:sz="0" w:space="0" w:color="auto"/>
                    <w:right w:val="none" w:sz="0" w:space="0" w:color="auto"/>
                  </w:divBdr>
                  <w:divsChild>
                    <w:div w:id="17806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94137">
      <w:bodyDiv w:val="1"/>
      <w:marLeft w:val="0"/>
      <w:marRight w:val="0"/>
      <w:marTop w:val="0"/>
      <w:marBottom w:val="0"/>
      <w:divBdr>
        <w:top w:val="none" w:sz="0" w:space="0" w:color="auto"/>
        <w:left w:val="none" w:sz="0" w:space="0" w:color="auto"/>
        <w:bottom w:val="none" w:sz="0" w:space="0" w:color="auto"/>
        <w:right w:val="none" w:sz="0" w:space="0" w:color="auto"/>
      </w:divBdr>
      <w:divsChild>
        <w:div w:id="169030687">
          <w:marLeft w:val="-225"/>
          <w:marRight w:val="-225"/>
          <w:marTop w:val="0"/>
          <w:marBottom w:val="0"/>
          <w:divBdr>
            <w:top w:val="none" w:sz="0" w:space="0" w:color="auto"/>
            <w:left w:val="none" w:sz="0" w:space="0" w:color="auto"/>
            <w:bottom w:val="none" w:sz="0" w:space="0" w:color="auto"/>
            <w:right w:val="none" w:sz="0" w:space="0" w:color="auto"/>
          </w:divBdr>
          <w:divsChild>
            <w:div w:id="6342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5569">
      <w:bodyDiv w:val="1"/>
      <w:marLeft w:val="0"/>
      <w:marRight w:val="0"/>
      <w:marTop w:val="0"/>
      <w:marBottom w:val="0"/>
      <w:divBdr>
        <w:top w:val="none" w:sz="0" w:space="0" w:color="auto"/>
        <w:left w:val="none" w:sz="0" w:space="0" w:color="auto"/>
        <w:bottom w:val="none" w:sz="0" w:space="0" w:color="auto"/>
        <w:right w:val="none" w:sz="0" w:space="0" w:color="auto"/>
      </w:divBdr>
      <w:divsChild>
        <w:div w:id="238251367">
          <w:marLeft w:val="0"/>
          <w:marRight w:val="0"/>
          <w:marTop w:val="0"/>
          <w:marBottom w:val="0"/>
          <w:divBdr>
            <w:top w:val="none" w:sz="0" w:space="0" w:color="auto"/>
            <w:left w:val="none" w:sz="0" w:space="0" w:color="auto"/>
            <w:bottom w:val="none" w:sz="0" w:space="0" w:color="auto"/>
            <w:right w:val="none" w:sz="0" w:space="0" w:color="auto"/>
          </w:divBdr>
          <w:divsChild>
            <w:div w:id="113208001">
              <w:marLeft w:val="0"/>
              <w:marRight w:val="0"/>
              <w:marTop w:val="0"/>
              <w:marBottom w:val="0"/>
              <w:divBdr>
                <w:top w:val="none" w:sz="0" w:space="0" w:color="auto"/>
                <w:left w:val="none" w:sz="0" w:space="0" w:color="auto"/>
                <w:bottom w:val="none" w:sz="0" w:space="0" w:color="auto"/>
                <w:right w:val="none" w:sz="0" w:space="0" w:color="auto"/>
              </w:divBdr>
              <w:divsChild>
                <w:div w:id="2200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5212">
      <w:bodyDiv w:val="1"/>
      <w:marLeft w:val="0"/>
      <w:marRight w:val="0"/>
      <w:marTop w:val="0"/>
      <w:marBottom w:val="0"/>
      <w:divBdr>
        <w:top w:val="none" w:sz="0" w:space="0" w:color="auto"/>
        <w:left w:val="none" w:sz="0" w:space="0" w:color="auto"/>
        <w:bottom w:val="none" w:sz="0" w:space="0" w:color="auto"/>
        <w:right w:val="none" w:sz="0" w:space="0" w:color="auto"/>
      </w:divBdr>
    </w:div>
    <w:div w:id="677271351">
      <w:bodyDiv w:val="1"/>
      <w:marLeft w:val="0"/>
      <w:marRight w:val="0"/>
      <w:marTop w:val="0"/>
      <w:marBottom w:val="0"/>
      <w:divBdr>
        <w:top w:val="none" w:sz="0" w:space="0" w:color="auto"/>
        <w:left w:val="none" w:sz="0" w:space="0" w:color="auto"/>
        <w:bottom w:val="none" w:sz="0" w:space="0" w:color="auto"/>
        <w:right w:val="none" w:sz="0" w:space="0" w:color="auto"/>
      </w:divBdr>
      <w:divsChild>
        <w:div w:id="319115377">
          <w:marLeft w:val="0"/>
          <w:marRight w:val="0"/>
          <w:marTop w:val="0"/>
          <w:marBottom w:val="0"/>
          <w:divBdr>
            <w:top w:val="none" w:sz="0" w:space="0" w:color="auto"/>
            <w:left w:val="none" w:sz="0" w:space="0" w:color="auto"/>
            <w:bottom w:val="none" w:sz="0" w:space="0" w:color="auto"/>
            <w:right w:val="none" w:sz="0" w:space="0" w:color="auto"/>
          </w:divBdr>
          <w:divsChild>
            <w:div w:id="1035738161">
              <w:marLeft w:val="0"/>
              <w:marRight w:val="0"/>
              <w:marTop w:val="0"/>
              <w:marBottom w:val="0"/>
              <w:divBdr>
                <w:top w:val="none" w:sz="0" w:space="0" w:color="auto"/>
                <w:left w:val="none" w:sz="0" w:space="0" w:color="auto"/>
                <w:bottom w:val="none" w:sz="0" w:space="0" w:color="auto"/>
                <w:right w:val="none" w:sz="0" w:space="0" w:color="auto"/>
              </w:divBdr>
              <w:divsChild>
                <w:div w:id="677118013">
                  <w:marLeft w:val="0"/>
                  <w:marRight w:val="0"/>
                  <w:marTop w:val="0"/>
                  <w:marBottom w:val="0"/>
                  <w:divBdr>
                    <w:top w:val="none" w:sz="0" w:space="0" w:color="auto"/>
                    <w:left w:val="none" w:sz="0" w:space="0" w:color="auto"/>
                    <w:bottom w:val="none" w:sz="0" w:space="0" w:color="auto"/>
                    <w:right w:val="none" w:sz="0" w:space="0" w:color="auto"/>
                  </w:divBdr>
                  <w:divsChild>
                    <w:div w:id="171835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76151">
      <w:bodyDiv w:val="1"/>
      <w:marLeft w:val="0"/>
      <w:marRight w:val="0"/>
      <w:marTop w:val="0"/>
      <w:marBottom w:val="0"/>
      <w:divBdr>
        <w:top w:val="none" w:sz="0" w:space="0" w:color="auto"/>
        <w:left w:val="none" w:sz="0" w:space="0" w:color="auto"/>
        <w:bottom w:val="none" w:sz="0" w:space="0" w:color="auto"/>
        <w:right w:val="none" w:sz="0" w:space="0" w:color="auto"/>
      </w:divBdr>
      <w:divsChild>
        <w:div w:id="1401518483">
          <w:marLeft w:val="0"/>
          <w:marRight w:val="0"/>
          <w:marTop w:val="0"/>
          <w:marBottom w:val="0"/>
          <w:divBdr>
            <w:top w:val="none" w:sz="0" w:space="0" w:color="auto"/>
            <w:left w:val="none" w:sz="0" w:space="0" w:color="auto"/>
            <w:bottom w:val="none" w:sz="0" w:space="0" w:color="auto"/>
            <w:right w:val="none" w:sz="0" w:space="0" w:color="auto"/>
          </w:divBdr>
          <w:divsChild>
            <w:div w:id="982781088">
              <w:marLeft w:val="0"/>
              <w:marRight w:val="0"/>
              <w:marTop w:val="0"/>
              <w:marBottom w:val="0"/>
              <w:divBdr>
                <w:top w:val="none" w:sz="0" w:space="0" w:color="auto"/>
                <w:left w:val="none" w:sz="0" w:space="0" w:color="auto"/>
                <w:bottom w:val="none" w:sz="0" w:space="0" w:color="auto"/>
                <w:right w:val="none" w:sz="0" w:space="0" w:color="auto"/>
              </w:divBdr>
              <w:divsChild>
                <w:div w:id="141624121">
                  <w:marLeft w:val="0"/>
                  <w:marRight w:val="0"/>
                  <w:marTop w:val="0"/>
                  <w:marBottom w:val="0"/>
                  <w:divBdr>
                    <w:top w:val="none" w:sz="0" w:space="0" w:color="auto"/>
                    <w:left w:val="none" w:sz="0" w:space="0" w:color="auto"/>
                    <w:bottom w:val="none" w:sz="0" w:space="0" w:color="auto"/>
                    <w:right w:val="none" w:sz="0" w:space="0" w:color="auto"/>
                  </w:divBdr>
                  <w:divsChild>
                    <w:div w:id="10051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95652">
      <w:bodyDiv w:val="1"/>
      <w:marLeft w:val="0"/>
      <w:marRight w:val="0"/>
      <w:marTop w:val="0"/>
      <w:marBottom w:val="0"/>
      <w:divBdr>
        <w:top w:val="none" w:sz="0" w:space="0" w:color="auto"/>
        <w:left w:val="none" w:sz="0" w:space="0" w:color="auto"/>
        <w:bottom w:val="none" w:sz="0" w:space="0" w:color="auto"/>
        <w:right w:val="none" w:sz="0" w:space="0" w:color="auto"/>
      </w:divBdr>
    </w:div>
    <w:div w:id="680931071">
      <w:bodyDiv w:val="1"/>
      <w:marLeft w:val="0"/>
      <w:marRight w:val="0"/>
      <w:marTop w:val="0"/>
      <w:marBottom w:val="0"/>
      <w:divBdr>
        <w:top w:val="none" w:sz="0" w:space="0" w:color="auto"/>
        <w:left w:val="none" w:sz="0" w:space="0" w:color="auto"/>
        <w:bottom w:val="none" w:sz="0" w:space="0" w:color="auto"/>
        <w:right w:val="none" w:sz="0" w:space="0" w:color="auto"/>
      </w:divBdr>
      <w:divsChild>
        <w:div w:id="991249340">
          <w:marLeft w:val="0"/>
          <w:marRight w:val="0"/>
          <w:marTop w:val="0"/>
          <w:marBottom w:val="0"/>
          <w:divBdr>
            <w:top w:val="none" w:sz="0" w:space="0" w:color="auto"/>
            <w:left w:val="none" w:sz="0" w:space="0" w:color="auto"/>
            <w:bottom w:val="none" w:sz="0" w:space="0" w:color="auto"/>
            <w:right w:val="none" w:sz="0" w:space="0" w:color="auto"/>
          </w:divBdr>
          <w:divsChild>
            <w:div w:id="616181047">
              <w:marLeft w:val="0"/>
              <w:marRight w:val="0"/>
              <w:marTop w:val="0"/>
              <w:marBottom w:val="0"/>
              <w:divBdr>
                <w:top w:val="none" w:sz="0" w:space="0" w:color="auto"/>
                <w:left w:val="none" w:sz="0" w:space="0" w:color="auto"/>
                <w:bottom w:val="none" w:sz="0" w:space="0" w:color="auto"/>
                <w:right w:val="none" w:sz="0" w:space="0" w:color="auto"/>
              </w:divBdr>
              <w:divsChild>
                <w:div w:id="279459004">
                  <w:marLeft w:val="0"/>
                  <w:marRight w:val="0"/>
                  <w:marTop w:val="0"/>
                  <w:marBottom w:val="0"/>
                  <w:divBdr>
                    <w:top w:val="none" w:sz="0" w:space="0" w:color="auto"/>
                    <w:left w:val="none" w:sz="0" w:space="0" w:color="auto"/>
                    <w:bottom w:val="none" w:sz="0" w:space="0" w:color="auto"/>
                    <w:right w:val="none" w:sz="0" w:space="0" w:color="auto"/>
                  </w:divBdr>
                  <w:divsChild>
                    <w:div w:id="85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048064">
      <w:bodyDiv w:val="1"/>
      <w:marLeft w:val="0"/>
      <w:marRight w:val="0"/>
      <w:marTop w:val="0"/>
      <w:marBottom w:val="0"/>
      <w:divBdr>
        <w:top w:val="none" w:sz="0" w:space="0" w:color="auto"/>
        <w:left w:val="none" w:sz="0" w:space="0" w:color="auto"/>
        <w:bottom w:val="none" w:sz="0" w:space="0" w:color="auto"/>
        <w:right w:val="none" w:sz="0" w:space="0" w:color="auto"/>
      </w:divBdr>
      <w:divsChild>
        <w:div w:id="349726334">
          <w:marLeft w:val="0"/>
          <w:marRight w:val="0"/>
          <w:marTop w:val="0"/>
          <w:marBottom w:val="0"/>
          <w:divBdr>
            <w:top w:val="none" w:sz="0" w:space="0" w:color="auto"/>
            <w:left w:val="none" w:sz="0" w:space="0" w:color="auto"/>
            <w:bottom w:val="none" w:sz="0" w:space="0" w:color="auto"/>
            <w:right w:val="none" w:sz="0" w:space="0" w:color="auto"/>
          </w:divBdr>
          <w:divsChild>
            <w:div w:id="1514883137">
              <w:marLeft w:val="0"/>
              <w:marRight w:val="0"/>
              <w:marTop w:val="0"/>
              <w:marBottom w:val="0"/>
              <w:divBdr>
                <w:top w:val="none" w:sz="0" w:space="0" w:color="auto"/>
                <w:left w:val="none" w:sz="0" w:space="0" w:color="auto"/>
                <w:bottom w:val="none" w:sz="0" w:space="0" w:color="auto"/>
                <w:right w:val="none" w:sz="0" w:space="0" w:color="auto"/>
              </w:divBdr>
              <w:divsChild>
                <w:div w:id="14827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75943">
      <w:bodyDiv w:val="1"/>
      <w:marLeft w:val="0"/>
      <w:marRight w:val="0"/>
      <w:marTop w:val="0"/>
      <w:marBottom w:val="0"/>
      <w:divBdr>
        <w:top w:val="none" w:sz="0" w:space="0" w:color="auto"/>
        <w:left w:val="none" w:sz="0" w:space="0" w:color="auto"/>
        <w:bottom w:val="none" w:sz="0" w:space="0" w:color="auto"/>
        <w:right w:val="none" w:sz="0" w:space="0" w:color="auto"/>
      </w:divBdr>
      <w:divsChild>
        <w:div w:id="1671906016">
          <w:marLeft w:val="0"/>
          <w:marRight w:val="0"/>
          <w:marTop w:val="0"/>
          <w:marBottom w:val="0"/>
          <w:divBdr>
            <w:top w:val="none" w:sz="0" w:space="0" w:color="auto"/>
            <w:left w:val="none" w:sz="0" w:space="0" w:color="auto"/>
            <w:bottom w:val="none" w:sz="0" w:space="0" w:color="auto"/>
            <w:right w:val="none" w:sz="0" w:space="0" w:color="auto"/>
          </w:divBdr>
          <w:divsChild>
            <w:div w:id="909466243">
              <w:marLeft w:val="0"/>
              <w:marRight w:val="0"/>
              <w:marTop w:val="0"/>
              <w:marBottom w:val="0"/>
              <w:divBdr>
                <w:top w:val="none" w:sz="0" w:space="0" w:color="auto"/>
                <w:left w:val="none" w:sz="0" w:space="0" w:color="auto"/>
                <w:bottom w:val="none" w:sz="0" w:space="0" w:color="auto"/>
                <w:right w:val="none" w:sz="0" w:space="0" w:color="auto"/>
              </w:divBdr>
              <w:divsChild>
                <w:div w:id="735317181">
                  <w:marLeft w:val="0"/>
                  <w:marRight w:val="0"/>
                  <w:marTop w:val="0"/>
                  <w:marBottom w:val="0"/>
                  <w:divBdr>
                    <w:top w:val="none" w:sz="0" w:space="0" w:color="auto"/>
                    <w:left w:val="none" w:sz="0" w:space="0" w:color="auto"/>
                    <w:bottom w:val="none" w:sz="0" w:space="0" w:color="auto"/>
                    <w:right w:val="none" w:sz="0" w:space="0" w:color="auto"/>
                  </w:divBdr>
                  <w:divsChild>
                    <w:div w:id="1025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67620">
      <w:bodyDiv w:val="1"/>
      <w:marLeft w:val="0"/>
      <w:marRight w:val="0"/>
      <w:marTop w:val="0"/>
      <w:marBottom w:val="0"/>
      <w:divBdr>
        <w:top w:val="none" w:sz="0" w:space="0" w:color="auto"/>
        <w:left w:val="none" w:sz="0" w:space="0" w:color="auto"/>
        <w:bottom w:val="none" w:sz="0" w:space="0" w:color="auto"/>
        <w:right w:val="none" w:sz="0" w:space="0" w:color="auto"/>
      </w:divBdr>
      <w:divsChild>
        <w:div w:id="643432482">
          <w:marLeft w:val="0"/>
          <w:marRight w:val="0"/>
          <w:marTop w:val="0"/>
          <w:marBottom w:val="0"/>
          <w:divBdr>
            <w:top w:val="none" w:sz="0" w:space="0" w:color="auto"/>
            <w:left w:val="none" w:sz="0" w:space="0" w:color="auto"/>
            <w:bottom w:val="none" w:sz="0" w:space="0" w:color="auto"/>
            <w:right w:val="none" w:sz="0" w:space="0" w:color="auto"/>
          </w:divBdr>
          <w:divsChild>
            <w:div w:id="103816128">
              <w:marLeft w:val="0"/>
              <w:marRight w:val="0"/>
              <w:marTop w:val="0"/>
              <w:marBottom w:val="0"/>
              <w:divBdr>
                <w:top w:val="none" w:sz="0" w:space="0" w:color="auto"/>
                <w:left w:val="none" w:sz="0" w:space="0" w:color="auto"/>
                <w:bottom w:val="none" w:sz="0" w:space="0" w:color="auto"/>
                <w:right w:val="none" w:sz="0" w:space="0" w:color="auto"/>
              </w:divBdr>
              <w:divsChild>
                <w:div w:id="6825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21811">
      <w:bodyDiv w:val="1"/>
      <w:marLeft w:val="0"/>
      <w:marRight w:val="0"/>
      <w:marTop w:val="0"/>
      <w:marBottom w:val="0"/>
      <w:divBdr>
        <w:top w:val="none" w:sz="0" w:space="0" w:color="auto"/>
        <w:left w:val="none" w:sz="0" w:space="0" w:color="auto"/>
        <w:bottom w:val="none" w:sz="0" w:space="0" w:color="auto"/>
        <w:right w:val="none" w:sz="0" w:space="0" w:color="auto"/>
      </w:divBdr>
      <w:divsChild>
        <w:div w:id="897978954">
          <w:marLeft w:val="0"/>
          <w:marRight w:val="0"/>
          <w:marTop w:val="0"/>
          <w:marBottom w:val="0"/>
          <w:divBdr>
            <w:top w:val="none" w:sz="0" w:space="0" w:color="auto"/>
            <w:left w:val="none" w:sz="0" w:space="0" w:color="auto"/>
            <w:bottom w:val="none" w:sz="0" w:space="0" w:color="auto"/>
            <w:right w:val="none" w:sz="0" w:space="0" w:color="auto"/>
          </w:divBdr>
          <w:divsChild>
            <w:div w:id="2041122321">
              <w:marLeft w:val="0"/>
              <w:marRight w:val="0"/>
              <w:marTop w:val="0"/>
              <w:marBottom w:val="0"/>
              <w:divBdr>
                <w:top w:val="none" w:sz="0" w:space="0" w:color="auto"/>
                <w:left w:val="none" w:sz="0" w:space="0" w:color="auto"/>
                <w:bottom w:val="none" w:sz="0" w:space="0" w:color="auto"/>
                <w:right w:val="none" w:sz="0" w:space="0" w:color="auto"/>
              </w:divBdr>
              <w:divsChild>
                <w:div w:id="19313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81819">
      <w:bodyDiv w:val="1"/>
      <w:marLeft w:val="0"/>
      <w:marRight w:val="0"/>
      <w:marTop w:val="0"/>
      <w:marBottom w:val="0"/>
      <w:divBdr>
        <w:top w:val="none" w:sz="0" w:space="0" w:color="auto"/>
        <w:left w:val="none" w:sz="0" w:space="0" w:color="auto"/>
        <w:bottom w:val="none" w:sz="0" w:space="0" w:color="auto"/>
        <w:right w:val="none" w:sz="0" w:space="0" w:color="auto"/>
      </w:divBdr>
      <w:divsChild>
        <w:div w:id="887834390">
          <w:marLeft w:val="0"/>
          <w:marRight w:val="0"/>
          <w:marTop w:val="0"/>
          <w:marBottom w:val="0"/>
          <w:divBdr>
            <w:top w:val="none" w:sz="0" w:space="0" w:color="auto"/>
            <w:left w:val="none" w:sz="0" w:space="0" w:color="auto"/>
            <w:bottom w:val="none" w:sz="0" w:space="0" w:color="auto"/>
            <w:right w:val="none" w:sz="0" w:space="0" w:color="auto"/>
          </w:divBdr>
          <w:divsChild>
            <w:div w:id="1325353624">
              <w:marLeft w:val="0"/>
              <w:marRight w:val="0"/>
              <w:marTop w:val="0"/>
              <w:marBottom w:val="0"/>
              <w:divBdr>
                <w:top w:val="none" w:sz="0" w:space="0" w:color="auto"/>
                <w:left w:val="none" w:sz="0" w:space="0" w:color="auto"/>
                <w:bottom w:val="none" w:sz="0" w:space="0" w:color="auto"/>
                <w:right w:val="none" w:sz="0" w:space="0" w:color="auto"/>
              </w:divBdr>
              <w:divsChild>
                <w:div w:id="10533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24744">
      <w:bodyDiv w:val="1"/>
      <w:marLeft w:val="0"/>
      <w:marRight w:val="0"/>
      <w:marTop w:val="0"/>
      <w:marBottom w:val="0"/>
      <w:divBdr>
        <w:top w:val="none" w:sz="0" w:space="0" w:color="auto"/>
        <w:left w:val="none" w:sz="0" w:space="0" w:color="auto"/>
        <w:bottom w:val="none" w:sz="0" w:space="0" w:color="auto"/>
        <w:right w:val="none" w:sz="0" w:space="0" w:color="auto"/>
      </w:divBdr>
      <w:divsChild>
        <w:div w:id="176310929">
          <w:marLeft w:val="0"/>
          <w:marRight w:val="0"/>
          <w:marTop w:val="0"/>
          <w:marBottom w:val="0"/>
          <w:divBdr>
            <w:top w:val="none" w:sz="0" w:space="0" w:color="auto"/>
            <w:left w:val="none" w:sz="0" w:space="0" w:color="auto"/>
            <w:bottom w:val="none" w:sz="0" w:space="0" w:color="auto"/>
            <w:right w:val="none" w:sz="0" w:space="0" w:color="auto"/>
          </w:divBdr>
          <w:divsChild>
            <w:div w:id="1523788353">
              <w:marLeft w:val="0"/>
              <w:marRight w:val="0"/>
              <w:marTop w:val="0"/>
              <w:marBottom w:val="0"/>
              <w:divBdr>
                <w:top w:val="none" w:sz="0" w:space="0" w:color="auto"/>
                <w:left w:val="none" w:sz="0" w:space="0" w:color="auto"/>
                <w:bottom w:val="none" w:sz="0" w:space="0" w:color="auto"/>
                <w:right w:val="none" w:sz="0" w:space="0" w:color="auto"/>
              </w:divBdr>
              <w:divsChild>
                <w:div w:id="3888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4455">
      <w:bodyDiv w:val="1"/>
      <w:marLeft w:val="0"/>
      <w:marRight w:val="0"/>
      <w:marTop w:val="0"/>
      <w:marBottom w:val="0"/>
      <w:divBdr>
        <w:top w:val="none" w:sz="0" w:space="0" w:color="auto"/>
        <w:left w:val="none" w:sz="0" w:space="0" w:color="auto"/>
        <w:bottom w:val="none" w:sz="0" w:space="0" w:color="auto"/>
        <w:right w:val="none" w:sz="0" w:space="0" w:color="auto"/>
      </w:divBdr>
    </w:div>
    <w:div w:id="701591534">
      <w:bodyDiv w:val="1"/>
      <w:marLeft w:val="0"/>
      <w:marRight w:val="0"/>
      <w:marTop w:val="0"/>
      <w:marBottom w:val="0"/>
      <w:divBdr>
        <w:top w:val="none" w:sz="0" w:space="0" w:color="auto"/>
        <w:left w:val="none" w:sz="0" w:space="0" w:color="auto"/>
        <w:bottom w:val="none" w:sz="0" w:space="0" w:color="auto"/>
        <w:right w:val="none" w:sz="0" w:space="0" w:color="auto"/>
      </w:divBdr>
      <w:divsChild>
        <w:div w:id="1458835381">
          <w:marLeft w:val="0"/>
          <w:marRight w:val="0"/>
          <w:marTop w:val="0"/>
          <w:marBottom w:val="0"/>
          <w:divBdr>
            <w:top w:val="none" w:sz="0" w:space="0" w:color="auto"/>
            <w:left w:val="none" w:sz="0" w:space="0" w:color="auto"/>
            <w:bottom w:val="none" w:sz="0" w:space="0" w:color="auto"/>
            <w:right w:val="none" w:sz="0" w:space="0" w:color="auto"/>
          </w:divBdr>
          <w:divsChild>
            <w:div w:id="1396511364">
              <w:marLeft w:val="0"/>
              <w:marRight w:val="0"/>
              <w:marTop w:val="0"/>
              <w:marBottom w:val="0"/>
              <w:divBdr>
                <w:top w:val="none" w:sz="0" w:space="0" w:color="auto"/>
                <w:left w:val="none" w:sz="0" w:space="0" w:color="auto"/>
                <w:bottom w:val="none" w:sz="0" w:space="0" w:color="auto"/>
                <w:right w:val="none" w:sz="0" w:space="0" w:color="auto"/>
              </w:divBdr>
              <w:divsChild>
                <w:div w:id="534075954">
                  <w:marLeft w:val="0"/>
                  <w:marRight w:val="0"/>
                  <w:marTop w:val="0"/>
                  <w:marBottom w:val="0"/>
                  <w:divBdr>
                    <w:top w:val="none" w:sz="0" w:space="0" w:color="auto"/>
                    <w:left w:val="none" w:sz="0" w:space="0" w:color="auto"/>
                    <w:bottom w:val="none" w:sz="0" w:space="0" w:color="auto"/>
                    <w:right w:val="none" w:sz="0" w:space="0" w:color="auto"/>
                  </w:divBdr>
                  <w:divsChild>
                    <w:div w:id="16347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905950">
      <w:bodyDiv w:val="1"/>
      <w:marLeft w:val="0"/>
      <w:marRight w:val="0"/>
      <w:marTop w:val="0"/>
      <w:marBottom w:val="0"/>
      <w:divBdr>
        <w:top w:val="none" w:sz="0" w:space="0" w:color="auto"/>
        <w:left w:val="none" w:sz="0" w:space="0" w:color="auto"/>
        <w:bottom w:val="none" w:sz="0" w:space="0" w:color="auto"/>
        <w:right w:val="none" w:sz="0" w:space="0" w:color="auto"/>
      </w:divBdr>
      <w:divsChild>
        <w:div w:id="1307392645">
          <w:marLeft w:val="0"/>
          <w:marRight w:val="0"/>
          <w:marTop w:val="0"/>
          <w:marBottom w:val="0"/>
          <w:divBdr>
            <w:top w:val="none" w:sz="0" w:space="0" w:color="auto"/>
            <w:left w:val="none" w:sz="0" w:space="0" w:color="auto"/>
            <w:bottom w:val="none" w:sz="0" w:space="0" w:color="auto"/>
            <w:right w:val="none" w:sz="0" w:space="0" w:color="auto"/>
          </w:divBdr>
          <w:divsChild>
            <w:div w:id="817571264">
              <w:marLeft w:val="0"/>
              <w:marRight w:val="0"/>
              <w:marTop w:val="0"/>
              <w:marBottom w:val="0"/>
              <w:divBdr>
                <w:top w:val="none" w:sz="0" w:space="0" w:color="auto"/>
                <w:left w:val="none" w:sz="0" w:space="0" w:color="auto"/>
                <w:bottom w:val="none" w:sz="0" w:space="0" w:color="auto"/>
                <w:right w:val="none" w:sz="0" w:space="0" w:color="auto"/>
              </w:divBdr>
              <w:divsChild>
                <w:div w:id="530580808">
                  <w:marLeft w:val="0"/>
                  <w:marRight w:val="0"/>
                  <w:marTop w:val="0"/>
                  <w:marBottom w:val="0"/>
                  <w:divBdr>
                    <w:top w:val="none" w:sz="0" w:space="0" w:color="auto"/>
                    <w:left w:val="none" w:sz="0" w:space="0" w:color="auto"/>
                    <w:bottom w:val="none" w:sz="0" w:space="0" w:color="auto"/>
                    <w:right w:val="none" w:sz="0" w:space="0" w:color="auto"/>
                  </w:divBdr>
                  <w:divsChild>
                    <w:div w:id="14667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440">
      <w:bodyDiv w:val="1"/>
      <w:marLeft w:val="0"/>
      <w:marRight w:val="0"/>
      <w:marTop w:val="0"/>
      <w:marBottom w:val="0"/>
      <w:divBdr>
        <w:top w:val="none" w:sz="0" w:space="0" w:color="auto"/>
        <w:left w:val="none" w:sz="0" w:space="0" w:color="auto"/>
        <w:bottom w:val="none" w:sz="0" w:space="0" w:color="auto"/>
        <w:right w:val="none" w:sz="0" w:space="0" w:color="auto"/>
      </w:divBdr>
    </w:div>
    <w:div w:id="725954373">
      <w:bodyDiv w:val="1"/>
      <w:marLeft w:val="0"/>
      <w:marRight w:val="0"/>
      <w:marTop w:val="0"/>
      <w:marBottom w:val="0"/>
      <w:divBdr>
        <w:top w:val="none" w:sz="0" w:space="0" w:color="auto"/>
        <w:left w:val="none" w:sz="0" w:space="0" w:color="auto"/>
        <w:bottom w:val="none" w:sz="0" w:space="0" w:color="auto"/>
        <w:right w:val="none" w:sz="0" w:space="0" w:color="auto"/>
      </w:divBdr>
    </w:div>
    <w:div w:id="735974095">
      <w:bodyDiv w:val="1"/>
      <w:marLeft w:val="0"/>
      <w:marRight w:val="0"/>
      <w:marTop w:val="0"/>
      <w:marBottom w:val="0"/>
      <w:divBdr>
        <w:top w:val="none" w:sz="0" w:space="0" w:color="auto"/>
        <w:left w:val="none" w:sz="0" w:space="0" w:color="auto"/>
        <w:bottom w:val="none" w:sz="0" w:space="0" w:color="auto"/>
        <w:right w:val="none" w:sz="0" w:space="0" w:color="auto"/>
      </w:divBdr>
    </w:div>
    <w:div w:id="743644540">
      <w:bodyDiv w:val="1"/>
      <w:marLeft w:val="0"/>
      <w:marRight w:val="0"/>
      <w:marTop w:val="0"/>
      <w:marBottom w:val="0"/>
      <w:divBdr>
        <w:top w:val="none" w:sz="0" w:space="0" w:color="auto"/>
        <w:left w:val="none" w:sz="0" w:space="0" w:color="auto"/>
        <w:bottom w:val="none" w:sz="0" w:space="0" w:color="auto"/>
        <w:right w:val="none" w:sz="0" w:space="0" w:color="auto"/>
      </w:divBdr>
      <w:divsChild>
        <w:div w:id="1852598667">
          <w:marLeft w:val="0"/>
          <w:marRight w:val="0"/>
          <w:marTop w:val="0"/>
          <w:marBottom w:val="0"/>
          <w:divBdr>
            <w:top w:val="none" w:sz="0" w:space="0" w:color="auto"/>
            <w:left w:val="none" w:sz="0" w:space="0" w:color="auto"/>
            <w:bottom w:val="none" w:sz="0" w:space="0" w:color="auto"/>
            <w:right w:val="none" w:sz="0" w:space="0" w:color="auto"/>
          </w:divBdr>
          <w:divsChild>
            <w:div w:id="105850729">
              <w:marLeft w:val="0"/>
              <w:marRight w:val="0"/>
              <w:marTop w:val="0"/>
              <w:marBottom w:val="0"/>
              <w:divBdr>
                <w:top w:val="none" w:sz="0" w:space="0" w:color="auto"/>
                <w:left w:val="none" w:sz="0" w:space="0" w:color="auto"/>
                <w:bottom w:val="none" w:sz="0" w:space="0" w:color="auto"/>
                <w:right w:val="none" w:sz="0" w:space="0" w:color="auto"/>
              </w:divBdr>
              <w:divsChild>
                <w:div w:id="513225455">
                  <w:marLeft w:val="0"/>
                  <w:marRight w:val="0"/>
                  <w:marTop w:val="0"/>
                  <w:marBottom w:val="0"/>
                  <w:divBdr>
                    <w:top w:val="none" w:sz="0" w:space="0" w:color="auto"/>
                    <w:left w:val="none" w:sz="0" w:space="0" w:color="auto"/>
                    <w:bottom w:val="none" w:sz="0" w:space="0" w:color="auto"/>
                    <w:right w:val="none" w:sz="0" w:space="0" w:color="auto"/>
                  </w:divBdr>
                  <w:divsChild>
                    <w:div w:id="4763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776583">
      <w:bodyDiv w:val="1"/>
      <w:marLeft w:val="0"/>
      <w:marRight w:val="0"/>
      <w:marTop w:val="0"/>
      <w:marBottom w:val="0"/>
      <w:divBdr>
        <w:top w:val="none" w:sz="0" w:space="0" w:color="auto"/>
        <w:left w:val="none" w:sz="0" w:space="0" w:color="auto"/>
        <w:bottom w:val="none" w:sz="0" w:space="0" w:color="auto"/>
        <w:right w:val="none" w:sz="0" w:space="0" w:color="auto"/>
      </w:divBdr>
    </w:div>
    <w:div w:id="750348980">
      <w:bodyDiv w:val="1"/>
      <w:marLeft w:val="0"/>
      <w:marRight w:val="0"/>
      <w:marTop w:val="0"/>
      <w:marBottom w:val="0"/>
      <w:divBdr>
        <w:top w:val="none" w:sz="0" w:space="0" w:color="auto"/>
        <w:left w:val="none" w:sz="0" w:space="0" w:color="auto"/>
        <w:bottom w:val="none" w:sz="0" w:space="0" w:color="auto"/>
        <w:right w:val="none" w:sz="0" w:space="0" w:color="auto"/>
      </w:divBdr>
      <w:divsChild>
        <w:div w:id="1461263957">
          <w:marLeft w:val="0"/>
          <w:marRight w:val="0"/>
          <w:marTop w:val="0"/>
          <w:marBottom w:val="0"/>
          <w:divBdr>
            <w:top w:val="none" w:sz="0" w:space="0" w:color="auto"/>
            <w:left w:val="none" w:sz="0" w:space="0" w:color="auto"/>
            <w:bottom w:val="none" w:sz="0" w:space="0" w:color="auto"/>
            <w:right w:val="none" w:sz="0" w:space="0" w:color="auto"/>
          </w:divBdr>
          <w:divsChild>
            <w:div w:id="1327125178">
              <w:marLeft w:val="0"/>
              <w:marRight w:val="0"/>
              <w:marTop w:val="0"/>
              <w:marBottom w:val="0"/>
              <w:divBdr>
                <w:top w:val="none" w:sz="0" w:space="0" w:color="auto"/>
                <w:left w:val="none" w:sz="0" w:space="0" w:color="auto"/>
                <w:bottom w:val="none" w:sz="0" w:space="0" w:color="auto"/>
                <w:right w:val="none" w:sz="0" w:space="0" w:color="auto"/>
              </w:divBdr>
              <w:divsChild>
                <w:div w:id="9829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86571">
      <w:bodyDiv w:val="1"/>
      <w:marLeft w:val="0"/>
      <w:marRight w:val="0"/>
      <w:marTop w:val="0"/>
      <w:marBottom w:val="0"/>
      <w:divBdr>
        <w:top w:val="none" w:sz="0" w:space="0" w:color="auto"/>
        <w:left w:val="none" w:sz="0" w:space="0" w:color="auto"/>
        <w:bottom w:val="none" w:sz="0" w:space="0" w:color="auto"/>
        <w:right w:val="none" w:sz="0" w:space="0" w:color="auto"/>
      </w:divBdr>
      <w:divsChild>
        <w:div w:id="2085568134">
          <w:marLeft w:val="0"/>
          <w:marRight w:val="0"/>
          <w:marTop w:val="0"/>
          <w:marBottom w:val="0"/>
          <w:divBdr>
            <w:top w:val="none" w:sz="0" w:space="0" w:color="auto"/>
            <w:left w:val="none" w:sz="0" w:space="0" w:color="auto"/>
            <w:bottom w:val="none" w:sz="0" w:space="0" w:color="auto"/>
            <w:right w:val="none" w:sz="0" w:space="0" w:color="auto"/>
          </w:divBdr>
          <w:divsChild>
            <w:div w:id="1747608726">
              <w:marLeft w:val="0"/>
              <w:marRight w:val="0"/>
              <w:marTop w:val="0"/>
              <w:marBottom w:val="0"/>
              <w:divBdr>
                <w:top w:val="none" w:sz="0" w:space="0" w:color="auto"/>
                <w:left w:val="none" w:sz="0" w:space="0" w:color="auto"/>
                <w:bottom w:val="none" w:sz="0" w:space="0" w:color="auto"/>
                <w:right w:val="none" w:sz="0" w:space="0" w:color="auto"/>
              </w:divBdr>
              <w:divsChild>
                <w:div w:id="13933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93558">
      <w:bodyDiv w:val="1"/>
      <w:marLeft w:val="0"/>
      <w:marRight w:val="0"/>
      <w:marTop w:val="0"/>
      <w:marBottom w:val="0"/>
      <w:divBdr>
        <w:top w:val="none" w:sz="0" w:space="0" w:color="auto"/>
        <w:left w:val="none" w:sz="0" w:space="0" w:color="auto"/>
        <w:bottom w:val="none" w:sz="0" w:space="0" w:color="auto"/>
        <w:right w:val="none" w:sz="0" w:space="0" w:color="auto"/>
      </w:divBdr>
      <w:divsChild>
        <w:div w:id="202600720">
          <w:marLeft w:val="0"/>
          <w:marRight w:val="0"/>
          <w:marTop w:val="0"/>
          <w:marBottom w:val="0"/>
          <w:divBdr>
            <w:top w:val="none" w:sz="0" w:space="0" w:color="auto"/>
            <w:left w:val="none" w:sz="0" w:space="0" w:color="auto"/>
            <w:bottom w:val="none" w:sz="0" w:space="0" w:color="auto"/>
            <w:right w:val="none" w:sz="0" w:space="0" w:color="auto"/>
          </w:divBdr>
          <w:divsChild>
            <w:div w:id="1137649800">
              <w:marLeft w:val="0"/>
              <w:marRight w:val="0"/>
              <w:marTop w:val="0"/>
              <w:marBottom w:val="0"/>
              <w:divBdr>
                <w:top w:val="none" w:sz="0" w:space="0" w:color="auto"/>
                <w:left w:val="none" w:sz="0" w:space="0" w:color="auto"/>
                <w:bottom w:val="none" w:sz="0" w:space="0" w:color="auto"/>
                <w:right w:val="none" w:sz="0" w:space="0" w:color="auto"/>
              </w:divBdr>
              <w:divsChild>
                <w:div w:id="1293249742">
                  <w:marLeft w:val="0"/>
                  <w:marRight w:val="0"/>
                  <w:marTop w:val="0"/>
                  <w:marBottom w:val="0"/>
                  <w:divBdr>
                    <w:top w:val="none" w:sz="0" w:space="0" w:color="auto"/>
                    <w:left w:val="none" w:sz="0" w:space="0" w:color="auto"/>
                    <w:bottom w:val="none" w:sz="0" w:space="0" w:color="auto"/>
                    <w:right w:val="none" w:sz="0" w:space="0" w:color="auto"/>
                  </w:divBdr>
                  <w:divsChild>
                    <w:div w:id="2555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7117">
      <w:bodyDiv w:val="1"/>
      <w:marLeft w:val="0"/>
      <w:marRight w:val="0"/>
      <w:marTop w:val="0"/>
      <w:marBottom w:val="0"/>
      <w:divBdr>
        <w:top w:val="none" w:sz="0" w:space="0" w:color="auto"/>
        <w:left w:val="none" w:sz="0" w:space="0" w:color="auto"/>
        <w:bottom w:val="none" w:sz="0" w:space="0" w:color="auto"/>
        <w:right w:val="none" w:sz="0" w:space="0" w:color="auto"/>
      </w:divBdr>
      <w:divsChild>
        <w:div w:id="2017532557">
          <w:marLeft w:val="0"/>
          <w:marRight w:val="0"/>
          <w:marTop w:val="0"/>
          <w:marBottom w:val="0"/>
          <w:divBdr>
            <w:top w:val="none" w:sz="0" w:space="0" w:color="auto"/>
            <w:left w:val="none" w:sz="0" w:space="0" w:color="auto"/>
            <w:bottom w:val="none" w:sz="0" w:space="0" w:color="auto"/>
            <w:right w:val="none" w:sz="0" w:space="0" w:color="auto"/>
          </w:divBdr>
          <w:divsChild>
            <w:div w:id="2104836654">
              <w:marLeft w:val="0"/>
              <w:marRight w:val="0"/>
              <w:marTop w:val="0"/>
              <w:marBottom w:val="0"/>
              <w:divBdr>
                <w:top w:val="none" w:sz="0" w:space="0" w:color="auto"/>
                <w:left w:val="none" w:sz="0" w:space="0" w:color="auto"/>
                <w:bottom w:val="none" w:sz="0" w:space="0" w:color="auto"/>
                <w:right w:val="none" w:sz="0" w:space="0" w:color="auto"/>
              </w:divBdr>
              <w:divsChild>
                <w:div w:id="515005516">
                  <w:marLeft w:val="0"/>
                  <w:marRight w:val="0"/>
                  <w:marTop w:val="0"/>
                  <w:marBottom w:val="0"/>
                  <w:divBdr>
                    <w:top w:val="none" w:sz="0" w:space="0" w:color="auto"/>
                    <w:left w:val="none" w:sz="0" w:space="0" w:color="auto"/>
                    <w:bottom w:val="none" w:sz="0" w:space="0" w:color="auto"/>
                    <w:right w:val="none" w:sz="0" w:space="0" w:color="auto"/>
                  </w:divBdr>
                  <w:divsChild>
                    <w:div w:id="18423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677927">
      <w:bodyDiv w:val="1"/>
      <w:marLeft w:val="0"/>
      <w:marRight w:val="0"/>
      <w:marTop w:val="0"/>
      <w:marBottom w:val="0"/>
      <w:divBdr>
        <w:top w:val="none" w:sz="0" w:space="0" w:color="auto"/>
        <w:left w:val="none" w:sz="0" w:space="0" w:color="auto"/>
        <w:bottom w:val="none" w:sz="0" w:space="0" w:color="auto"/>
        <w:right w:val="none" w:sz="0" w:space="0" w:color="auto"/>
      </w:divBdr>
    </w:div>
    <w:div w:id="763913459">
      <w:bodyDiv w:val="1"/>
      <w:marLeft w:val="0"/>
      <w:marRight w:val="0"/>
      <w:marTop w:val="0"/>
      <w:marBottom w:val="0"/>
      <w:divBdr>
        <w:top w:val="none" w:sz="0" w:space="0" w:color="auto"/>
        <w:left w:val="none" w:sz="0" w:space="0" w:color="auto"/>
        <w:bottom w:val="none" w:sz="0" w:space="0" w:color="auto"/>
        <w:right w:val="none" w:sz="0" w:space="0" w:color="auto"/>
      </w:divBdr>
      <w:divsChild>
        <w:div w:id="1355616271">
          <w:marLeft w:val="0"/>
          <w:marRight w:val="0"/>
          <w:marTop w:val="0"/>
          <w:marBottom w:val="0"/>
          <w:divBdr>
            <w:top w:val="none" w:sz="0" w:space="0" w:color="auto"/>
            <w:left w:val="none" w:sz="0" w:space="0" w:color="auto"/>
            <w:bottom w:val="none" w:sz="0" w:space="0" w:color="auto"/>
            <w:right w:val="none" w:sz="0" w:space="0" w:color="auto"/>
          </w:divBdr>
          <w:divsChild>
            <w:div w:id="1260606265">
              <w:marLeft w:val="0"/>
              <w:marRight w:val="0"/>
              <w:marTop w:val="0"/>
              <w:marBottom w:val="0"/>
              <w:divBdr>
                <w:top w:val="none" w:sz="0" w:space="0" w:color="auto"/>
                <w:left w:val="none" w:sz="0" w:space="0" w:color="auto"/>
                <w:bottom w:val="none" w:sz="0" w:space="0" w:color="auto"/>
                <w:right w:val="none" w:sz="0" w:space="0" w:color="auto"/>
              </w:divBdr>
              <w:divsChild>
                <w:div w:id="1002126649">
                  <w:marLeft w:val="0"/>
                  <w:marRight w:val="0"/>
                  <w:marTop w:val="0"/>
                  <w:marBottom w:val="0"/>
                  <w:divBdr>
                    <w:top w:val="none" w:sz="0" w:space="0" w:color="auto"/>
                    <w:left w:val="none" w:sz="0" w:space="0" w:color="auto"/>
                    <w:bottom w:val="none" w:sz="0" w:space="0" w:color="auto"/>
                    <w:right w:val="none" w:sz="0" w:space="0" w:color="auto"/>
                  </w:divBdr>
                  <w:divsChild>
                    <w:div w:id="7093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44074">
      <w:bodyDiv w:val="1"/>
      <w:marLeft w:val="0"/>
      <w:marRight w:val="0"/>
      <w:marTop w:val="0"/>
      <w:marBottom w:val="0"/>
      <w:divBdr>
        <w:top w:val="none" w:sz="0" w:space="0" w:color="auto"/>
        <w:left w:val="none" w:sz="0" w:space="0" w:color="auto"/>
        <w:bottom w:val="none" w:sz="0" w:space="0" w:color="auto"/>
        <w:right w:val="none" w:sz="0" w:space="0" w:color="auto"/>
      </w:divBdr>
    </w:div>
    <w:div w:id="766972900">
      <w:bodyDiv w:val="1"/>
      <w:marLeft w:val="0"/>
      <w:marRight w:val="0"/>
      <w:marTop w:val="0"/>
      <w:marBottom w:val="0"/>
      <w:divBdr>
        <w:top w:val="none" w:sz="0" w:space="0" w:color="auto"/>
        <w:left w:val="none" w:sz="0" w:space="0" w:color="auto"/>
        <w:bottom w:val="none" w:sz="0" w:space="0" w:color="auto"/>
        <w:right w:val="none" w:sz="0" w:space="0" w:color="auto"/>
      </w:divBdr>
      <w:divsChild>
        <w:div w:id="1734620485">
          <w:marLeft w:val="0"/>
          <w:marRight w:val="0"/>
          <w:marTop w:val="0"/>
          <w:marBottom w:val="0"/>
          <w:divBdr>
            <w:top w:val="none" w:sz="0" w:space="0" w:color="auto"/>
            <w:left w:val="none" w:sz="0" w:space="0" w:color="auto"/>
            <w:bottom w:val="none" w:sz="0" w:space="0" w:color="auto"/>
            <w:right w:val="none" w:sz="0" w:space="0" w:color="auto"/>
          </w:divBdr>
          <w:divsChild>
            <w:div w:id="386337241">
              <w:marLeft w:val="0"/>
              <w:marRight w:val="0"/>
              <w:marTop w:val="0"/>
              <w:marBottom w:val="0"/>
              <w:divBdr>
                <w:top w:val="none" w:sz="0" w:space="0" w:color="auto"/>
                <w:left w:val="none" w:sz="0" w:space="0" w:color="auto"/>
                <w:bottom w:val="none" w:sz="0" w:space="0" w:color="auto"/>
                <w:right w:val="none" w:sz="0" w:space="0" w:color="auto"/>
              </w:divBdr>
              <w:divsChild>
                <w:div w:id="3838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50618">
      <w:bodyDiv w:val="1"/>
      <w:marLeft w:val="0"/>
      <w:marRight w:val="0"/>
      <w:marTop w:val="0"/>
      <w:marBottom w:val="0"/>
      <w:divBdr>
        <w:top w:val="none" w:sz="0" w:space="0" w:color="auto"/>
        <w:left w:val="none" w:sz="0" w:space="0" w:color="auto"/>
        <w:bottom w:val="none" w:sz="0" w:space="0" w:color="auto"/>
        <w:right w:val="none" w:sz="0" w:space="0" w:color="auto"/>
      </w:divBdr>
      <w:divsChild>
        <w:div w:id="1109350581">
          <w:marLeft w:val="0"/>
          <w:marRight w:val="0"/>
          <w:marTop w:val="0"/>
          <w:marBottom w:val="0"/>
          <w:divBdr>
            <w:top w:val="none" w:sz="0" w:space="0" w:color="auto"/>
            <w:left w:val="none" w:sz="0" w:space="0" w:color="auto"/>
            <w:bottom w:val="none" w:sz="0" w:space="0" w:color="auto"/>
            <w:right w:val="none" w:sz="0" w:space="0" w:color="auto"/>
          </w:divBdr>
          <w:divsChild>
            <w:div w:id="1895120275">
              <w:marLeft w:val="0"/>
              <w:marRight w:val="0"/>
              <w:marTop w:val="0"/>
              <w:marBottom w:val="0"/>
              <w:divBdr>
                <w:top w:val="none" w:sz="0" w:space="0" w:color="auto"/>
                <w:left w:val="none" w:sz="0" w:space="0" w:color="auto"/>
                <w:bottom w:val="none" w:sz="0" w:space="0" w:color="auto"/>
                <w:right w:val="none" w:sz="0" w:space="0" w:color="auto"/>
              </w:divBdr>
              <w:divsChild>
                <w:div w:id="8444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60631">
      <w:bodyDiv w:val="1"/>
      <w:marLeft w:val="0"/>
      <w:marRight w:val="0"/>
      <w:marTop w:val="0"/>
      <w:marBottom w:val="0"/>
      <w:divBdr>
        <w:top w:val="none" w:sz="0" w:space="0" w:color="auto"/>
        <w:left w:val="none" w:sz="0" w:space="0" w:color="auto"/>
        <w:bottom w:val="none" w:sz="0" w:space="0" w:color="auto"/>
        <w:right w:val="none" w:sz="0" w:space="0" w:color="auto"/>
      </w:divBdr>
      <w:divsChild>
        <w:div w:id="938416551">
          <w:marLeft w:val="0"/>
          <w:marRight w:val="0"/>
          <w:marTop w:val="0"/>
          <w:marBottom w:val="0"/>
          <w:divBdr>
            <w:top w:val="none" w:sz="0" w:space="0" w:color="auto"/>
            <w:left w:val="none" w:sz="0" w:space="0" w:color="auto"/>
            <w:bottom w:val="none" w:sz="0" w:space="0" w:color="auto"/>
            <w:right w:val="none" w:sz="0" w:space="0" w:color="auto"/>
          </w:divBdr>
          <w:divsChild>
            <w:div w:id="663435336">
              <w:marLeft w:val="0"/>
              <w:marRight w:val="0"/>
              <w:marTop w:val="0"/>
              <w:marBottom w:val="0"/>
              <w:divBdr>
                <w:top w:val="none" w:sz="0" w:space="0" w:color="auto"/>
                <w:left w:val="none" w:sz="0" w:space="0" w:color="auto"/>
                <w:bottom w:val="none" w:sz="0" w:space="0" w:color="auto"/>
                <w:right w:val="none" w:sz="0" w:space="0" w:color="auto"/>
              </w:divBdr>
              <w:divsChild>
                <w:div w:id="5543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71268">
      <w:bodyDiv w:val="1"/>
      <w:marLeft w:val="0"/>
      <w:marRight w:val="0"/>
      <w:marTop w:val="0"/>
      <w:marBottom w:val="0"/>
      <w:divBdr>
        <w:top w:val="none" w:sz="0" w:space="0" w:color="auto"/>
        <w:left w:val="none" w:sz="0" w:space="0" w:color="auto"/>
        <w:bottom w:val="none" w:sz="0" w:space="0" w:color="auto"/>
        <w:right w:val="none" w:sz="0" w:space="0" w:color="auto"/>
      </w:divBdr>
      <w:divsChild>
        <w:div w:id="1012801116">
          <w:marLeft w:val="0"/>
          <w:marRight w:val="0"/>
          <w:marTop w:val="0"/>
          <w:marBottom w:val="0"/>
          <w:divBdr>
            <w:top w:val="none" w:sz="0" w:space="0" w:color="auto"/>
            <w:left w:val="none" w:sz="0" w:space="0" w:color="auto"/>
            <w:bottom w:val="none" w:sz="0" w:space="0" w:color="auto"/>
            <w:right w:val="none" w:sz="0" w:space="0" w:color="auto"/>
          </w:divBdr>
          <w:divsChild>
            <w:div w:id="789009619">
              <w:marLeft w:val="0"/>
              <w:marRight w:val="0"/>
              <w:marTop w:val="0"/>
              <w:marBottom w:val="0"/>
              <w:divBdr>
                <w:top w:val="none" w:sz="0" w:space="0" w:color="auto"/>
                <w:left w:val="none" w:sz="0" w:space="0" w:color="auto"/>
                <w:bottom w:val="none" w:sz="0" w:space="0" w:color="auto"/>
                <w:right w:val="none" w:sz="0" w:space="0" w:color="auto"/>
              </w:divBdr>
              <w:divsChild>
                <w:div w:id="5039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77069">
      <w:bodyDiv w:val="1"/>
      <w:marLeft w:val="0"/>
      <w:marRight w:val="0"/>
      <w:marTop w:val="0"/>
      <w:marBottom w:val="0"/>
      <w:divBdr>
        <w:top w:val="none" w:sz="0" w:space="0" w:color="auto"/>
        <w:left w:val="none" w:sz="0" w:space="0" w:color="auto"/>
        <w:bottom w:val="none" w:sz="0" w:space="0" w:color="auto"/>
        <w:right w:val="none" w:sz="0" w:space="0" w:color="auto"/>
      </w:divBdr>
      <w:divsChild>
        <w:div w:id="112722835">
          <w:marLeft w:val="0"/>
          <w:marRight w:val="0"/>
          <w:marTop w:val="0"/>
          <w:marBottom w:val="0"/>
          <w:divBdr>
            <w:top w:val="none" w:sz="0" w:space="0" w:color="auto"/>
            <w:left w:val="none" w:sz="0" w:space="0" w:color="auto"/>
            <w:bottom w:val="none" w:sz="0" w:space="0" w:color="auto"/>
            <w:right w:val="none" w:sz="0" w:space="0" w:color="auto"/>
          </w:divBdr>
          <w:divsChild>
            <w:div w:id="2111125184">
              <w:marLeft w:val="0"/>
              <w:marRight w:val="0"/>
              <w:marTop w:val="0"/>
              <w:marBottom w:val="0"/>
              <w:divBdr>
                <w:top w:val="none" w:sz="0" w:space="0" w:color="auto"/>
                <w:left w:val="none" w:sz="0" w:space="0" w:color="auto"/>
                <w:bottom w:val="none" w:sz="0" w:space="0" w:color="auto"/>
                <w:right w:val="none" w:sz="0" w:space="0" w:color="auto"/>
              </w:divBdr>
              <w:divsChild>
                <w:div w:id="1709259930">
                  <w:marLeft w:val="0"/>
                  <w:marRight w:val="0"/>
                  <w:marTop w:val="0"/>
                  <w:marBottom w:val="0"/>
                  <w:divBdr>
                    <w:top w:val="none" w:sz="0" w:space="0" w:color="auto"/>
                    <w:left w:val="none" w:sz="0" w:space="0" w:color="auto"/>
                    <w:bottom w:val="none" w:sz="0" w:space="0" w:color="auto"/>
                    <w:right w:val="none" w:sz="0" w:space="0" w:color="auto"/>
                  </w:divBdr>
                  <w:divsChild>
                    <w:div w:id="16293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06970">
      <w:bodyDiv w:val="1"/>
      <w:marLeft w:val="0"/>
      <w:marRight w:val="0"/>
      <w:marTop w:val="0"/>
      <w:marBottom w:val="0"/>
      <w:divBdr>
        <w:top w:val="none" w:sz="0" w:space="0" w:color="auto"/>
        <w:left w:val="none" w:sz="0" w:space="0" w:color="auto"/>
        <w:bottom w:val="none" w:sz="0" w:space="0" w:color="auto"/>
        <w:right w:val="none" w:sz="0" w:space="0" w:color="auto"/>
      </w:divBdr>
    </w:div>
    <w:div w:id="800734683">
      <w:bodyDiv w:val="1"/>
      <w:marLeft w:val="0"/>
      <w:marRight w:val="0"/>
      <w:marTop w:val="0"/>
      <w:marBottom w:val="0"/>
      <w:divBdr>
        <w:top w:val="none" w:sz="0" w:space="0" w:color="auto"/>
        <w:left w:val="none" w:sz="0" w:space="0" w:color="auto"/>
        <w:bottom w:val="none" w:sz="0" w:space="0" w:color="auto"/>
        <w:right w:val="none" w:sz="0" w:space="0" w:color="auto"/>
      </w:divBdr>
    </w:div>
    <w:div w:id="801046865">
      <w:bodyDiv w:val="1"/>
      <w:marLeft w:val="0"/>
      <w:marRight w:val="0"/>
      <w:marTop w:val="0"/>
      <w:marBottom w:val="0"/>
      <w:divBdr>
        <w:top w:val="none" w:sz="0" w:space="0" w:color="auto"/>
        <w:left w:val="none" w:sz="0" w:space="0" w:color="auto"/>
        <w:bottom w:val="none" w:sz="0" w:space="0" w:color="auto"/>
        <w:right w:val="none" w:sz="0" w:space="0" w:color="auto"/>
      </w:divBdr>
      <w:divsChild>
        <w:div w:id="1886986193">
          <w:marLeft w:val="0"/>
          <w:marRight w:val="0"/>
          <w:marTop w:val="0"/>
          <w:marBottom w:val="0"/>
          <w:divBdr>
            <w:top w:val="none" w:sz="0" w:space="0" w:color="auto"/>
            <w:left w:val="none" w:sz="0" w:space="0" w:color="auto"/>
            <w:bottom w:val="none" w:sz="0" w:space="0" w:color="auto"/>
            <w:right w:val="none" w:sz="0" w:space="0" w:color="auto"/>
          </w:divBdr>
          <w:divsChild>
            <w:div w:id="866866341">
              <w:marLeft w:val="0"/>
              <w:marRight w:val="0"/>
              <w:marTop w:val="0"/>
              <w:marBottom w:val="0"/>
              <w:divBdr>
                <w:top w:val="none" w:sz="0" w:space="0" w:color="auto"/>
                <w:left w:val="none" w:sz="0" w:space="0" w:color="auto"/>
                <w:bottom w:val="none" w:sz="0" w:space="0" w:color="auto"/>
                <w:right w:val="none" w:sz="0" w:space="0" w:color="auto"/>
              </w:divBdr>
              <w:divsChild>
                <w:div w:id="2660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2420">
      <w:bodyDiv w:val="1"/>
      <w:marLeft w:val="0"/>
      <w:marRight w:val="0"/>
      <w:marTop w:val="0"/>
      <w:marBottom w:val="0"/>
      <w:divBdr>
        <w:top w:val="none" w:sz="0" w:space="0" w:color="auto"/>
        <w:left w:val="none" w:sz="0" w:space="0" w:color="auto"/>
        <w:bottom w:val="none" w:sz="0" w:space="0" w:color="auto"/>
        <w:right w:val="none" w:sz="0" w:space="0" w:color="auto"/>
      </w:divBdr>
      <w:divsChild>
        <w:div w:id="326976501">
          <w:marLeft w:val="0"/>
          <w:marRight w:val="0"/>
          <w:marTop w:val="0"/>
          <w:marBottom w:val="0"/>
          <w:divBdr>
            <w:top w:val="none" w:sz="0" w:space="0" w:color="auto"/>
            <w:left w:val="none" w:sz="0" w:space="0" w:color="auto"/>
            <w:bottom w:val="none" w:sz="0" w:space="0" w:color="auto"/>
            <w:right w:val="none" w:sz="0" w:space="0" w:color="auto"/>
          </w:divBdr>
          <w:divsChild>
            <w:div w:id="111018778">
              <w:marLeft w:val="0"/>
              <w:marRight w:val="0"/>
              <w:marTop w:val="0"/>
              <w:marBottom w:val="0"/>
              <w:divBdr>
                <w:top w:val="none" w:sz="0" w:space="0" w:color="auto"/>
                <w:left w:val="none" w:sz="0" w:space="0" w:color="auto"/>
                <w:bottom w:val="none" w:sz="0" w:space="0" w:color="auto"/>
                <w:right w:val="none" w:sz="0" w:space="0" w:color="auto"/>
              </w:divBdr>
              <w:divsChild>
                <w:div w:id="294140338">
                  <w:marLeft w:val="0"/>
                  <w:marRight w:val="0"/>
                  <w:marTop w:val="0"/>
                  <w:marBottom w:val="0"/>
                  <w:divBdr>
                    <w:top w:val="none" w:sz="0" w:space="0" w:color="auto"/>
                    <w:left w:val="none" w:sz="0" w:space="0" w:color="auto"/>
                    <w:bottom w:val="none" w:sz="0" w:space="0" w:color="auto"/>
                    <w:right w:val="none" w:sz="0" w:space="0" w:color="auto"/>
                  </w:divBdr>
                  <w:divsChild>
                    <w:div w:id="2322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73229">
      <w:bodyDiv w:val="1"/>
      <w:marLeft w:val="0"/>
      <w:marRight w:val="0"/>
      <w:marTop w:val="0"/>
      <w:marBottom w:val="0"/>
      <w:divBdr>
        <w:top w:val="none" w:sz="0" w:space="0" w:color="auto"/>
        <w:left w:val="none" w:sz="0" w:space="0" w:color="auto"/>
        <w:bottom w:val="none" w:sz="0" w:space="0" w:color="auto"/>
        <w:right w:val="none" w:sz="0" w:space="0" w:color="auto"/>
      </w:divBdr>
      <w:divsChild>
        <w:div w:id="1724405941">
          <w:marLeft w:val="0"/>
          <w:marRight w:val="0"/>
          <w:marTop w:val="0"/>
          <w:marBottom w:val="0"/>
          <w:divBdr>
            <w:top w:val="none" w:sz="0" w:space="0" w:color="auto"/>
            <w:left w:val="none" w:sz="0" w:space="0" w:color="auto"/>
            <w:bottom w:val="none" w:sz="0" w:space="0" w:color="auto"/>
            <w:right w:val="none" w:sz="0" w:space="0" w:color="auto"/>
          </w:divBdr>
          <w:divsChild>
            <w:div w:id="1241064063">
              <w:marLeft w:val="0"/>
              <w:marRight w:val="0"/>
              <w:marTop w:val="0"/>
              <w:marBottom w:val="0"/>
              <w:divBdr>
                <w:top w:val="none" w:sz="0" w:space="0" w:color="auto"/>
                <w:left w:val="none" w:sz="0" w:space="0" w:color="auto"/>
                <w:bottom w:val="none" w:sz="0" w:space="0" w:color="auto"/>
                <w:right w:val="none" w:sz="0" w:space="0" w:color="auto"/>
              </w:divBdr>
              <w:divsChild>
                <w:div w:id="5893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4681">
      <w:bodyDiv w:val="1"/>
      <w:marLeft w:val="0"/>
      <w:marRight w:val="0"/>
      <w:marTop w:val="0"/>
      <w:marBottom w:val="0"/>
      <w:divBdr>
        <w:top w:val="none" w:sz="0" w:space="0" w:color="auto"/>
        <w:left w:val="none" w:sz="0" w:space="0" w:color="auto"/>
        <w:bottom w:val="none" w:sz="0" w:space="0" w:color="auto"/>
        <w:right w:val="none" w:sz="0" w:space="0" w:color="auto"/>
      </w:divBdr>
      <w:divsChild>
        <w:div w:id="2007631894">
          <w:marLeft w:val="0"/>
          <w:marRight w:val="0"/>
          <w:marTop w:val="0"/>
          <w:marBottom w:val="0"/>
          <w:divBdr>
            <w:top w:val="none" w:sz="0" w:space="0" w:color="auto"/>
            <w:left w:val="none" w:sz="0" w:space="0" w:color="auto"/>
            <w:bottom w:val="none" w:sz="0" w:space="0" w:color="auto"/>
            <w:right w:val="none" w:sz="0" w:space="0" w:color="auto"/>
          </w:divBdr>
          <w:divsChild>
            <w:div w:id="1336112363">
              <w:marLeft w:val="0"/>
              <w:marRight w:val="0"/>
              <w:marTop w:val="0"/>
              <w:marBottom w:val="0"/>
              <w:divBdr>
                <w:top w:val="none" w:sz="0" w:space="0" w:color="auto"/>
                <w:left w:val="none" w:sz="0" w:space="0" w:color="auto"/>
                <w:bottom w:val="none" w:sz="0" w:space="0" w:color="auto"/>
                <w:right w:val="none" w:sz="0" w:space="0" w:color="auto"/>
              </w:divBdr>
              <w:divsChild>
                <w:div w:id="1607075652">
                  <w:marLeft w:val="0"/>
                  <w:marRight w:val="0"/>
                  <w:marTop w:val="0"/>
                  <w:marBottom w:val="0"/>
                  <w:divBdr>
                    <w:top w:val="none" w:sz="0" w:space="0" w:color="auto"/>
                    <w:left w:val="none" w:sz="0" w:space="0" w:color="auto"/>
                    <w:bottom w:val="none" w:sz="0" w:space="0" w:color="auto"/>
                    <w:right w:val="none" w:sz="0" w:space="0" w:color="auto"/>
                  </w:divBdr>
                  <w:divsChild>
                    <w:div w:id="14651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9205">
      <w:bodyDiv w:val="1"/>
      <w:marLeft w:val="0"/>
      <w:marRight w:val="0"/>
      <w:marTop w:val="0"/>
      <w:marBottom w:val="0"/>
      <w:divBdr>
        <w:top w:val="none" w:sz="0" w:space="0" w:color="auto"/>
        <w:left w:val="none" w:sz="0" w:space="0" w:color="auto"/>
        <w:bottom w:val="none" w:sz="0" w:space="0" w:color="auto"/>
        <w:right w:val="none" w:sz="0" w:space="0" w:color="auto"/>
      </w:divBdr>
    </w:div>
    <w:div w:id="823469126">
      <w:bodyDiv w:val="1"/>
      <w:marLeft w:val="0"/>
      <w:marRight w:val="0"/>
      <w:marTop w:val="0"/>
      <w:marBottom w:val="0"/>
      <w:divBdr>
        <w:top w:val="none" w:sz="0" w:space="0" w:color="auto"/>
        <w:left w:val="none" w:sz="0" w:space="0" w:color="auto"/>
        <w:bottom w:val="none" w:sz="0" w:space="0" w:color="auto"/>
        <w:right w:val="none" w:sz="0" w:space="0" w:color="auto"/>
      </w:divBdr>
      <w:divsChild>
        <w:div w:id="693843302">
          <w:marLeft w:val="0"/>
          <w:marRight w:val="0"/>
          <w:marTop w:val="0"/>
          <w:marBottom w:val="0"/>
          <w:divBdr>
            <w:top w:val="none" w:sz="0" w:space="0" w:color="auto"/>
            <w:left w:val="none" w:sz="0" w:space="0" w:color="auto"/>
            <w:bottom w:val="none" w:sz="0" w:space="0" w:color="auto"/>
            <w:right w:val="none" w:sz="0" w:space="0" w:color="auto"/>
          </w:divBdr>
          <w:divsChild>
            <w:div w:id="2072535254">
              <w:marLeft w:val="0"/>
              <w:marRight w:val="0"/>
              <w:marTop w:val="0"/>
              <w:marBottom w:val="0"/>
              <w:divBdr>
                <w:top w:val="none" w:sz="0" w:space="0" w:color="auto"/>
                <w:left w:val="none" w:sz="0" w:space="0" w:color="auto"/>
                <w:bottom w:val="none" w:sz="0" w:space="0" w:color="auto"/>
                <w:right w:val="none" w:sz="0" w:space="0" w:color="auto"/>
              </w:divBdr>
              <w:divsChild>
                <w:div w:id="18731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323203">
      <w:bodyDiv w:val="1"/>
      <w:marLeft w:val="0"/>
      <w:marRight w:val="0"/>
      <w:marTop w:val="0"/>
      <w:marBottom w:val="0"/>
      <w:divBdr>
        <w:top w:val="none" w:sz="0" w:space="0" w:color="auto"/>
        <w:left w:val="none" w:sz="0" w:space="0" w:color="auto"/>
        <w:bottom w:val="none" w:sz="0" w:space="0" w:color="auto"/>
        <w:right w:val="none" w:sz="0" w:space="0" w:color="auto"/>
      </w:divBdr>
      <w:divsChild>
        <w:div w:id="868569295">
          <w:marLeft w:val="0"/>
          <w:marRight w:val="0"/>
          <w:marTop w:val="0"/>
          <w:marBottom w:val="0"/>
          <w:divBdr>
            <w:top w:val="none" w:sz="0" w:space="0" w:color="auto"/>
            <w:left w:val="none" w:sz="0" w:space="0" w:color="auto"/>
            <w:bottom w:val="none" w:sz="0" w:space="0" w:color="auto"/>
            <w:right w:val="none" w:sz="0" w:space="0" w:color="auto"/>
          </w:divBdr>
          <w:divsChild>
            <w:div w:id="360084756">
              <w:marLeft w:val="0"/>
              <w:marRight w:val="0"/>
              <w:marTop w:val="0"/>
              <w:marBottom w:val="0"/>
              <w:divBdr>
                <w:top w:val="none" w:sz="0" w:space="0" w:color="auto"/>
                <w:left w:val="none" w:sz="0" w:space="0" w:color="auto"/>
                <w:bottom w:val="none" w:sz="0" w:space="0" w:color="auto"/>
                <w:right w:val="none" w:sz="0" w:space="0" w:color="auto"/>
              </w:divBdr>
              <w:divsChild>
                <w:div w:id="1963805925">
                  <w:marLeft w:val="0"/>
                  <w:marRight w:val="0"/>
                  <w:marTop w:val="0"/>
                  <w:marBottom w:val="0"/>
                  <w:divBdr>
                    <w:top w:val="none" w:sz="0" w:space="0" w:color="auto"/>
                    <w:left w:val="none" w:sz="0" w:space="0" w:color="auto"/>
                    <w:bottom w:val="none" w:sz="0" w:space="0" w:color="auto"/>
                    <w:right w:val="none" w:sz="0" w:space="0" w:color="auto"/>
                  </w:divBdr>
                  <w:divsChild>
                    <w:div w:id="3976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9060">
      <w:bodyDiv w:val="1"/>
      <w:marLeft w:val="0"/>
      <w:marRight w:val="0"/>
      <w:marTop w:val="0"/>
      <w:marBottom w:val="0"/>
      <w:divBdr>
        <w:top w:val="none" w:sz="0" w:space="0" w:color="auto"/>
        <w:left w:val="none" w:sz="0" w:space="0" w:color="auto"/>
        <w:bottom w:val="none" w:sz="0" w:space="0" w:color="auto"/>
        <w:right w:val="none" w:sz="0" w:space="0" w:color="auto"/>
      </w:divBdr>
      <w:divsChild>
        <w:div w:id="1367487379">
          <w:marLeft w:val="0"/>
          <w:marRight w:val="0"/>
          <w:marTop w:val="0"/>
          <w:marBottom w:val="0"/>
          <w:divBdr>
            <w:top w:val="none" w:sz="0" w:space="0" w:color="auto"/>
            <w:left w:val="none" w:sz="0" w:space="0" w:color="auto"/>
            <w:bottom w:val="none" w:sz="0" w:space="0" w:color="auto"/>
            <w:right w:val="none" w:sz="0" w:space="0" w:color="auto"/>
          </w:divBdr>
          <w:divsChild>
            <w:div w:id="87819720">
              <w:marLeft w:val="0"/>
              <w:marRight w:val="0"/>
              <w:marTop w:val="0"/>
              <w:marBottom w:val="0"/>
              <w:divBdr>
                <w:top w:val="none" w:sz="0" w:space="0" w:color="auto"/>
                <w:left w:val="none" w:sz="0" w:space="0" w:color="auto"/>
                <w:bottom w:val="none" w:sz="0" w:space="0" w:color="auto"/>
                <w:right w:val="none" w:sz="0" w:space="0" w:color="auto"/>
              </w:divBdr>
              <w:divsChild>
                <w:div w:id="6233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34744">
      <w:bodyDiv w:val="1"/>
      <w:marLeft w:val="0"/>
      <w:marRight w:val="0"/>
      <w:marTop w:val="0"/>
      <w:marBottom w:val="0"/>
      <w:divBdr>
        <w:top w:val="none" w:sz="0" w:space="0" w:color="auto"/>
        <w:left w:val="none" w:sz="0" w:space="0" w:color="auto"/>
        <w:bottom w:val="none" w:sz="0" w:space="0" w:color="auto"/>
        <w:right w:val="none" w:sz="0" w:space="0" w:color="auto"/>
      </w:divBdr>
      <w:divsChild>
        <w:div w:id="1397705007">
          <w:marLeft w:val="0"/>
          <w:marRight w:val="0"/>
          <w:marTop w:val="0"/>
          <w:marBottom w:val="0"/>
          <w:divBdr>
            <w:top w:val="none" w:sz="0" w:space="0" w:color="auto"/>
            <w:left w:val="none" w:sz="0" w:space="0" w:color="auto"/>
            <w:bottom w:val="none" w:sz="0" w:space="0" w:color="auto"/>
            <w:right w:val="none" w:sz="0" w:space="0" w:color="auto"/>
          </w:divBdr>
          <w:divsChild>
            <w:div w:id="1254898324">
              <w:marLeft w:val="0"/>
              <w:marRight w:val="0"/>
              <w:marTop w:val="0"/>
              <w:marBottom w:val="0"/>
              <w:divBdr>
                <w:top w:val="none" w:sz="0" w:space="0" w:color="auto"/>
                <w:left w:val="none" w:sz="0" w:space="0" w:color="auto"/>
                <w:bottom w:val="none" w:sz="0" w:space="0" w:color="auto"/>
                <w:right w:val="none" w:sz="0" w:space="0" w:color="auto"/>
              </w:divBdr>
              <w:divsChild>
                <w:div w:id="893194980">
                  <w:marLeft w:val="0"/>
                  <w:marRight w:val="0"/>
                  <w:marTop w:val="0"/>
                  <w:marBottom w:val="0"/>
                  <w:divBdr>
                    <w:top w:val="none" w:sz="0" w:space="0" w:color="auto"/>
                    <w:left w:val="none" w:sz="0" w:space="0" w:color="auto"/>
                    <w:bottom w:val="none" w:sz="0" w:space="0" w:color="auto"/>
                    <w:right w:val="none" w:sz="0" w:space="0" w:color="auto"/>
                  </w:divBdr>
                  <w:divsChild>
                    <w:div w:id="15176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738073">
      <w:bodyDiv w:val="1"/>
      <w:marLeft w:val="0"/>
      <w:marRight w:val="0"/>
      <w:marTop w:val="0"/>
      <w:marBottom w:val="0"/>
      <w:divBdr>
        <w:top w:val="none" w:sz="0" w:space="0" w:color="auto"/>
        <w:left w:val="none" w:sz="0" w:space="0" w:color="auto"/>
        <w:bottom w:val="none" w:sz="0" w:space="0" w:color="auto"/>
        <w:right w:val="none" w:sz="0" w:space="0" w:color="auto"/>
      </w:divBdr>
    </w:div>
    <w:div w:id="851066539">
      <w:bodyDiv w:val="1"/>
      <w:marLeft w:val="0"/>
      <w:marRight w:val="0"/>
      <w:marTop w:val="0"/>
      <w:marBottom w:val="0"/>
      <w:divBdr>
        <w:top w:val="none" w:sz="0" w:space="0" w:color="auto"/>
        <w:left w:val="none" w:sz="0" w:space="0" w:color="auto"/>
        <w:bottom w:val="none" w:sz="0" w:space="0" w:color="auto"/>
        <w:right w:val="none" w:sz="0" w:space="0" w:color="auto"/>
      </w:divBdr>
      <w:divsChild>
        <w:div w:id="235557491">
          <w:marLeft w:val="0"/>
          <w:marRight w:val="0"/>
          <w:marTop w:val="0"/>
          <w:marBottom w:val="0"/>
          <w:divBdr>
            <w:top w:val="none" w:sz="0" w:space="0" w:color="auto"/>
            <w:left w:val="none" w:sz="0" w:space="0" w:color="auto"/>
            <w:bottom w:val="none" w:sz="0" w:space="0" w:color="auto"/>
            <w:right w:val="none" w:sz="0" w:space="0" w:color="auto"/>
          </w:divBdr>
          <w:divsChild>
            <w:div w:id="1680885588">
              <w:marLeft w:val="0"/>
              <w:marRight w:val="0"/>
              <w:marTop w:val="0"/>
              <w:marBottom w:val="0"/>
              <w:divBdr>
                <w:top w:val="none" w:sz="0" w:space="0" w:color="auto"/>
                <w:left w:val="none" w:sz="0" w:space="0" w:color="auto"/>
                <w:bottom w:val="none" w:sz="0" w:space="0" w:color="auto"/>
                <w:right w:val="none" w:sz="0" w:space="0" w:color="auto"/>
              </w:divBdr>
              <w:divsChild>
                <w:div w:id="848058223">
                  <w:marLeft w:val="0"/>
                  <w:marRight w:val="0"/>
                  <w:marTop w:val="0"/>
                  <w:marBottom w:val="0"/>
                  <w:divBdr>
                    <w:top w:val="none" w:sz="0" w:space="0" w:color="auto"/>
                    <w:left w:val="none" w:sz="0" w:space="0" w:color="auto"/>
                    <w:bottom w:val="none" w:sz="0" w:space="0" w:color="auto"/>
                    <w:right w:val="none" w:sz="0" w:space="0" w:color="auto"/>
                  </w:divBdr>
                  <w:divsChild>
                    <w:div w:id="5596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047061">
      <w:bodyDiv w:val="1"/>
      <w:marLeft w:val="0"/>
      <w:marRight w:val="0"/>
      <w:marTop w:val="0"/>
      <w:marBottom w:val="0"/>
      <w:divBdr>
        <w:top w:val="none" w:sz="0" w:space="0" w:color="auto"/>
        <w:left w:val="none" w:sz="0" w:space="0" w:color="auto"/>
        <w:bottom w:val="none" w:sz="0" w:space="0" w:color="auto"/>
        <w:right w:val="none" w:sz="0" w:space="0" w:color="auto"/>
      </w:divBdr>
    </w:div>
    <w:div w:id="863175190">
      <w:bodyDiv w:val="1"/>
      <w:marLeft w:val="0"/>
      <w:marRight w:val="0"/>
      <w:marTop w:val="0"/>
      <w:marBottom w:val="0"/>
      <w:divBdr>
        <w:top w:val="none" w:sz="0" w:space="0" w:color="auto"/>
        <w:left w:val="none" w:sz="0" w:space="0" w:color="auto"/>
        <w:bottom w:val="none" w:sz="0" w:space="0" w:color="auto"/>
        <w:right w:val="none" w:sz="0" w:space="0" w:color="auto"/>
      </w:divBdr>
      <w:divsChild>
        <w:div w:id="994340006">
          <w:marLeft w:val="0"/>
          <w:marRight w:val="0"/>
          <w:marTop w:val="0"/>
          <w:marBottom w:val="0"/>
          <w:divBdr>
            <w:top w:val="none" w:sz="0" w:space="0" w:color="auto"/>
            <w:left w:val="none" w:sz="0" w:space="0" w:color="auto"/>
            <w:bottom w:val="none" w:sz="0" w:space="0" w:color="auto"/>
            <w:right w:val="none" w:sz="0" w:space="0" w:color="auto"/>
          </w:divBdr>
          <w:divsChild>
            <w:div w:id="1558511781">
              <w:marLeft w:val="0"/>
              <w:marRight w:val="0"/>
              <w:marTop w:val="0"/>
              <w:marBottom w:val="0"/>
              <w:divBdr>
                <w:top w:val="none" w:sz="0" w:space="0" w:color="auto"/>
                <w:left w:val="none" w:sz="0" w:space="0" w:color="auto"/>
                <w:bottom w:val="none" w:sz="0" w:space="0" w:color="auto"/>
                <w:right w:val="none" w:sz="0" w:space="0" w:color="auto"/>
              </w:divBdr>
              <w:divsChild>
                <w:div w:id="54278474">
                  <w:marLeft w:val="0"/>
                  <w:marRight w:val="0"/>
                  <w:marTop w:val="0"/>
                  <w:marBottom w:val="0"/>
                  <w:divBdr>
                    <w:top w:val="none" w:sz="0" w:space="0" w:color="auto"/>
                    <w:left w:val="none" w:sz="0" w:space="0" w:color="auto"/>
                    <w:bottom w:val="none" w:sz="0" w:space="0" w:color="auto"/>
                    <w:right w:val="none" w:sz="0" w:space="0" w:color="auto"/>
                  </w:divBdr>
                  <w:divsChild>
                    <w:div w:id="1903834830">
                      <w:marLeft w:val="0"/>
                      <w:marRight w:val="0"/>
                      <w:marTop w:val="0"/>
                      <w:marBottom w:val="0"/>
                      <w:divBdr>
                        <w:top w:val="none" w:sz="0" w:space="0" w:color="auto"/>
                        <w:left w:val="none" w:sz="0" w:space="0" w:color="auto"/>
                        <w:bottom w:val="none" w:sz="0" w:space="0" w:color="auto"/>
                        <w:right w:val="none" w:sz="0" w:space="0" w:color="auto"/>
                      </w:divBdr>
                    </w:div>
                  </w:divsChild>
                </w:div>
                <w:div w:id="458694293">
                  <w:marLeft w:val="0"/>
                  <w:marRight w:val="0"/>
                  <w:marTop w:val="0"/>
                  <w:marBottom w:val="0"/>
                  <w:divBdr>
                    <w:top w:val="none" w:sz="0" w:space="0" w:color="auto"/>
                    <w:left w:val="none" w:sz="0" w:space="0" w:color="auto"/>
                    <w:bottom w:val="none" w:sz="0" w:space="0" w:color="auto"/>
                    <w:right w:val="none" w:sz="0" w:space="0" w:color="auto"/>
                  </w:divBdr>
                  <w:divsChild>
                    <w:div w:id="162665587">
                      <w:marLeft w:val="0"/>
                      <w:marRight w:val="0"/>
                      <w:marTop w:val="0"/>
                      <w:marBottom w:val="0"/>
                      <w:divBdr>
                        <w:top w:val="none" w:sz="0" w:space="0" w:color="auto"/>
                        <w:left w:val="none" w:sz="0" w:space="0" w:color="auto"/>
                        <w:bottom w:val="none" w:sz="0" w:space="0" w:color="auto"/>
                        <w:right w:val="none" w:sz="0" w:space="0" w:color="auto"/>
                      </w:divBdr>
                    </w:div>
                  </w:divsChild>
                </w:div>
                <w:div w:id="1447459478">
                  <w:marLeft w:val="0"/>
                  <w:marRight w:val="0"/>
                  <w:marTop w:val="0"/>
                  <w:marBottom w:val="0"/>
                  <w:divBdr>
                    <w:top w:val="none" w:sz="0" w:space="0" w:color="auto"/>
                    <w:left w:val="none" w:sz="0" w:space="0" w:color="auto"/>
                    <w:bottom w:val="none" w:sz="0" w:space="0" w:color="auto"/>
                    <w:right w:val="none" w:sz="0" w:space="0" w:color="auto"/>
                  </w:divBdr>
                  <w:divsChild>
                    <w:div w:id="1767341641">
                      <w:marLeft w:val="0"/>
                      <w:marRight w:val="0"/>
                      <w:marTop w:val="0"/>
                      <w:marBottom w:val="0"/>
                      <w:divBdr>
                        <w:top w:val="none" w:sz="0" w:space="0" w:color="auto"/>
                        <w:left w:val="none" w:sz="0" w:space="0" w:color="auto"/>
                        <w:bottom w:val="none" w:sz="0" w:space="0" w:color="auto"/>
                        <w:right w:val="none" w:sz="0" w:space="0" w:color="auto"/>
                      </w:divBdr>
                    </w:div>
                  </w:divsChild>
                </w:div>
                <w:div w:id="1974286289">
                  <w:marLeft w:val="0"/>
                  <w:marRight w:val="0"/>
                  <w:marTop w:val="0"/>
                  <w:marBottom w:val="0"/>
                  <w:divBdr>
                    <w:top w:val="none" w:sz="0" w:space="0" w:color="auto"/>
                    <w:left w:val="none" w:sz="0" w:space="0" w:color="auto"/>
                    <w:bottom w:val="none" w:sz="0" w:space="0" w:color="auto"/>
                    <w:right w:val="none" w:sz="0" w:space="0" w:color="auto"/>
                  </w:divBdr>
                  <w:divsChild>
                    <w:div w:id="14214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3789">
      <w:bodyDiv w:val="1"/>
      <w:marLeft w:val="0"/>
      <w:marRight w:val="0"/>
      <w:marTop w:val="0"/>
      <w:marBottom w:val="0"/>
      <w:divBdr>
        <w:top w:val="none" w:sz="0" w:space="0" w:color="auto"/>
        <w:left w:val="none" w:sz="0" w:space="0" w:color="auto"/>
        <w:bottom w:val="none" w:sz="0" w:space="0" w:color="auto"/>
        <w:right w:val="none" w:sz="0" w:space="0" w:color="auto"/>
      </w:divBdr>
      <w:divsChild>
        <w:div w:id="1735278764">
          <w:marLeft w:val="0"/>
          <w:marRight w:val="0"/>
          <w:marTop w:val="0"/>
          <w:marBottom w:val="0"/>
          <w:divBdr>
            <w:top w:val="none" w:sz="0" w:space="0" w:color="auto"/>
            <w:left w:val="none" w:sz="0" w:space="0" w:color="auto"/>
            <w:bottom w:val="none" w:sz="0" w:space="0" w:color="auto"/>
            <w:right w:val="none" w:sz="0" w:space="0" w:color="auto"/>
          </w:divBdr>
          <w:divsChild>
            <w:div w:id="1204446608">
              <w:marLeft w:val="0"/>
              <w:marRight w:val="0"/>
              <w:marTop w:val="0"/>
              <w:marBottom w:val="0"/>
              <w:divBdr>
                <w:top w:val="none" w:sz="0" w:space="0" w:color="auto"/>
                <w:left w:val="none" w:sz="0" w:space="0" w:color="auto"/>
                <w:bottom w:val="none" w:sz="0" w:space="0" w:color="auto"/>
                <w:right w:val="none" w:sz="0" w:space="0" w:color="auto"/>
              </w:divBdr>
              <w:divsChild>
                <w:div w:id="1855456805">
                  <w:marLeft w:val="0"/>
                  <w:marRight w:val="0"/>
                  <w:marTop w:val="0"/>
                  <w:marBottom w:val="0"/>
                  <w:divBdr>
                    <w:top w:val="none" w:sz="0" w:space="0" w:color="auto"/>
                    <w:left w:val="none" w:sz="0" w:space="0" w:color="auto"/>
                    <w:bottom w:val="none" w:sz="0" w:space="0" w:color="auto"/>
                    <w:right w:val="none" w:sz="0" w:space="0" w:color="auto"/>
                  </w:divBdr>
                  <w:divsChild>
                    <w:div w:id="20093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3655">
      <w:bodyDiv w:val="1"/>
      <w:marLeft w:val="0"/>
      <w:marRight w:val="0"/>
      <w:marTop w:val="0"/>
      <w:marBottom w:val="0"/>
      <w:divBdr>
        <w:top w:val="none" w:sz="0" w:space="0" w:color="auto"/>
        <w:left w:val="none" w:sz="0" w:space="0" w:color="auto"/>
        <w:bottom w:val="none" w:sz="0" w:space="0" w:color="auto"/>
        <w:right w:val="none" w:sz="0" w:space="0" w:color="auto"/>
      </w:divBdr>
    </w:div>
    <w:div w:id="870411248">
      <w:bodyDiv w:val="1"/>
      <w:marLeft w:val="0"/>
      <w:marRight w:val="0"/>
      <w:marTop w:val="0"/>
      <w:marBottom w:val="0"/>
      <w:divBdr>
        <w:top w:val="none" w:sz="0" w:space="0" w:color="auto"/>
        <w:left w:val="none" w:sz="0" w:space="0" w:color="auto"/>
        <w:bottom w:val="none" w:sz="0" w:space="0" w:color="auto"/>
        <w:right w:val="none" w:sz="0" w:space="0" w:color="auto"/>
      </w:divBdr>
      <w:divsChild>
        <w:div w:id="76752410">
          <w:marLeft w:val="0"/>
          <w:marRight w:val="0"/>
          <w:marTop w:val="0"/>
          <w:marBottom w:val="0"/>
          <w:divBdr>
            <w:top w:val="none" w:sz="0" w:space="0" w:color="auto"/>
            <w:left w:val="none" w:sz="0" w:space="0" w:color="auto"/>
            <w:bottom w:val="none" w:sz="0" w:space="0" w:color="auto"/>
            <w:right w:val="none" w:sz="0" w:space="0" w:color="auto"/>
          </w:divBdr>
          <w:divsChild>
            <w:div w:id="404646816">
              <w:marLeft w:val="0"/>
              <w:marRight w:val="0"/>
              <w:marTop w:val="0"/>
              <w:marBottom w:val="0"/>
              <w:divBdr>
                <w:top w:val="none" w:sz="0" w:space="0" w:color="auto"/>
                <w:left w:val="none" w:sz="0" w:space="0" w:color="auto"/>
                <w:bottom w:val="none" w:sz="0" w:space="0" w:color="auto"/>
                <w:right w:val="none" w:sz="0" w:space="0" w:color="auto"/>
              </w:divBdr>
              <w:divsChild>
                <w:div w:id="2985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60278">
      <w:bodyDiv w:val="1"/>
      <w:marLeft w:val="0"/>
      <w:marRight w:val="0"/>
      <w:marTop w:val="0"/>
      <w:marBottom w:val="0"/>
      <w:divBdr>
        <w:top w:val="none" w:sz="0" w:space="0" w:color="auto"/>
        <w:left w:val="none" w:sz="0" w:space="0" w:color="auto"/>
        <w:bottom w:val="none" w:sz="0" w:space="0" w:color="auto"/>
        <w:right w:val="none" w:sz="0" w:space="0" w:color="auto"/>
      </w:divBdr>
      <w:divsChild>
        <w:div w:id="1090008606">
          <w:marLeft w:val="0"/>
          <w:marRight w:val="0"/>
          <w:marTop w:val="0"/>
          <w:marBottom w:val="0"/>
          <w:divBdr>
            <w:top w:val="none" w:sz="0" w:space="0" w:color="auto"/>
            <w:left w:val="none" w:sz="0" w:space="0" w:color="auto"/>
            <w:bottom w:val="none" w:sz="0" w:space="0" w:color="auto"/>
            <w:right w:val="none" w:sz="0" w:space="0" w:color="auto"/>
          </w:divBdr>
          <w:divsChild>
            <w:div w:id="1172453311">
              <w:marLeft w:val="0"/>
              <w:marRight w:val="0"/>
              <w:marTop w:val="0"/>
              <w:marBottom w:val="0"/>
              <w:divBdr>
                <w:top w:val="none" w:sz="0" w:space="0" w:color="auto"/>
                <w:left w:val="none" w:sz="0" w:space="0" w:color="auto"/>
                <w:bottom w:val="none" w:sz="0" w:space="0" w:color="auto"/>
                <w:right w:val="none" w:sz="0" w:space="0" w:color="auto"/>
              </w:divBdr>
              <w:divsChild>
                <w:div w:id="562645449">
                  <w:marLeft w:val="0"/>
                  <w:marRight w:val="0"/>
                  <w:marTop w:val="0"/>
                  <w:marBottom w:val="0"/>
                  <w:divBdr>
                    <w:top w:val="none" w:sz="0" w:space="0" w:color="auto"/>
                    <w:left w:val="none" w:sz="0" w:space="0" w:color="auto"/>
                    <w:bottom w:val="none" w:sz="0" w:space="0" w:color="auto"/>
                    <w:right w:val="none" w:sz="0" w:space="0" w:color="auto"/>
                  </w:divBdr>
                  <w:divsChild>
                    <w:div w:id="13938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03738">
      <w:bodyDiv w:val="1"/>
      <w:marLeft w:val="0"/>
      <w:marRight w:val="0"/>
      <w:marTop w:val="0"/>
      <w:marBottom w:val="0"/>
      <w:divBdr>
        <w:top w:val="none" w:sz="0" w:space="0" w:color="auto"/>
        <w:left w:val="none" w:sz="0" w:space="0" w:color="auto"/>
        <w:bottom w:val="none" w:sz="0" w:space="0" w:color="auto"/>
        <w:right w:val="none" w:sz="0" w:space="0" w:color="auto"/>
      </w:divBdr>
      <w:divsChild>
        <w:div w:id="2139374585">
          <w:marLeft w:val="0"/>
          <w:marRight w:val="0"/>
          <w:marTop w:val="0"/>
          <w:marBottom w:val="0"/>
          <w:divBdr>
            <w:top w:val="none" w:sz="0" w:space="0" w:color="auto"/>
            <w:left w:val="none" w:sz="0" w:space="0" w:color="auto"/>
            <w:bottom w:val="none" w:sz="0" w:space="0" w:color="auto"/>
            <w:right w:val="none" w:sz="0" w:space="0" w:color="auto"/>
          </w:divBdr>
          <w:divsChild>
            <w:div w:id="1406731367">
              <w:marLeft w:val="0"/>
              <w:marRight w:val="0"/>
              <w:marTop w:val="0"/>
              <w:marBottom w:val="0"/>
              <w:divBdr>
                <w:top w:val="none" w:sz="0" w:space="0" w:color="auto"/>
                <w:left w:val="none" w:sz="0" w:space="0" w:color="auto"/>
                <w:bottom w:val="none" w:sz="0" w:space="0" w:color="auto"/>
                <w:right w:val="none" w:sz="0" w:space="0" w:color="auto"/>
              </w:divBdr>
              <w:divsChild>
                <w:div w:id="13163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64023">
      <w:bodyDiv w:val="1"/>
      <w:marLeft w:val="0"/>
      <w:marRight w:val="0"/>
      <w:marTop w:val="0"/>
      <w:marBottom w:val="0"/>
      <w:divBdr>
        <w:top w:val="none" w:sz="0" w:space="0" w:color="auto"/>
        <w:left w:val="none" w:sz="0" w:space="0" w:color="auto"/>
        <w:bottom w:val="none" w:sz="0" w:space="0" w:color="auto"/>
        <w:right w:val="none" w:sz="0" w:space="0" w:color="auto"/>
      </w:divBdr>
    </w:div>
    <w:div w:id="889419032">
      <w:bodyDiv w:val="1"/>
      <w:marLeft w:val="0"/>
      <w:marRight w:val="0"/>
      <w:marTop w:val="0"/>
      <w:marBottom w:val="0"/>
      <w:divBdr>
        <w:top w:val="none" w:sz="0" w:space="0" w:color="auto"/>
        <w:left w:val="none" w:sz="0" w:space="0" w:color="auto"/>
        <w:bottom w:val="none" w:sz="0" w:space="0" w:color="auto"/>
        <w:right w:val="none" w:sz="0" w:space="0" w:color="auto"/>
      </w:divBdr>
      <w:divsChild>
        <w:div w:id="498932342">
          <w:marLeft w:val="0"/>
          <w:marRight w:val="0"/>
          <w:marTop w:val="0"/>
          <w:marBottom w:val="0"/>
          <w:divBdr>
            <w:top w:val="none" w:sz="0" w:space="0" w:color="auto"/>
            <w:left w:val="none" w:sz="0" w:space="0" w:color="auto"/>
            <w:bottom w:val="none" w:sz="0" w:space="0" w:color="auto"/>
            <w:right w:val="none" w:sz="0" w:space="0" w:color="auto"/>
          </w:divBdr>
          <w:divsChild>
            <w:div w:id="865095062">
              <w:marLeft w:val="0"/>
              <w:marRight w:val="0"/>
              <w:marTop w:val="0"/>
              <w:marBottom w:val="0"/>
              <w:divBdr>
                <w:top w:val="none" w:sz="0" w:space="0" w:color="auto"/>
                <w:left w:val="none" w:sz="0" w:space="0" w:color="auto"/>
                <w:bottom w:val="none" w:sz="0" w:space="0" w:color="auto"/>
                <w:right w:val="none" w:sz="0" w:space="0" w:color="auto"/>
              </w:divBdr>
              <w:divsChild>
                <w:div w:id="916980087">
                  <w:marLeft w:val="0"/>
                  <w:marRight w:val="0"/>
                  <w:marTop w:val="0"/>
                  <w:marBottom w:val="0"/>
                  <w:divBdr>
                    <w:top w:val="none" w:sz="0" w:space="0" w:color="auto"/>
                    <w:left w:val="none" w:sz="0" w:space="0" w:color="auto"/>
                    <w:bottom w:val="none" w:sz="0" w:space="0" w:color="auto"/>
                    <w:right w:val="none" w:sz="0" w:space="0" w:color="auto"/>
                  </w:divBdr>
                  <w:divsChild>
                    <w:div w:id="1237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9407">
      <w:bodyDiv w:val="1"/>
      <w:marLeft w:val="0"/>
      <w:marRight w:val="0"/>
      <w:marTop w:val="0"/>
      <w:marBottom w:val="0"/>
      <w:divBdr>
        <w:top w:val="none" w:sz="0" w:space="0" w:color="auto"/>
        <w:left w:val="none" w:sz="0" w:space="0" w:color="auto"/>
        <w:bottom w:val="none" w:sz="0" w:space="0" w:color="auto"/>
        <w:right w:val="none" w:sz="0" w:space="0" w:color="auto"/>
      </w:divBdr>
      <w:divsChild>
        <w:div w:id="951090156">
          <w:marLeft w:val="0"/>
          <w:marRight w:val="0"/>
          <w:marTop w:val="0"/>
          <w:marBottom w:val="0"/>
          <w:divBdr>
            <w:top w:val="none" w:sz="0" w:space="0" w:color="auto"/>
            <w:left w:val="none" w:sz="0" w:space="0" w:color="auto"/>
            <w:bottom w:val="none" w:sz="0" w:space="0" w:color="auto"/>
            <w:right w:val="none" w:sz="0" w:space="0" w:color="auto"/>
          </w:divBdr>
          <w:divsChild>
            <w:div w:id="2100370582">
              <w:marLeft w:val="0"/>
              <w:marRight w:val="0"/>
              <w:marTop w:val="0"/>
              <w:marBottom w:val="0"/>
              <w:divBdr>
                <w:top w:val="none" w:sz="0" w:space="0" w:color="auto"/>
                <w:left w:val="none" w:sz="0" w:space="0" w:color="auto"/>
                <w:bottom w:val="none" w:sz="0" w:space="0" w:color="auto"/>
                <w:right w:val="none" w:sz="0" w:space="0" w:color="auto"/>
              </w:divBdr>
              <w:divsChild>
                <w:div w:id="15992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8828">
      <w:bodyDiv w:val="1"/>
      <w:marLeft w:val="0"/>
      <w:marRight w:val="0"/>
      <w:marTop w:val="0"/>
      <w:marBottom w:val="0"/>
      <w:divBdr>
        <w:top w:val="none" w:sz="0" w:space="0" w:color="auto"/>
        <w:left w:val="none" w:sz="0" w:space="0" w:color="auto"/>
        <w:bottom w:val="none" w:sz="0" w:space="0" w:color="auto"/>
        <w:right w:val="none" w:sz="0" w:space="0" w:color="auto"/>
      </w:divBdr>
      <w:divsChild>
        <w:div w:id="1265964719">
          <w:marLeft w:val="0"/>
          <w:marRight w:val="0"/>
          <w:marTop w:val="0"/>
          <w:marBottom w:val="0"/>
          <w:divBdr>
            <w:top w:val="none" w:sz="0" w:space="0" w:color="auto"/>
            <w:left w:val="none" w:sz="0" w:space="0" w:color="auto"/>
            <w:bottom w:val="none" w:sz="0" w:space="0" w:color="auto"/>
            <w:right w:val="none" w:sz="0" w:space="0" w:color="auto"/>
          </w:divBdr>
          <w:divsChild>
            <w:div w:id="806552661">
              <w:marLeft w:val="0"/>
              <w:marRight w:val="0"/>
              <w:marTop w:val="0"/>
              <w:marBottom w:val="0"/>
              <w:divBdr>
                <w:top w:val="none" w:sz="0" w:space="0" w:color="auto"/>
                <w:left w:val="none" w:sz="0" w:space="0" w:color="auto"/>
                <w:bottom w:val="none" w:sz="0" w:space="0" w:color="auto"/>
                <w:right w:val="none" w:sz="0" w:space="0" w:color="auto"/>
              </w:divBdr>
              <w:divsChild>
                <w:div w:id="1068726398">
                  <w:marLeft w:val="0"/>
                  <w:marRight w:val="0"/>
                  <w:marTop w:val="0"/>
                  <w:marBottom w:val="0"/>
                  <w:divBdr>
                    <w:top w:val="none" w:sz="0" w:space="0" w:color="auto"/>
                    <w:left w:val="none" w:sz="0" w:space="0" w:color="auto"/>
                    <w:bottom w:val="none" w:sz="0" w:space="0" w:color="auto"/>
                    <w:right w:val="none" w:sz="0" w:space="0" w:color="auto"/>
                  </w:divBdr>
                  <w:divsChild>
                    <w:div w:id="5353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898097">
      <w:bodyDiv w:val="1"/>
      <w:marLeft w:val="0"/>
      <w:marRight w:val="0"/>
      <w:marTop w:val="0"/>
      <w:marBottom w:val="0"/>
      <w:divBdr>
        <w:top w:val="none" w:sz="0" w:space="0" w:color="auto"/>
        <w:left w:val="none" w:sz="0" w:space="0" w:color="auto"/>
        <w:bottom w:val="none" w:sz="0" w:space="0" w:color="auto"/>
        <w:right w:val="none" w:sz="0" w:space="0" w:color="auto"/>
      </w:divBdr>
      <w:divsChild>
        <w:div w:id="1864242522">
          <w:marLeft w:val="0"/>
          <w:marRight w:val="0"/>
          <w:marTop w:val="0"/>
          <w:marBottom w:val="0"/>
          <w:divBdr>
            <w:top w:val="none" w:sz="0" w:space="0" w:color="auto"/>
            <w:left w:val="none" w:sz="0" w:space="0" w:color="auto"/>
            <w:bottom w:val="none" w:sz="0" w:space="0" w:color="auto"/>
            <w:right w:val="none" w:sz="0" w:space="0" w:color="auto"/>
          </w:divBdr>
          <w:divsChild>
            <w:div w:id="592512423">
              <w:marLeft w:val="0"/>
              <w:marRight w:val="0"/>
              <w:marTop w:val="0"/>
              <w:marBottom w:val="0"/>
              <w:divBdr>
                <w:top w:val="none" w:sz="0" w:space="0" w:color="auto"/>
                <w:left w:val="none" w:sz="0" w:space="0" w:color="auto"/>
                <w:bottom w:val="none" w:sz="0" w:space="0" w:color="auto"/>
                <w:right w:val="none" w:sz="0" w:space="0" w:color="auto"/>
              </w:divBdr>
              <w:divsChild>
                <w:div w:id="21091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6722">
      <w:bodyDiv w:val="1"/>
      <w:marLeft w:val="0"/>
      <w:marRight w:val="0"/>
      <w:marTop w:val="0"/>
      <w:marBottom w:val="0"/>
      <w:divBdr>
        <w:top w:val="none" w:sz="0" w:space="0" w:color="auto"/>
        <w:left w:val="none" w:sz="0" w:space="0" w:color="auto"/>
        <w:bottom w:val="none" w:sz="0" w:space="0" w:color="auto"/>
        <w:right w:val="none" w:sz="0" w:space="0" w:color="auto"/>
      </w:divBdr>
      <w:divsChild>
        <w:div w:id="340397181">
          <w:marLeft w:val="0"/>
          <w:marRight w:val="0"/>
          <w:marTop w:val="0"/>
          <w:marBottom w:val="0"/>
          <w:divBdr>
            <w:top w:val="none" w:sz="0" w:space="0" w:color="auto"/>
            <w:left w:val="none" w:sz="0" w:space="0" w:color="auto"/>
            <w:bottom w:val="none" w:sz="0" w:space="0" w:color="auto"/>
            <w:right w:val="none" w:sz="0" w:space="0" w:color="auto"/>
          </w:divBdr>
          <w:divsChild>
            <w:div w:id="1813718453">
              <w:marLeft w:val="0"/>
              <w:marRight w:val="0"/>
              <w:marTop w:val="0"/>
              <w:marBottom w:val="0"/>
              <w:divBdr>
                <w:top w:val="none" w:sz="0" w:space="0" w:color="auto"/>
                <w:left w:val="none" w:sz="0" w:space="0" w:color="auto"/>
                <w:bottom w:val="none" w:sz="0" w:space="0" w:color="auto"/>
                <w:right w:val="none" w:sz="0" w:space="0" w:color="auto"/>
              </w:divBdr>
              <w:divsChild>
                <w:div w:id="42692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67618">
      <w:bodyDiv w:val="1"/>
      <w:marLeft w:val="0"/>
      <w:marRight w:val="0"/>
      <w:marTop w:val="0"/>
      <w:marBottom w:val="0"/>
      <w:divBdr>
        <w:top w:val="none" w:sz="0" w:space="0" w:color="auto"/>
        <w:left w:val="none" w:sz="0" w:space="0" w:color="auto"/>
        <w:bottom w:val="none" w:sz="0" w:space="0" w:color="auto"/>
        <w:right w:val="none" w:sz="0" w:space="0" w:color="auto"/>
      </w:divBdr>
      <w:divsChild>
        <w:div w:id="1571308523">
          <w:marLeft w:val="0"/>
          <w:marRight w:val="0"/>
          <w:marTop w:val="0"/>
          <w:marBottom w:val="0"/>
          <w:divBdr>
            <w:top w:val="none" w:sz="0" w:space="0" w:color="auto"/>
            <w:left w:val="none" w:sz="0" w:space="0" w:color="auto"/>
            <w:bottom w:val="none" w:sz="0" w:space="0" w:color="auto"/>
            <w:right w:val="none" w:sz="0" w:space="0" w:color="auto"/>
          </w:divBdr>
          <w:divsChild>
            <w:div w:id="1819111694">
              <w:marLeft w:val="0"/>
              <w:marRight w:val="0"/>
              <w:marTop w:val="0"/>
              <w:marBottom w:val="0"/>
              <w:divBdr>
                <w:top w:val="none" w:sz="0" w:space="0" w:color="auto"/>
                <w:left w:val="none" w:sz="0" w:space="0" w:color="auto"/>
                <w:bottom w:val="none" w:sz="0" w:space="0" w:color="auto"/>
                <w:right w:val="none" w:sz="0" w:space="0" w:color="auto"/>
              </w:divBdr>
              <w:divsChild>
                <w:div w:id="16291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97580">
      <w:bodyDiv w:val="1"/>
      <w:marLeft w:val="0"/>
      <w:marRight w:val="0"/>
      <w:marTop w:val="0"/>
      <w:marBottom w:val="0"/>
      <w:divBdr>
        <w:top w:val="none" w:sz="0" w:space="0" w:color="auto"/>
        <w:left w:val="none" w:sz="0" w:space="0" w:color="auto"/>
        <w:bottom w:val="none" w:sz="0" w:space="0" w:color="auto"/>
        <w:right w:val="none" w:sz="0" w:space="0" w:color="auto"/>
      </w:divBdr>
      <w:divsChild>
        <w:div w:id="1939019022">
          <w:marLeft w:val="0"/>
          <w:marRight w:val="0"/>
          <w:marTop w:val="0"/>
          <w:marBottom w:val="0"/>
          <w:divBdr>
            <w:top w:val="none" w:sz="0" w:space="0" w:color="auto"/>
            <w:left w:val="none" w:sz="0" w:space="0" w:color="auto"/>
            <w:bottom w:val="none" w:sz="0" w:space="0" w:color="auto"/>
            <w:right w:val="none" w:sz="0" w:space="0" w:color="auto"/>
          </w:divBdr>
          <w:divsChild>
            <w:div w:id="239759264">
              <w:marLeft w:val="0"/>
              <w:marRight w:val="0"/>
              <w:marTop w:val="0"/>
              <w:marBottom w:val="0"/>
              <w:divBdr>
                <w:top w:val="none" w:sz="0" w:space="0" w:color="auto"/>
                <w:left w:val="none" w:sz="0" w:space="0" w:color="auto"/>
                <w:bottom w:val="none" w:sz="0" w:space="0" w:color="auto"/>
                <w:right w:val="none" w:sz="0" w:space="0" w:color="auto"/>
              </w:divBdr>
              <w:divsChild>
                <w:div w:id="9671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15666">
      <w:bodyDiv w:val="1"/>
      <w:marLeft w:val="0"/>
      <w:marRight w:val="0"/>
      <w:marTop w:val="0"/>
      <w:marBottom w:val="0"/>
      <w:divBdr>
        <w:top w:val="none" w:sz="0" w:space="0" w:color="auto"/>
        <w:left w:val="none" w:sz="0" w:space="0" w:color="auto"/>
        <w:bottom w:val="none" w:sz="0" w:space="0" w:color="auto"/>
        <w:right w:val="none" w:sz="0" w:space="0" w:color="auto"/>
      </w:divBdr>
    </w:div>
    <w:div w:id="930355446">
      <w:bodyDiv w:val="1"/>
      <w:marLeft w:val="0"/>
      <w:marRight w:val="0"/>
      <w:marTop w:val="0"/>
      <w:marBottom w:val="0"/>
      <w:divBdr>
        <w:top w:val="none" w:sz="0" w:space="0" w:color="auto"/>
        <w:left w:val="none" w:sz="0" w:space="0" w:color="auto"/>
        <w:bottom w:val="none" w:sz="0" w:space="0" w:color="auto"/>
        <w:right w:val="none" w:sz="0" w:space="0" w:color="auto"/>
      </w:divBdr>
      <w:divsChild>
        <w:div w:id="1106196869">
          <w:marLeft w:val="0"/>
          <w:marRight w:val="0"/>
          <w:marTop w:val="0"/>
          <w:marBottom w:val="0"/>
          <w:divBdr>
            <w:top w:val="none" w:sz="0" w:space="0" w:color="auto"/>
            <w:left w:val="none" w:sz="0" w:space="0" w:color="auto"/>
            <w:bottom w:val="none" w:sz="0" w:space="0" w:color="auto"/>
            <w:right w:val="none" w:sz="0" w:space="0" w:color="auto"/>
          </w:divBdr>
          <w:divsChild>
            <w:div w:id="1397506364">
              <w:marLeft w:val="0"/>
              <w:marRight w:val="0"/>
              <w:marTop w:val="0"/>
              <w:marBottom w:val="0"/>
              <w:divBdr>
                <w:top w:val="none" w:sz="0" w:space="0" w:color="auto"/>
                <w:left w:val="none" w:sz="0" w:space="0" w:color="auto"/>
                <w:bottom w:val="none" w:sz="0" w:space="0" w:color="auto"/>
                <w:right w:val="none" w:sz="0" w:space="0" w:color="auto"/>
              </w:divBdr>
              <w:divsChild>
                <w:div w:id="327102753">
                  <w:marLeft w:val="0"/>
                  <w:marRight w:val="0"/>
                  <w:marTop w:val="0"/>
                  <w:marBottom w:val="0"/>
                  <w:divBdr>
                    <w:top w:val="none" w:sz="0" w:space="0" w:color="auto"/>
                    <w:left w:val="none" w:sz="0" w:space="0" w:color="auto"/>
                    <w:bottom w:val="none" w:sz="0" w:space="0" w:color="auto"/>
                    <w:right w:val="none" w:sz="0" w:space="0" w:color="auto"/>
                  </w:divBdr>
                  <w:divsChild>
                    <w:div w:id="14231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89457">
      <w:bodyDiv w:val="1"/>
      <w:marLeft w:val="0"/>
      <w:marRight w:val="0"/>
      <w:marTop w:val="0"/>
      <w:marBottom w:val="0"/>
      <w:divBdr>
        <w:top w:val="none" w:sz="0" w:space="0" w:color="auto"/>
        <w:left w:val="none" w:sz="0" w:space="0" w:color="auto"/>
        <w:bottom w:val="none" w:sz="0" w:space="0" w:color="auto"/>
        <w:right w:val="none" w:sz="0" w:space="0" w:color="auto"/>
      </w:divBdr>
      <w:divsChild>
        <w:div w:id="39090479">
          <w:marLeft w:val="0"/>
          <w:marRight w:val="0"/>
          <w:marTop w:val="0"/>
          <w:marBottom w:val="0"/>
          <w:divBdr>
            <w:top w:val="none" w:sz="0" w:space="0" w:color="auto"/>
            <w:left w:val="none" w:sz="0" w:space="0" w:color="auto"/>
            <w:bottom w:val="none" w:sz="0" w:space="0" w:color="auto"/>
            <w:right w:val="none" w:sz="0" w:space="0" w:color="auto"/>
          </w:divBdr>
          <w:divsChild>
            <w:div w:id="154879114">
              <w:marLeft w:val="0"/>
              <w:marRight w:val="0"/>
              <w:marTop w:val="0"/>
              <w:marBottom w:val="0"/>
              <w:divBdr>
                <w:top w:val="none" w:sz="0" w:space="0" w:color="auto"/>
                <w:left w:val="none" w:sz="0" w:space="0" w:color="auto"/>
                <w:bottom w:val="none" w:sz="0" w:space="0" w:color="auto"/>
                <w:right w:val="none" w:sz="0" w:space="0" w:color="auto"/>
              </w:divBdr>
              <w:divsChild>
                <w:div w:id="13501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43490">
      <w:bodyDiv w:val="1"/>
      <w:marLeft w:val="0"/>
      <w:marRight w:val="0"/>
      <w:marTop w:val="0"/>
      <w:marBottom w:val="0"/>
      <w:divBdr>
        <w:top w:val="none" w:sz="0" w:space="0" w:color="auto"/>
        <w:left w:val="none" w:sz="0" w:space="0" w:color="auto"/>
        <w:bottom w:val="none" w:sz="0" w:space="0" w:color="auto"/>
        <w:right w:val="none" w:sz="0" w:space="0" w:color="auto"/>
      </w:divBdr>
      <w:divsChild>
        <w:div w:id="1919174769">
          <w:marLeft w:val="0"/>
          <w:marRight w:val="0"/>
          <w:marTop w:val="0"/>
          <w:marBottom w:val="0"/>
          <w:divBdr>
            <w:top w:val="none" w:sz="0" w:space="0" w:color="auto"/>
            <w:left w:val="none" w:sz="0" w:space="0" w:color="auto"/>
            <w:bottom w:val="none" w:sz="0" w:space="0" w:color="auto"/>
            <w:right w:val="none" w:sz="0" w:space="0" w:color="auto"/>
          </w:divBdr>
          <w:divsChild>
            <w:div w:id="1012802295">
              <w:marLeft w:val="0"/>
              <w:marRight w:val="0"/>
              <w:marTop w:val="0"/>
              <w:marBottom w:val="0"/>
              <w:divBdr>
                <w:top w:val="none" w:sz="0" w:space="0" w:color="auto"/>
                <w:left w:val="none" w:sz="0" w:space="0" w:color="auto"/>
                <w:bottom w:val="none" w:sz="0" w:space="0" w:color="auto"/>
                <w:right w:val="none" w:sz="0" w:space="0" w:color="auto"/>
              </w:divBdr>
              <w:divsChild>
                <w:div w:id="1584339951">
                  <w:marLeft w:val="0"/>
                  <w:marRight w:val="0"/>
                  <w:marTop w:val="0"/>
                  <w:marBottom w:val="0"/>
                  <w:divBdr>
                    <w:top w:val="none" w:sz="0" w:space="0" w:color="auto"/>
                    <w:left w:val="none" w:sz="0" w:space="0" w:color="auto"/>
                    <w:bottom w:val="none" w:sz="0" w:space="0" w:color="auto"/>
                    <w:right w:val="none" w:sz="0" w:space="0" w:color="auto"/>
                  </w:divBdr>
                  <w:divsChild>
                    <w:div w:id="18945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46501">
      <w:bodyDiv w:val="1"/>
      <w:marLeft w:val="0"/>
      <w:marRight w:val="0"/>
      <w:marTop w:val="0"/>
      <w:marBottom w:val="0"/>
      <w:divBdr>
        <w:top w:val="none" w:sz="0" w:space="0" w:color="auto"/>
        <w:left w:val="none" w:sz="0" w:space="0" w:color="auto"/>
        <w:bottom w:val="none" w:sz="0" w:space="0" w:color="auto"/>
        <w:right w:val="none" w:sz="0" w:space="0" w:color="auto"/>
      </w:divBdr>
      <w:divsChild>
        <w:div w:id="1730810853">
          <w:marLeft w:val="0"/>
          <w:marRight w:val="0"/>
          <w:marTop w:val="0"/>
          <w:marBottom w:val="0"/>
          <w:divBdr>
            <w:top w:val="none" w:sz="0" w:space="0" w:color="auto"/>
            <w:left w:val="none" w:sz="0" w:space="0" w:color="auto"/>
            <w:bottom w:val="none" w:sz="0" w:space="0" w:color="auto"/>
            <w:right w:val="none" w:sz="0" w:space="0" w:color="auto"/>
          </w:divBdr>
          <w:divsChild>
            <w:div w:id="1820731037">
              <w:marLeft w:val="0"/>
              <w:marRight w:val="0"/>
              <w:marTop w:val="0"/>
              <w:marBottom w:val="0"/>
              <w:divBdr>
                <w:top w:val="none" w:sz="0" w:space="0" w:color="auto"/>
                <w:left w:val="none" w:sz="0" w:space="0" w:color="auto"/>
                <w:bottom w:val="none" w:sz="0" w:space="0" w:color="auto"/>
                <w:right w:val="none" w:sz="0" w:space="0" w:color="auto"/>
              </w:divBdr>
              <w:divsChild>
                <w:div w:id="1680426148">
                  <w:marLeft w:val="0"/>
                  <w:marRight w:val="0"/>
                  <w:marTop w:val="0"/>
                  <w:marBottom w:val="0"/>
                  <w:divBdr>
                    <w:top w:val="none" w:sz="0" w:space="0" w:color="auto"/>
                    <w:left w:val="none" w:sz="0" w:space="0" w:color="auto"/>
                    <w:bottom w:val="none" w:sz="0" w:space="0" w:color="auto"/>
                    <w:right w:val="none" w:sz="0" w:space="0" w:color="auto"/>
                  </w:divBdr>
                  <w:divsChild>
                    <w:div w:id="2555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7329">
      <w:bodyDiv w:val="1"/>
      <w:marLeft w:val="0"/>
      <w:marRight w:val="0"/>
      <w:marTop w:val="0"/>
      <w:marBottom w:val="0"/>
      <w:divBdr>
        <w:top w:val="none" w:sz="0" w:space="0" w:color="auto"/>
        <w:left w:val="none" w:sz="0" w:space="0" w:color="auto"/>
        <w:bottom w:val="none" w:sz="0" w:space="0" w:color="auto"/>
        <w:right w:val="none" w:sz="0" w:space="0" w:color="auto"/>
      </w:divBdr>
      <w:divsChild>
        <w:div w:id="1270894239">
          <w:marLeft w:val="0"/>
          <w:marRight w:val="0"/>
          <w:marTop w:val="0"/>
          <w:marBottom w:val="0"/>
          <w:divBdr>
            <w:top w:val="none" w:sz="0" w:space="0" w:color="auto"/>
            <w:left w:val="none" w:sz="0" w:space="0" w:color="auto"/>
            <w:bottom w:val="none" w:sz="0" w:space="0" w:color="auto"/>
            <w:right w:val="none" w:sz="0" w:space="0" w:color="auto"/>
          </w:divBdr>
          <w:divsChild>
            <w:div w:id="164823863">
              <w:marLeft w:val="0"/>
              <w:marRight w:val="0"/>
              <w:marTop w:val="0"/>
              <w:marBottom w:val="0"/>
              <w:divBdr>
                <w:top w:val="none" w:sz="0" w:space="0" w:color="auto"/>
                <w:left w:val="none" w:sz="0" w:space="0" w:color="auto"/>
                <w:bottom w:val="none" w:sz="0" w:space="0" w:color="auto"/>
                <w:right w:val="none" w:sz="0" w:space="0" w:color="auto"/>
              </w:divBdr>
              <w:divsChild>
                <w:div w:id="1775593082">
                  <w:marLeft w:val="0"/>
                  <w:marRight w:val="0"/>
                  <w:marTop w:val="0"/>
                  <w:marBottom w:val="0"/>
                  <w:divBdr>
                    <w:top w:val="none" w:sz="0" w:space="0" w:color="auto"/>
                    <w:left w:val="none" w:sz="0" w:space="0" w:color="auto"/>
                    <w:bottom w:val="none" w:sz="0" w:space="0" w:color="auto"/>
                    <w:right w:val="none" w:sz="0" w:space="0" w:color="auto"/>
                  </w:divBdr>
                  <w:divsChild>
                    <w:div w:id="17610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45058">
      <w:bodyDiv w:val="1"/>
      <w:marLeft w:val="0"/>
      <w:marRight w:val="0"/>
      <w:marTop w:val="0"/>
      <w:marBottom w:val="0"/>
      <w:divBdr>
        <w:top w:val="none" w:sz="0" w:space="0" w:color="auto"/>
        <w:left w:val="none" w:sz="0" w:space="0" w:color="auto"/>
        <w:bottom w:val="none" w:sz="0" w:space="0" w:color="auto"/>
        <w:right w:val="none" w:sz="0" w:space="0" w:color="auto"/>
      </w:divBdr>
      <w:divsChild>
        <w:div w:id="1157497304">
          <w:marLeft w:val="0"/>
          <w:marRight w:val="0"/>
          <w:marTop w:val="0"/>
          <w:marBottom w:val="0"/>
          <w:divBdr>
            <w:top w:val="none" w:sz="0" w:space="0" w:color="auto"/>
            <w:left w:val="none" w:sz="0" w:space="0" w:color="auto"/>
            <w:bottom w:val="none" w:sz="0" w:space="0" w:color="auto"/>
            <w:right w:val="none" w:sz="0" w:space="0" w:color="auto"/>
          </w:divBdr>
          <w:divsChild>
            <w:div w:id="359287461">
              <w:marLeft w:val="0"/>
              <w:marRight w:val="0"/>
              <w:marTop w:val="0"/>
              <w:marBottom w:val="0"/>
              <w:divBdr>
                <w:top w:val="none" w:sz="0" w:space="0" w:color="auto"/>
                <w:left w:val="none" w:sz="0" w:space="0" w:color="auto"/>
                <w:bottom w:val="none" w:sz="0" w:space="0" w:color="auto"/>
                <w:right w:val="none" w:sz="0" w:space="0" w:color="auto"/>
              </w:divBdr>
              <w:divsChild>
                <w:div w:id="1193113832">
                  <w:marLeft w:val="0"/>
                  <w:marRight w:val="0"/>
                  <w:marTop w:val="0"/>
                  <w:marBottom w:val="0"/>
                  <w:divBdr>
                    <w:top w:val="none" w:sz="0" w:space="0" w:color="auto"/>
                    <w:left w:val="none" w:sz="0" w:space="0" w:color="auto"/>
                    <w:bottom w:val="none" w:sz="0" w:space="0" w:color="auto"/>
                    <w:right w:val="none" w:sz="0" w:space="0" w:color="auto"/>
                  </w:divBdr>
                  <w:divsChild>
                    <w:div w:id="7313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51393">
      <w:bodyDiv w:val="1"/>
      <w:marLeft w:val="0"/>
      <w:marRight w:val="0"/>
      <w:marTop w:val="0"/>
      <w:marBottom w:val="0"/>
      <w:divBdr>
        <w:top w:val="none" w:sz="0" w:space="0" w:color="auto"/>
        <w:left w:val="none" w:sz="0" w:space="0" w:color="auto"/>
        <w:bottom w:val="none" w:sz="0" w:space="0" w:color="auto"/>
        <w:right w:val="none" w:sz="0" w:space="0" w:color="auto"/>
      </w:divBdr>
      <w:divsChild>
        <w:div w:id="1830902171">
          <w:marLeft w:val="0"/>
          <w:marRight w:val="0"/>
          <w:marTop w:val="0"/>
          <w:marBottom w:val="0"/>
          <w:divBdr>
            <w:top w:val="none" w:sz="0" w:space="0" w:color="auto"/>
            <w:left w:val="none" w:sz="0" w:space="0" w:color="auto"/>
            <w:bottom w:val="none" w:sz="0" w:space="0" w:color="auto"/>
            <w:right w:val="none" w:sz="0" w:space="0" w:color="auto"/>
          </w:divBdr>
          <w:divsChild>
            <w:div w:id="1155414483">
              <w:marLeft w:val="0"/>
              <w:marRight w:val="0"/>
              <w:marTop w:val="0"/>
              <w:marBottom w:val="0"/>
              <w:divBdr>
                <w:top w:val="none" w:sz="0" w:space="0" w:color="auto"/>
                <w:left w:val="none" w:sz="0" w:space="0" w:color="auto"/>
                <w:bottom w:val="none" w:sz="0" w:space="0" w:color="auto"/>
                <w:right w:val="none" w:sz="0" w:space="0" w:color="auto"/>
              </w:divBdr>
              <w:divsChild>
                <w:div w:id="1684355515">
                  <w:marLeft w:val="0"/>
                  <w:marRight w:val="0"/>
                  <w:marTop w:val="0"/>
                  <w:marBottom w:val="0"/>
                  <w:divBdr>
                    <w:top w:val="none" w:sz="0" w:space="0" w:color="auto"/>
                    <w:left w:val="none" w:sz="0" w:space="0" w:color="auto"/>
                    <w:bottom w:val="none" w:sz="0" w:space="0" w:color="auto"/>
                    <w:right w:val="none" w:sz="0" w:space="0" w:color="auto"/>
                  </w:divBdr>
                  <w:divsChild>
                    <w:div w:id="19150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92426">
      <w:bodyDiv w:val="1"/>
      <w:marLeft w:val="0"/>
      <w:marRight w:val="0"/>
      <w:marTop w:val="0"/>
      <w:marBottom w:val="0"/>
      <w:divBdr>
        <w:top w:val="none" w:sz="0" w:space="0" w:color="auto"/>
        <w:left w:val="none" w:sz="0" w:space="0" w:color="auto"/>
        <w:bottom w:val="none" w:sz="0" w:space="0" w:color="auto"/>
        <w:right w:val="none" w:sz="0" w:space="0" w:color="auto"/>
      </w:divBdr>
      <w:divsChild>
        <w:div w:id="2097169100">
          <w:marLeft w:val="0"/>
          <w:marRight w:val="0"/>
          <w:marTop w:val="0"/>
          <w:marBottom w:val="0"/>
          <w:divBdr>
            <w:top w:val="none" w:sz="0" w:space="0" w:color="auto"/>
            <w:left w:val="none" w:sz="0" w:space="0" w:color="auto"/>
            <w:bottom w:val="none" w:sz="0" w:space="0" w:color="auto"/>
            <w:right w:val="none" w:sz="0" w:space="0" w:color="auto"/>
          </w:divBdr>
          <w:divsChild>
            <w:div w:id="471336667">
              <w:marLeft w:val="0"/>
              <w:marRight w:val="0"/>
              <w:marTop w:val="0"/>
              <w:marBottom w:val="0"/>
              <w:divBdr>
                <w:top w:val="none" w:sz="0" w:space="0" w:color="auto"/>
                <w:left w:val="none" w:sz="0" w:space="0" w:color="auto"/>
                <w:bottom w:val="none" w:sz="0" w:space="0" w:color="auto"/>
                <w:right w:val="none" w:sz="0" w:space="0" w:color="auto"/>
              </w:divBdr>
              <w:divsChild>
                <w:div w:id="1916040618">
                  <w:marLeft w:val="0"/>
                  <w:marRight w:val="0"/>
                  <w:marTop w:val="0"/>
                  <w:marBottom w:val="0"/>
                  <w:divBdr>
                    <w:top w:val="none" w:sz="0" w:space="0" w:color="auto"/>
                    <w:left w:val="none" w:sz="0" w:space="0" w:color="auto"/>
                    <w:bottom w:val="none" w:sz="0" w:space="0" w:color="auto"/>
                    <w:right w:val="none" w:sz="0" w:space="0" w:color="auto"/>
                  </w:divBdr>
                  <w:divsChild>
                    <w:div w:id="6786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59269">
      <w:bodyDiv w:val="1"/>
      <w:marLeft w:val="0"/>
      <w:marRight w:val="0"/>
      <w:marTop w:val="0"/>
      <w:marBottom w:val="0"/>
      <w:divBdr>
        <w:top w:val="none" w:sz="0" w:space="0" w:color="auto"/>
        <w:left w:val="none" w:sz="0" w:space="0" w:color="auto"/>
        <w:bottom w:val="none" w:sz="0" w:space="0" w:color="auto"/>
        <w:right w:val="none" w:sz="0" w:space="0" w:color="auto"/>
      </w:divBdr>
      <w:divsChild>
        <w:div w:id="684475168">
          <w:marLeft w:val="0"/>
          <w:marRight w:val="0"/>
          <w:marTop w:val="0"/>
          <w:marBottom w:val="0"/>
          <w:divBdr>
            <w:top w:val="none" w:sz="0" w:space="0" w:color="auto"/>
            <w:left w:val="none" w:sz="0" w:space="0" w:color="auto"/>
            <w:bottom w:val="none" w:sz="0" w:space="0" w:color="auto"/>
            <w:right w:val="none" w:sz="0" w:space="0" w:color="auto"/>
          </w:divBdr>
          <w:divsChild>
            <w:div w:id="915407436">
              <w:marLeft w:val="0"/>
              <w:marRight w:val="0"/>
              <w:marTop w:val="0"/>
              <w:marBottom w:val="0"/>
              <w:divBdr>
                <w:top w:val="none" w:sz="0" w:space="0" w:color="auto"/>
                <w:left w:val="none" w:sz="0" w:space="0" w:color="auto"/>
                <w:bottom w:val="none" w:sz="0" w:space="0" w:color="auto"/>
                <w:right w:val="none" w:sz="0" w:space="0" w:color="auto"/>
              </w:divBdr>
              <w:divsChild>
                <w:div w:id="2004776609">
                  <w:marLeft w:val="0"/>
                  <w:marRight w:val="0"/>
                  <w:marTop w:val="0"/>
                  <w:marBottom w:val="0"/>
                  <w:divBdr>
                    <w:top w:val="none" w:sz="0" w:space="0" w:color="auto"/>
                    <w:left w:val="none" w:sz="0" w:space="0" w:color="auto"/>
                    <w:bottom w:val="none" w:sz="0" w:space="0" w:color="auto"/>
                    <w:right w:val="none" w:sz="0" w:space="0" w:color="auto"/>
                  </w:divBdr>
                  <w:divsChild>
                    <w:div w:id="164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333917">
      <w:bodyDiv w:val="1"/>
      <w:marLeft w:val="0"/>
      <w:marRight w:val="0"/>
      <w:marTop w:val="0"/>
      <w:marBottom w:val="0"/>
      <w:divBdr>
        <w:top w:val="none" w:sz="0" w:space="0" w:color="auto"/>
        <w:left w:val="none" w:sz="0" w:space="0" w:color="auto"/>
        <w:bottom w:val="none" w:sz="0" w:space="0" w:color="auto"/>
        <w:right w:val="none" w:sz="0" w:space="0" w:color="auto"/>
      </w:divBdr>
    </w:div>
    <w:div w:id="955405838">
      <w:bodyDiv w:val="1"/>
      <w:marLeft w:val="0"/>
      <w:marRight w:val="0"/>
      <w:marTop w:val="0"/>
      <w:marBottom w:val="0"/>
      <w:divBdr>
        <w:top w:val="none" w:sz="0" w:space="0" w:color="auto"/>
        <w:left w:val="none" w:sz="0" w:space="0" w:color="auto"/>
        <w:bottom w:val="none" w:sz="0" w:space="0" w:color="auto"/>
        <w:right w:val="none" w:sz="0" w:space="0" w:color="auto"/>
      </w:divBdr>
      <w:divsChild>
        <w:div w:id="176505258">
          <w:marLeft w:val="0"/>
          <w:marRight w:val="0"/>
          <w:marTop w:val="0"/>
          <w:marBottom w:val="0"/>
          <w:divBdr>
            <w:top w:val="none" w:sz="0" w:space="0" w:color="auto"/>
            <w:left w:val="none" w:sz="0" w:space="0" w:color="auto"/>
            <w:bottom w:val="none" w:sz="0" w:space="0" w:color="auto"/>
            <w:right w:val="none" w:sz="0" w:space="0" w:color="auto"/>
          </w:divBdr>
          <w:divsChild>
            <w:div w:id="658927951">
              <w:marLeft w:val="0"/>
              <w:marRight w:val="0"/>
              <w:marTop w:val="0"/>
              <w:marBottom w:val="0"/>
              <w:divBdr>
                <w:top w:val="none" w:sz="0" w:space="0" w:color="auto"/>
                <w:left w:val="none" w:sz="0" w:space="0" w:color="auto"/>
                <w:bottom w:val="none" w:sz="0" w:space="0" w:color="auto"/>
                <w:right w:val="none" w:sz="0" w:space="0" w:color="auto"/>
              </w:divBdr>
              <w:divsChild>
                <w:div w:id="2098672117">
                  <w:marLeft w:val="0"/>
                  <w:marRight w:val="0"/>
                  <w:marTop w:val="0"/>
                  <w:marBottom w:val="0"/>
                  <w:divBdr>
                    <w:top w:val="none" w:sz="0" w:space="0" w:color="auto"/>
                    <w:left w:val="none" w:sz="0" w:space="0" w:color="auto"/>
                    <w:bottom w:val="none" w:sz="0" w:space="0" w:color="auto"/>
                    <w:right w:val="none" w:sz="0" w:space="0" w:color="auto"/>
                  </w:divBdr>
                  <w:divsChild>
                    <w:div w:id="7281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01078">
      <w:bodyDiv w:val="1"/>
      <w:marLeft w:val="0"/>
      <w:marRight w:val="0"/>
      <w:marTop w:val="0"/>
      <w:marBottom w:val="0"/>
      <w:divBdr>
        <w:top w:val="none" w:sz="0" w:space="0" w:color="auto"/>
        <w:left w:val="none" w:sz="0" w:space="0" w:color="auto"/>
        <w:bottom w:val="none" w:sz="0" w:space="0" w:color="auto"/>
        <w:right w:val="none" w:sz="0" w:space="0" w:color="auto"/>
      </w:divBdr>
    </w:div>
    <w:div w:id="958873586">
      <w:bodyDiv w:val="1"/>
      <w:marLeft w:val="0"/>
      <w:marRight w:val="0"/>
      <w:marTop w:val="0"/>
      <w:marBottom w:val="0"/>
      <w:divBdr>
        <w:top w:val="none" w:sz="0" w:space="0" w:color="auto"/>
        <w:left w:val="none" w:sz="0" w:space="0" w:color="auto"/>
        <w:bottom w:val="none" w:sz="0" w:space="0" w:color="auto"/>
        <w:right w:val="none" w:sz="0" w:space="0" w:color="auto"/>
      </w:divBdr>
      <w:divsChild>
        <w:div w:id="1442148661">
          <w:marLeft w:val="0"/>
          <w:marRight w:val="0"/>
          <w:marTop w:val="0"/>
          <w:marBottom w:val="0"/>
          <w:divBdr>
            <w:top w:val="none" w:sz="0" w:space="0" w:color="auto"/>
            <w:left w:val="none" w:sz="0" w:space="0" w:color="auto"/>
            <w:bottom w:val="none" w:sz="0" w:space="0" w:color="auto"/>
            <w:right w:val="none" w:sz="0" w:space="0" w:color="auto"/>
          </w:divBdr>
          <w:divsChild>
            <w:div w:id="1336879069">
              <w:marLeft w:val="0"/>
              <w:marRight w:val="0"/>
              <w:marTop w:val="0"/>
              <w:marBottom w:val="0"/>
              <w:divBdr>
                <w:top w:val="none" w:sz="0" w:space="0" w:color="auto"/>
                <w:left w:val="none" w:sz="0" w:space="0" w:color="auto"/>
                <w:bottom w:val="none" w:sz="0" w:space="0" w:color="auto"/>
                <w:right w:val="none" w:sz="0" w:space="0" w:color="auto"/>
              </w:divBdr>
              <w:divsChild>
                <w:div w:id="669023970">
                  <w:marLeft w:val="0"/>
                  <w:marRight w:val="0"/>
                  <w:marTop w:val="0"/>
                  <w:marBottom w:val="0"/>
                  <w:divBdr>
                    <w:top w:val="none" w:sz="0" w:space="0" w:color="auto"/>
                    <w:left w:val="none" w:sz="0" w:space="0" w:color="auto"/>
                    <w:bottom w:val="none" w:sz="0" w:space="0" w:color="auto"/>
                    <w:right w:val="none" w:sz="0" w:space="0" w:color="auto"/>
                  </w:divBdr>
                  <w:divsChild>
                    <w:div w:id="15597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69646">
      <w:bodyDiv w:val="1"/>
      <w:marLeft w:val="0"/>
      <w:marRight w:val="0"/>
      <w:marTop w:val="0"/>
      <w:marBottom w:val="0"/>
      <w:divBdr>
        <w:top w:val="none" w:sz="0" w:space="0" w:color="auto"/>
        <w:left w:val="none" w:sz="0" w:space="0" w:color="auto"/>
        <w:bottom w:val="none" w:sz="0" w:space="0" w:color="auto"/>
        <w:right w:val="none" w:sz="0" w:space="0" w:color="auto"/>
      </w:divBdr>
      <w:divsChild>
        <w:div w:id="1063018651">
          <w:marLeft w:val="0"/>
          <w:marRight w:val="0"/>
          <w:marTop w:val="0"/>
          <w:marBottom w:val="0"/>
          <w:divBdr>
            <w:top w:val="none" w:sz="0" w:space="0" w:color="auto"/>
            <w:left w:val="none" w:sz="0" w:space="0" w:color="auto"/>
            <w:bottom w:val="none" w:sz="0" w:space="0" w:color="auto"/>
            <w:right w:val="none" w:sz="0" w:space="0" w:color="auto"/>
          </w:divBdr>
          <w:divsChild>
            <w:div w:id="1845708236">
              <w:marLeft w:val="0"/>
              <w:marRight w:val="0"/>
              <w:marTop w:val="0"/>
              <w:marBottom w:val="0"/>
              <w:divBdr>
                <w:top w:val="none" w:sz="0" w:space="0" w:color="auto"/>
                <w:left w:val="none" w:sz="0" w:space="0" w:color="auto"/>
                <w:bottom w:val="none" w:sz="0" w:space="0" w:color="auto"/>
                <w:right w:val="none" w:sz="0" w:space="0" w:color="auto"/>
              </w:divBdr>
              <w:divsChild>
                <w:div w:id="895700813">
                  <w:marLeft w:val="0"/>
                  <w:marRight w:val="0"/>
                  <w:marTop w:val="0"/>
                  <w:marBottom w:val="0"/>
                  <w:divBdr>
                    <w:top w:val="none" w:sz="0" w:space="0" w:color="auto"/>
                    <w:left w:val="none" w:sz="0" w:space="0" w:color="auto"/>
                    <w:bottom w:val="none" w:sz="0" w:space="0" w:color="auto"/>
                    <w:right w:val="none" w:sz="0" w:space="0" w:color="auto"/>
                  </w:divBdr>
                  <w:divsChild>
                    <w:div w:id="1835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80846">
      <w:bodyDiv w:val="1"/>
      <w:marLeft w:val="0"/>
      <w:marRight w:val="0"/>
      <w:marTop w:val="0"/>
      <w:marBottom w:val="0"/>
      <w:divBdr>
        <w:top w:val="none" w:sz="0" w:space="0" w:color="auto"/>
        <w:left w:val="none" w:sz="0" w:space="0" w:color="auto"/>
        <w:bottom w:val="none" w:sz="0" w:space="0" w:color="auto"/>
        <w:right w:val="none" w:sz="0" w:space="0" w:color="auto"/>
      </w:divBdr>
      <w:divsChild>
        <w:div w:id="920061093">
          <w:marLeft w:val="0"/>
          <w:marRight w:val="0"/>
          <w:marTop w:val="0"/>
          <w:marBottom w:val="0"/>
          <w:divBdr>
            <w:top w:val="none" w:sz="0" w:space="0" w:color="auto"/>
            <w:left w:val="none" w:sz="0" w:space="0" w:color="auto"/>
            <w:bottom w:val="none" w:sz="0" w:space="0" w:color="auto"/>
            <w:right w:val="none" w:sz="0" w:space="0" w:color="auto"/>
          </w:divBdr>
          <w:divsChild>
            <w:div w:id="166940078">
              <w:marLeft w:val="0"/>
              <w:marRight w:val="0"/>
              <w:marTop w:val="0"/>
              <w:marBottom w:val="0"/>
              <w:divBdr>
                <w:top w:val="none" w:sz="0" w:space="0" w:color="auto"/>
                <w:left w:val="none" w:sz="0" w:space="0" w:color="auto"/>
                <w:bottom w:val="none" w:sz="0" w:space="0" w:color="auto"/>
                <w:right w:val="none" w:sz="0" w:space="0" w:color="auto"/>
              </w:divBdr>
              <w:divsChild>
                <w:div w:id="257520595">
                  <w:marLeft w:val="0"/>
                  <w:marRight w:val="0"/>
                  <w:marTop w:val="0"/>
                  <w:marBottom w:val="0"/>
                  <w:divBdr>
                    <w:top w:val="none" w:sz="0" w:space="0" w:color="auto"/>
                    <w:left w:val="none" w:sz="0" w:space="0" w:color="auto"/>
                    <w:bottom w:val="none" w:sz="0" w:space="0" w:color="auto"/>
                    <w:right w:val="none" w:sz="0" w:space="0" w:color="auto"/>
                  </w:divBdr>
                  <w:divsChild>
                    <w:div w:id="16215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28623">
      <w:bodyDiv w:val="1"/>
      <w:marLeft w:val="0"/>
      <w:marRight w:val="0"/>
      <w:marTop w:val="0"/>
      <w:marBottom w:val="0"/>
      <w:divBdr>
        <w:top w:val="none" w:sz="0" w:space="0" w:color="auto"/>
        <w:left w:val="none" w:sz="0" w:space="0" w:color="auto"/>
        <w:bottom w:val="none" w:sz="0" w:space="0" w:color="auto"/>
        <w:right w:val="none" w:sz="0" w:space="0" w:color="auto"/>
      </w:divBdr>
      <w:divsChild>
        <w:div w:id="573398301">
          <w:marLeft w:val="0"/>
          <w:marRight w:val="0"/>
          <w:marTop w:val="0"/>
          <w:marBottom w:val="0"/>
          <w:divBdr>
            <w:top w:val="none" w:sz="0" w:space="0" w:color="auto"/>
            <w:left w:val="none" w:sz="0" w:space="0" w:color="auto"/>
            <w:bottom w:val="none" w:sz="0" w:space="0" w:color="auto"/>
            <w:right w:val="none" w:sz="0" w:space="0" w:color="auto"/>
          </w:divBdr>
          <w:divsChild>
            <w:div w:id="185097026">
              <w:marLeft w:val="0"/>
              <w:marRight w:val="0"/>
              <w:marTop w:val="0"/>
              <w:marBottom w:val="0"/>
              <w:divBdr>
                <w:top w:val="none" w:sz="0" w:space="0" w:color="auto"/>
                <w:left w:val="none" w:sz="0" w:space="0" w:color="auto"/>
                <w:bottom w:val="none" w:sz="0" w:space="0" w:color="auto"/>
                <w:right w:val="none" w:sz="0" w:space="0" w:color="auto"/>
              </w:divBdr>
              <w:divsChild>
                <w:div w:id="12366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7977">
      <w:bodyDiv w:val="1"/>
      <w:marLeft w:val="0"/>
      <w:marRight w:val="0"/>
      <w:marTop w:val="0"/>
      <w:marBottom w:val="0"/>
      <w:divBdr>
        <w:top w:val="none" w:sz="0" w:space="0" w:color="auto"/>
        <w:left w:val="none" w:sz="0" w:space="0" w:color="auto"/>
        <w:bottom w:val="none" w:sz="0" w:space="0" w:color="auto"/>
        <w:right w:val="none" w:sz="0" w:space="0" w:color="auto"/>
      </w:divBdr>
      <w:divsChild>
        <w:div w:id="1499341431">
          <w:marLeft w:val="0"/>
          <w:marRight w:val="0"/>
          <w:marTop w:val="0"/>
          <w:marBottom w:val="0"/>
          <w:divBdr>
            <w:top w:val="none" w:sz="0" w:space="0" w:color="auto"/>
            <w:left w:val="none" w:sz="0" w:space="0" w:color="auto"/>
            <w:bottom w:val="none" w:sz="0" w:space="0" w:color="auto"/>
            <w:right w:val="none" w:sz="0" w:space="0" w:color="auto"/>
          </w:divBdr>
          <w:divsChild>
            <w:div w:id="676075908">
              <w:marLeft w:val="0"/>
              <w:marRight w:val="0"/>
              <w:marTop w:val="0"/>
              <w:marBottom w:val="0"/>
              <w:divBdr>
                <w:top w:val="none" w:sz="0" w:space="0" w:color="auto"/>
                <w:left w:val="none" w:sz="0" w:space="0" w:color="auto"/>
                <w:bottom w:val="none" w:sz="0" w:space="0" w:color="auto"/>
                <w:right w:val="none" w:sz="0" w:space="0" w:color="auto"/>
              </w:divBdr>
              <w:divsChild>
                <w:div w:id="2715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864034">
      <w:bodyDiv w:val="1"/>
      <w:marLeft w:val="0"/>
      <w:marRight w:val="0"/>
      <w:marTop w:val="0"/>
      <w:marBottom w:val="0"/>
      <w:divBdr>
        <w:top w:val="none" w:sz="0" w:space="0" w:color="auto"/>
        <w:left w:val="none" w:sz="0" w:space="0" w:color="auto"/>
        <w:bottom w:val="none" w:sz="0" w:space="0" w:color="auto"/>
        <w:right w:val="none" w:sz="0" w:space="0" w:color="auto"/>
      </w:divBdr>
      <w:divsChild>
        <w:div w:id="1212497198">
          <w:marLeft w:val="0"/>
          <w:marRight w:val="0"/>
          <w:marTop w:val="0"/>
          <w:marBottom w:val="0"/>
          <w:divBdr>
            <w:top w:val="none" w:sz="0" w:space="0" w:color="auto"/>
            <w:left w:val="none" w:sz="0" w:space="0" w:color="auto"/>
            <w:bottom w:val="none" w:sz="0" w:space="0" w:color="auto"/>
            <w:right w:val="none" w:sz="0" w:space="0" w:color="auto"/>
          </w:divBdr>
          <w:divsChild>
            <w:div w:id="1486161222">
              <w:marLeft w:val="0"/>
              <w:marRight w:val="0"/>
              <w:marTop w:val="0"/>
              <w:marBottom w:val="0"/>
              <w:divBdr>
                <w:top w:val="none" w:sz="0" w:space="0" w:color="auto"/>
                <w:left w:val="none" w:sz="0" w:space="0" w:color="auto"/>
                <w:bottom w:val="none" w:sz="0" w:space="0" w:color="auto"/>
                <w:right w:val="none" w:sz="0" w:space="0" w:color="auto"/>
              </w:divBdr>
              <w:divsChild>
                <w:div w:id="568199718">
                  <w:marLeft w:val="0"/>
                  <w:marRight w:val="0"/>
                  <w:marTop w:val="0"/>
                  <w:marBottom w:val="0"/>
                  <w:divBdr>
                    <w:top w:val="none" w:sz="0" w:space="0" w:color="auto"/>
                    <w:left w:val="none" w:sz="0" w:space="0" w:color="auto"/>
                    <w:bottom w:val="none" w:sz="0" w:space="0" w:color="auto"/>
                    <w:right w:val="none" w:sz="0" w:space="0" w:color="auto"/>
                  </w:divBdr>
                  <w:divsChild>
                    <w:div w:id="19272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367825">
      <w:bodyDiv w:val="1"/>
      <w:marLeft w:val="0"/>
      <w:marRight w:val="0"/>
      <w:marTop w:val="0"/>
      <w:marBottom w:val="0"/>
      <w:divBdr>
        <w:top w:val="none" w:sz="0" w:space="0" w:color="auto"/>
        <w:left w:val="none" w:sz="0" w:space="0" w:color="auto"/>
        <w:bottom w:val="none" w:sz="0" w:space="0" w:color="auto"/>
        <w:right w:val="none" w:sz="0" w:space="0" w:color="auto"/>
      </w:divBdr>
      <w:divsChild>
        <w:div w:id="1891069541">
          <w:marLeft w:val="0"/>
          <w:marRight w:val="0"/>
          <w:marTop w:val="0"/>
          <w:marBottom w:val="0"/>
          <w:divBdr>
            <w:top w:val="none" w:sz="0" w:space="0" w:color="auto"/>
            <w:left w:val="none" w:sz="0" w:space="0" w:color="auto"/>
            <w:bottom w:val="none" w:sz="0" w:space="0" w:color="auto"/>
            <w:right w:val="none" w:sz="0" w:space="0" w:color="auto"/>
          </w:divBdr>
          <w:divsChild>
            <w:div w:id="1185359884">
              <w:marLeft w:val="0"/>
              <w:marRight w:val="0"/>
              <w:marTop w:val="0"/>
              <w:marBottom w:val="0"/>
              <w:divBdr>
                <w:top w:val="none" w:sz="0" w:space="0" w:color="auto"/>
                <w:left w:val="none" w:sz="0" w:space="0" w:color="auto"/>
                <w:bottom w:val="none" w:sz="0" w:space="0" w:color="auto"/>
                <w:right w:val="none" w:sz="0" w:space="0" w:color="auto"/>
              </w:divBdr>
              <w:divsChild>
                <w:div w:id="498931515">
                  <w:marLeft w:val="0"/>
                  <w:marRight w:val="0"/>
                  <w:marTop w:val="0"/>
                  <w:marBottom w:val="0"/>
                  <w:divBdr>
                    <w:top w:val="none" w:sz="0" w:space="0" w:color="auto"/>
                    <w:left w:val="none" w:sz="0" w:space="0" w:color="auto"/>
                    <w:bottom w:val="none" w:sz="0" w:space="0" w:color="auto"/>
                    <w:right w:val="none" w:sz="0" w:space="0" w:color="auto"/>
                  </w:divBdr>
                  <w:divsChild>
                    <w:div w:id="80007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02130">
      <w:bodyDiv w:val="1"/>
      <w:marLeft w:val="0"/>
      <w:marRight w:val="0"/>
      <w:marTop w:val="0"/>
      <w:marBottom w:val="0"/>
      <w:divBdr>
        <w:top w:val="none" w:sz="0" w:space="0" w:color="auto"/>
        <w:left w:val="none" w:sz="0" w:space="0" w:color="auto"/>
        <w:bottom w:val="none" w:sz="0" w:space="0" w:color="auto"/>
        <w:right w:val="none" w:sz="0" w:space="0" w:color="auto"/>
      </w:divBdr>
      <w:divsChild>
        <w:div w:id="458573640">
          <w:marLeft w:val="0"/>
          <w:marRight w:val="0"/>
          <w:marTop w:val="0"/>
          <w:marBottom w:val="0"/>
          <w:divBdr>
            <w:top w:val="none" w:sz="0" w:space="0" w:color="auto"/>
            <w:left w:val="none" w:sz="0" w:space="0" w:color="auto"/>
            <w:bottom w:val="none" w:sz="0" w:space="0" w:color="auto"/>
            <w:right w:val="none" w:sz="0" w:space="0" w:color="auto"/>
          </w:divBdr>
          <w:divsChild>
            <w:div w:id="1760563759">
              <w:marLeft w:val="0"/>
              <w:marRight w:val="0"/>
              <w:marTop w:val="0"/>
              <w:marBottom w:val="0"/>
              <w:divBdr>
                <w:top w:val="none" w:sz="0" w:space="0" w:color="auto"/>
                <w:left w:val="none" w:sz="0" w:space="0" w:color="auto"/>
                <w:bottom w:val="none" w:sz="0" w:space="0" w:color="auto"/>
                <w:right w:val="none" w:sz="0" w:space="0" w:color="auto"/>
              </w:divBdr>
              <w:divsChild>
                <w:div w:id="1587835971">
                  <w:marLeft w:val="0"/>
                  <w:marRight w:val="0"/>
                  <w:marTop w:val="0"/>
                  <w:marBottom w:val="0"/>
                  <w:divBdr>
                    <w:top w:val="none" w:sz="0" w:space="0" w:color="auto"/>
                    <w:left w:val="none" w:sz="0" w:space="0" w:color="auto"/>
                    <w:bottom w:val="none" w:sz="0" w:space="0" w:color="auto"/>
                    <w:right w:val="none" w:sz="0" w:space="0" w:color="auto"/>
                  </w:divBdr>
                  <w:divsChild>
                    <w:div w:id="13635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5939">
      <w:bodyDiv w:val="1"/>
      <w:marLeft w:val="0"/>
      <w:marRight w:val="0"/>
      <w:marTop w:val="0"/>
      <w:marBottom w:val="0"/>
      <w:divBdr>
        <w:top w:val="none" w:sz="0" w:space="0" w:color="auto"/>
        <w:left w:val="none" w:sz="0" w:space="0" w:color="auto"/>
        <w:bottom w:val="none" w:sz="0" w:space="0" w:color="auto"/>
        <w:right w:val="none" w:sz="0" w:space="0" w:color="auto"/>
      </w:divBdr>
      <w:divsChild>
        <w:div w:id="1341541473">
          <w:marLeft w:val="0"/>
          <w:marRight w:val="0"/>
          <w:marTop w:val="0"/>
          <w:marBottom w:val="0"/>
          <w:divBdr>
            <w:top w:val="none" w:sz="0" w:space="0" w:color="auto"/>
            <w:left w:val="none" w:sz="0" w:space="0" w:color="auto"/>
            <w:bottom w:val="none" w:sz="0" w:space="0" w:color="auto"/>
            <w:right w:val="none" w:sz="0" w:space="0" w:color="auto"/>
          </w:divBdr>
          <w:divsChild>
            <w:div w:id="392120901">
              <w:marLeft w:val="0"/>
              <w:marRight w:val="0"/>
              <w:marTop w:val="0"/>
              <w:marBottom w:val="0"/>
              <w:divBdr>
                <w:top w:val="none" w:sz="0" w:space="0" w:color="auto"/>
                <w:left w:val="none" w:sz="0" w:space="0" w:color="auto"/>
                <w:bottom w:val="none" w:sz="0" w:space="0" w:color="auto"/>
                <w:right w:val="none" w:sz="0" w:space="0" w:color="auto"/>
              </w:divBdr>
              <w:divsChild>
                <w:div w:id="570699079">
                  <w:marLeft w:val="0"/>
                  <w:marRight w:val="0"/>
                  <w:marTop w:val="0"/>
                  <w:marBottom w:val="0"/>
                  <w:divBdr>
                    <w:top w:val="none" w:sz="0" w:space="0" w:color="auto"/>
                    <w:left w:val="none" w:sz="0" w:space="0" w:color="auto"/>
                    <w:bottom w:val="none" w:sz="0" w:space="0" w:color="auto"/>
                    <w:right w:val="none" w:sz="0" w:space="0" w:color="auto"/>
                  </w:divBdr>
                  <w:divsChild>
                    <w:div w:id="12109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2743">
      <w:bodyDiv w:val="1"/>
      <w:marLeft w:val="0"/>
      <w:marRight w:val="0"/>
      <w:marTop w:val="0"/>
      <w:marBottom w:val="0"/>
      <w:divBdr>
        <w:top w:val="none" w:sz="0" w:space="0" w:color="auto"/>
        <w:left w:val="none" w:sz="0" w:space="0" w:color="auto"/>
        <w:bottom w:val="none" w:sz="0" w:space="0" w:color="auto"/>
        <w:right w:val="none" w:sz="0" w:space="0" w:color="auto"/>
      </w:divBdr>
      <w:divsChild>
        <w:div w:id="1667825899">
          <w:marLeft w:val="0"/>
          <w:marRight w:val="0"/>
          <w:marTop w:val="0"/>
          <w:marBottom w:val="0"/>
          <w:divBdr>
            <w:top w:val="none" w:sz="0" w:space="0" w:color="auto"/>
            <w:left w:val="none" w:sz="0" w:space="0" w:color="auto"/>
            <w:bottom w:val="none" w:sz="0" w:space="0" w:color="auto"/>
            <w:right w:val="none" w:sz="0" w:space="0" w:color="auto"/>
          </w:divBdr>
          <w:divsChild>
            <w:div w:id="1144617985">
              <w:marLeft w:val="0"/>
              <w:marRight w:val="0"/>
              <w:marTop w:val="0"/>
              <w:marBottom w:val="0"/>
              <w:divBdr>
                <w:top w:val="none" w:sz="0" w:space="0" w:color="auto"/>
                <w:left w:val="none" w:sz="0" w:space="0" w:color="auto"/>
                <w:bottom w:val="none" w:sz="0" w:space="0" w:color="auto"/>
                <w:right w:val="none" w:sz="0" w:space="0" w:color="auto"/>
              </w:divBdr>
              <w:divsChild>
                <w:div w:id="68637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01736">
      <w:bodyDiv w:val="1"/>
      <w:marLeft w:val="0"/>
      <w:marRight w:val="0"/>
      <w:marTop w:val="0"/>
      <w:marBottom w:val="0"/>
      <w:divBdr>
        <w:top w:val="none" w:sz="0" w:space="0" w:color="auto"/>
        <w:left w:val="none" w:sz="0" w:space="0" w:color="auto"/>
        <w:bottom w:val="none" w:sz="0" w:space="0" w:color="auto"/>
        <w:right w:val="none" w:sz="0" w:space="0" w:color="auto"/>
      </w:divBdr>
      <w:divsChild>
        <w:div w:id="1075517213">
          <w:marLeft w:val="0"/>
          <w:marRight w:val="0"/>
          <w:marTop w:val="0"/>
          <w:marBottom w:val="0"/>
          <w:divBdr>
            <w:top w:val="none" w:sz="0" w:space="0" w:color="auto"/>
            <w:left w:val="none" w:sz="0" w:space="0" w:color="auto"/>
            <w:bottom w:val="none" w:sz="0" w:space="0" w:color="auto"/>
            <w:right w:val="none" w:sz="0" w:space="0" w:color="auto"/>
          </w:divBdr>
          <w:divsChild>
            <w:div w:id="7761539">
              <w:marLeft w:val="0"/>
              <w:marRight w:val="0"/>
              <w:marTop w:val="0"/>
              <w:marBottom w:val="0"/>
              <w:divBdr>
                <w:top w:val="none" w:sz="0" w:space="0" w:color="auto"/>
                <w:left w:val="none" w:sz="0" w:space="0" w:color="auto"/>
                <w:bottom w:val="none" w:sz="0" w:space="0" w:color="auto"/>
                <w:right w:val="none" w:sz="0" w:space="0" w:color="auto"/>
              </w:divBdr>
              <w:divsChild>
                <w:div w:id="1038051178">
                  <w:marLeft w:val="0"/>
                  <w:marRight w:val="0"/>
                  <w:marTop w:val="0"/>
                  <w:marBottom w:val="0"/>
                  <w:divBdr>
                    <w:top w:val="none" w:sz="0" w:space="0" w:color="auto"/>
                    <w:left w:val="none" w:sz="0" w:space="0" w:color="auto"/>
                    <w:bottom w:val="none" w:sz="0" w:space="0" w:color="auto"/>
                    <w:right w:val="none" w:sz="0" w:space="0" w:color="auto"/>
                  </w:divBdr>
                  <w:divsChild>
                    <w:div w:id="11798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5628">
      <w:bodyDiv w:val="1"/>
      <w:marLeft w:val="0"/>
      <w:marRight w:val="0"/>
      <w:marTop w:val="0"/>
      <w:marBottom w:val="0"/>
      <w:divBdr>
        <w:top w:val="none" w:sz="0" w:space="0" w:color="auto"/>
        <w:left w:val="none" w:sz="0" w:space="0" w:color="auto"/>
        <w:bottom w:val="none" w:sz="0" w:space="0" w:color="auto"/>
        <w:right w:val="none" w:sz="0" w:space="0" w:color="auto"/>
      </w:divBdr>
      <w:divsChild>
        <w:div w:id="129834811">
          <w:marLeft w:val="0"/>
          <w:marRight w:val="0"/>
          <w:marTop w:val="0"/>
          <w:marBottom w:val="0"/>
          <w:divBdr>
            <w:top w:val="none" w:sz="0" w:space="0" w:color="auto"/>
            <w:left w:val="none" w:sz="0" w:space="0" w:color="auto"/>
            <w:bottom w:val="none" w:sz="0" w:space="0" w:color="auto"/>
            <w:right w:val="none" w:sz="0" w:space="0" w:color="auto"/>
          </w:divBdr>
          <w:divsChild>
            <w:div w:id="1300380566">
              <w:marLeft w:val="0"/>
              <w:marRight w:val="0"/>
              <w:marTop w:val="0"/>
              <w:marBottom w:val="0"/>
              <w:divBdr>
                <w:top w:val="none" w:sz="0" w:space="0" w:color="auto"/>
                <w:left w:val="none" w:sz="0" w:space="0" w:color="auto"/>
                <w:bottom w:val="none" w:sz="0" w:space="0" w:color="auto"/>
                <w:right w:val="none" w:sz="0" w:space="0" w:color="auto"/>
              </w:divBdr>
              <w:divsChild>
                <w:div w:id="5544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01745">
      <w:bodyDiv w:val="1"/>
      <w:marLeft w:val="0"/>
      <w:marRight w:val="0"/>
      <w:marTop w:val="0"/>
      <w:marBottom w:val="0"/>
      <w:divBdr>
        <w:top w:val="none" w:sz="0" w:space="0" w:color="auto"/>
        <w:left w:val="none" w:sz="0" w:space="0" w:color="auto"/>
        <w:bottom w:val="none" w:sz="0" w:space="0" w:color="auto"/>
        <w:right w:val="none" w:sz="0" w:space="0" w:color="auto"/>
      </w:divBdr>
      <w:divsChild>
        <w:div w:id="743919880">
          <w:marLeft w:val="0"/>
          <w:marRight w:val="0"/>
          <w:marTop w:val="0"/>
          <w:marBottom w:val="0"/>
          <w:divBdr>
            <w:top w:val="none" w:sz="0" w:space="0" w:color="auto"/>
            <w:left w:val="none" w:sz="0" w:space="0" w:color="auto"/>
            <w:bottom w:val="none" w:sz="0" w:space="0" w:color="auto"/>
            <w:right w:val="none" w:sz="0" w:space="0" w:color="auto"/>
          </w:divBdr>
          <w:divsChild>
            <w:div w:id="1230574501">
              <w:marLeft w:val="0"/>
              <w:marRight w:val="0"/>
              <w:marTop w:val="0"/>
              <w:marBottom w:val="0"/>
              <w:divBdr>
                <w:top w:val="none" w:sz="0" w:space="0" w:color="auto"/>
                <w:left w:val="none" w:sz="0" w:space="0" w:color="auto"/>
                <w:bottom w:val="none" w:sz="0" w:space="0" w:color="auto"/>
                <w:right w:val="none" w:sz="0" w:space="0" w:color="auto"/>
              </w:divBdr>
              <w:divsChild>
                <w:div w:id="1723210515">
                  <w:marLeft w:val="0"/>
                  <w:marRight w:val="0"/>
                  <w:marTop w:val="0"/>
                  <w:marBottom w:val="0"/>
                  <w:divBdr>
                    <w:top w:val="none" w:sz="0" w:space="0" w:color="auto"/>
                    <w:left w:val="none" w:sz="0" w:space="0" w:color="auto"/>
                    <w:bottom w:val="none" w:sz="0" w:space="0" w:color="auto"/>
                    <w:right w:val="none" w:sz="0" w:space="0" w:color="auto"/>
                  </w:divBdr>
                  <w:divsChild>
                    <w:div w:id="19607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53139">
      <w:bodyDiv w:val="1"/>
      <w:marLeft w:val="0"/>
      <w:marRight w:val="0"/>
      <w:marTop w:val="0"/>
      <w:marBottom w:val="0"/>
      <w:divBdr>
        <w:top w:val="none" w:sz="0" w:space="0" w:color="auto"/>
        <w:left w:val="none" w:sz="0" w:space="0" w:color="auto"/>
        <w:bottom w:val="none" w:sz="0" w:space="0" w:color="auto"/>
        <w:right w:val="none" w:sz="0" w:space="0" w:color="auto"/>
      </w:divBdr>
      <w:divsChild>
        <w:div w:id="1429034198">
          <w:marLeft w:val="0"/>
          <w:marRight w:val="0"/>
          <w:marTop w:val="0"/>
          <w:marBottom w:val="0"/>
          <w:divBdr>
            <w:top w:val="none" w:sz="0" w:space="0" w:color="auto"/>
            <w:left w:val="none" w:sz="0" w:space="0" w:color="auto"/>
            <w:bottom w:val="none" w:sz="0" w:space="0" w:color="auto"/>
            <w:right w:val="none" w:sz="0" w:space="0" w:color="auto"/>
          </w:divBdr>
          <w:divsChild>
            <w:div w:id="645820669">
              <w:marLeft w:val="0"/>
              <w:marRight w:val="0"/>
              <w:marTop w:val="0"/>
              <w:marBottom w:val="0"/>
              <w:divBdr>
                <w:top w:val="none" w:sz="0" w:space="0" w:color="auto"/>
                <w:left w:val="none" w:sz="0" w:space="0" w:color="auto"/>
                <w:bottom w:val="none" w:sz="0" w:space="0" w:color="auto"/>
                <w:right w:val="none" w:sz="0" w:space="0" w:color="auto"/>
              </w:divBdr>
              <w:divsChild>
                <w:div w:id="1845195818">
                  <w:marLeft w:val="0"/>
                  <w:marRight w:val="0"/>
                  <w:marTop w:val="0"/>
                  <w:marBottom w:val="0"/>
                  <w:divBdr>
                    <w:top w:val="none" w:sz="0" w:space="0" w:color="auto"/>
                    <w:left w:val="none" w:sz="0" w:space="0" w:color="auto"/>
                    <w:bottom w:val="none" w:sz="0" w:space="0" w:color="auto"/>
                    <w:right w:val="none" w:sz="0" w:space="0" w:color="auto"/>
                  </w:divBdr>
                  <w:divsChild>
                    <w:div w:id="3280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54003">
      <w:bodyDiv w:val="1"/>
      <w:marLeft w:val="0"/>
      <w:marRight w:val="0"/>
      <w:marTop w:val="0"/>
      <w:marBottom w:val="0"/>
      <w:divBdr>
        <w:top w:val="none" w:sz="0" w:space="0" w:color="auto"/>
        <w:left w:val="none" w:sz="0" w:space="0" w:color="auto"/>
        <w:bottom w:val="none" w:sz="0" w:space="0" w:color="auto"/>
        <w:right w:val="none" w:sz="0" w:space="0" w:color="auto"/>
      </w:divBdr>
    </w:div>
    <w:div w:id="1005937202">
      <w:bodyDiv w:val="1"/>
      <w:marLeft w:val="0"/>
      <w:marRight w:val="0"/>
      <w:marTop w:val="0"/>
      <w:marBottom w:val="0"/>
      <w:divBdr>
        <w:top w:val="none" w:sz="0" w:space="0" w:color="auto"/>
        <w:left w:val="none" w:sz="0" w:space="0" w:color="auto"/>
        <w:bottom w:val="none" w:sz="0" w:space="0" w:color="auto"/>
        <w:right w:val="none" w:sz="0" w:space="0" w:color="auto"/>
      </w:divBdr>
      <w:divsChild>
        <w:div w:id="553542157">
          <w:marLeft w:val="-225"/>
          <w:marRight w:val="-225"/>
          <w:marTop w:val="0"/>
          <w:marBottom w:val="0"/>
          <w:divBdr>
            <w:top w:val="none" w:sz="0" w:space="0" w:color="auto"/>
            <w:left w:val="none" w:sz="0" w:space="0" w:color="auto"/>
            <w:bottom w:val="none" w:sz="0" w:space="0" w:color="auto"/>
            <w:right w:val="none" w:sz="0" w:space="0" w:color="auto"/>
          </w:divBdr>
          <w:divsChild>
            <w:div w:id="20363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48672">
      <w:bodyDiv w:val="1"/>
      <w:marLeft w:val="0"/>
      <w:marRight w:val="0"/>
      <w:marTop w:val="0"/>
      <w:marBottom w:val="0"/>
      <w:divBdr>
        <w:top w:val="none" w:sz="0" w:space="0" w:color="auto"/>
        <w:left w:val="none" w:sz="0" w:space="0" w:color="auto"/>
        <w:bottom w:val="none" w:sz="0" w:space="0" w:color="auto"/>
        <w:right w:val="none" w:sz="0" w:space="0" w:color="auto"/>
      </w:divBdr>
    </w:div>
    <w:div w:id="1009679948">
      <w:bodyDiv w:val="1"/>
      <w:marLeft w:val="0"/>
      <w:marRight w:val="0"/>
      <w:marTop w:val="0"/>
      <w:marBottom w:val="0"/>
      <w:divBdr>
        <w:top w:val="none" w:sz="0" w:space="0" w:color="auto"/>
        <w:left w:val="none" w:sz="0" w:space="0" w:color="auto"/>
        <w:bottom w:val="none" w:sz="0" w:space="0" w:color="auto"/>
        <w:right w:val="none" w:sz="0" w:space="0" w:color="auto"/>
      </w:divBdr>
      <w:divsChild>
        <w:div w:id="1811552739">
          <w:marLeft w:val="0"/>
          <w:marRight w:val="0"/>
          <w:marTop w:val="0"/>
          <w:marBottom w:val="0"/>
          <w:divBdr>
            <w:top w:val="none" w:sz="0" w:space="0" w:color="auto"/>
            <w:left w:val="none" w:sz="0" w:space="0" w:color="auto"/>
            <w:bottom w:val="none" w:sz="0" w:space="0" w:color="auto"/>
            <w:right w:val="none" w:sz="0" w:space="0" w:color="auto"/>
          </w:divBdr>
          <w:divsChild>
            <w:div w:id="1357200054">
              <w:marLeft w:val="0"/>
              <w:marRight w:val="0"/>
              <w:marTop w:val="0"/>
              <w:marBottom w:val="0"/>
              <w:divBdr>
                <w:top w:val="none" w:sz="0" w:space="0" w:color="auto"/>
                <w:left w:val="none" w:sz="0" w:space="0" w:color="auto"/>
                <w:bottom w:val="none" w:sz="0" w:space="0" w:color="auto"/>
                <w:right w:val="none" w:sz="0" w:space="0" w:color="auto"/>
              </w:divBdr>
              <w:divsChild>
                <w:div w:id="651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4310">
      <w:bodyDiv w:val="1"/>
      <w:marLeft w:val="0"/>
      <w:marRight w:val="0"/>
      <w:marTop w:val="0"/>
      <w:marBottom w:val="0"/>
      <w:divBdr>
        <w:top w:val="none" w:sz="0" w:space="0" w:color="auto"/>
        <w:left w:val="none" w:sz="0" w:space="0" w:color="auto"/>
        <w:bottom w:val="none" w:sz="0" w:space="0" w:color="auto"/>
        <w:right w:val="none" w:sz="0" w:space="0" w:color="auto"/>
      </w:divBdr>
      <w:divsChild>
        <w:div w:id="827289776">
          <w:marLeft w:val="0"/>
          <w:marRight w:val="0"/>
          <w:marTop w:val="0"/>
          <w:marBottom w:val="0"/>
          <w:divBdr>
            <w:top w:val="none" w:sz="0" w:space="0" w:color="auto"/>
            <w:left w:val="none" w:sz="0" w:space="0" w:color="auto"/>
            <w:bottom w:val="none" w:sz="0" w:space="0" w:color="auto"/>
            <w:right w:val="none" w:sz="0" w:space="0" w:color="auto"/>
          </w:divBdr>
          <w:divsChild>
            <w:div w:id="180170633">
              <w:marLeft w:val="0"/>
              <w:marRight w:val="0"/>
              <w:marTop w:val="0"/>
              <w:marBottom w:val="0"/>
              <w:divBdr>
                <w:top w:val="none" w:sz="0" w:space="0" w:color="auto"/>
                <w:left w:val="none" w:sz="0" w:space="0" w:color="auto"/>
                <w:bottom w:val="none" w:sz="0" w:space="0" w:color="auto"/>
                <w:right w:val="none" w:sz="0" w:space="0" w:color="auto"/>
              </w:divBdr>
              <w:divsChild>
                <w:div w:id="327483566">
                  <w:marLeft w:val="0"/>
                  <w:marRight w:val="0"/>
                  <w:marTop w:val="0"/>
                  <w:marBottom w:val="0"/>
                  <w:divBdr>
                    <w:top w:val="none" w:sz="0" w:space="0" w:color="auto"/>
                    <w:left w:val="none" w:sz="0" w:space="0" w:color="auto"/>
                    <w:bottom w:val="none" w:sz="0" w:space="0" w:color="auto"/>
                    <w:right w:val="none" w:sz="0" w:space="0" w:color="auto"/>
                  </w:divBdr>
                  <w:divsChild>
                    <w:div w:id="335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14802">
      <w:bodyDiv w:val="1"/>
      <w:marLeft w:val="0"/>
      <w:marRight w:val="0"/>
      <w:marTop w:val="0"/>
      <w:marBottom w:val="0"/>
      <w:divBdr>
        <w:top w:val="none" w:sz="0" w:space="0" w:color="auto"/>
        <w:left w:val="none" w:sz="0" w:space="0" w:color="auto"/>
        <w:bottom w:val="none" w:sz="0" w:space="0" w:color="auto"/>
        <w:right w:val="none" w:sz="0" w:space="0" w:color="auto"/>
      </w:divBdr>
      <w:divsChild>
        <w:div w:id="1630741244">
          <w:marLeft w:val="0"/>
          <w:marRight w:val="0"/>
          <w:marTop w:val="0"/>
          <w:marBottom w:val="0"/>
          <w:divBdr>
            <w:top w:val="none" w:sz="0" w:space="0" w:color="auto"/>
            <w:left w:val="none" w:sz="0" w:space="0" w:color="auto"/>
            <w:bottom w:val="none" w:sz="0" w:space="0" w:color="auto"/>
            <w:right w:val="none" w:sz="0" w:space="0" w:color="auto"/>
          </w:divBdr>
          <w:divsChild>
            <w:div w:id="1070738397">
              <w:marLeft w:val="0"/>
              <w:marRight w:val="0"/>
              <w:marTop w:val="0"/>
              <w:marBottom w:val="0"/>
              <w:divBdr>
                <w:top w:val="none" w:sz="0" w:space="0" w:color="auto"/>
                <w:left w:val="none" w:sz="0" w:space="0" w:color="auto"/>
                <w:bottom w:val="none" w:sz="0" w:space="0" w:color="auto"/>
                <w:right w:val="none" w:sz="0" w:space="0" w:color="auto"/>
              </w:divBdr>
              <w:divsChild>
                <w:div w:id="1329216027">
                  <w:marLeft w:val="0"/>
                  <w:marRight w:val="0"/>
                  <w:marTop w:val="0"/>
                  <w:marBottom w:val="0"/>
                  <w:divBdr>
                    <w:top w:val="none" w:sz="0" w:space="0" w:color="auto"/>
                    <w:left w:val="none" w:sz="0" w:space="0" w:color="auto"/>
                    <w:bottom w:val="none" w:sz="0" w:space="0" w:color="auto"/>
                    <w:right w:val="none" w:sz="0" w:space="0" w:color="auto"/>
                  </w:divBdr>
                  <w:divsChild>
                    <w:div w:id="5680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92570">
      <w:bodyDiv w:val="1"/>
      <w:marLeft w:val="0"/>
      <w:marRight w:val="0"/>
      <w:marTop w:val="0"/>
      <w:marBottom w:val="0"/>
      <w:divBdr>
        <w:top w:val="none" w:sz="0" w:space="0" w:color="auto"/>
        <w:left w:val="none" w:sz="0" w:space="0" w:color="auto"/>
        <w:bottom w:val="none" w:sz="0" w:space="0" w:color="auto"/>
        <w:right w:val="none" w:sz="0" w:space="0" w:color="auto"/>
      </w:divBdr>
      <w:divsChild>
        <w:div w:id="1215003041">
          <w:marLeft w:val="0"/>
          <w:marRight w:val="0"/>
          <w:marTop w:val="0"/>
          <w:marBottom w:val="0"/>
          <w:divBdr>
            <w:top w:val="none" w:sz="0" w:space="0" w:color="auto"/>
            <w:left w:val="none" w:sz="0" w:space="0" w:color="auto"/>
            <w:bottom w:val="none" w:sz="0" w:space="0" w:color="auto"/>
            <w:right w:val="none" w:sz="0" w:space="0" w:color="auto"/>
          </w:divBdr>
          <w:divsChild>
            <w:div w:id="1461922487">
              <w:marLeft w:val="0"/>
              <w:marRight w:val="0"/>
              <w:marTop w:val="0"/>
              <w:marBottom w:val="0"/>
              <w:divBdr>
                <w:top w:val="none" w:sz="0" w:space="0" w:color="auto"/>
                <w:left w:val="none" w:sz="0" w:space="0" w:color="auto"/>
                <w:bottom w:val="none" w:sz="0" w:space="0" w:color="auto"/>
                <w:right w:val="none" w:sz="0" w:space="0" w:color="auto"/>
              </w:divBdr>
              <w:divsChild>
                <w:div w:id="1546943158">
                  <w:marLeft w:val="0"/>
                  <w:marRight w:val="0"/>
                  <w:marTop w:val="0"/>
                  <w:marBottom w:val="0"/>
                  <w:divBdr>
                    <w:top w:val="none" w:sz="0" w:space="0" w:color="auto"/>
                    <w:left w:val="none" w:sz="0" w:space="0" w:color="auto"/>
                    <w:bottom w:val="none" w:sz="0" w:space="0" w:color="auto"/>
                    <w:right w:val="none" w:sz="0" w:space="0" w:color="auto"/>
                  </w:divBdr>
                  <w:divsChild>
                    <w:div w:id="19136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25630">
      <w:bodyDiv w:val="1"/>
      <w:marLeft w:val="0"/>
      <w:marRight w:val="0"/>
      <w:marTop w:val="0"/>
      <w:marBottom w:val="0"/>
      <w:divBdr>
        <w:top w:val="none" w:sz="0" w:space="0" w:color="auto"/>
        <w:left w:val="none" w:sz="0" w:space="0" w:color="auto"/>
        <w:bottom w:val="none" w:sz="0" w:space="0" w:color="auto"/>
        <w:right w:val="none" w:sz="0" w:space="0" w:color="auto"/>
      </w:divBdr>
      <w:divsChild>
        <w:div w:id="685013803">
          <w:marLeft w:val="0"/>
          <w:marRight w:val="0"/>
          <w:marTop w:val="0"/>
          <w:marBottom w:val="0"/>
          <w:divBdr>
            <w:top w:val="none" w:sz="0" w:space="0" w:color="auto"/>
            <w:left w:val="none" w:sz="0" w:space="0" w:color="auto"/>
            <w:bottom w:val="none" w:sz="0" w:space="0" w:color="auto"/>
            <w:right w:val="none" w:sz="0" w:space="0" w:color="auto"/>
          </w:divBdr>
          <w:divsChild>
            <w:div w:id="1499468449">
              <w:marLeft w:val="0"/>
              <w:marRight w:val="0"/>
              <w:marTop w:val="0"/>
              <w:marBottom w:val="0"/>
              <w:divBdr>
                <w:top w:val="none" w:sz="0" w:space="0" w:color="auto"/>
                <w:left w:val="none" w:sz="0" w:space="0" w:color="auto"/>
                <w:bottom w:val="none" w:sz="0" w:space="0" w:color="auto"/>
                <w:right w:val="none" w:sz="0" w:space="0" w:color="auto"/>
              </w:divBdr>
              <w:divsChild>
                <w:div w:id="2130314399">
                  <w:marLeft w:val="0"/>
                  <w:marRight w:val="0"/>
                  <w:marTop w:val="0"/>
                  <w:marBottom w:val="0"/>
                  <w:divBdr>
                    <w:top w:val="none" w:sz="0" w:space="0" w:color="auto"/>
                    <w:left w:val="none" w:sz="0" w:space="0" w:color="auto"/>
                    <w:bottom w:val="none" w:sz="0" w:space="0" w:color="auto"/>
                    <w:right w:val="none" w:sz="0" w:space="0" w:color="auto"/>
                  </w:divBdr>
                  <w:divsChild>
                    <w:div w:id="6350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35441">
      <w:bodyDiv w:val="1"/>
      <w:marLeft w:val="0"/>
      <w:marRight w:val="0"/>
      <w:marTop w:val="0"/>
      <w:marBottom w:val="0"/>
      <w:divBdr>
        <w:top w:val="none" w:sz="0" w:space="0" w:color="auto"/>
        <w:left w:val="none" w:sz="0" w:space="0" w:color="auto"/>
        <w:bottom w:val="none" w:sz="0" w:space="0" w:color="auto"/>
        <w:right w:val="none" w:sz="0" w:space="0" w:color="auto"/>
      </w:divBdr>
    </w:div>
    <w:div w:id="1052734471">
      <w:bodyDiv w:val="1"/>
      <w:marLeft w:val="0"/>
      <w:marRight w:val="0"/>
      <w:marTop w:val="0"/>
      <w:marBottom w:val="0"/>
      <w:divBdr>
        <w:top w:val="none" w:sz="0" w:space="0" w:color="auto"/>
        <w:left w:val="none" w:sz="0" w:space="0" w:color="auto"/>
        <w:bottom w:val="none" w:sz="0" w:space="0" w:color="auto"/>
        <w:right w:val="none" w:sz="0" w:space="0" w:color="auto"/>
      </w:divBdr>
      <w:divsChild>
        <w:div w:id="664362109">
          <w:marLeft w:val="0"/>
          <w:marRight w:val="0"/>
          <w:marTop w:val="0"/>
          <w:marBottom w:val="0"/>
          <w:divBdr>
            <w:top w:val="none" w:sz="0" w:space="0" w:color="auto"/>
            <w:left w:val="none" w:sz="0" w:space="0" w:color="auto"/>
            <w:bottom w:val="none" w:sz="0" w:space="0" w:color="auto"/>
            <w:right w:val="none" w:sz="0" w:space="0" w:color="auto"/>
          </w:divBdr>
          <w:divsChild>
            <w:div w:id="1933470698">
              <w:marLeft w:val="0"/>
              <w:marRight w:val="0"/>
              <w:marTop w:val="0"/>
              <w:marBottom w:val="0"/>
              <w:divBdr>
                <w:top w:val="none" w:sz="0" w:space="0" w:color="auto"/>
                <w:left w:val="none" w:sz="0" w:space="0" w:color="auto"/>
                <w:bottom w:val="none" w:sz="0" w:space="0" w:color="auto"/>
                <w:right w:val="none" w:sz="0" w:space="0" w:color="auto"/>
              </w:divBdr>
              <w:divsChild>
                <w:div w:id="55589975">
                  <w:marLeft w:val="0"/>
                  <w:marRight w:val="0"/>
                  <w:marTop w:val="0"/>
                  <w:marBottom w:val="0"/>
                  <w:divBdr>
                    <w:top w:val="none" w:sz="0" w:space="0" w:color="auto"/>
                    <w:left w:val="none" w:sz="0" w:space="0" w:color="auto"/>
                    <w:bottom w:val="none" w:sz="0" w:space="0" w:color="auto"/>
                    <w:right w:val="none" w:sz="0" w:space="0" w:color="auto"/>
                  </w:divBdr>
                  <w:divsChild>
                    <w:div w:id="2021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86253">
      <w:bodyDiv w:val="1"/>
      <w:marLeft w:val="0"/>
      <w:marRight w:val="0"/>
      <w:marTop w:val="0"/>
      <w:marBottom w:val="0"/>
      <w:divBdr>
        <w:top w:val="none" w:sz="0" w:space="0" w:color="auto"/>
        <w:left w:val="none" w:sz="0" w:space="0" w:color="auto"/>
        <w:bottom w:val="none" w:sz="0" w:space="0" w:color="auto"/>
        <w:right w:val="none" w:sz="0" w:space="0" w:color="auto"/>
      </w:divBdr>
      <w:divsChild>
        <w:div w:id="1466849695">
          <w:marLeft w:val="0"/>
          <w:marRight w:val="0"/>
          <w:marTop w:val="0"/>
          <w:marBottom w:val="0"/>
          <w:divBdr>
            <w:top w:val="none" w:sz="0" w:space="0" w:color="auto"/>
            <w:left w:val="none" w:sz="0" w:space="0" w:color="auto"/>
            <w:bottom w:val="none" w:sz="0" w:space="0" w:color="auto"/>
            <w:right w:val="none" w:sz="0" w:space="0" w:color="auto"/>
          </w:divBdr>
          <w:divsChild>
            <w:div w:id="781724010">
              <w:marLeft w:val="0"/>
              <w:marRight w:val="0"/>
              <w:marTop w:val="0"/>
              <w:marBottom w:val="0"/>
              <w:divBdr>
                <w:top w:val="none" w:sz="0" w:space="0" w:color="auto"/>
                <w:left w:val="none" w:sz="0" w:space="0" w:color="auto"/>
                <w:bottom w:val="none" w:sz="0" w:space="0" w:color="auto"/>
                <w:right w:val="none" w:sz="0" w:space="0" w:color="auto"/>
              </w:divBdr>
              <w:divsChild>
                <w:div w:id="138423377">
                  <w:marLeft w:val="0"/>
                  <w:marRight w:val="0"/>
                  <w:marTop w:val="0"/>
                  <w:marBottom w:val="0"/>
                  <w:divBdr>
                    <w:top w:val="none" w:sz="0" w:space="0" w:color="auto"/>
                    <w:left w:val="none" w:sz="0" w:space="0" w:color="auto"/>
                    <w:bottom w:val="none" w:sz="0" w:space="0" w:color="auto"/>
                    <w:right w:val="none" w:sz="0" w:space="0" w:color="auto"/>
                  </w:divBdr>
                  <w:divsChild>
                    <w:div w:id="111968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92529">
      <w:bodyDiv w:val="1"/>
      <w:marLeft w:val="0"/>
      <w:marRight w:val="0"/>
      <w:marTop w:val="0"/>
      <w:marBottom w:val="0"/>
      <w:divBdr>
        <w:top w:val="none" w:sz="0" w:space="0" w:color="auto"/>
        <w:left w:val="none" w:sz="0" w:space="0" w:color="auto"/>
        <w:bottom w:val="none" w:sz="0" w:space="0" w:color="auto"/>
        <w:right w:val="none" w:sz="0" w:space="0" w:color="auto"/>
      </w:divBdr>
      <w:divsChild>
        <w:div w:id="656152763">
          <w:marLeft w:val="0"/>
          <w:marRight w:val="0"/>
          <w:marTop w:val="0"/>
          <w:marBottom w:val="0"/>
          <w:divBdr>
            <w:top w:val="none" w:sz="0" w:space="0" w:color="auto"/>
            <w:left w:val="none" w:sz="0" w:space="0" w:color="auto"/>
            <w:bottom w:val="none" w:sz="0" w:space="0" w:color="auto"/>
            <w:right w:val="none" w:sz="0" w:space="0" w:color="auto"/>
          </w:divBdr>
          <w:divsChild>
            <w:div w:id="1190335934">
              <w:marLeft w:val="0"/>
              <w:marRight w:val="0"/>
              <w:marTop w:val="0"/>
              <w:marBottom w:val="0"/>
              <w:divBdr>
                <w:top w:val="none" w:sz="0" w:space="0" w:color="auto"/>
                <w:left w:val="none" w:sz="0" w:space="0" w:color="auto"/>
                <w:bottom w:val="none" w:sz="0" w:space="0" w:color="auto"/>
                <w:right w:val="none" w:sz="0" w:space="0" w:color="auto"/>
              </w:divBdr>
              <w:divsChild>
                <w:div w:id="2107269889">
                  <w:marLeft w:val="0"/>
                  <w:marRight w:val="0"/>
                  <w:marTop w:val="0"/>
                  <w:marBottom w:val="0"/>
                  <w:divBdr>
                    <w:top w:val="none" w:sz="0" w:space="0" w:color="auto"/>
                    <w:left w:val="none" w:sz="0" w:space="0" w:color="auto"/>
                    <w:bottom w:val="none" w:sz="0" w:space="0" w:color="auto"/>
                    <w:right w:val="none" w:sz="0" w:space="0" w:color="auto"/>
                  </w:divBdr>
                  <w:divsChild>
                    <w:div w:id="952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9633">
      <w:bodyDiv w:val="1"/>
      <w:marLeft w:val="0"/>
      <w:marRight w:val="0"/>
      <w:marTop w:val="0"/>
      <w:marBottom w:val="0"/>
      <w:divBdr>
        <w:top w:val="none" w:sz="0" w:space="0" w:color="auto"/>
        <w:left w:val="none" w:sz="0" w:space="0" w:color="auto"/>
        <w:bottom w:val="none" w:sz="0" w:space="0" w:color="auto"/>
        <w:right w:val="none" w:sz="0" w:space="0" w:color="auto"/>
      </w:divBdr>
      <w:divsChild>
        <w:div w:id="448017560">
          <w:marLeft w:val="0"/>
          <w:marRight w:val="0"/>
          <w:marTop w:val="0"/>
          <w:marBottom w:val="0"/>
          <w:divBdr>
            <w:top w:val="none" w:sz="0" w:space="0" w:color="auto"/>
            <w:left w:val="none" w:sz="0" w:space="0" w:color="auto"/>
            <w:bottom w:val="none" w:sz="0" w:space="0" w:color="auto"/>
            <w:right w:val="none" w:sz="0" w:space="0" w:color="auto"/>
          </w:divBdr>
          <w:divsChild>
            <w:div w:id="139465279">
              <w:marLeft w:val="0"/>
              <w:marRight w:val="0"/>
              <w:marTop w:val="0"/>
              <w:marBottom w:val="0"/>
              <w:divBdr>
                <w:top w:val="none" w:sz="0" w:space="0" w:color="auto"/>
                <w:left w:val="none" w:sz="0" w:space="0" w:color="auto"/>
                <w:bottom w:val="none" w:sz="0" w:space="0" w:color="auto"/>
                <w:right w:val="none" w:sz="0" w:space="0" w:color="auto"/>
              </w:divBdr>
              <w:divsChild>
                <w:div w:id="908465437">
                  <w:marLeft w:val="0"/>
                  <w:marRight w:val="0"/>
                  <w:marTop w:val="0"/>
                  <w:marBottom w:val="0"/>
                  <w:divBdr>
                    <w:top w:val="none" w:sz="0" w:space="0" w:color="auto"/>
                    <w:left w:val="none" w:sz="0" w:space="0" w:color="auto"/>
                    <w:bottom w:val="none" w:sz="0" w:space="0" w:color="auto"/>
                    <w:right w:val="none" w:sz="0" w:space="0" w:color="auto"/>
                  </w:divBdr>
                  <w:divsChild>
                    <w:div w:id="18268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28953">
      <w:bodyDiv w:val="1"/>
      <w:marLeft w:val="0"/>
      <w:marRight w:val="0"/>
      <w:marTop w:val="0"/>
      <w:marBottom w:val="0"/>
      <w:divBdr>
        <w:top w:val="none" w:sz="0" w:space="0" w:color="auto"/>
        <w:left w:val="none" w:sz="0" w:space="0" w:color="auto"/>
        <w:bottom w:val="none" w:sz="0" w:space="0" w:color="auto"/>
        <w:right w:val="none" w:sz="0" w:space="0" w:color="auto"/>
      </w:divBdr>
      <w:divsChild>
        <w:div w:id="1275942473">
          <w:marLeft w:val="0"/>
          <w:marRight w:val="0"/>
          <w:marTop w:val="0"/>
          <w:marBottom w:val="0"/>
          <w:divBdr>
            <w:top w:val="none" w:sz="0" w:space="0" w:color="auto"/>
            <w:left w:val="none" w:sz="0" w:space="0" w:color="auto"/>
            <w:bottom w:val="none" w:sz="0" w:space="0" w:color="auto"/>
            <w:right w:val="none" w:sz="0" w:space="0" w:color="auto"/>
          </w:divBdr>
          <w:divsChild>
            <w:div w:id="292255544">
              <w:marLeft w:val="0"/>
              <w:marRight w:val="0"/>
              <w:marTop w:val="0"/>
              <w:marBottom w:val="0"/>
              <w:divBdr>
                <w:top w:val="none" w:sz="0" w:space="0" w:color="auto"/>
                <w:left w:val="none" w:sz="0" w:space="0" w:color="auto"/>
                <w:bottom w:val="none" w:sz="0" w:space="0" w:color="auto"/>
                <w:right w:val="none" w:sz="0" w:space="0" w:color="auto"/>
              </w:divBdr>
              <w:divsChild>
                <w:div w:id="219948102">
                  <w:marLeft w:val="0"/>
                  <w:marRight w:val="0"/>
                  <w:marTop w:val="0"/>
                  <w:marBottom w:val="0"/>
                  <w:divBdr>
                    <w:top w:val="none" w:sz="0" w:space="0" w:color="auto"/>
                    <w:left w:val="none" w:sz="0" w:space="0" w:color="auto"/>
                    <w:bottom w:val="none" w:sz="0" w:space="0" w:color="auto"/>
                    <w:right w:val="none" w:sz="0" w:space="0" w:color="auto"/>
                  </w:divBdr>
                  <w:divsChild>
                    <w:div w:id="5302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80269">
      <w:bodyDiv w:val="1"/>
      <w:marLeft w:val="0"/>
      <w:marRight w:val="0"/>
      <w:marTop w:val="0"/>
      <w:marBottom w:val="0"/>
      <w:divBdr>
        <w:top w:val="none" w:sz="0" w:space="0" w:color="auto"/>
        <w:left w:val="none" w:sz="0" w:space="0" w:color="auto"/>
        <w:bottom w:val="none" w:sz="0" w:space="0" w:color="auto"/>
        <w:right w:val="none" w:sz="0" w:space="0" w:color="auto"/>
      </w:divBdr>
    </w:div>
    <w:div w:id="1076710575">
      <w:bodyDiv w:val="1"/>
      <w:marLeft w:val="0"/>
      <w:marRight w:val="0"/>
      <w:marTop w:val="0"/>
      <w:marBottom w:val="0"/>
      <w:divBdr>
        <w:top w:val="none" w:sz="0" w:space="0" w:color="auto"/>
        <w:left w:val="none" w:sz="0" w:space="0" w:color="auto"/>
        <w:bottom w:val="none" w:sz="0" w:space="0" w:color="auto"/>
        <w:right w:val="none" w:sz="0" w:space="0" w:color="auto"/>
      </w:divBdr>
      <w:divsChild>
        <w:div w:id="178278968">
          <w:marLeft w:val="0"/>
          <w:marRight w:val="0"/>
          <w:marTop w:val="0"/>
          <w:marBottom w:val="0"/>
          <w:divBdr>
            <w:top w:val="none" w:sz="0" w:space="0" w:color="auto"/>
            <w:left w:val="none" w:sz="0" w:space="0" w:color="auto"/>
            <w:bottom w:val="none" w:sz="0" w:space="0" w:color="auto"/>
            <w:right w:val="none" w:sz="0" w:space="0" w:color="auto"/>
          </w:divBdr>
          <w:divsChild>
            <w:div w:id="1770930841">
              <w:marLeft w:val="0"/>
              <w:marRight w:val="0"/>
              <w:marTop w:val="0"/>
              <w:marBottom w:val="0"/>
              <w:divBdr>
                <w:top w:val="none" w:sz="0" w:space="0" w:color="auto"/>
                <w:left w:val="none" w:sz="0" w:space="0" w:color="auto"/>
                <w:bottom w:val="none" w:sz="0" w:space="0" w:color="auto"/>
                <w:right w:val="none" w:sz="0" w:space="0" w:color="auto"/>
              </w:divBdr>
              <w:divsChild>
                <w:div w:id="11300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1943">
      <w:bodyDiv w:val="1"/>
      <w:marLeft w:val="0"/>
      <w:marRight w:val="0"/>
      <w:marTop w:val="0"/>
      <w:marBottom w:val="0"/>
      <w:divBdr>
        <w:top w:val="none" w:sz="0" w:space="0" w:color="auto"/>
        <w:left w:val="none" w:sz="0" w:space="0" w:color="auto"/>
        <w:bottom w:val="none" w:sz="0" w:space="0" w:color="auto"/>
        <w:right w:val="none" w:sz="0" w:space="0" w:color="auto"/>
      </w:divBdr>
      <w:divsChild>
        <w:div w:id="331185653">
          <w:marLeft w:val="0"/>
          <w:marRight w:val="0"/>
          <w:marTop w:val="0"/>
          <w:marBottom w:val="0"/>
          <w:divBdr>
            <w:top w:val="none" w:sz="0" w:space="0" w:color="auto"/>
            <w:left w:val="none" w:sz="0" w:space="0" w:color="auto"/>
            <w:bottom w:val="none" w:sz="0" w:space="0" w:color="auto"/>
            <w:right w:val="none" w:sz="0" w:space="0" w:color="auto"/>
          </w:divBdr>
          <w:divsChild>
            <w:div w:id="1393575047">
              <w:marLeft w:val="0"/>
              <w:marRight w:val="0"/>
              <w:marTop w:val="0"/>
              <w:marBottom w:val="0"/>
              <w:divBdr>
                <w:top w:val="none" w:sz="0" w:space="0" w:color="auto"/>
                <w:left w:val="none" w:sz="0" w:space="0" w:color="auto"/>
                <w:bottom w:val="none" w:sz="0" w:space="0" w:color="auto"/>
                <w:right w:val="none" w:sz="0" w:space="0" w:color="auto"/>
              </w:divBdr>
              <w:divsChild>
                <w:div w:id="1688368248">
                  <w:marLeft w:val="0"/>
                  <w:marRight w:val="0"/>
                  <w:marTop w:val="0"/>
                  <w:marBottom w:val="0"/>
                  <w:divBdr>
                    <w:top w:val="none" w:sz="0" w:space="0" w:color="auto"/>
                    <w:left w:val="none" w:sz="0" w:space="0" w:color="auto"/>
                    <w:bottom w:val="none" w:sz="0" w:space="0" w:color="auto"/>
                    <w:right w:val="none" w:sz="0" w:space="0" w:color="auto"/>
                  </w:divBdr>
                  <w:divsChild>
                    <w:div w:id="13055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208882">
      <w:bodyDiv w:val="1"/>
      <w:marLeft w:val="0"/>
      <w:marRight w:val="0"/>
      <w:marTop w:val="0"/>
      <w:marBottom w:val="0"/>
      <w:divBdr>
        <w:top w:val="none" w:sz="0" w:space="0" w:color="auto"/>
        <w:left w:val="none" w:sz="0" w:space="0" w:color="auto"/>
        <w:bottom w:val="none" w:sz="0" w:space="0" w:color="auto"/>
        <w:right w:val="none" w:sz="0" w:space="0" w:color="auto"/>
      </w:divBdr>
    </w:div>
    <w:div w:id="1101954797">
      <w:bodyDiv w:val="1"/>
      <w:marLeft w:val="0"/>
      <w:marRight w:val="0"/>
      <w:marTop w:val="0"/>
      <w:marBottom w:val="0"/>
      <w:divBdr>
        <w:top w:val="none" w:sz="0" w:space="0" w:color="auto"/>
        <w:left w:val="none" w:sz="0" w:space="0" w:color="auto"/>
        <w:bottom w:val="none" w:sz="0" w:space="0" w:color="auto"/>
        <w:right w:val="none" w:sz="0" w:space="0" w:color="auto"/>
      </w:divBdr>
    </w:div>
    <w:div w:id="1103841920">
      <w:bodyDiv w:val="1"/>
      <w:marLeft w:val="0"/>
      <w:marRight w:val="0"/>
      <w:marTop w:val="0"/>
      <w:marBottom w:val="0"/>
      <w:divBdr>
        <w:top w:val="none" w:sz="0" w:space="0" w:color="auto"/>
        <w:left w:val="none" w:sz="0" w:space="0" w:color="auto"/>
        <w:bottom w:val="none" w:sz="0" w:space="0" w:color="auto"/>
        <w:right w:val="none" w:sz="0" w:space="0" w:color="auto"/>
      </w:divBdr>
      <w:divsChild>
        <w:div w:id="1400862330">
          <w:marLeft w:val="0"/>
          <w:marRight w:val="0"/>
          <w:marTop w:val="0"/>
          <w:marBottom w:val="0"/>
          <w:divBdr>
            <w:top w:val="none" w:sz="0" w:space="0" w:color="auto"/>
            <w:left w:val="none" w:sz="0" w:space="0" w:color="auto"/>
            <w:bottom w:val="none" w:sz="0" w:space="0" w:color="auto"/>
            <w:right w:val="none" w:sz="0" w:space="0" w:color="auto"/>
          </w:divBdr>
          <w:divsChild>
            <w:div w:id="1187334465">
              <w:marLeft w:val="0"/>
              <w:marRight w:val="0"/>
              <w:marTop w:val="0"/>
              <w:marBottom w:val="0"/>
              <w:divBdr>
                <w:top w:val="none" w:sz="0" w:space="0" w:color="auto"/>
                <w:left w:val="none" w:sz="0" w:space="0" w:color="auto"/>
                <w:bottom w:val="none" w:sz="0" w:space="0" w:color="auto"/>
                <w:right w:val="none" w:sz="0" w:space="0" w:color="auto"/>
              </w:divBdr>
              <w:divsChild>
                <w:div w:id="1149131888">
                  <w:marLeft w:val="0"/>
                  <w:marRight w:val="0"/>
                  <w:marTop w:val="0"/>
                  <w:marBottom w:val="0"/>
                  <w:divBdr>
                    <w:top w:val="none" w:sz="0" w:space="0" w:color="auto"/>
                    <w:left w:val="none" w:sz="0" w:space="0" w:color="auto"/>
                    <w:bottom w:val="none" w:sz="0" w:space="0" w:color="auto"/>
                    <w:right w:val="none" w:sz="0" w:space="0" w:color="auto"/>
                  </w:divBdr>
                  <w:divsChild>
                    <w:div w:id="10691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885019">
      <w:bodyDiv w:val="1"/>
      <w:marLeft w:val="0"/>
      <w:marRight w:val="0"/>
      <w:marTop w:val="0"/>
      <w:marBottom w:val="0"/>
      <w:divBdr>
        <w:top w:val="none" w:sz="0" w:space="0" w:color="auto"/>
        <w:left w:val="none" w:sz="0" w:space="0" w:color="auto"/>
        <w:bottom w:val="none" w:sz="0" w:space="0" w:color="auto"/>
        <w:right w:val="none" w:sz="0" w:space="0" w:color="auto"/>
      </w:divBdr>
      <w:divsChild>
        <w:div w:id="865293123">
          <w:marLeft w:val="0"/>
          <w:marRight w:val="0"/>
          <w:marTop w:val="0"/>
          <w:marBottom w:val="0"/>
          <w:divBdr>
            <w:top w:val="none" w:sz="0" w:space="0" w:color="auto"/>
            <w:left w:val="none" w:sz="0" w:space="0" w:color="auto"/>
            <w:bottom w:val="none" w:sz="0" w:space="0" w:color="auto"/>
            <w:right w:val="none" w:sz="0" w:space="0" w:color="auto"/>
          </w:divBdr>
          <w:divsChild>
            <w:div w:id="125243378">
              <w:marLeft w:val="0"/>
              <w:marRight w:val="0"/>
              <w:marTop w:val="0"/>
              <w:marBottom w:val="0"/>
              <w:divBdr>
                <w:top w:val="none" w:sz="0" w:space="0" w:color="auto"/>
                <w:left w:val="none" w:sz="0" w:space="0" w:color="auto"/>
                <w:bottom w:val="none" w:sz="0" w:space="0" w:color="auto"/>
                <w:right w:val="none" w:sz="0" w:space="0" w:color="auto"/>
              </w:divBdr>
              <w:divsChild>
                <w:div w:id="2617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6625">
      <w:bodyDiv w:val="1"/>
      <w:marLeft w:val="0"/>
      <w:marRight w:val="0"/>
      <w:marTop w:val="0"/>
      <w:marBottom w:val="0"/>
      <w:divBdr>
        <w:top w:val="none" w:sz="0" w:space="0" w:color="auto"/>
        <w:left w:val="none" w:sz="0" w:space="0" w:color="auto"/>
        <w:bottom w:val="none" w:sz="0" w:space="0" w:color="auto"/>
        <w:right w:val="none" w:sz="0" w:space="0" w:color="auto"/>
      </w:divBdr>
    </w:div>
    <w:div w:id="1113548289">
      <w:bodyDiv w:val="1"/>
      <w:marLeft w:val="0"/>
      <w:marRight w:val="0"/>
      <w:marTop w:val="0"/>
      <w:marBottom w:val="0"/>
      <w:divBdr>
        <w:top w:val="none" w:sz="0" w:space="0" w:color="auto"/>
        <w:left w:val="none" w:sz="0" w:space="0" w:color="auto"/>
        <w:bottom w:val="none" w:sz="0" w:space="0" w:color="auto"/>
        <w:right w:val="none" w:sz="0" w:space="0" w:color="auto"/>
      </w:divBdr>
      <w:divsChild>
        <w:div w:id="1277954727">
          <w:marLeft w:val="0"/>
          <w:marRight w:val="0"/>
          <w:marTop w:val="0"/>
          <w:marBottom w:val="0"/>
          <w:divBdr>
            <w:top w:val="none" w:sz="0" w:space="0" w:color="auto"/>
            <w:left w:val="none" w:sz="0" w:space="0" w:color="auto"/>
            <w:bottom w:val="none" w:sz="0" w:space="0" w:color="auto"/>
            <w:right w:val="none" w:sz="0" w:space="0" w:color="auto"/>
          </w:divBdr>
          <w:divsChild>
            <w:div w:id="667292942">
              <w:marLeft w:val="0"/>
              <w:marRight w:val="0"/>
              <w:marTop w:val="0"/>
              <w:marBottom w:val="0"/>
              <w:divBdr>
                <w:top w:val="none" w:sz="0" w:space="0" w:color="auto"/>
                <w:left w:val="none" w:sz="0" w:space="0" w:color="auto"/>
                <w:bottom w:val="none" w:sz="0" w:space="0" w:color="auto"/>
                <w:right w:val="none" w:sz="0" w:space="0" w:color="auto"/>
              </w:divBdr>
              <w:divsChild>
                <w:div w:id="557740188">
                  <w:marLeft w:val="0"/>
                  <w:marRight w:val="0"/>
                  <w:marTop w:val="0"/>
                  <w:marBottom w:val="0"/>
                  <w:divBdr>
                    <w:top w:val="none" w:sz="0" w:space="0" w:color="auto"/>
                    <w:left w:val="none" w:sz="0" w:space="0" w:color="auto"/>
                    <w:bottom w:val="none" w:sz="0" w:space="0" w:color="auto"/>
                    <w:right w:val="none" w:sz="0" w:space="0" w:color="auto"/>
                  </w:divBdr>
                  <w:divsChild>
                    <w:div w:id="15306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4537">
          <w:marLeft w:val="0"/>
          <w:marRight w:val="0"/>
          <w:marTop w:val="0"/>
          <w:marBottom w:val="0"/>
          <w:divBdr>
            <w:top w:val="none" w:sz="0" w:space="0" w:color="auto"/>
            <w:left w:val="none" w:sz="0" w:space="0" w:color="auto"/>
            <w:bottom w:val="none" w:sz="0" w:space="0" w:color="auto"/>
            <w:right w:val="none" w:sz="0" w:space="0" w:color="auto"/>
          </w:divBdr>
          <w:divsChild>
            <w:div w:id="871190250">
              <w:marLeft w:val="0"/>
              <w:marRight w:val="0"/>
              <w:marTop w:val="0"/>
              <w:marBottom w:val="0"/>
              <w:divBdr>
                <w:top w:val="none" w:sz="0" w:space="0" w:color="auto"/>
                <w:left w:val="none" w:sz="0" w:space="0" w:color="auto"/>
                <w:bottom w:val="none" w:sz="0" w:space="0" w:color="auto"/>
                <w:right w:val="none" w:sz="0" w:space="0" w:color="auto"/>
              </w:divBdr>
              <w:divsChild>
                <w:div w:id="819807185">
                  <w:marLeft w:val="0"/>
                  <w:marRight w:val="0"/>
                  <w:marTop w:val="0"/>
                  <w:marBottom w:val="0"/>
                  <w:divBdr>
                    <w:top w:val="none" w:sz="0" w:space="0" w:color="auto"/>
                    <w:left w:val="none" w:sz="0" w:space="0" w:color="auto"/>
                    <w:bottom w:val="none" w:sz="0" w:space="0" w:color="auto"/>
                    <w:right w:val="none" w:sz="0" w:space="0" w:color="auto"/>
                  </w:divBdr>
                  <w:divsChild>
                    <w:div w:id="1205026611">
                      <w:marLeft w:val="0"/>
                      <w:marRight w:val="0"/>
                      <w:marTop w:val="0"/>
                      <w:marBottom w:val="0"/>
                      <w:divBdr>
                        <w:top w:val="none" w:sz="0" w:space="0" w:color="auto"/>
                        <w:left w:val="none" w:sz="0" w:space="0" w:color="auto"/>
                        <w:bottom w:val="none" w:sz="0" w:space="0" w:color="auto"/>
                        <w:right w:val="none" w:sz="0" w:space="0" w:color="auto"/>
                      </w:divBdr>
                    </w:div>
                  </w:divsChild>
                </w:div>
                <w:div w:id="1140147860">
                  <w:marLeft w:val="0"/>
                  <w:marRight w:val="0"/>
                  <w:marTop w:val="0"/>
                  <w:marBottom w:val="0"/>
                  <w:divBdr>
                    <w:top w:val="none" w:sz="0" w:space="0" w:color="auto"/>
                    <w:left w:val="none" w:sz="0" w:space="0" w:color="auto"/>
                    <w:bottom w:val="none" w:sz="0" w:space="0" w:color="auto"/>
                    <w:right w:val="none" w:sz="0" w:space="0" w:color="auto"/>
                  </w:divBdr>
                  <w:divsChild>
                    <w:div w:id="14039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27567">
      <w:bodyDiv w:val="1"/>
      <w:marLeft w:val="0"/>
      <w:marRight w:val="0"/>
      <w:marTop w:val="0"/>
      <w:marBottom w:val="0"/>
      <w:divBdr>
        <w:top w:val="none" w:sz="0" w:space="0" w:color="auto"/>
        <w:left w:val="none" w:sz="0" w:space="0" w:color="auto"/>
        <w:bottom w:val="none" w:sz="0" w:space="0" w:color="auto"/>
        <w:right w:val="none" w:sz="0" w:space="0" w:color="auto"/>
      </w:divBdr>
      <w:divsChild>
        <w:div w:id="508059359">
          <w:marLeft w:val="0"/>
          <w:marRight w:val="0"/>
          <w:marTop w:val="0"/>
          <w:marBottom w:val="0"/>
          <w:divBdr>
            <w:top w:val="none" w:sz="0" w:space="0" w:color="auto"/>
            <w:left w:val="none" w:sz="0" w:space="0" w:color="auto"/>
            <w:bottom w:val="none" w:sz="0" w:space="0" w:color="auto"/>
            <w:right w:val="none" w:sz="0" w:space="0" w:color="auto"/>
          </w:divBdr>
          <w:divsChild>
            <w:div w:id="1599024335">
              <w:marLeft w:val="0"/>
              <w:marRight w:val="0"/>
              <w:marTop w:val="0"/>
              <w:marBottom w:val="0"/>
              <w:divBdr>
                <w:top w:val="none" w:sz="0" w:space="0" w:color="auto"/>
                <w:left w:val="none" w:sz="0" w:space="0" w:color="auto"/>
                <w:bottom w:val="none" w:sz="0" w:space="0" w:color="auto"/>
                <w:right w:val="none" w:sz="0" w:space="0" w:color="auto"/>
              </w:divBdr>
              <w:divsChild>
                <w:div w:id="1152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77271">
      <w:bodyDiv w:val="1"/>
      <w:marLeft w:val="0"/>
      <w:marRight w:val="0"/>
      <w:marTop w:val="0"/>
      <w:marBottom w:val="0"/>
      <w:divBdr>
        <w:top w:val="none" w:sz="0" w:space="0" w:color="auto"/>
        <w:left w:val="none" w:sz="0" w:space="0" w:color="auto"/>
        <w:bottom w:val="none" w:sz="0" w:space="0" w:color="auto"/>
        <w:right w:val="none" w:sz="0" w:space="0" w:color="auto"/>
      </w:divBdr>
      <w:divsChild>
        <w:div w:id="1279601599">
          <w:marLeft w:val="0"/>
          <w:marRight w:val="0"/>
          <w:marTop w:val="0"/>
          <w:marBottom w:val="0"/>
          <w:divBdr>
            <w:top w:val="none" w:sz="0" w:space="0" w:color="auto"/>
            <w:left w:val="none" w:sz="0" w:space="0" w:color="auto"/>
            <w:bottom w:val="none" w:sz="0" w:space="0" w:color="auto"/>
            <w:right w:val="none" w:sz="0" w:space="0" w:color="auto"/>
          </w:divBdr>
          <w:divsChild>
            <w:div w:id="1035889156">
              <w:marLeft w:val="0"/>
              <w:marRight w:val="0"/>
              <w:marTop w:val="0"/>
              <w:marBottom w:val="0"/>
              <w:divBdr>
                <w:top w:val="none" w:sz="0" w:space="0" w:color="auto"/>
                <w:left w:val="none" w:sz="0" w:space="0" w:color="auto"/>
                <w:bottom w:val="none" w:sz="0" w:space="0" w:color="auto"/>
                <w:right w:val="none" w:sz="0" w:space="0" w:color="auto"/>
              </w:divBdr>
              <w:divsChild>
                <w:div w:id="139199306">
                  <w:marLeft w:val="0"/>
                  <w:marRight w:val="0"/>
                  <w:marTop w:val="0"/>
                  <w:marBottom w:val="0"/>
                  <w:divBdr>
                    <w:top w:val="none" w:sz="0" w:space="0" w:color="auto"/>
                    <w:left w:val="none" w:sz="0" w:space="0" w:color="auto"/>
                    <w:bottom w:val="none" w:sz="0" w:space="0" w:color="auto"/>
                    <w:right w:val="none" w:sz="0" w:space="0" w:color="auto"/>
                  </w:divBdr>
                  <w:divsChild>
                    <w:div w:id="20717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22078">
      <w:bodyDiv w:val="1"/>
      <w:marLeft w:val="0"/>
      <w:marRight w:val="0"/>
      <w:marTop w:val="0"/>
      <w:marBottom w:val="0"/>
      <w:divBdr>
        <w:top w:val="none" w:sz="0" w:space="0" w:color="auto"/>
        <w:left w:val="none" w:sz="0" w:space="0" w:color="auto"/>
        <w:bottom w:val="none" w:sz="0" w:space="0" w:color="auto"/>
        <w:right w:val="none" w:sz="0" w:space="0" w:color="auto"/>
      </w:divBdr>
      <w:divsChild>
        <w:div w:id="1937211209">
          <w:marLeft w:val="0"/>
          <w:marRight w:val="0"/>
          <w:marTop w:val="0"/>
          <w:marBottom w:val="0"/>
          <w:divBdr>
            <w:top w:val="none" w:sz="0" w:space="0" w:color="auto"/>
            <w:left w:val="none" w:sz="0" w:space="0" w:color="auto"/>
            <w:bottom w:val="none" w:sz="0" w:space="0" w:color="auto"/>
            <w:right w:val="none" w:sz="0" w:space="0" w:color="auto"/>
          </w:divBdr>
          <w:divsChild>
            <w:div w:id="1243444188">
              <w:marLeft w:val="0"/>
              <w:marRight w:val="0"/>
              <w:marTop w:val="0"/>
              <w:marBottom w:val="0"/>
              <w:divBdr>
                <w:top w:val="none" w:sz="0" w:space="0" w:color="auto"/>
                <w:left w:val="none" w:sz="0" w:space="0" w:color="auto"/>
                <w:bottom w:val="none" w:sz="0" w:space="0" w:color="auto"/>
                <w:right w:val="none" w:sz="0" w:space="0" w:color="auto"/>
              </w:divBdr>
              <w:divsChild>
                <w:div w:id="431361640">
                  <w:marLeft w:val="0"/>
                  <w:marRight w:val="0"/>
                  <w:marTop w:val="0"/>
                  <w:marBottom w:val="0"/>
                  <w:divBdr>
                    <w:top w:val="none" w:sz="0" w:space="0" w:color="auto"/>
                    <w:left w:val="none" w:sz="0" w:space="0" w:color="auto"/>
                    <w:bottom w:val="none" w:sz="0" w:space="0" w:color="auto"/>
                    <w:right w:val="none" w:sz="0" w:space="0" w:color="auto"/>
                  </w:divBdr>
                  <w:divsChild>
                    <w:div w:id="159664160">
                      <w:marLeft w:val="0"/>
                      <w:marRight w:val="0"/>
                      <w:marTop w:val="0"/>
                      <w:marBottom w:val="0"/>
                      <w:divBdr>
                        <w:top w:val="none" w:sz="0" w:space="0" w:color="auto"/>
                        <w:left w:val="none" w:sz="0" w:space="0" w:color="auto"/>
                        <w:bottom w:val="none" w:sz="0" w:space="0" w:color="auto"/>
                        <w:right w:val="none" w:sz="0" w:space="0" w:color="auto"/>
                      </w:divBdr>
                      <w:divsChild>
                        <w:div w:id="17996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8288">
                  <w:marLeft w:val="0"/>
                  <w:marRight w:val="0"/>
                  <w:marTop w:val="0"/>
                  <w:marBottom w:val="0"/>
                  <w:divBdr>
                    <w:top w:val="none" w:sz="0" w:space="0" w:color="auto"/>
                    <w:left w:val="none" w:sz="0" w:space="0" w:color="auto"/>
                    <w:bottom w:val="none" w:sz="0" w:space="0" w:color="auto"/>
                    <w:right w:val="none" w:sz="0" w:space="0" w:color="auto"/>
                  </w:divBdr>
                  <w:divsChild>
                    <w:div w:id="1401245322">
                      <w:marLeft w:val="0"/>
                      <w:marRight w:val="0"/>
                      <w:marTop w:val="0"/>
                      <w:marBottom w:val="0"/>
                      <w:divBdr>
                        <w:top w:val="none" w:sz="0" w:space="0" w:color="auto"/>
                        <w:left w:val="none" w:sz="0" w:space="0" w:color="auto"/>
                        <w:bottom w:val="none" w:sz="0" w:space="0" w:color="auto"/>
                        <w:right w:val="none" w:sz="0" w:space="0" w:color="auto"/>
                      </w:divBdr>
                      <w:divsChild>
                        <w:div w:id="2083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229680">
      <w:bodyDiv w:val="1"/>
      <w:marLeft w:val="0"/>
      <w:marRight w:val="0"/>
      <w:marTop w:val="0"/>
      <w:marBottom w:val="0"/>
      <w:divBdr>
        <w:top w:val="none" w:sz="0" w:space="0" w:color="auto"/>
        <w:left w:val="none" w:sz="0" w:space="0" w:color="auto"/>
        <w:bottom w:val="none" w:sz="0" w:space="0" w:color="auto"/>
        <w:right w:val="none" w:sz="0" w:space="0" w:color="auto"/>
      </w:divBdr>
      <w:divsChild>
        <w:div w:id="2052605722">
          <w:marLeft w:val="0"/>
          <w:marRight w:val="0"/>
          <w:marTop w:val="0"/>
          <w:marBottom w:val="0"/>
          <w:divBdr>
            <w:top w:val="none" w:sz="0" w:space="0" w:color="auto"/>
            <w:left w:val="none" w:sz="0" w:space="0" w:color="auto"/>
            <w:bottom w:val="none" w:sz="0" w:space="0" w:color="auto"/>
            <w:right w:val="none" w:sz="0" w:space="0" w:color="auto"/>
          </w:divBdr>
          <w:divsChild>
            <w:div w:id="806627330">
              <w:marLeft w:val="0"/>
              <w:marRight w:val="0"/>
              <w:marTop w:val="0"/>
              <w:marBottom w:val="0"/>
              <w:divBdr>
                <w:top w:val="none" w:sz="0" w:space="0" w:color="auto"/>
                <w:left w:val="none" w:sz="0" w:space="0" w:color="auto"/>
                <w:bottom w:val="none" w:sz="0" w:space="0" w:color="auto"/>
                <w:right w:val="none" w:sz="0" w:space="0" w:color="auto"/>
              </w:divBdr>
              <w:divsChild>
                <w:div w:id="530804218">
                  <w:marLeft w:val="0"/>
                  <w:marRight w:val="0"/>
                  <w:marTop w:val="0"/>
                  <w:marBottom w:val="0"/>
                  <w:divBdr>
                    <w:top w:val="none" w:sz="0" w:space="0" w:color="auto"/>
                    <w:left w:val="none" w:sz="0" w:space="0" w:color="auto"/>
                    <w:bottom w:val="none" w:sz="0" w:space="0" w:color="auto"/>
                    <w:right w:val="none" w:sz="0" w:space="0" w:color="auto"/>
                  </w:divBdr>
                  <w:divsChild>
                    <w:div w:id="7453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07293">
      <w:bodyDiv w:val="1"/>
      <w:marLeft w:val="0"/>
      <w:marRight w:val="0"/>
      <w:marTop w:val="0"/>
      <w:marBottom w:val="0"/>
      <w:divBdr>
        <w:top w:val="none" w:sz="0" w:space="0" w:color="auto"/>
        <w:left w:val="none" w:sz="0" w:space="0" w:color="auto"/>
        <w:bottom w:val="none" w:sz="0" w:space="0" w:color="auto"/>
        <w:right w:val="none" w:sz="0" w:space="0" w:color="auto"/>
      </w:divBdr>
      <w:divsChild>
        <w:div w:id="1173686915">
          <w:marLeft w:val="0"/>
          <w:marRight w:val="0"/>
          <w:marTop w:val="0"/>
          <w:marBottom w:val="0"/>
          <w:divBdr>
            <w:top w:val="none" w:sz="0" w:space="0" w:color="auto"/>
            <w:left w:val="none" w:sz="0" w:space="0" w:color="auto"/>
            <w:bottom w:val="none" w:sz="0" w:space="0" w:color="auto"/>
            <w:right w:val="none" w:sz="0" w:space="0" w:color="auto"/>
          </w:divBdr>
          <w:divsChild>
            <w:div w:id="1165978276">
              <w:marLeft w:val="0"/>
              <w:marRight w:val="0"/>
              <w:marTop w:val="0"/>
              <w:marBottom w:val="0"/>
              <w:divBdr>
                <w:top w:val="none" w:sz="0" w:space="0" w:color="auto"/>
                <w:left w:val="none" w:sz="0" w:space="0" w:color="auto"/>
                <w:bottom w:val="none" w:sz="0" w:space="0" w:color="auto"/>
                <w:right w:val="none" w:sz="0" w:space="0" w:color="auto"/>
              </w:divBdr>
              <w:divsChild>
                <w:div w:id="1503353644">
                  <w:marLeft w:val="0"/>
                  <w:marRight w:val="0"/>
                  <w:marTop w:val="0"/>
                  <w:marBottom w:val="0"/>
                  <w:divBdr>
                    <w:top w:val="none" w:sz="0" w:space="0" w:color="auto"/>
                    <w:left w:val="none" w:sz="0" w:space="0" w:color="auto"/>
                    <w:bottom w:val="none" w:sz="0" w:space="0" w:color="auto"/>
                    <w:right w:val="none" w:sz="0" w:space="0" w:color="auto"/>
                  </w:divBdr>
                  <w:divsChild>
                    <w:div w:id="11686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14876">
      <w:bodyDiv w:val="1"/>
      <w:marLeft w:val="0"/>
      <w:marRight w:val="0"/>
      <w:marTop w:val="0"/>
      <w:marBottom w:val="0"/>
      <w:divBdr>
        <w:top w:val="none" w:sz="0" w:space="0" w:color="auto"/>
        <w:left w:val="none" w:sz="0" w:space="0" w:color="auto"/>
        <w:bottom w:val="none" w:sz="0" w:space="0" w:color="auto"/>
        <w:right w:val="none" w:sz="0" w:space="0" w:color="auto"/>
      </w:divBdr>
      <w:divsChild>
        <w:div w:id="1898974687">
          <w:marLeft w:val="0"/>
          <w:marRight w:val="0"/>
          <w:marTop w:val="0"/>
          <w:marBottom w:val="0"/>
          <w:divBdr>
            <w:top w:val="none" w:sz="0" w:space="0" w:color="auto"/>
            <w:left w:val="none" w:sz="0" w:space="0" w:color="auto"/>
            <w:bottom w:val="none" w:sz="0" w:space="0" w:color="auto"/>
            <w:right w:val="none" w:sz="0" w:space="0" w:color="auto"/>
          </w:divBdr>
          <w:divsChild>
            <w:div w:id="2034064050">
              <w:marLeft w:val="0"/>
              <w:marRight w:val="0"/>
              <w:marTop w:val="0"/>
              <w:marBottom w:val="0"/>
              <w:divBdr>
                <w:top w:val="none" w:sz="0" w:space="0" w:color="auto"/>
                <w:left w:val="none" w:sz="0" w:space="0" w:color="auto"/>
                <w:bottom w:val="none" w:sz="0" w:space="0" w:color="auto"/>
                <w:right w:val="none" w:sz="0" w:space="0" w:color="auto"/>
              </w:divBdr>
              <w:divsChild>
                <w:div w:id="1664508734">
                  <w:marLeft w:val="0"/>
                  <w:marRight w:val="0"/>
                  <w:marTop w:val="0"/>
                  <w:marBottom w:val="0"/>
                  <w:divBdr>
                    <w:top w:val="none" w:sz="0" w:space="0" w:color="auto"/>
                    <w:left w:val="none" w:sz="0" w:space="0" w:color="auto"/>
                    <w:bottom w:val="none" w:sz="0" w:space="0" w:color="auto"/>
                    <w:right w:val="none" w:sz="0" w:space="0" w:color="auto"/>
                  </w:divBdr>
                  <w:divsChild>
                    <w:div w:id="156271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234581">
      <w:bodyDiv w:val="1"/>
      <w:marLeft w:val="0"/>
      <w:marRight w:val="0"/>
      <w:marTop w:val="0"/>
      <w:marBottom w:val="0"/>
      <w:divBdr>
        <w:top w:val="none" w:sz="0" w:space="0" w:color="auto"/>
        <w:left w:val="none" w:sz="0" w:space="0" w:color="auto"/>
        <w:bottom w:val="none" w:sz="0" w:space="0" w:color="auto"/>
        <w:right w:val="none" w:sz="0" w:space="0" w:color="auto"/>
      </w:divBdr>
      <w:divsChild>
        <w:div w:id="554659683">
          <w:marLeft w:val="0"/>
          <w:marRight w:val="0"/>
          <w:marTop w:val="0"/>
          <w:marBottom w:val="0"/>
          <w:divBdr>
            <w:top w:val="none" w:sz="0" w:space="0" w:color="auto"/>
            <w:left w:val="none" w:sz="0" w:space="0" w:color="auto"/>
            <w:bottom w:val="none" w:sz="0" w:space="0" w:color="auto"/>
            <w:right w:val="none" w:sz="0" w:space="0" w:color="auto"/>
          </w:divBdr>
          <w:divsChild>
            <w:div w:id="125660559">
              <w:marLeft w:val="0"/>
              <w:marRight w:val="0"/>
              <w:marTop w:val="0"/>
              <w:marBottom w:val="0"/>
              <w:divBdr>
                <w:top w:val="none" w:sz="0" w:space="0" w:color="auto"/>
                <w:left w:val="none" w:sz="0" w:space="0" w:color="auto"/>
                <w:bottom w:val="none" w:sz="0" w:space="0" w:color="auto"/>
                <w:right w:val="none" w:sz="0" w:space="0" w:color="auto"/>
              </w:divBdr>
              <w:divsChild>
                <w:div w:id="20701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8006">
      <w:bodyDiv w:val="1"/>
      <w:marLeft w:val="0"/>
      <w:marRight w:val="0"/>
      <w:marTop w:val="0"/>
      <w:marBottom w:val="0"/>
      <w:divBdr>
        <w:top w:val="none" w:sz="0" w:space="0" w:color="auto"/>
        <w:left w:val="none" w:sz="0" w:space="0" w:color="auto"/>
        <w:bottom w:val="none" w:sz="0" w:space="0" w:color="auto"/>
        <w:right w:val="none" w:sz="0" w:space="0" w:color="auto"/>
      </w:divBdr>
      <w:divsChild>
        <w:div w:id="804008915">
          <w:marLeft w:val="0"/>
          <w:marRight w:val="0"/>
          <w:marTop w:val="0"/>
          <w:marBottom w:val="0"/>
          <w:divBdr>
            <w:top w:val="none" w:sz="0" w:space="0" w:color="auto"/>
            <w:left w:val="none" w:sz="0" w:space="0" w:color="auto"/>
            <w:bottom w:val="none" w:sz="0" w:space="0" w:color="auto"/>
            <w:right w:val="none" w:sz="0" w:space="0" w:color="auto"/>
          </w:divBdr>
          <w:divsChild>
            <w:div w:id="1228027919">
              <w:marLeft w:val="0"/>
              <w:marRight w:val="0"/>
              <w:marTop w:val="0"/>
              <w:marBottom w:val="0"/>
              <w:divBdr>
                <w:top w:val="none" w:sz="0" w:space="0" w:color="auto"/>
                <w:left w:val="none" w:sz="0" w:space="0" w:color="auto"/>
                <w:bottom w:val="none" w:sz="0" w:space="0" w:color="auto"/>
                <w:right w:val="none" w:sz="0" w:space="0" w:color="auto"/>
              </w:divBdr>
              <w:divsChild>
                <w:div w:id="2443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4105">
      <w:bodyDiv w:val="1"/>
      <w:marLeft w:val="0"/>
      <w:marRight w:val="0"/>
      <w:marTop w:val="0"/>
      <w:marBottom w:val="0"/>
      <w:divBdr>
        <w:top w:val="none" w:sz="0" w:space="0" w:color="auto"/>
        <w:left w:val="none" w:sz="0" w:space="0" w:color="auto"/>
        <w:bottom w:val="none" w:sz="0" w:space="0" w:color="auto"/>
        <w:right w:val="none" w:sz="0" w:space="0" w:color="auto"/>
      </w:divBdr>
      <w:divsChild>
        <w:div w:id="1911308274">
          <w:marLeft w:val="0"/>
          <w:marRight w:val="0"/>
          <w:marTop w:val="0"/>
          <w:marBottom w:val="0"/>
          <w:divBdr>
            <w:top w:val="none" w:sz="0" w:space="0" w:color="auto"/>
            <w:left w:val="none" w:sz="0" w:space="0" w:color="auto"/>
            <w:bottom w:val="none" w:sz="0" w:space="0" w:color="auto"/>
            <w:right w:val="none" w:sz="0" w:space="0" w:color="auto"/>
          </w:divBdr>
          <w:divsChild>
            <w:div w:id="1371565800">
              <w:marLeft w:val="0"/>
              <w:marRight w:val="0"/>
              <w:marTop w:val="0"/>
              <w:marBottom w:val="0"/>
              <w:divBdr>
                <w:top w:val="none" w:sz="0" w:space="0" w:color="auto"/>
                <w:left w:val="none" w:sz="0" w:space="0" w:color="auto"/>
                <w:bottom w:val="none" w:sz="0" w:space="0" w:color="auto"/>
                <w:right w:val="none" w:sz="0" w:space="0" w:color="auto"/>
              </w:divBdr>
              <w:divsChild>
                <w:div w:id="1968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5930">
      <w:bodyDiv w:val="1"/>
      <w:marLeft w:val="0"/>
      <w:marRight w:val="0"/>
      <w:marTop w:val="0"/>
      <w:marBottom w:val="0"/>
      <w:divBdr>
        <w:top w:val="none" w:sz="0" w:space="0" w:color="auto"/>
        <w:left w:val="none" w:sz="0" w:space="0" w:color="auto"/>
        <w:bottom w:val="none" w:sz="0" w:space="0" w:color="auto"/>
        <w:right w:val="none" w:sz="0" w:space="0" w:color="auto"/>
      </w:divBdr>
      <w:divsChild>
        <w:div w:id="733045415">
          <w:marLeft w:val="0"/>
          <w:marRight w:val="0"/>
          <w:marTop w:val="0"/>
          <w:marBottom w:val="0"/>
          <w:divBdr>
            <w:top w:val="none" w:sz="0" w:space="0" w:color="auto"/>
            <w:left w:val="none" w:sz="0" w:space="0" w:color="auto"/>
            <w:bottom w:val="none" w:sz="0" w:space="0" w:color="auto"/>
            <w:right w:val="none" w:sz="0" w:space="0" w:color="auto"/>
          </w:divBdr>
          <w:divsChild>
            <w:div w:id="1700659948">
              <w:marLeft w:val="0"/>
              <w:marRight w:val="0"/>
              <w:marTop w:val="0"/>
              <w:marBottom w:val="0"/>
              <w:divBdr>
                <w:top w:val="none" w:sz="0" w:space="0" w:color="auto"/>
                <w:left w:val="none" w:sz="0" w:space="0" w:color="auto"/>
                <w:bottom w:val="none" w:sz="0" w:space="0" w:color="auto"/>
                <w:right w:val="none" w:sz="0" w:space="0" w:color="auto"/>
              </w:divBdr>
              <w:divsChild>
                <w:div w:id="1808275120">
                  <w:marLeft w:val="0"/>
                  <w:marRight w:val="0"/>
                  <w:marTop w:val="0"/>
                  <w:marBottom w:val="0"/>
                  <w:divBdr>
                    <w:top w:val="none" w:sz="0" w:space="0" w:color="auto"/>
                    <w:left w:val="none" w:sz="0" w:space="0" w:color="auto"/>
                    <w:bottom w:val="none" w:sz="0" w:space="0" w:color="auto"/>
                    <w:right w:val="none" w:sz="0" w:space="0" w:color="auto"/>
                  </w:divBdr>
                  <w:divsChild>
                    <w:div w:id="17700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96660">
      <w:bodyDiv w:val="1"/>
      <w:marLeft w:val="0"/>
      <w:marRight w:val="0"/>
      <w:marTop w:val="0"/>
      <w:marBottom w:val="0"/>
      <w:divBdr>
        <w:top w:val="none" w:sz="0" w:space="0" w:color="auto"/>
        <w:left w:val="none" w:sz="0" w:space="0" w:color="auto"/>
        <w:bottom w:val="none" w:sz="0" w:space="0" w:color="auto"/>
        <w:right w:val="none" w:sz="0" w:space="0" w:color="auto"/>
      </w:divBdr>
    </w:div>
    <w:div w:id="1151216561">
      <w:bodyDiv w:val="1"/>
      <w:marLeft w:val="0"/>
      <w:marRight w:val="0"/>
      <w:marTop w:val="0"/>
      <w:marBottom w:val="0"/>
      <w:divBdr>
        <w:top w:val="none" w:sz="0" w:space="0" w:color="auto"/>
        <w:left w:val="none" w:sz="0" w:space="0" w:color="auto"/>
        <w:bottom w:val="none" w:sz="0" w:space="0" w:color="auto"/>
        <w:right w:val="none" w:sz="0" w:space="0" w:color="auto"/>
      </w:divBdr>
    </w:div>
    <w:div w:id="1152870143">
      <w:bodyDiv w:val="1"/>
      <w:marLeft w:val="0"/>
      <w:marRight w:val="0"/>
      <w:marTop w:val="0"/>
      <w:marBottom w:val="0"/>
      <w:divBdr>
        <w:top w:val="none" w:sz="0" w:space="0" w:color="auto"/>
        <w:left w:val="none" w:sz="0" w:space="0" w:color="auto"/>
        <w:bottom w:val="none" w:sz="0" w:space="0" w:color="auto"/>
        <w:right w:val="none" w:sz="0" w:space="0" w:color="auto"/>
      </w:divBdr>
      <w:divsChild>
        <w:div w:id="1620797833">
          <w:marLeft w:val="0"/>
          <w:marRight w:val="0"/>
          <w:marTop w:val="0"/>
          <w:marBottom w:val="0"/>
          <w:divBdr>
            <w:top w:val="none" w:sz="0" w:space="0" w:color="auto"/>
            <w:left w:val="none" w:sz="0" w:space="0" w:color="auto"/>
            <w:bottom w:val="none" w:sz="0" w:space="0" w:color="auto"/>
            <w:right w:val="none" w:sz="0" w:space="0" w:color="auto"/>
          </w:divBdr>
          <w:divsChild>
            <w:div w:id="650214805">
              <w:marLeft w:val="0"/>
              <w:marRight w:val="0"/>
              <w:marTop w:val="0"/>
              <w:marBottom w:val="0"/>
              <w:divBdr>
                <w:top w:val="none" w:sz="0" w:space="0" w:color="auto"/>
                <w:left w:val="none" w:sz="0" w:space="0" w:color="auto"/>
                <w:bottom w:val="none" w:sz="0" w:space="0" w:color="auto"/>
                <w:right w:val="none" w:sz="0" w:space="0" w:color="auto"/>
              </w:divBdr>
              <w:divsChild>
                <w:div w:id="363870066">
                  <w:marLeft w:val="0"/>
                  <w:marRight w:val="0"/>
                  <w:marTop w:val="0"/>
                  <w:marBottom w:val="0"/>
                  <w:divBdr>
                    <w:top w:val="none" w:sz="0" w:space="0" w:color="auto"/>
                    <w:left w:val="none" w:sz="0" w:space="0" w:color="auto"/>
                    <w:bottom w:val="none" w:sz="0" w:space="0" w:color="auto"/>
                    <w:right w:val="none" w:sz="0" w:space="0" w:color="auto"/>
                  </w:divBdr>
                  <w:divsChild>
                    <w:div w:id="1004213050">
                      <w:marLeft w:val="0"/>
                      <w:marRight w:val="0"/>
                      <w:marTop w:val="0"/>
                      <w:marBottom w:val="0"/>
                      <w:divBdr>
                        <w:top w:val="none" w:sz="0" w:space="0" w:color="auto"/>
                        <w:left w:val="none" w:sz="0" w:space="0" w:color="auto"/>
                        <w:bottom w:val="none" w:sz="0" w:space="0" w:color="auto"/>
                        <w:right w:val="none" w:sz="0" w:space="0" w:color="auto"/>
                      </w:divBdr>
                      <w:divsChild>
                        <w:div w:id="12619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0621">
                  <w:marLeft w:val="0"/>
                  <w:marRight w:val="0"/>
                  <w:marTop w:val="0"/>
                  <w:marBottom w:val="0"/>
                  <w:divBdr>
                    <w:top w:val="none" w:sz="0" w:space="0" w:color="auto"/>
                    <w:left w:val="none" w:sz="0" w:space="0" w:color="auto"/>
                    <w:bottom w:val="none" w:sz="0" w:space="0" w:color="auto"/>
                    <w:right w:val="none" w:sz="0" w:space="0" w:color="auto"/>
                  </w:divBdr>
                  <w:divsChild>
                    <w:div w:id="41297744">
                      <w:marLeft w:val="0"/>
                      <w:marRight w:val="0"/>
                      <w:marTop w:val="0"/>
                      <w:marBottom w:val="0"/>
                      <w:divBdr>
                        <w:top w:val="none" w:sz="0" w:space="0" w:color="auto"/>
                        <w:left w:val="none" w:sz="0" w:space="0" w:color="auto"/>
                        <w:bottom w:val="none" w:sz="0" w:space="0" w:color="auto"/>
                        <w:right w:val="none" w:sz="0" w:space="0" w:color="auto"/>
                      </w:divBdr>
                      <w:divsChild>
                        <w:div w:id="11958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793222">
      <w:bodyDiv w:val="1"/>
      <w:marLeft w:val="0"/>
      <w:marRight w:val="0"/>
      <w:marTop w:val="0"/>
      <w:marBottom w:val="0"/>
      <w:divBdr>
        <w:top w:val="none" w:sz="0" w:space="0" w:color="auto"/>
        <w:left w:val="none" w:sz="0" w:space="0" w:color="auto"/>
        <w:bottom w:val="none" w:sz="0" w:space="0" w:color="auto"/>
        <w:right w:val="none" w:sz="0" w:space="0" w:color="auto"/>
      </w:divBdr>
      <w:divsChild>
        <w:div w:id="1777434244">
          <w:marLeft w:val="0"/>
          <w:marRight w:val="0"/>
          <w:marTop w:val="0"/>
          <w:marBottom w:val="0"/>
          <w:divBdr>
            <w:top w:val="none" w:sz="0" w:space="0" w:color="auto"/>
            <w:left w:val="none" w:sz="0" w:space="0" w:color="auto"/>
            <w:bottom w:val="none" w:sz="0" w:space="0" w:color="auto"/>
            <w:right w:val="none" w:sz="0" w:space="0" w:color="auto"/>
          </w:divBdr>
          <w:divsChild>
            <w:div w:id="1392509127">
              <w:marLeft w:val="0"/>
              <w:marRight w:val="0"/>
              <w:marTop w:val="0"/>
              <w:marBottom w:val="0"/>
              <w:divBdr>
                <w:top w:val="none" w:sz="0" w:space="0" w:color="auto"/>
                <w:left w:val="none" w:sz="0" w:space="0" w:color="auto"/>
                <w:bottom w:val="none" w:sz="0" w:space="0" w:color="auto"/>
                <w:right w:val="none" w:sz="0" w:space="0" w:color="auto"/>
              </w:divBdr>
              <w:divsChild>
                <w:div w:id="1860973160">
                  <w:marLeft w:val="0"/>
                  <w:marRight w:val="0"/>
                  <w:marTop w:val="0"/>
                  <w:marBottom w:val="0"/>
                  <w:divBdr>
                    <w:top w:val="none" w:sz="0" w:space="0" w:color="auto"/>
                    <w:left w:val="none" w:sz="0" w:space="0" w:color="auto"/>
                    <w:bottom w:val="none" w:sz="0" w:space="0" w:color="auto"/>
                    <w:right w:val="none" w:sz="0" w:space="0" w:color="auto"/>
                  </w:divBdr>
                  <w:divsChild>
                    <w:div w:id="20119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741744">
      <w:bodyDiv w:val="1"/>
      <w:marLeft w:val="0"/>
      <w:marRight w:val="0"/>
      <w:marTop w:val="0"/>
      <w:marBottom w:val="0"/>
      <w:divBdr>
        <w:top w:val="none" w:sz="0" w:space="0" w:color="auto"/>
        <w:left w:val="none" w:sz="0" w:space="0" w:color="auto"/>
        <w:bottom w:val="none" w:sz="0" w:space="0" w:color="auto"/>
        <w:right w:val="none" w:sz="0" w:space="0" w:color="auto"/>
      </w:divBdr>
      <w:divsChild>
        <w:div w:id="392780121">
          <w:marLeft w:val="0"/>
          <w:marRight w:val="0"/>
          <w:marTop w:val="0"/>
          <w:marBottom w:val="0"/>
          <w:divBdr>
            <w:top w:val="none" w:sz="0" w:space="0" w:color="auto"/>
            <w:left w:val="none" w:sz="0" w:space="0" w:color="auto"/>
            <w:bottom w:val="none" w:sz="0" w:space="0" w:color="auto"/>
            <w:right w:val="none" w:sz="0" w:space="0" w:color="auto"/>
          </w:divBdr>
          <w:divsChild>
            <w:div w:id="2127045471">
              <w:marLeft w:val="0"/>
              <w:marRight w:val="0"/>
              <w:marTop w:val="0"/>
              <w:marBottom w:val="0"/>
              <w:divBdr>
                <w:top w:val="none" w:sz="0" w:space="0" w:color="auto"/>
                <w:left w:val="none" w:sz="0" w:space="0" w:color="auto"/>
                <w:bottom w:val="none" w:sz="0" w:space="0" w:color="auto"/>
                <w:right w:val="none" w:sz="0" w:space="0" w:color="auto"/>
              </w:divBdr>
              <w:divsChild>
                <w:div w:id="65418507">
                  <w:marLeft w:val="0"/>
                  <w:marRight w:val="0"/>
                  <w:marTop w:val="0"/>
                  <w:marBottom w:val="0"/>
                  <w:divBdr>
                    <w:top w:val="none" w:sz="0" w:space="0" w:color="auto"/>
                    <w:left w:val="none" w:sz="0" w:space="0" w:color="auto"/>
                    <w:bottom w:val="none" w:sz="0" w:space="0" w:color="auto"/>
                    <w:right w:val="none" w:sz="0" w:space="0" w:color="auto"/>
                  </w:divBdr>
                  <w:divsChild>
                    <w:div w:id="7382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05043">
      <w:bodyDiv w:val="1"/>
      <w:marLeft w:val="0"/>
      <w:marRight w:val="0"/>
      <w:marTop w:val="0"/>
      <w:marBottom w:val="0"/>
      <w:divBdr>
        <w:top w:val="none" w:sz="0" w:space="0" w:color="auto"/>
        <w:left w:val="none" w:sz="0" w:space="0" w:color="auto"/>
        <w:bottom w:val="none" w:sz="0" w:space="0" w:color="auto"/>
        <w:right w:val="none" w:sz="0" w:space="0" w:color="auto"/>
      </w:divBdr>
    </w:div>
    <w:div w:id="1178156948">
      <w:bodyDiv w:val="1"/>
      <w:marLeft w:val="0"/>
      <w:marRight w:val="0"/>
      <w:marTop w:val="0"/>
      <w:marBottom w:val="0"/>
      <w:divBdr>
        <w:top w:val="none" w:sz="0" w:space="0" w:color="auto"/>
        <w:left w:val="none" w:sz="0" w:space="0" w:color="auto"/>
        <w:bottom w:val="none" w:sz="0" w:space="0" w:color="auto"/>
        <w:right w:val="none" w:sz="0" w:space="0" w:color="auto"/>
      </w:divBdr>
      <w:divsChild>
        <w:div w:id="671758091">
          <w:marLeft w:val="0"/>
          <w:marRight w:val="0"/>
          <w:marTop w:val="0"/>
          <w:marBottom w:val="0"/>
          <w:divBdr>
            <w:top w:val="none" w:sz="0" w:space="0" w:color="auto"/>
            <w:left w:val="none" w:sz="0" w:space="0" w:color="auto"/>
            <w:bottom w:val="none" w:sz="0" w:space="0" w:color="auto"/>
            <w:right w:val="none" w:sz="0" w:space="0" w:color="auto"/>
          </w:divBdr>
          <w:divsChild>
            <w:div w:id="1950162140">
              <w:marLeft w:val="0"/>
              <w:marRight w:val="0"/>
              <w:marTop w:val="0"/>
              <w:marBottom w:val="0"/>
              <w:divBdr>
                <w:top w:val="none" w:sz="0" w:space="0" w:color="auto"/>
                <w:left w:val="none" w:sz="0" w:space="0" w:color="auto"/>
                <w:bottom w:val="none" w:sz="0" w:space="0" w:color="auto"/>
                <w:right w:val="none" w:sz="0" w:space="0" w:color="auto"/>
              </w:divBdr>
              <w:divsChild>
                <w:div w:id="1986423321">
                  <w:marLeft w:val="0"/>
                  <w:marRight w:val="0"/>
                  <w:marTop w:val="0"/>
                  <w:marBottom w:val="0"/>
                  <w:divBdr>
                    <w:top w:val="none" w:sz="0" w:space="0" w:color="auto"/>
                    <w:left w:val="none" w:sz="0" w:space="0" w:color="auto"/>
                    <w:bottom w:val="none" w:sz="0" w:space="0" w:color="auto"/>
                    <w:right w:val="none" w:sz="0" w:space="0" w:color="auto"/>
                  </w:divBdr>
                  <w:divsChild>
                    <w:div w:id="12103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47390">
      <w:bodyDiv w:val="1"/>
      <w:marLeft w:val="0"/>
      <w:marRight w:val="0"/>
      <w:marTop w:val="0"/>
      <w:marBottom w:val="0"/>
      <w:divBdr>
        <w:top w:val="none" w:sz="0" w:space="0" w:color="auto"/>
        <w:left w:val="none" w:sz="0" w:space="0" w:color="auto"/>
        <w:bottom w:val="none" w:sz="0" w:space="0" w:color="auto"/>
        <w:right w:val="none" w:sz="0" w:space="0" w:color="auto"/>
      </w:divBdr>
      <w:divsChild>
        <w:div w:id="263149366">
          <w:marLeft w:val="0"/>
          <w:marRight w:val="0"/>
          <w:marTop w:val="0"/>
          <w:marBottom w:val="0"/>
          <w:divBdr>
            <w:top w:val="none" w:sz="0" w:space="0" w:color="auto"/>
            <w:left w:val="none" w:sz="0" w:space="0" w:color="auto"/>
            <w:bottom w:val="none" w:sz="0" w:space="0" w:color="auto"/>
            <w:right w:val="none" w:sz="0" w:space="0" w:color="auto"/>
          </w:divBdr>
          <w:divsChild>
            <w:div w:id="794518699">
              <w:marLeft w:val="0"/>
              <w:marRight w:val="0"/>
              <w:marTop w:val="0"/>
              <w:marBottom w:val="0"/>
              <w:divBdr>
                <w:top w:val="none" w:sz="0" w:space="0" w:color="auto"/>
                <w:left w:val="none" w:sz="0" w:space="0" w:color="auto"/>
                <w:bottom w:val="none" w:sz="0" w:space="0" w:color="auto"/>
                <w:right w:val="none" w:sz="0" w:space="0" w:color="auto"/>
              </w:divBdr>
              <w:divsChild>
                <w:div w:id="14073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9159">
      <w:bodyDiv w:val="1"/>
      <w:marLeft w:val="0"/>
      <w:marRight w:val="0"/>
      <w:marTop w:val="0"/>
      <w:marBottom w:val="0"/>
      <w:divBdr>
        <w:top w:val="none" w:sz="0" w:space="0" w:color="auto"/>
        <w:left w:val="none" w:sz="0" w:space="0" w:color="auto"/>
        <w:bottom w:val="none" w:sz="0" w:space="0" w:color="auto"/>
        <w:right w:val="none" w:sz="0" w:space="0" w:color="auto"/>
      </w:divBdr>
      <w:divsChild>
        <w:div w:id="1478843874">
          <w:marLeft w:val="0"/>
          <w:marRight w:val="0"/>
          <w:marTop w:val="0"/>
          <w:marBottom w:val="0"/>
          <w:divBdr>
            <w:top w:val="none" w:sz="0" w:space="0" w:color="auto"/>
            <w:left w:val="none" w:sz="0" w:space="0" w:color="auto"/>
            <w:bottom w:val="none" w:sz="0" w:space="0" w:color="auto"/>
            <w:right w:val="none" w:sz="0" w:space="0" w:color="auto"/>
          </w:divBdr>
          <w:divsChild>
            <w:div w:id="1634797597">
              <w:marLeft w:val="0"/>
              <w:marRight w:val="0"/>
              <w:marTop w:val="0"/>
              <w:marBottom w:val="0"/>
              <w:divBdr>
                <w:top w:val="none" w:sz="0" w:space="0" w:color="auto"/>
                <w:left w:val="none" w:sz="0" w:space="0" w:color="auto"/>
                <w:bottom w:val="none" w:sz="0" w:space="0" w:color="auto"/>
                <w:right w:val="none" w:sz="0" w:space="0" w:color="auto"/>
              </w:divBdr>
              <w:divsChild>
                <w:div w:id="19206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39978">
      <w:bodyDiv w:val="1"/>
      <w:marLeft w:val="0"/>
      <w:marRight w:val="0"/>
      <w:marTop w:val="0"/>
      <w:marBottom w:val="0"/>
      <w:divBdr>
        <w:top w:val="none" w:sz="0" w:space="0" w:color="auto"/>
        <w:left w:val="none" w:sz="0" w:space="0" w:color="auto"/>
        <w:bottom w:val="none" w:sz="0" w:space="0" w:color="auto"/>
        <w:right w:val="none" w:sz="0" w:space="0" w:color="auto"/>
      </w:divBdr>
    </w:div>
    <w:div w:id="1191146169">
      <w:bodyDiv w:val="1"/>
      <w:marLeft w:val="0"/>
      <w:marRight w:val="0"/>
      <w:marTop w:val="0"/>
      <w:marBottom w:val="0"/>
      <w:divBdr>
        <w:top w:val="none" w:sz="0" w:space="0" w:color="auto"/>
        <w:left w:val="none" w:sz="0" w:space="0" w:color="auto"/>
        <w:bottom w:val="none" w:sz="0" w:space="0" w:color="auto"/>
        <w:right w:val="none" w:sz="0" w:space="0" w:color="auto"/>
      </w:divBdr>
      <w:divsChild>
        <w:div w:id="1024332756">
          <w:marLeft w:val="0"/>
          <w:marRight w:val="0"/>
          <w:marTop w:val="0"/>
          <w:marBottom w:val="0"/>
          <w:divBdr>
            <w:top w:val="none" w:sz="0" w:space="0" w:color="auto"/>
            <w:left w:val="none" w:sz="0" w:space="0" w:color="auto"/>
            <w:bottom w:val="none" w:sz="0" w:space="0" w:color="auto"/>
            <w:right w:val="none" w:sz="0" w:space="0" w:color="auto"/>
          </w:divBdr>
          <w:divsChild>
            <w:div w:id="1779712923">
              <w:marLeft w:val="0"/>
              <w:marRight w:val="0"/>
              <w:marTop w:val="0"/>
              <w:marBottom w:val="0"/>
              <w:divBdr>
                <w:top w:val="none" w:sz="0" w:space="0" w:color="auto"/>
                <w:left w:val="none" w:sz="0" w:space="0" w:color="auto"/>
                <w:bottom w:val="none" w:sz="0" w:space="0" w:color="auto"/>
                <w:right w:val="none" w:sz="0" w:space="0" w:color="auto"/>
              </w:divBdr>
              <w:divsChild>
                <w:div w:id="7023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21608">
      <w:bodyDiv w:val="1"/>
      <w:marLeft w:val="0"/>
      <w:marRight w:val="0"/>
      <w:marTop w:val="0"/>
      <w:marBottom w:val="0"/>
      <w:divBdr>
        <w:top w:val="none" w:sz="0" w:space="0" w:color="auto"/>
        <w:left w:val="none" w:sz="0" w:space="0" w:color="auto"/>
        <w:bottom w:val="none" w:sz="0" w:space="0" w:color="auto"/>
        <w:right w:val="none" w:sz="0" w:space="0" w:color="auto"/>
      </w:divBdr>
      <w:divsChild>
        <w:div w:id="461923387">
          <w:marLeft w:val="0"/>
          <w:marRight w:val="0"/>
          <w:marTop w:val="0"/>
          <w:marBottom w:val="0"/>
          <w:divBdr>
            <w:top w:val="none" w:sz="0" w:space="0" w:color="auto"/>
            <w:left w:val="none" w:sz="0" w:space="0" w:color="auto"/>
            <w:bottom w:val="none" w:sz="0" w:space="0" w:color="auto"/>
            <w:right w:val="none" w:sz="0" w:space="0" w:color="auto"/>
          </w:divBdr>
          <w:divsChild>
            <w:div w:id="1217473253">
              <w:marLeft w:val="0"/>
              <w:marRight w:val="0"/>
              <w:marTop w:val="0"/>
              <w:marBottom w:val="0"/>
              <w:divBdr>
                <w:top w:val="none" w:sz="0" w:space="0" w:color="auto"/>
                <w:left w:val="none" w:sz="0" w:space="0" w:color="auto"/>
                <w:bottom w:val="none" w:sz="0" w:space="0" w:color="auto"/>
                <w:right w:val="none" w:sz="0" w:space="0" w:color="auto"/>
              </w:divBdr>
              <w:divsChild>
                <w:div w:id="87507754">
                  <w:marLeft w:val="0"/>
                  <w:marRight w:val="0"/>
                  <w:marTop w:val="0"/>
                  <w:marBottom w:val="0"/>
                  <w:divBdr>
                    <w:top w:val="none" w:sz="0" w:space="0" w:color="auto"/>
                    <w:left w:val="none" w:sz="0" w:space="0" w:color="auto"/>
                    <w:bottom w:val="none" w:sz="0" w:space="0" w:color="auto"/>
                    <w:right w:val="none" w:sz="0" w:space="0" w:color="auto"/>
                  </w:divBdr>
                  <w:divsChild>
                    <w:div w:id="46906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9560">
      <w:bodyDiv w:val="1"/>
      <w:marLeft w:val="0"/>
      <w:marRight w:val="0"/>
      <w:marTop w:val="0"/>
      <w:marBottom w:val="0"/>
      <w:divBdr>
        <w:top w:val="none" w:sz="0" w:space="0" w:color="auto"/>
        <w:left w:val="none" w:sz="0" w:space="0" w:color="auto"/>
        <w:bottom w:val="none" w:sz="0" w:space="0" w:color="auto"/>
        <w:right w:val="none" w:sz="0" w:space="0" w:color="auto"/>
      </w:divBdr>
    </w:div>
    <w:div w:id="1202522449">
      <w:bodyDiv w:val="1"/>
      <w:marLeft w:val="0"/>
      <w:marRight w:val="0"/>
      <w:marTop w:val="0"/>
      <w:marBottom w:val="0"/>
      <w:divBdr>
        <w:top w:val="none" w:sz="0" w:space="0" w:color="auto"/>
        <w:left w:val="none" w:sz="0" w:space="0" w:color="auto"/>
        <w:bottom w:val="none" w:sz="0" w:space="0" w:color="auto"/>
        <w:right w:val="none" w:sz="0" w:space="0" w:color="auto"/>
      </w:divBdr>
      <w:divsChild>
        <w:div w:id="1815873755">
          <w:marLeft w:val="0"/>
          <w:marRight w:val="0"/>
          <w:marTop w:val="0"/>
          <w:marBottom w:val="0"/>
          <w:divBdr>
            <w:top w:val="none" w:sz="0" w:space="0" w:color="auto"/>
            <w:left w:val="none" w:sz="0" w:space="0" w:color="auto"/>
            <w:bottom w:val="none" w:sz="0" w:space="0" w:color="auto"/>
            <w:right w:val="none" w:sz="0" w:space="0" w:color="auto"/>
          </w:divBdr>
          <w:divsChild>
            <w:div w:id="182011478">
              <w:marLeft w:val="0"/>
              <w:marRight w:val="0"/>
              <w:marTop w:val="0"/>
              <w:marBottom w:val="0"/>
              <w:divBdr>
                <w:top w:val="none" w:sz="0" w:space="0" w:color="auto"/>
                <w:left w:val="none" w:sz="0" w:space="0" w:color="auto"/>
                <w:bottom w:val="none" w:sz="0" w:space="0" w:color="auto"/>
                <w:right w:val="none" w:sz="0" w:space="0" w:color="auto"/>
              </w:divBdr>
              <w:divsChild>
                <w:div w:id="1386098301">
                  <w:marLeft w:val="0"/>
                  <w:marRight w:val="0"/>
                  <w:marTop w:val="0"/>
                  <w:marBottom w:val="0"/>
                  <w:divBdr>
                    <w:top w:val="none" w:sz="0" w:space="0" w:color="auto"/>
                    <w:left w:val="none" w:sz="0" w:space="0" w:color="auto"/>
                    <w:bottom w:val="none" w:sz="0" w:space="0" w:color="auto"/>
                    <w:right w:val="none" w:sz="0" w:space="0" w:color="auto"/>
                  </w:divBdr>
                  <w:divsChild>
                    <w:div w:id="5806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427408">
      <w:bodyDiv w:val="1"/>
      <w:marLeft w:val="0"/>
      <w:marRight w:val="0"/>
      <w:marTop w:val="0"/>
      <w:marBottom w:val="0"/>
      <w:divBdr>
        <w:top w:val="none" w:sz="0" w:space="0" w:color="auto"/>
        <w:left w:val="none" w:sz="0" w:space="0" w:color="auto"/>
        <w:bottom w:val="none" w:sz="0" w:space="0" w:color="auto"/>
        <w:right w:val="none" w:sz="0" w:space="0" w:color="auto"/>
      </w:divBdr>
      <w:divsChild>
        <w:div w:id="91437806">
          <w:marLeft w:val="0"/>
          <w:marRight w:val="0"/>
          <w:marTop w:val="0"/>
          <w:marBottom w:val="0"/>
          <w:divBdr>
            <w:top w:val="none" w:sz="0" w:space="0" w:color="auto"/>
            <w:left w:val="none" w:sz="0" w:space="0" w:color="auto"/>
            <w:bottom w:val="none" w:sz="0" w:space="0" w:color="auto"/>
            <w:right w:val="none" w:sz="0" w:space="0" w:color="auto"/>
          </w:divBdr>
          <w:divsChild>
            <w:div w:id="1795053985">
              <w:marLeft w:val="0"/>
              <w:marRight w:val="0"/>
              <w:marTop w:val="0"/>
              <w:marBottom w:val="0"/>
              <w:divBdr>
                <w:top w:val="none" w:sz="0" w:space="0" w:color="auto"/>
                <w:left w:val="none" w:sz="0" w:space="0" w:color="auto"/>
                <w:bottom w:val="none" w:sz="0" w:space="0" w:color="auto"/>
                <w:right w:val="none" w:sz="0" w:space="0" w:color="auto"/>
              </w:divBdr>
              <w:divsChild>
                <w:div w:id="1100563150">
                  <w:marLeft w:val="0"/>
                  <w:marRight w:val="0"/>
                  <w:marTop w:val="0"/>
                  <w:marBottom w:val="0"/>
                  <w:divBdr>
                    <w:top w:val="none" w:sz="0" w:space="0" w:color="auto"/>
                    <w:left w:val="none" w:sz="0" w:space="0" w:color="auto"/>
                    <w:bottom w:val="none" w:sz="0" w:space="0" w:color="auto"/>
                    <w:right w:val="none" w:sz="0" w:space="0" w:color="auto"/>
                  </w:divBdr>
                  <w:divsChild>
                    <w:div w:id="6763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7719">
      <w:bodyDiv w:val="1"/>
      <w:marLeft w:val="0"/>
      <w:marRight w:val="0"/>
      <w:marTop w:val="0"/>
      <w:marBottom w:val="0"/>
      <w:divBdr>
        <w:top w:val="none" w:sz="0" w:space="0" w:color="auto"/>
        <w:left w:val="none" w:sz="0" w:space="0" w:color="auto"/>
        <w:bottom w:val="none" w:sz="0" w:space="0" w:color="auto"/>
        <w:right w:val="none" w:sz="0" w:space="0" w:color="auto"/>
      </w:divBdr>
    </w:div>
    <w:div w:id="1227763507">
      <w:bodyDiv w:val="1"/>
      <w:marLeft w:val="0"/>
      <w:marRight w:val="0"/>
      <w:marTop w:val="0"/>
      <w:marBottom w:val="0"/>
      <w:divBdr>
        <w:top w:val="none" w:sz="0" w:space="0" w:color="auto"/>
        <w:left w:val="none" w:sz="0" w:space="0" w:color="auto"/>
        <w:bottom w:val="none" w:sz="0" w:space="0" w:color="auto"/>
        <w:right w:val="none" w:sz="0" w:space="0" w:color="auto"/>
      </w:divBdr>
      <w:divsChild>
        <w:div w:id="691492498">
          <w:marLeft w:val="0"/>
          <w:marRight w:val="0"/>
          <w:marTop w:val="0"/>
          <w:marBottom w:val="0"/>
          <w:divBdr>
            <w:top w:val="none" w:sz="0" w:space="0" w:color="auto"/>
            <w:left w:val="none" w:sz="0" w:space="0" w:color="auto"/>
            <w:bottom w:val="none" w:sz="0" w:space="0" w:color="auto"/>
            <w:right w:val="none" w:sz="0" w:space="0" w:color="auto"/>
          </w:divBdr>
          <w:divsChild>
            <w:div w:id="866454193">
              <w:marLeft w:val="0"/>
              <w:marRight w:val="0"/>
              <w:marTop w:val="0"/>
              <w:marBottom w:val="0"/>
              <w:divBdr>
                <w:top w:val="none" w:sz="0" w:space="0" w:color="auto"/>
                <w:left w:val="none" w:sz="0" w:space="0" w:color="auto"/>
                <w:bottom w:val="none" w:sz="0" w:space="0" w:color="auto"/>
                <w:right w:val="none" w:sz="0" w:space="0" w:color="auto"/>
              </w:divBdr>
              <w:divsChild>
                <w:div w:id="4478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18312">
          <w:marLeft w:val="0"/>
          <w:marRight w:val="0"/>
          <w:marTop w:val="0"/>
          <w:marBottom w:val="0"/>
          <w:divBdr>
            <w:top w:val="none" w:sz="0" w:space="0" w:color="auto"/>
            <w:left w:val="none" w:sz="0" w:space="0" w:color="auto"/>
            <w:bottom w:val="none" w:sz="0" w:space="0" w:color="auto"/>
            <w:right w:val="none" w:sz="0" w:space="0" w:color="auto"/>
          </w:divBdr>
          <w:divsChild>
            <w:div w:id="62341418">
              <w:marLeft w:val="0"/>
              <w:marRight w:val="0"/>
              <w:marTop w:val="0"/>
              <w:marBottom w:val="0"/>
              <w:divBdr>
                <w:top w:val="none" w:sz="0" w:space="0" w:color="auto"/>
                <w:left w:val="none" w:sz="0" w:space="0" w:color="auto"/>
                <w:bottom w:val="none" w:sz="0" w:space="0" w:color="auto"/>
                <w:right w:val="none" w:sz="0" w:space="0" w:color="auto"/>
              </w:divBdr>
              <w:divsChild>
                <w:div w:id="1074091114">
                  <w:marLeft w:val="0"/>
                  <w:marRight w:val="0"/>
                  <w:marTop w:val="0"/>
                  <w:marBottom w:val="0"/>
                  <w:divBdr>
                    <w:top w:val="none" w:sz="0" w:space="0" w:color="auto"/>
                    <w:left w:val="none" w:sz="0" w:space="0" w:color="auto"/>
                    <w:bottom w:val="none" w:sz="0" w:space="0" w:color="auto"/>
                    <w:right w:val="none" w:sz="0" w:space="0" w:color="auto"/>
                  </w:divBdr>
                </w:div>
              </w:divsChild>
            </w:div>
            <w:div w:id="745881112">
              <w:marLeft w:val="0"/>
              <w:marRight w:val="0"/>
              <w:marTop w:val="0"/>
              <w:marBottom w:val="0"/>
              <w:divBdr>
                <w:top w:val="none" w:sz="0" w:space="0" w:color="auto"/>
                <w:left w:val="none" w:sz="0" w:space="0" w:color="auto"/>
                <w:bottom w:val="none" w:sz="0" w:space="0" w:color="auto"/>
                <w:right w:val="none" w:sz="0" w:space="0" w:color="auto"/>
              </w:divBdr>
              <w:divsChild>
                <w:div w:id="3666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27433">
      <w:bodyDiv w:val="1"/>
      <w:marLeft w:val="0"/>
      <w:marRight w:val="0"/>
      <w:marTop w:val="0"/>
      <w:marBottom w:val="0"/>
      <w:divBdr>
        <w:top w:val="none" w:sz="0" w:space="0" w:color="auto"/>
        <w:left w:val="none" w:sz="0" w:space="0" w:color="auto"/>
        <w:bottom w:val="none" w:sz="0" w:space="0" w:color="auto"/>
        <w:right w:val="none" w:sz="0" w:space="0" w:color="auto"/>
      </w:divBdr>
      <w:divsChild>
        <w:div w:id="1752197439">
          <w:marLeft w:val="0"/>
          <w:marRight w:val="0"/>
          <w:marTop w:val="0"/>
          <w:marBottom w:val="0"/>
          <w:divBdr>
            <w:top w:val="none" w:sz="0" w:space="0" w:color="auto"/>
            <w:left w:val="none" w:sz="0" w:space="0" w:color="auto"/>
            <w:bottom w:val="none" w:sz="0" w:space="0" w:color="auto"/>
            <w:right w:val="none" w:sz="0" w:space="0" w:color="auto"/>
          </w:divBdr>
          <w:divsChild>
            <w:div w:id="665203712">
              <w:marLeft w:val="0"/>
              <w:marRight w:val="0"/>
              <w:marTop w:val="0"/>
              <w:marBottom w:val="0"/>
              <w:divBdr>
                <w:top w:val="none" w:sz="0" w:space="0" w:color="auto"/>
                <w:left w:val="none" w:sz="0" w:space="0" w:color="auto"/>
                <w:bottom w:val="none" w:sz="0" w:space="0" w:color="auto"/>
                <w:right w:val="none" w:sz="0" w:space="0" w:color="auto"/>
              </w:divBdr>
              <w:divsChild>
                <w:div w:id="12794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00866">
      <w:bodyDiv w:val="1"/>
      <w:marLeft w:val="0"/>
      <w:marRight w:val="0"/>
      <w:marTop w:val="0"/>
      <w:marBottom w:val="0"/>
      <w:divBdr>
        <w:top w:val="none" w:sz="0" w:space="0" w:color="auto"/>
        <w:left w:val="none" w:sz="0" w:space="0" w:color="auto"/>
        <w:bottom w:val="none" w:sz="0" w:space="0" w:color="auto"/>
        <w:right w:val="none" w:sz="0" w:space="0" w:color="auto"/>
      </w:divBdr>
    </w:div>
    <w:div w:id="1230072014">
      <w:bodyDiv w:val="1"/>
      <w:marLeft w:val="0"/>
      <w:marRight w:val="0"/>
      <w:marTop w:val="0"/>
      <w:marBottom w:val="0"/>
      <w:divBdr>
        <w:top w:val="none" w:sz="0" w:space="0" w:color="auto"/>
        <w:left w:val="none" w:sz="0" w:space="0" w:color="auto"/>
        <w:bottom w:val="none" w:sz="0" w:space="0" w:color="auto"/>
        <w:right w:val="none" w:sz="0" w:space="0" w:color="auto"/>
      </w:divBdr>
      <w:divsChild>
        <w:div w:id="1265650548">
          <w:marLeft w:val="0"/>
          <w:marRight w:val="0"/>
          <w:marTop w:val="0"/>
          <w:marBottom w:val="0"/>
          <w:divBdr>
            <w:top w:val="none" w:sz="0" w:space="0" w:color="auto"/>
            <w:left w:val="none" w:sz="0" w:space="0" w:color="auto"/>
            <w:bottom w:val="none" w:sz="0" w:space="0" w:color="auto"/>
            <w:right w:val="none" w:sz="0" w:space="0" w:color="auto"/>
          </w:divBdr>
          <w:divsChild>
            <w:div w:id="1402677122">
              <w:marLeft w:val="0"/>
              <w:marRight w:val="0"/>
              <w:marTop w:val="0"/>
              <w:marBottom w:val="0"/>
              <w:divBdr>
                <w:top w:val="none" w:sz="0" w:space="0" w:color="auto"/>
                <w:left w:val="none" w:sz="0" w:space="0" w:color="auto"/>
                <w:bottom w:val="none" w:sz="0" w:space="0" w:color="auto"/>
                <w:right w:val="none" w:sz="0" w:space="0" w:color="auto"/>
              </w:divBdr>
              <w:divsChild>
                <w:div w:id="1115979730">
                  <w:marLeft w:val="0"/>
                  <w:marRight w:val="0"/>
                  <w:marTop w:val="0"/>
                  <w:marBottom w:val="0"/>
                  <w:divBdr>
                    <w:top w:val="none" w:sz="0" w:space="0" w:color="auto"/>
                    <w:left w:val="none" w:sz="0" w:space="0" w:color="auto"/>
                    <w:bottom w:val="none" w:sz="0" w:space="0" w:color="auto"/>
                    <w:right w:val="none" w:sz="0" w:space="0" w:color="auto"/>
                  </w:divBdr>
                  <w:divsChild>
                    <w:div w:id="20824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88423">
      <w:bodyDiv w:val="1"/>
      <w:marLeft w:val="0"/>
      <w:marRight w:val="0"/>
      <w:marTop w:val="0"/>
      <w:marBottom w:val="0"/>
      <w:divBdr>
        <w:top w:val="none" w:sz="0" w:space="0" w:color="auto"/>
        <w:left w:val="none" w:sz="0" w:space="0" w:color="auto"/>
        <w:bottom w:val="none" w:sz="0" w:space="0" w:color="auto"/>
        <w:right w:val="none" w:sz="0" w:space="0" w:color="auto"/>
      </w:divBdr>
      <w:divsChild>
        <w:div w:id="1618101381">
          <w:marLeft w:val="0"/>
          <w:marRight w:val="0"/>
          <w:marTop w:val="0"/>
          <w:marBottom w:val="0"/>
          <w:divBdr>
            <w:top w:val="none" w:sz="0" w:space="0" w:color="auto"/>
            <w:left w:val="none" w:sz="0" w:space="0" w:color="auto"/>
            <w:bottom w:val="none" w:sz="0" w:space="0" w:color="auto"/>
            <w:right w:val="none" w:sz="0" w:space="0" w:color="auto"/>
          </w:divBdr>
          <w:divsChild>
            <w:div w:id="490803097">
              <w:marLeft w:val="0"/>
              <w:marRight w:val="0"/>
              <w:marTop w:val="0"/>
              <w:marBottom w:val="0"/>
              <w:divBdr>
                <w:top w:val="none" w:sz="0" w:space="0" w:color="auto"/>
                <w:left w:val="none" w:sz="0" w:space="0" w:color="auto"/>
                <w:bottom w:val="none" w:sz="0" w:space="0" w:color="auto"/>
                <w:right w:val="none" w:sz="0" w:space="0" w:color="auto"/>
              </w:divBdr>
              <w:divsChild>
                <w:div w:id="738745361">
                  <w:marLeft w:val="0"/>
                  <w:marRight w:val="0"/>
                  <w:marTop w:val="0"/>
                  <w:marBottom w:val="0"/>
                  <w:divBdr>
                    <w:top w:val="none" w:sz="0" w:space="0" w:color="auto"/>
                    <w:left w:val="none" w:sz="0" w:space="0" w:color="auto"/>
                    <w:bottom w:val="none" w:sz="0" w:space="0" w:color="auto"/>
                    <w:right w:val="none" w:sz="0" w:space="0" w:color="auto"/>
                  </w:divBdr>
                  <w:divsChild>
                    <w:div w:id="16528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74238">
      <w:bodyDiv w:val="1"/>
      <w:marLeft w:val="0"/>
      <w:marRight w:val="0"/>
      <w:marTop w:val="0"/>
      <w:marBottom w:val="0"/>
      <w:divBdr>
        <w:top w:val="none" w:sz="0" w:space="0" w:color="auto"/>
        <w:left w:val="none" w:sz="0" w:space="0" w:color="auto"/>
        <w:bottom w:val="none" w:sz="0" w:space="0" w:color="auto"/>
        <w:right w:val="none" w:sz="0" w:space="0" w:color="auto"/>
      </w:divBdr>
    </w:div>
    <w:div w:id="1262952499">
      <w:bodyDiv w:val="1"/>
      <w:marLeft w:val="0"/>
      <w:marRight w:val="0"/>
      <w:marTop w:val="0"/>
      <w:marBottom w:val="0"/>
      <w:divBdr>
        <w:top w:val="none" w:sz="0" w:space="0" w:color="auto"/>
        <w:left w:val="none" w:sz="0" w:space="0" w:color="auto"/>
        <w:bottom w:val="none" w:sz="0" w:space="0" w:color="auto"/>
        <w:right w:val="none" w:sz="0" w:space="0" w:color="auto"/>
      </w:divBdr>
      <w:divsChild>
        <w:div w:id="123084527">
          <w:marLeft w:val="0"/>
          <w:marRight w:val="0"/>
          <w:marTop w:val="0"/>
          <w:marBottom w:val="0"/>
          <w:divBdr>
            <w:top w:val="none" w:sz="0" w:space="0" w:color="auto"/>
            <w:left w:val="none" w:sz="0" w:space="0" w:color="auto"/>
            <w:bottom w:val="none" w:sz="0" w:space="0" w:color="auto"/>
            <w:right w:val="none" w:sz="0" w:space="0" w:color="auto"/>
          </w:divBdr>
          <w:divsChild>
            <w:div w:id="1798139865">
              <w:marLeft w:val="0"/>
              <w:marRight w:val="0"/>
              <w:marTop w:val="0"/>
              <w:marBottom w:val="0"/>
              <w:divBdr>
                <w:top w:val="none" w:sz="0" w:space="0" w:color="auto"/>
                <w:left w:val="none" w:sz="0" w:space="0" w:color="auto"/>
                <w:bottom w:val="none" w:sz="0" w:space="0" w:color="auto"/>
                <w:right w:val="none" w:sz="0" w:space="0" w:color="auto"/>
              </w:divBdr>
              <w:divsChild>
                <w:div w:id="759061833">
                  <w:marLeft w:val="0"/>
                  <w:marRight w:val="0"/>
                  <w:marTop w:val="0"/>
                  <w:marBottom w:val="0"/>
                  <w:divBdr>
                    <w:top w:val="none" w:sz="0" w:space="0" w:color="auto"/>
                    <w:left w:val="none" w:sz="0" w:space="0" w:color="auto"/>
                    <w:bottom w:val="none" w:sz="0" w:space="0" w:color="auto"/>
                    <w:right w:val="none" w:sz="0" w:space="0" w:color="auto"/>
                  </w:divBdr>
                  <w:divsChild>
                    <w:div w:id="194210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6789">
      <w:bodyDiv w:val="1"/>
      <w:marLeft w:val="0"/>
      <w:marRight w:val="0"/>
      <w:marTop w:val="0"/>
      <w:marBottom w:val="0"/>
      <w:divBdr>
        <w:top w:val="none" w:sz="0" w:space="0" w:color="auto"/>
        <w:left w:val="none" w:sz="0" w:space="0" w:color="auto"/>
        <w:bottom w:val="none" w:sz="0" w:space="0" w:color="auto"/>
        <w:right w:val="none" w:sz="0" w:space="0" w:color="auto"/>
      </w:divBdr>
      <w:divsChild>
        <w:div w:id="471215653">
          <w:marLeft w:val="0"/>
          <w:marRight w:val="0"/>
          <w:marTop w:val="0"/>
          <w:marBottom w:val="0"/>
          <w:divBdr>
            <w:top w:val="none" w:sz="0" w:space="0" w:color="auto"/>
            <w:left w:val="none" w:sz="0" w:space="0" w:color="auto"/>
            <w:bottom w:val="none" w:sz="0" w:space="0" w:color="auto"/>
            <w:right w:val="none" w:sz="0" w:space="0" w:color="auto"/>
          </w:divBdr>
          <w:divsChild>
            <w:div w:id="1583949120">
              <w:marLeft w:val="0"/>
              <w:marRight w:val="0"/>
              <w:marTop w:val="0"/>
              <w:marBottom w:val="0"/>
              <w:divBdr>
                <w:top w:val="none" w:sz="0" w:space="0" w:color="auto"/>
                <w:left w:val="none" w:sz="0" w:space="0" w:color="auto"/>
                <w:bottom w:val="none" w:sz="0" w:space="0" w:color="auto"/>
                <w:right w:val="none" w:sz="0" w:space="0" w:color="auto"/>
              </w:divBdr>
              <w:divsChild>
                <w:div w:id="1660306222">
                  <w:marLeft w:val="0"/>
                  <w:marRight w:val="0"/>
                  <w:marTop w:val="0"/>
                  <w:marBottom w:val="0"/>
                  <w:divBdr>
                    <w:top w:val="none" w:sz="0" w:space="0" w:color="auto"/>
                    <w:left w:val="none" w:sz="0" w:space="0" w:color="auto"/>
                    <w:bottom w:val="none" w:sz="0" w:space="0" w:color="auto"/>
                    <w:right w:val="none" w:sz="0" w:space="0" w:color="auto"/>
                  </w:divBdr>
                  <w:divsChild>
                    <w:div w:id="14616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9763">
      <w:bodyDiv w:val="1"/>
      <w:marLeft w:val="0"/>
      <w:marRight w:val="0"/>
      <w:marTop w:val="0"/>
      <w:marBottom w:val="0"/>
      <w:divBdr>
        <w:top w:val="none" w:sz="0" w:space="0" w:color="auto"/>
        <w:left w:val="none" w:sz="0" w:space="0" w:color="auto"/>
        <w:bottom w:val="none" w:sz="0" w:space="0" w:color="auto"/>
        <w:right w:val="none" w:sz="0" w:space="0" w:color="auto"/>
      </w:divBdr>
      <w:divsChild>
        <w:div w:id="1526556694">
          <w:marLeft w:val="0"/>
          <w:marRight w:val="0"/>
          <w:marTop w:val="0"/>
          <w:marBottom w:val="0"/>
          <w:divBdr>
            <w:top w:val="none" w:sz="0" w:space="0" w:color="auto"/>
            <w:left w:val="none" w:sz="0" w:space="0" w:color="auto"/>
            <w:bottom w:val="none" w:sz="0" w:space="0" w:color="auto"/>
            <w:right w:val="none" w:sz="0" w:space="0" w:color="auto"/>
          </w:divBdr>
          <w:divsChild>
            <w:div w:id="782961554">
              <w:marLeft w:val="0"/>
              <w:marRight w:val="0"/>
              <w:marTop w:val="0"/>
              <w:marBottom w:val="0"/>
              <w:divBdr>
                <w:top w:val="none" w:sz="0" w:space="0" w:color="auto"/>
                <w:left w:val="none" w:sz="0" w:space="0" w:color="auto"/>
                <w:bottom w:val="none" w:sz="0" w:space="0" w:color="auto"/>
                <w:right w:val="none" w:sz="0" w:space="0" w:color="auto"/>
              </w:divBdr>
              <w:divsChild>
                <w:div w:id="2170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50489">
      <w:bodyDiv w:val="1"/>
      <w:marLeft w:val="0"/>
      <w:marRight w:val="0"/>
      <w:marTop w:val="0"/>
      <w:marBottom w:val="0"/>
      <w:divBdr>
        <w:top w:val="none" w:sz="0" w:space="0" w:color="auto"/>
        <w:left w:val="none" w:sz="0" w:space="0" w:color="auto"/>
        <w:bottom w:val="none" w:sz="0" w:space="0" w:color="auto"/>
        <w:right w:val="none" w:sz="0" w:space="0" w:color="auto"/>
      </w:divBdr>
      <w:divsChild>
        <w:div w:id="1683701790">
          <w:marLeft w:val="0"/>
          <w:marRight w:val="0"/>
          <w:marTop w:val="0"/>
          <w:marBottom w:val="0"/>
          <w:divBdr>
            <w:top w:val="none" w:sz="0" w:space="0" w:color="auto"/>
            <w:left w:val="none" w:sz="0" w:space="0" w:color="auto"/>
            <w:bottom w:val="none" w:sz="0" w:space="0" w:color="auto"/>
            <w:right w:val="none" w:sz="0" w:space="0" w:color="auto"/>
          </w:divBdr>
          <w:divsChild>
            <w:div w:id="1820342639">
              <w:marLeft w:val="0"/>
              <w:marRight w:val="0"/>
              <w:marTop w:val="0"/>
              <w:marBottom w:val="0"/>
              <w:divBdr>
                <w:top w:val="none" w:sz="0" w:space="0" w:color="auto"/>
                <w:left w:val="none" w:sz="0" w:space="0" w:color="auto"/>
                <w:bottom w:val="none" w:sz="0" w:space="0" w:color="auto"/>
                <w:right w:val="none" w:sz="0" w:space="0" w:color="auto"/>
              </w:divBdr>
              <w:divsChild>
                <w:div w:id="20567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9751">
      <w:bodyDiv w:val="1"/>
      <w:marLeft w:val="0"/>
      <w:marRight w:val="0"/>
      <w:marTop w:val="0"/>
      <w:marBottom w:val="0"/>
      <w:divBdr>
        <w:top w:val="none" w:sz="0" w:space="0" w:color="auto"/>
        <w:left w:val="none" w:sz="0" w:space="0" w:color="auto"/>
        <w:bottom w:val="none" w:sz="0" w:space="0" w:color="auto"/>
        <w:right w:val="none" w:sz="0" w:space="0" w:color="auto"/>
      </w:divBdr>
      <w:divsChild>
        <w:div w:id="849831061">
          <w:marLeft w:val="0"/>
          <w:marRight w:val="0"/>
          <w:marTop w:val="0"/>
          <w:marBottom w:val="0"/>
          <w:divBdr>
            <w:top w:val="none" w:sz="0" w:space="0" w:color="auto"/>
            <w:left w:val="none" w:sz="0" w:space="0" w:color="auto"/>
            <w:bottom w:val="none" w:sz="0" w:space="0" w:color="auto"/>
            <w:right w:val="none" w:sz="0" w:space="0" w:color="auto"/>
          </w:divBdr>
          <w:divsChild>
            <w:div w:id="1567180302">
              <w:marLeft w:val="0"/>
              <w:marRight w:val="0"/>
              <w:marTop w:val="0"/>
              <w:marBottom w:val="0"/>
              <w:divBdr>
                <w:top w:val="none" w:sz="0" w:space="0" w:color="auto"/>
                <w:left w:val="none" w:sz="0" w:space="0" w:color="auto"/>
                <w:bottom w:val="none" w:sz="0" w:space="0" w:color="auto"/>
                <w:right w:val="none" w:sz="0" w:space="0" w:color="auto"/>
              </w:divBdr>
              <w:divsChild>
                <w:div w:id="14948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14285">
      <w:bodyDiv w:val="1"/>
      <w:marLeft w:val="0"/>
      <w:marRight w:val="0"/>
      <w:marTop w:val="0"/>
      <w:marBottom w:val="0"/>
      <w:divBdr>
        <w:top w:val="none" w:sz="0" w:space="0" w:color="auto"/>
        <w:left w:val="none" w:sz="0" w:space="0" w:color="auto"/>
        <w:bottom w:val="none" w:sz="0" w:space="0" w:color="auto"/>
        <w:right w:val="none" w:sz="0" w:space="0" w:color="auto"/>
      </w:divBdr>
      <w:divsChild>
        <w:div w:id="1236741522">
          <w:marLeft w:val="0"/>
          <w:marRight w:val="0"/>
          <w:marTop w:val="0"/>
          <w:marBottom w:val="0"/>
          <w:divBdr>
            <w:top w:val="none" w:sz="0" w:space="0" w:color="auto"/>
            <w:left w:val="none" w:sz="0" w:space="0" w:color="auto"/>
            <w:bottom w:val="none" w:sz="0" w:space="0" w:color="auto"/>
            <w:right w:val="none" w:sz="0" w:space="0" w:color="auto"/>
          </w:divBdr>
          <w:divsChild>
            <w:div w:id="523327259">
              <w:marLeft w:val="0"/>
              <w:marRight w:val="0"/>
              <w:marTop w:val="0"/>
              <w:marBottom w:val="0"/>
              <w:divBdr>
                <w:top w:val="none" w:sz="0" w:space="0" w:color="auto"/>
                <w:left w:val="none" w:sz="0" w:space="0" w:color="auto"/>
                <w:bottom w:val="none" w:sz="0" w:space="0" w:color="auto"/>
                <w:right w:val="none" w:sz="0" w:space="0" w:color="auto"/>
              </w:divBdr>
              <w:divsChild>
                <w:div w:id="10102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8953">
      <w:bodyDiv w:val="1"/>
      <w:marLeft w:val="0"/>
      <w:marRight w:val="0"/>
      <w:marTop w:val="0"/>
      <w:marBottom w:val="0"/>
      <w:divBdr>
        <w:top w:val="none" w:sz="0" w:space="0" w:color="auto"/>
        <w:left w:val="none" w:sz="0" w:space="0" w:color="auto"/>
        <w:bottom w:val="none" w:sz="0" w:space="0" w:color="auto"/>
        <w:right w:val="none" w:sz="0" w:space="0" w:color="auto"/>
      </w:divBdr>
      <w:divsChild>
        <w:div w:id="1441337330">
          <w:marLeft w:val="0"/>
          <w:marRight w:val="0"/>
          <w:marTop w:val="0"/>
          <w:marBottom w:val="0"/>
          <w:divBdr>
            <w:top w:val="none" w:sz="0" w:space="0" w:color="auto"/>
            <w:left w:val="none" w:sz="0" w:space="0" w:color="auto"/>
            <w:bottom w:val="none" w:sz="0" w:space="0" w:color="auto"/>
            <w:right w:val="none" w:sz="0" w:space="0" w:color="auto"/>
          </w:divBdr>
          <w:divsChild>
            <w:div w:id="1432580213">
              <w:marLeft w:val="0"/>
              <w:marRight w:val="0"/>
              <w:marTop w:val="0"/>
              <w:marBottom w:val="0"/>
              <w:divBdr>
                <w:top w:val="none" w:sz="0" w:space="0" w:color="auto"/>
                <w:left w:val="none" w:sz="0" w:space="0" w:color="auto"/>
                <w:bottom w:val="none" w:sz="0" w:space="0" w:color="auto"/>
                <w:right w:val="none" w:sz="0" w:space="0" w:color="auto"/>
              </w:divBdr>
              <w:divsChild>
                <w:div w:id="1601336801">
                  <w:marLeft w:val="0"/>
                  <w:marRight w:val="0"/>
                  <w:marTop w:val="0"/>
                  <w:marBottom w:val="0"/>
                  <w:divBdr>
                    <w:top w:val="none" w:sz="0" w:space="0" w:color="auto"/>
                    <w:left w:val="none" w:sz="0" w:space="0" w:color="auto"/>
                    <w:bottom w:val="none" w:sz="0" w:space="0" w:color="auto"/>
                    <w:right w:val="none" w:sz="0" w:space="0" w:color="auto"/>
                  </w:divBdr>
                  <w:divsChild>
                    <w:div w:id="135045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435377">
      <w:bodyDiv w:val="1"/>
      <w:marLeft w:val="0"/>
      <w:marRight w:val="0"/>
      <w:marTop w:val="0"/>
      <w:marBottom w:val="0"/>
      <w:divBdr>
        <w:top w:val="none" w:sz="0" w:space="0" w:color="auto"/>
        <w:left w:val="none" w:sz="0" w:space="0" w:color="auto"/>
        <w:bottom w:val="none" w:sz="0" w:space="0" w:color="auto"/>
        <w:right w:val="none" w:sz="0" w:space="0" w:color="auto"/>
      </w:divBdr>
    </w:div>
    <w:div w:id="1293246082">
      <w:bodyDiv w:val="1"/>
      <w:marLeft w:val="0"/>
      <w:marRight w:val="0"/>
      <w:marTop w:val="0"/>
      <w:marBottom w:val="0"/>
      <w:divBdr>
        <w:top w:val="none" w:sz="0" w:space="0" w:color="auto"/>
        <w:left w:val="none" w:sz="0" w:space="0" w:color="auto"/>
        <w:bottom w:val="none" w:sz="0" w:space="0" w:color="auto"/>
        <w:right w:val="none" w:sz="0" w:space="0" w:color="auto"/>
      </w:divBdr>
      <w:divsChild>
        <w:div w:id="1351882449">
          <w:marLeft w:val="0"/>
          <w:marRight w:val="0"/>
          <w:marTop w:val="0"/>
          <w:marBottom w:val="0"/>
          <w:divBdr>
            <w:top w:val="none" w:sz="0" w:space="0" w:color="auto"/>
            <w:left w:val="none" w:sz="0" w:space="0" w:color="auto"/>
            <w:bottom w:val="none" w:sz="0" w:space="0" w:color="auto"/>
            <w:right w:val="none" w:sz="0" w:space="0" w:color="auto"/>
          </w:divBdr>
          <w:divsChild>
            <w:div w:id="631983081">
              <w:marLeft w:val="0"/>
              <w:marRight w:val="0"/>
              <w:marTop w:val="0"/>
              <w:marBottom w:val="0"/>
              <w:divBdr>
                <w:top w:val="none" w:sz="0" w:space="0" w:color="auto"/>
                <w:left w:val="none" w:sz="0" w:space="0" w:color="auto"/>
                <w:bottom w:val="none" w:sz="0" w:space="0" w:color="auto"/>
                <w:right w:val="none" w:sz="0" w:space="0" w:color="auto"/>
              </w:divBdr>
              <w:divsChild>
                <w:div w:id="17416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83205">
      <w:bodyDiv w:val="1"/>
      <w:marLeft w:val="0"/>
      <w:marRight w:val="0"/>
      <w:marTop w:val="0"/>
      <w:marBottom w:val="0"/>
      <w:divBdr>
        <w:top w:val="none" w:sz="0" w:space="0" w:color="auto"/>
        <w:left w:val="none" w:sz="0" w:space="0" w:color="auto"/>
        <w:bottom w:val="none" w:sz="0" w:space="0" w:color="auto"/>
        <w:right w:val="none" w:sz="0" w:space="0" w:color="auto"/>
      </w:divBdr>
      <w:divsChild>
        <w:div w:id="66996728">
          <w:marLeft w:val="0"/>
          <w:marRight w:val="0"/>
          <w:marTop w:val="0"/>
          <w:marBottom w:val="0"/>
          <w:divBdr>
            <w:top w:val="none" w:sz="0" w:space="0" w:color="auto"/>
            <w:left w:val="none" w:sz="0" w:space="0" w:color="auto"/>
            <w:bottom w:val="none" w:sz="0" w:space="0" w:color="auto"/>
            <w:right w:val="none" w:sz="0" w:space="0" w:color="auto"/>
          </w:divBdr>
          <w:divsChild>
            <w:div w:id="275798366">
              <w:marLeft w:val="0"/>
              <w:marRight w:val="0"/>
              <w:marTop w:val="0"/>
              <w:marBottom w:val="0"/>
              <w:divBdr>
                <w:top w:val="none" w:sz="0" w:space="0" w:color="auto"/>
                <w:left w:val="none" w:sz="0" w:space="0" w:color="auto"/>
                <w:bottom w:val="none" w:sz="0" w:space="0" w:color="auto"/>
                <w:right w:val="none" w:sz="0" w:space="0" w:color="auto"/>
              </w:divBdr>
              <w:divsChild>
                <w:div w:id="16739186">
                  <w:marLeft w:val="0"/>
                  <w:marRight w:val="0"/>
                  <w:marTop w:val="0"/>
                  <w:marBottom w:val="0"/>
                  <w:divBdr>
                    <w:top w:val="none" w:sz="0" w:space="0" w:color="auto"/>
                    <w:left w:val="none" w:sz="0" w:space="0" w:color="auto"/>
                    <w:bottom w:val="none" w:sz="0" w:space="0" w:color="auto"/>
                    <w:right w:val="none" w:sz="0" w:space="0" w:color="auto"/>
                  </w:divBdr>
                  <w:divsChild>
                    <w:div w:id="20839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06239">
      <w:bodyDiv w:val="1"/>
      <w:marLeft w:val="0"/>
      <w:marRight w:val="0"/>
      <w:marTop w:val="0"/>
      <w:marBottom w:val="0"/>
      <w:divBdr>
        <w:top w:val="none" w:sz="0" w:space="0" w:color="auto"/>
        <w:left w:val="none" w:sz="0" w:space="0" w:color="auto"/>
        <w:bottom w:val="none" w:sz="0" w:space="0" w:color="auto"/>
        <w:right w:val="none" w:sz="0" w:space="0" w:color="auto"/>
      </w:divBdr>
      <w:divsChild>
        <w:div w:id="877663442">
          <w:marLeft w:val="0"/>
          <w:marRight w:val="0"/>
          <w:marTop w:val="0"/>
          <w:marBottom w:val="0"/>
          <w:divBdr>
            <w:top w:val="none" w:sz="0" w:space="0" w:color="auto"/>
            <w:left w:val="none" w:sz="0" w:space="0" w:color="auto"/>
            <w:bottom w:val="none" w:sz="0" w:space="0" w:color="auto"/>
            <w:right w:val="none" w:sz="0" w:space="0" w:color="auto"/>
          </w:divBdr>
          <w:divsChild>
            <w:div w:id="1521236534">
              <w:marLeft w:val="0"/>
              <w:marRight w:val="0"/>
              <w:marTop w:val="0"/>
              <w:marBottom w:val="0"/>
              <w:divBdr>
                <w:top w:val="none" w:sz="0" w:space="0" w:color="auto"/>
                <w:left w:val="none" w:sz="0" w:space="0" w:color="auto"/>
                <w:bottom w:val="none" w:sz="0" w:space="0" w:color="auto"/>
                <w:right w:val="none" w:sz="0" w:space="0" w:color="auto"/>
              </w:divBdr>
              <w:divsChild>
                <w:div w:id="6165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9560">
      <w:bodyDiv w:val="1"/>
      <w:marLeft w:val="0"/>
      <w:marRight w:val="0"/>
      <w:marTop w:val="0"/>
      <w:marBottom w:val="0"/>
      <w:divBdr>
        <w:top w:val="none" w:sz="0" w:space="0" w:color="auto"/>
        <w:left w:val="none" w:sz="0" w:space="0" w:color="auto"/>
        <w:bottom w:val="none" w:sz="0" w:space="0" w:color="auto"/>
        <w:right w:val="none" w:sz="0" w:space="0" w:color="auto"/>
      </w:divBdr>
      <w:divsChild>
        <w:div w:id="1274174115">
          <w:marLeft w:val="0"/>
          <w:marRight w:val="0"/>
          <w:marTop w:val="0"/>
          <w:marBottom w:val="0"/>
          <w:divBdr>
            <w:top w:val="none" w:sz="0" w:space="0" w:color="auto"/>
            <w:left w:val="none" w:sz="0" w:space="0" w:color="auto"/>
            <w:bottom w:val="none" w:sz="0" w:space="0" w:color="auto"/>
            <w:right w:val="none" w:sz="0" w:space="0" w:color="auto"/>
          </w:divBdr>
          <w:divsChild>
            <w:div w:id="268397067">
              <w:marLeft w:val="0"/>
              <w:marRight w:val="0"/>
              <w:marTop w:val="0"/>
              <w:marBottom w:val="0"/>
              <w:divBdr>
                <w:top w:val="none" w:sz="0" w:space="0" w:color="auto"/>
                <w:left w:val="none" w:sz="0" w:space="0" w:color="auto"/>
                <w:bottom w:val="none" w:sz="0" w:space="0" w:color="auto"/>
                <w:right w:val="none" w:sz="0" w:space="0" w:color="auto"/>
              </w:divBdr>
              <w:divsChild>
                <w:div w:id="7379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97106">
      <w:bodyDiv w:val="1"/>
      <w:marLeft w:val="0"/>
      <w:marRight w:val="0"/>
      <w:marTop w:val="0"/>
      <w:marBottom w:val="0"/>
      <w:divBdr>
        <w:top w:val="none" w:sz="0" w:space="0" w:color="auto"/>
        <w:left w:val="none" w:sz="0" w:space="0" w:color="auto"/>
        <w:bottom w:val="none" w:sz="0" w:space="0" w:color="auto"/>
        <w:right w:val="none" w:sz="0" w:space="0" w:color="auto"/>
      </w:divBdr>
      <w:divsChild>
        <w:div w:id="745805754">
          <w:marLeft w:val="0"/>
          <w:marRight w:val="0"/>
          <w:marTop w:val="0"/>
          <w:marBottom w:val="0"/>
          <w:divBdr>
            <w:top w:val="none" w:sz="0" w:space="0" w:color="auto"/>
            <w:left w:val="none" w:sz="0" w:space="0" w:color="auto"/>
            <w:bottom w:val="none" w:sz="0" w:space="0" w:color="auto"/>
            <w:right w:val="none" w:sz="0" w:space="0" w:color="auto"/>
          </w:divBdr>
          <w:divsChild>
            <w:div w:id="1835098453">
              <w:marLeft w:val="0"/>
              <w:marRight w:val="0"/>
              <w:marTop w:val="0"/>
              <w:marBottom w:val="0"/>
              <w:divBdr>
                <w:top w:val="none" w:sz="0" w:space="0" w:color="auto"/>
                <w:left w:val="none" w:sz="0" w:space="0" w:color="auto"/>
                <w:bottom w:val="none" w:sz="0" w:space="0" w:color="auto"/>
                <w:right w:val="none" w:sz="0" w:space="0" w:color="auto"/>
              </w:divBdr>
              <w:divsChild>
                <w:div w:id="108624871">
                  <w:marLeft w:val="0"/>
                  <w:marRight w:val="0"/>
                  <w:marTop w:val="0"/>
                  <w:marBottom w:val="0"/>
                  <w:divBdr>
                    <w:top w:val="none" w:sz="0" w:space="0" w:color="auto"/>
                    <w:left w:val="none" w:sz="0" w:space="0" w:color="auto"/>
                    <w:bottom w:val="none" w:sz="0" w:space="0" w:color="auto"/>
                    <w:right w:val="none" w:sz="0" w:space="0" w:color="auto"/>
                  </w:divBdr>
                  <w:divsChild>
                    <w:div w:id="11992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396184">
      <w:bodyDiv w:val="1"/>
      <w:marLeft w:val="0"/>
      <w:marRight w:val="0"/>
      <w:marTop w:val="0"/>
      <w:marBottom w:val="0"/>
      <w:divBdr>
        <w:top w:val="none" w:sz="0" w:space="0" w:color="auto"/>
        <w:left w:val="none" w:sz="0" w:space="0" w:color="auto"/>
        <w:bottom w:val="none" w:sz="0" w:space="0" w:color="auto"/>
        <w:right w:val="none" w:sz="0" w:space="0" w:color="auto"/>
      </w:divBdr>
      <w:divsChild>
        <w:div w:id="321666551">
          <w:marLeft w:val="0"/>
          <w:marRight w:val="0"/>
          <w:marTop w:val="0"/>
          <w:marBottom w:val="0"/>
          <w:divBdr>
            <w:top w:val="none" w:sz="0" w:space="0" w:color="auto"/>
            <w:left w:val="none" w:sz="0" w:space="0" w:color="auto"/>
            <w:bottom w:val="none" w:sz="0" w:space="0" w:color="auto"/>
            <w:right w:val="none" w:sz="0" w:space="0" w:color="auto"/>
          </w:divBdr>
          <w:divsChild>
            <w:div w:id="1675454258">
              <w:marLeft w:val="0"/>
              <w:marRight w:val="0"/>
              <w:marTop w:val="0"/>
              <w:marBottom w:val="0"/>
              <w:divBdr>
                <w:top w:val="none" w:sz="0" w:space="0" w:color="auto"/>
                <w:left w:val="none" w:sz="0" w:space="0" w:color="auto"/>
                <w:bottom w:val="none" w:sz="0" w:space="0" w:color="auto"/>
                <w:right w:val="none" w:sz="0" w:space="0" w:color="auto"/>
              </w:divBdr>
              <w:divsChild>
                <w:div w:id="1774276409">
                  <w:marLeft w:val="0"/>
                  <w:marRight w:val="0"/>
                  <w:marTop w:val="0"/>
                  <w:marBottom w:val="0"/>
                  <w:divBdr>
                    <w:top w:val="none" w:sz="0" w:space="0" w:color="auto"/>
                    <w:left w:val="none" w:sz="0" w:space="0" w:color="auto"/>
                    <w:bottom w:val="none" w:sz="0" w:space="0" w:color="auto"/>
                    <w:right w:val="none" w:sz="0" w:space="0" w:color="auto"/>
                  </w:divBdr>
                  <w:divsChild>
                    <w:div w:id="19902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94458">
      <w:bodyDiv w:val="1"/>
      <w:marLeft w:val="0"/>
      <w:marRight w:val="0"/>
      <w:marTop w:val="0"/>
      <w:marBottom w:val="0"/>
      <w:divBdr>
        <w:top w:val="none" w:sz="0" w:space="0" w:color="auto"/>
        <w:left w:val="none" w:sz="0" w:space="0" w:color="auto"/>
        <w:bottom w:val="none" w:sz="0" w:space="0" w:color="auto"/>
        <w:right w:val="none" w:sz="0" w:space="0" w:color="auto"/>
      </w:divBdr>
    </w:div>
    <w:div w:id="1310667545">
      <w:bodyDiv w:val="1"/>
      <w:marLeft w:val="0"/>
      <w:marRight w:val="0"/>
      <w:marTop w:val="0"/>
      <w:marBottom w:val="0"/>
      <w:divBdr>
        <w:top w:val="none" w:sz="0" w:space="0" w:color="auto"/>
        <w:left w:val="none" w:sz="0" w:space="0" w:color="auto"/>
        <w:bottom w:val="none" w:sz="0" w:space="0" w:color="auto"/>
        <w:right w:val="none" w:sz="0" w:space="0" w:color="auto"/>
      </w:divBdr>
      <w:divsChild>
        <w:div w:id="1951086841">
          <w:marLeft w:val="0"/>
          <w:marRight w:val="0"/>
          <w:marTop w:val="0"/>
          <w:marBottom w:val="0"/>
          <w:divBdr>
            <w:top w:val="none" w:sz="0" w:space="0" w:color="auto"/>
            <w:left w:val="none" w:sz="0" w:space="0" w:color="auto"/>
            <w:bottom w:val="none" w:sz="0" w:space="0" w:color="auto"/>
            <w:right w:val="none" w:sz="0" w:space="0" w:color="auto"/>
          </w:divBdr>
          <w:divsChild>
            <w:div w:id="766268582">
              <w:marLeft w:val="0"/>
              <w:marRight w:val="0"/>
              <w:marTop w:val="0"/>
              <w:marBottom w:val="0"/>
              <w:divBdr>
                <w:top w:val="none" w:sz="0" w:space="0" w:color="auto"/>
                <w:left w:val="none" w:sz="0" w:space="0" w:color="auto"/>
                <w:bottom w:val="none" w:sz="0" w:space="0" w:color="auto"/>
                <w:right w:val="none" w:sz="0" w:space="0" w:color="auto"/>
              </w:divBdr>
              <w:divsChild>
                <w:div w:id="1249853586">
                  <w:marLeft w:val="0"/>
                  <w:marRight w:val="0"/>
                  <w:marTop w:val="0"/>
                  <w:marBottom w:val="0"/>
                  <w:divBdr>
                    <w:top w:val="none" w:sz="0" w:space="0" w:color="auto"/>
                    <w:left w:val="none" w:sz="0" w:space="0" w:color="auto"/>
                    <w:bottom w:val="none" w:sz="0" w:space="0" w:color="auto"/>
                    <w:right w:val="none" w:sz="0" w:space="0" w:color="auto"/>
                  </w:divBdr>
                  <w:divsChild>
                    <w:div w:id="90703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88447">
      <w:bodyDiv w:val="1"/>
      <w:marLeft w:val="0"/>
      <w:marRight w:val="0"/>
      <w:marTop w:val="0"/>
      <w:marBottom w:val="0"/>
      <w:divBdr>
        <w:top w:val="none" w:sz="0" w:space="0" w:color="auto"/>
        <w:left w:val="none" w:sz="0" w:space="0" w:color="auto"/>
        <w:bottom w:val="none" w:sz="0" w:space="0" w:color="auto"/>
        <w:right w:val="none" w:sz="0" w:space="0" w:color="auto"/>
      </w:divBdr>
      <w:divsChild>
        <w:div w:id="885684318">
          <w:marLeft w:val="0"/>
          <w:marRight w:val="0"/>
          <w:marTop w:val="0"/>
          <w:marBottom w:val="0"/>
          <w:divBdr>
            <w:top w:val="none" w:sz="0" w:space="0" w:color="auto"/>
            <w:left w:val="none" w:sz="0" w:space="0" w:color="auto"/>
            <w:bottom w:val="none" w:sz="0" w:space="0" w:color="auto"/>
            <w:right w:val="none" w:sz="0" w:space="0" w:color="auto"/>
          </w:divBdr>
          <w:divsChild>
            <w:div w:id="1521623961">
              <w:marLeft w:val="0"/>
              <w:marRight w:val="0"/>
              <w:marTop w:val="0"/>
              <w:marBottom w:val="0"/>
              <w:divBdr>
                <w:top w:val="none" w:sz="0" w:space="0" w:color="auto"/>
                <w:left w:val="none" w:sz="0" w:space="0" w:color="auto"/>
                <w:bottom w:val="none" w:sz="0" w:space="0" w:color="auto"/>
                <w:right w:val="none" w:sz="0" w:space="0" w:color="auto"/>
              </w:divBdr>
              <w:divsChild>
                <w:div w:id="1788162657">
                  <w:marLeft w:val="0"/>
                  <w:marRight w:val="0"/>
                  <w:marTop w:val="0"/>
                  <w:marBottom w:val="0"/>
                  <w:divBdr>
                    <w:top w:val="none" w:sz="0" w:space="0" w:color="auto"/>
                    <w:left w:val="none" w:sz="0" w:space="0" w:color="auto"/>
                    <w:bottom w:val="none" w:sz="0" w:space="0" w:color="auto"/>
                    <w:right w:val="none" w:sz="0" w:space="0" w:color="auto"/>
                  </w:divBdr>
                  <w:divsChild>
                    <w:div w:id="9380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20265">
      <w:bodyDiv w:val="1"/>
      <w:marLeft w:val="0"/>
      <w:marRight w:val="0"/>
      <w:marTop w:val="0"/>
      <w:marBottom w:val="0"/>
      <w:divBdr>
        <w:top w:val="none" w:sz="0" w:space="0" w:color="auto"/>
        <w:left w:val="none" w:sz="0" w:space="0" w:color="auto"/>
        <w:bottom w:val="none" w:sz="0" w:space="0" w:color="auto"/>
        <w:right w:val="none" w:sz="0" w:space="0" w:color="auto"/>
      </w:divBdr>
      <w:divsChild>
        <w:div w:id="967123499">
          <w:marLeft w:val="0"/>
          <w:marRight w:val="0"/>
          <w:marTop w:val="0"/>
          <w:marBottom w:val="0"/>
          <w:divBdr>
            <w:top w:val="none" w:sz="0" w:space="0" w:color="auto"/>
            <w:left w:val="none" w:sz="0" w:space="0" w:color="auto"/>
            <w:bottom w:val="none" w:sz="0" w:space="0" w:color="auto"/>
            <w:right w:val="none" w:sz="0" w:space="0" w:color="auto"/>
          </w:divBdr>
          <w:divsChild>
            <w:div w:id="1490750949">
              <w:marLeft w:val="0"/>
              <w:marRight w:val="0"/>
              <w:marTop w:val="0"/>
              <w:marBottom w:val="0"/>
              <w:divBdr>
                <w:top w:val="none" w:sz="0" w:space="0" w:color="auto"/>
                <w:left w:val="none" w:sz="0" w:space="0" w:color="auto"/>
                <w:bottom w:val="none" w:sz="0" w:space="0" w:color="auto"/>
                <w:right w:val="none" w:sz="0" w:space="0" w:color="auto"/>
              </w:divBdr>
              <w:divsChild>
                <w:div w:id="121773834">
                  <w:marLeft w:val="0"/>
                  <w:marRight w:val="0"/>
                  <w:marTop w:val="0"/>
                  <w:marBottom w:val="0"/>
                  <w:divBdr>
                    <w:top w:val="none" w:sz="0" w:space="0" w:color="auto"/>
                    <w:left w:val="none" w:sz="0" w:space="0" w:color="auto"/>
                    <w:bottom w:val="none" w:sz="0" w:space="0" w:color="auto"/>
                    <w:right w:val="none" w:sz="0" w:space="0" w:color="auto"/>
                  </w:divBdr>
                </w:div>
              </w:divsChild>
            </w:div>
            <w:div w:id="1890873180">
              <w:marLeft w:val="0"/>
              <w:marRight w:val="0"/>
              <w:marTop w:val="0"/>
              <w:marBottom w:val="0"/>
              <w:divBdr>
                <w:top w:val="none" w:sz="0" w:space="0" w:color="auto"/>
                <w:left w:val="none" w:sz="0" w:space="0" w:color="auto"/>
                <w:bottom w:val="none" w:sz="0" w:space="0" w:color="auto"/>
                <w:right w:val="none" w:sz="0" w:space="0" w:color="auto"/>
              </w:divBdr>
              <w:divsChild>
                <w:div w:id="3581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30820">
      <w:bodyDiv w:val="1"/>
      <w:marLeft w:val="0"/>
      <w:marRight w:val="0"/>
      <w:marTop w:val="0"/>
      <w:marBottom w:val="0"/>
      <w:divBdr>
        <w:top w:val="none" w:sz="0" w:space="0" w:color="auto"/>
        <w:left w:val="none" w:sz="0" w:space="0" w:color="auto"/>
        <w:bottom w:val="none" w:sz="0" w:space="0" w:color="auto"/>
        <w:right w:val="none" w:sz="0" w:space="0" w:color="auto"/>
      </w:divBdr>
      <w:divsChild>
        <w:div w:id="1241451990">
          <w:marLeft w:val="0"/>
          <w:marRight w:val="0"/>
          <w:marTop w:val="0"/>
          <w:marBottom w:val="0"/>
          <w:divBdr>
            <w:top w:val="none" w:sz="0" w:space="0" w:color="auto"/>
            <w:left w:val="none" w:sz="0" w:space="0" w:color="auto"/>
            <w:bottom w:val="none" w:sz="0" w:space="0" w:color="auto"/>
            <w:right w:val="none" w:sz="0" w:space="0" w:color="auto"/>
          </w:divBdr>
          <w:divsChild>
            <w:div w:id="1492911873">
              <w:marLeft w:val="0"/>
              <w:marRight w:val="0"/>
              <w:marTop w:val="0"/>
              <w:marBottom w:val="0"/>
              <w:divBdr>
                <w:top w:val="none" w:sz="0" w:space="0" w:color="auto"/>
                <w:left w:val="none" w:sz="0" w:space="0" w:color="auto"/>
                <w:bottom w:val="none" w:sz="0" w:space="0" w:color="auto"/>
                <w:right w:val="none" w:sz="0" w:space="0" w:color="auto"/>
              </w:divBdr>
              <w:divsChild>
                <w:div w:id="424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57885">
      <w:bodyDiv w:val="1"/>
      <w:marLeft w:val="0"/>
      <w:marRight w:val="0"/>
      <w:marTop w:val="0"/>
      <w:marBottom w:val="0"/>
      <w:divBdr>
        <w:top w:val="none" w:sz="0" w:space="0" w:color="auto"/>
        <w:left w:val="none" w:sz="0" w:space="0" w:color="auto"/>
        <w:bottom w:val="none" w:sz="0" w:space="0" w:color="auto"/>
        <w:right w:val="none" w:sz="0" w:space="0" w:color="auto"/>
      </w:divBdr>
      <w:divsChild>
        <w:div w:id="2031560415">
          <w:marLeft w:val="0"/>
          <w:marRight w:val="0"/>
          <w:marTop w:val="0"/>
          <w:marBottom w:val="0"/>
          <w:divBdr>
            <w:top w:val="none" w:sz="0" w:space="0" w:color="auto"/>
            <w:left w:val="none" w:sz="0" w:space="0" w:color="auto"/>
            <w:bottom w:val="none" w:sz="0" w:space="0" w:color="auto"/>
            <w:right w:val="none" w:sz="0" w:space="0" w:color="auto"/>
          </w:divBdr>
          <w:divsChild>
            <w:div w:id="1847744675">
              <w:marLeft w:val="0"/>
              <w:marRight w:val="0"/>
              <w:marTop w:val="0"/>
              <w:marBottom w:val="0"/>
              <w:divBdr>
                <w:top w:val="none" w:sz="0" w:space="0" w:color="auto"/>
                <w:left w:val="none" w:sz="0" w:space="0" w:color="auto"/>
                <w:bottom w:val="none" w:sz="0" w:space="0" w:color="auto"/>
                <w:right w:val="none" w:sz="0" w:space="0" w:color="auto"/>
              </w:divBdr>
              <w:divsChild>
                <w:div w:id="1542398794">
                  <w:marLeft w:val="0"/>
                  <w:marRight w:val="0"/>
                  <w:marTop w:val="0"/>
                  <w:marBottom w:val="0"/>
                  <w:divBdr>
                    <w:top w:val="none" w:sz="0" w:space="0" w:color="auto"/>
                    <w:left w:val="none" w:sz="0" w:space="0" w:color="auto"/>
                    <w:bottom w:val="none" w:sz="0" w:space="0" w:color="auto"/>
                    <w:right w:val="none" w:sz="0" w:space="0" w:color="auto"/>
                  </w:divBdr>
                  <w:divsChild>
                    <w:div w:id="107420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94314">
      <w:bodyDiv w:val="1"/>
      <w:marLeft w:val="0"/>
      <w:marRight w:val="0"/>
      <w:marTop w:val="0"/>
      <w:marBottom w:val="0"/>
      <w:divBdr>
        <w:top w:val="none" w:sz="0" w:space="0" w:color="auto"/>
        <w:left w:val="none" w:sz="0" w:space="0" w:color="auto"/>
        <w:bottom w:val="none" w:sz="0" w:space="0" w:color="auto"/>
        <w:right w:val="none" w:sz="0" w:space="0" w:color="auto"/>
      </w:divBdr>
      <w:divsChild>
        <w:div w:id="803348588">
          <w:marLeft w:val="0"/>
          <w:marRight w:val="0"/>
          <w:marTop w:val="0"/>
          <w:marBottom w:val="0"/>
          <w:divBdr>
            <w:top w:val="none" w:sz="0" w:space="0" w:color="auto"/>
            <w:left w:val="none" w:sz="0" w:space="0" w:color="auto"/>
            <w:bottom w:val="none" w:sz="0" w:space="0" w:color="auto"/>
            <w:right w:val="none" w:sz="0" w:space="0" w:color="auto"/>
          </w:divBdr>
          <w:divsChild>
            <w:div w:id="1597637467">
              <w:marLeft w:val="0"/>
              <w:marRight w:val="0"/>
              <w:marTop w:val="0"/>
              <w:marBottom w:val="0"/>
              <w:divBdr>
                <w:top w:val="none" w:sz="0" w:space="0" w:color="auto"/>
                <w:left w:val="none" w:sz="0" w:space="0" w:color="auto"/>
                <w:bottom w:val="none" w:sz="0" w:space="0" w:color="auto"/>
                <w:right w:val="none" w:sz="0" w:space="0" w:color="auto"/>
              </w:divBdr>
              <w:divsChild>
                <w:div w:id="812991859">
                  <w:marLeft w:val="0"/>
                  <w:marRight w:val="0"/>
                  <w:marTop w:val="0"/>
                  <w:marBottom w:val="0"/>
                  <w:divBdr>
                    <w:top w:val="none" w:sz="0" w:space="0" w:color="auto"/>
                    <w:left w:val="none" w:sz="0" w:space="0" w:color="auto"/>
                    <w:bottom w:val="none" w:sz="0" w:space="0" w:color="auto"/>
                    <w:right w:val="none" w:sz="0" w:space="0" w:color="auto"/>
                  </w:divBdr>
                  <w:divsChild>
                    <w:div w:id="4446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85019">
      <w:bodyDiv w:val="1"/>
      <w:marLeft w:val="0"/>
      <w:marRight w:val="0"/>
      <w:marTop w:val="0"/>
      <w:marBottom w:val="0"/>
      <w:divBdr>
        <w:top w:val="none" w:sz="0" w:space="0" w:color="auto"/>
        <w:left w:val="none" w:sz="0" w:space="0" w:color="auto"/>
        <w:bottom w:val="none" w:sz="0" w:space="0" w:color="auto"/>
        <w:right w:val="none" w:sz="0" w:space="0" w:color="auto"/>
      </w:divBdr>
      <w:divsChild>
        <w:div w:id="80294864">
          <w:marLeft w:val="0"/>
          <w:marRight w:val="0"/>
          <w:marTop w:val="0"/>
          <w:marBottom w:val="0"/>
          <w:divBdr>
            <w:top w:val="none" w:sz="0" w:space="0" w:color="auto"/>
            <w:left w:val="none" w:sz="0" w:space="0" w:color="auto"/>
            <w:bottom w:val="none" w:sz="0" w:space="0" w:color="auto"/>
            <w:right w:val="none" w:sz="0" w:space="0" w:color="auto"/>
          </w:divBdr>
          <w:divsChild>
            <w:div w:id="706027409">
              <w:marLeft w:val="0"/>
              <w:marRight w:val="0"/>
              <w:marTop w:val="0"/>
              <w:marBottom w:val="0"/>
              <w:divBdr>
                <w:top w:val="none" w:sz="0" w:space="0" w:color="auto"/>
                <w:left w:val="none" w:sz="0" w:space="0" w:color="auto"/>
                <w:bottom w:val="none" w:sz="0" w:space="0" w:color="auto"/>
                <w:right w:val="none" w:sz="0" w:space="0" w:color="auto"/>
              </w:divBdr>
              <w:divsChild>
                <w:div w:id="1570384973">
                  <w:marLeft w:val="0"/>
                  <w:marRight w:val="0"/>
                  <w:marTop w:val="0"/>
                  <w:marBottom w:val="0"/>
                  <w:divBdr>
                    <w:top w:val="none" w:sz="0" w:space="0" w:color="auto"/>
                    <w:left w:val="none" w:sz="0" w:space="0" w:color="auto"/>
                    <w:bottom w:val="none" w:sz="0" w:space="0" w:color="auto"/>
                    <w:right w:val="none" w:sz="0" w:space="0" w:color="auto"/>
                  </w:divBdr>
                  <w:divsChild>
                    <w:div w:id="18653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04790">
      <w:bodyDiv w:val="1"/>
      <w:marLeft w:val="0"/>
      <w:marRight w:val="0"/>
      <w:marTop w:val="0"/>
      <w:marBottom w:val="0"/>
      <w:divBdr>
        <w:top w:val="none" w:sz="0" w:space="0" w:color="auto"/>
        <w:left w:val="none" w:sz="0" w:space="0" w:color="auto"/>
        <w:bottom w:val="none" w:sz="0" w:space="0" w:color="auto"/>
        <w:right w:val="none" w:sz="0" w:space="0" w:color="auto"/>
      </w:divBdr>
      <w:divsChild>
        <w:div w:id="823090031">
          <w:marLeft w:val="0"/>
          <w:marRight w:val="0"/>
          <w:marTop w:val="0"/>
          <w:marBottom w:val="0"/>
          <w:divBdr>
            <w:top w:val="none" w:sz="0" w:space="0" w:color="auto"/>
            <w:left w:val="none" w:sz="0" w:space="0" w:color="auto"/>
            <w:bottom w:val="none" w:sz="0" w:space="0" w:color="auto"/>
            <w:right w:val="none" w:sz="0" w:space="0" w:color="auto"/>
          </w:divBdr>
          <w:divsChild>
            <w:div w:id="1761216527">
              <w:marLeft w:val="0"/>
              <w:marRight w:val="0"/>
              <w:marTop w:val="0"/>
              <w:marBottom w:val="0"/>
              <w:divBdr>
                <w:top w:val="none" w:sz="0" w:space="0" w:color="auto"/>
                <w:left w:val="none" w:sz="0" w:space="0" w:color="auto"/>
                <w:bottom w:val="none" w:sz="0" w:space="0" w:color="auto"/>
                <w:right w:val="none" w:sz="0" w:space="0" w:color="auto"/>
              </w:divBdr>
              <w:divsChild>
                <w:div w:id="244652408">
                  <w:marLeft w:val="0"/>
                  <w:marRight w:val="0"/>
                  <w:marTop w:val="0"/>
                  <w:marBottom w:val="0"/>
                  <w:divBdr>
                    <w:top w:val="none" w:sz="0" w:space="0" w:color="auto"/>
                    <w:left w:val="none" w:sz="0" w:space="0" w:color="auto"/>
                    <w:bottom w:val="none" w:sz="0" w:space="0" w:color="auto"/>
                    <w:right w:val="none" w:sz="0" w:space="0" w:color="auto"/>
                  </w:divBdr>
                  <w:divsChild>
                    <w:div w:id="808135039">
                      <w:marLeft w:val="0"/>
                      <w:marRight w:val="0"/>
                      <w:marTop w:val="0"/>
                      <w:marBottom w:val="0"/>
                      <w:divBdr>
                        <w:top w:val="none" w:sz="0" w:space="0" w:color="auto"/>
                        <w:left w:val="none" w:sz="0" w:space="0" w:color="auto"/>
                        <w:bottom w:val="none" w:sz="0" w:space="0" w:color="auto"/>
                        <w:right w:val="none" w:sz="0" w:space="0" w:color="auto"/>
                      </w:divBdr>
                    </w:div>
                  </w:divsChild>
                </w:div>
                <w:div w:id="468400767">
                  <w:marLeft w:val="0"/>
                  <w:marRight w:val="0"/>
                  <w:marTop w:val="0"/>
                  <w:marBottom w:val="0"/>
                  <w:divBdr>
                    <w:top w:val="none" w:sz="0" w:space="0" w:color="auto"/>
                    <w:left w:val="none" w:sz="0" w:space="0" w:color="auto"/>
                    <w:bottom w:val="none" w:sz="0" w:space="0" w:color="auto"/>
                    <w:right w:val="none" w:sz="0" w:space="0" w:color="auto"/>
                  </w:divBdr>
                  <w:divsChild>
                    <w:div w:id="1961910883">
                      <w:marLeft w:val="0"/>
                      <w:marRight w:val="0"/>
                      <w:marTop w:val="0"/>
                      <w:marBottom w:val="0"/>
                      <w:divBdr>
                        <w:top w:val="none" w:sz="0" w:space="0" w:color="auto"/>
                        <w:left w:val="none" w:sz="0" w:space="0" w:color="auto"/>
                        <w:bottom w:val="none" w:sz="0" w:space="0" w:color="auto"/>
                        <w:right w:val="none" w:sz="0" w:space="0" w:color="auto"/>
                      </w:divBdr>
                    </w:div>
                  </w:divsChild>
                </w:div>
                <w:div w:id="887956178">
                  <w:marLeft w:val="0"/>
                  <w:marRight w:val="0"/>
                  <w:marTop w:val="0"/>
                  <w:marBottom w:val="0"/>
                  <w:divBdr>
                    <w:top w:val="none" w:sz="0" w:space="0" w:color="auto"/>
                    <w:left w:val="none" w:sz="0" w:space="0" w:color="auto"/>
                    <w:bottom w:val="none" w:sz="0" w:space="0" w:color="auto"/>
                    <w:right w:val="none" w:sz="0" w:space="0" w:color="auto"/>
                  </w:divBdr>
                  <w:divsChild>
                    <w:div w:id="649019398">
                      <w:marLeft w:val="0"/>
                      <w:marRight w:val="0"/>
                      <w:marTop w:val="0"/>
                      <w:marBottom w:val="0"/>
                      <w:divBdr>
                        <w:top w:val="none" w:sz="0" w:space="0" w:color="auto"/>
                        <w:left w:val="none" w:sz="0" w:space="0" w:color="auto"/>
                        <w:bottom w:val="none" w:sz="0" w:space="0" w:color="auto"/>
                        <w:right w:val="none" w:sz="0" w:space="0" w:color="auto"/>
                      </w:divBdr>
                    </w:div>
                  </w:divsChild>
                </w:div>
                <w:div w:id="1811945396">
                  <w:marLeft w:val="0"/>
                  <w:marRight w:val="0"/>
                  <w:marTop w:val="0"/>
                  <w:marBottom w:val="0"/>
                  <w:divBdr>
                    <w:top w:val="none" w:sz="0" w:space="0" w:color="auto"/>
                    <w:left w:val="none" w:sz="0" w:space="0" w:color="auto"/>
                    <w:bottom w:val="none" w:sz="0" w:space="0" w:color="auto"/>
                    <w:right w:val="none" w:sz="0" w:space="0" w:color="auto"/>
                  </w:divBdr>
                  <w:divsChild>
                    <w:div w:id="636842842">
                      <w:marLeft w:val="0"/>
                      <w:marRight w:val="0"/>
                      <w:marTop w:val="0"/>
                      <w:marBottom w:val="0"/>
                      <w:divBdr>
                        <w:top w:val="none" w:sz="0" w:space="0" w:color="auto"/>
                        <w:left w:val="none" w:sz="0" w:space="0" w:color="auto"/>
                        <w:bottom w:val="none" w:sz="0" w:space="0" w:color="auto"/>
                        <w:right w:val="none" w:sz="0" w:space="0" w:color="auto"/>
                      </w:divBdr>
                    </w:div>
                  </w:divsChild>
                </w:div>
                <w:div w:id="1971208219">
                  <w:marLeft w:val="0"/>
                  <w:marRight w:val="0"/>
                  <w:marTop w:val="0"/>
                  <w:marBottom w:val="0"/>
                  <w:divBdr>
                    <w:top w:val="none" w:sz="0" w:space="0" w:color="auto"/>
                    <w:left w:val="none" w:sz="0" w:space="0" w:color="auto"/>
                    <w:bottom w:val="none" w:sz="0" w:space="0" w:color="auto"/>
                    <w:right w:val="none" w:sz="0" w:space="0" w:color="auto"/>
                  </w:divBdr>
                  <w:divsChild>
                    <w:div w:id="14850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6067">
              <w:marLeft w:val="0"/>
              <w:marRight w:val="0"/>
              <w:marTop w:val="0"/>
              <w:marBottom w:val="0"/>
              <w:divBdr>
                <w:top w:val="none" w:sz="0" w:space="0" w:color="auto"/>
                <w:left w:val="none" w:sz="0" w:space="0" w:color="auto"/>
                <w:bottom w:val="none" w:sz="0" w:space="0" w:color="auto"/>
                <w:right w:val="none" w:sz="0" w:space="0" w:color="auto"/>
              </w:divBdr>
              <w:divsChild>
                <w:div w:id="1872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51158">
      <w:bodyDiv w:val="1"/>
      <w:marLeft w:val="0"/>
      <w:marRight w:val="0"/>
      <w:marTop w:val="0"/>
      <w:marBottom w:val="0"/>
      <w:divBdr>
        <w:top w:val="none" w:sz="0" w:space="0" w:color="auto"/>
        <w:left w:val="none" w:sz="0" w:space="0" w:color="auto"/>
        <w:bottom w:val="none" w:sz="0" w:space="0" w:color="auto"/>
        <w:right w:val="none" w:sz="0" w:space="0" w:color="auto"/>
      </w:divBdr>
    </w:div>
    <w:div w:id="1343897358">
      <w:bodyDiv w:val="1"/>
      <w:marLeft w:val="0"/>
      <w:marRight w:val="0"/>
      <w:marTop w:val="0"/>
      <w:marBottom w:val="0"/>
      <w:divBdr>
        <w:top w:val="none" w:sz="0" w:space="0" w:color="auto"/>
        <w:left w:val="none" w:sz="0" w:space="0" w:color="auto"/>
        <w:bottom w:val="none" w:sz="0" w:space="0" w:color="auto"/>
        <w:right w:val="none" w:sz="0" w:space="0" w:color="auto"/>
      </w:divBdr>
      <w:divsChild>
        <w:div w:id="1466507475">
          <w:marLeft w:val="0"/>
          <w:marRight w:val="0"/>
          <w:marTop w:val="0"/>
          <w:marBottom w:val="0"/>
          <w:divBdr>
            <w:top w:val="none" w:sz="0" w:space="0" w:color="auto"/>
            <w:left w:val="none" w:sz="0" w:space="0" w:color="auto"/>
            <w:bottom w:val="none" w:sz="0" w:space="0" w:color="auto"/>
            <w:right w:val="none" w:sz="0" w:space="0" w:color="auto"/>
          </w:divBdr>
          <w:divsChild>
            <w:div w:id="1886063495">
              <w:marLeft w:val="0"/>
              <w:marRight w:val="0"/>
              <w:marTop w:val="0"/>
              <w:marBottom w:val="0"/>
              <w:divBdr>
                <w:top w:val="none" w:sz="0" w:space="0" w:color="auto"/>
                <w:left w:val="none" w:sz="0" w:space="0" w:color="auto"/>
                <w:bottom w:val="none" w:sz="0" w:space="0" w:color="auto"/>
                <w:right w:val="none" w:sz="0" w:space="0" w:color="auto"/>
              </w:divBdr>
              <w:divsChild>
                <w:div w:id="1292439566">
                  <w:marLeft w:val="0"/>
                  <w:marRight w:val="0"/>
                  <w:marTop w:val="0"/>
                  <w:marBottom w:val="0"/>
                  <w:divBdr>
                    <w:top w:val="none" w:sz="0" w:space="0" w:color="auto"/>
                    <w:left w:val="none" w:sz="0" w:space="0" w:color="auto"/>
                    <w:bottom w:val="none" w:sz="0" w:space="0" w:color="auto"/>
                    <w:right w:val="none" w:sz="0" w:space="0" w:color="auto"/>
                  </w:divBdr>
                  <w:divsChild>
                    <w:div w:id="77702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547632">
      <w:bodyDiv w:val="1"/>
      <w:marLeft w:val="0"/>
      <w:marRight w:val="0"/>
      <w:marTop w:val="0"/>
      <w:marBottom w:val="0"/>
      <w:divBdr>
        <w:top w:val="none" w:sz="0" w:space="0" w:color="auto"/>
        <w:left w:val="none" w:sz="0" w:space="0" w:color="auto"/>
        <w:bottom w:val="none" w:sz="0" w:space="0" w:color="auto"/>
        <w:right w:val="none" w:sz="0" w:space="0" w:color="auto"/>
      </w:divBdr>
      <w:divsChild>
        <w:div w:id="1918708344">
          <w:marLeft w:val="0"/>
          <w:marRight w:val="0"/>
          <w:marTop w:val="0"/>
          <w:marBottom w:val="0"/>
          <w:divBdr>
            <w:top w:val="none" w:sz="0" w:space="0" w:color="auto"/>
            <w:left w:val="none" w:sz="0" w:space="0" w:color="auto"/>
            <w:bottom w:val="none" w:sz="0" w:space="0" w:color="auto"/>
            <w:right w:val="none" w:sz="0" w:space="0" w:color="auto"/>
          </w:divBdr>
          <w:divsChild>
            <w:div w:id="1598555579">
              <w:marLeft w:val="0"/>
              <w:marRight w:val="0"/>
              <w:marTop w:val="0"/>
              <w:marBottom w:val="0"/>
              <w:divBdr>
                <w:top w:val="none" w:sz="0" w:space="0" w:color="auto"/>
                <w:left w:val="none" w:sz="0" w:space="0" w:color="auto"/>
                <w:bottom w:val="none" w:sz="0" w:space="0" w:color="auto"/>
                <w:right w:val="none" w:sz="0" w:space="0" w:color="auto"/>
              </w:divBdr>
              <w:divsChild>
                <w:div w:id="1588273410">
                  <w:marLeft w:val="0"/>
                  <w:marRight w:val="0"/>
                  <w:marTop w:val="0"/>
                  <w:marBottom w:val="0"/>
                  <w:divBdr>
                    <w:top w:val="none" w:sz="0" w:space="0" w:color="auto"/>
                    <w:left w:val="none" w:sz="0" w:space="0" w:color="auto"/>
                    <w:bottom w:val="none" w:sz="0" w:space="0" w:color="auto"/>
                    <w:right w:val="none" w:sz="0" w:space="0" w:color="auto"/>
                  </w:divBdr>
                  <w:divsChild>
                    <w:div w:id="20999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5430">
      <w:bodyDiv w:val="1"/>
      <w:marLeft w:val="0"/>
      <w:marRight w:val="0"/>
      <w:marTop w:val="0"/>
      <w:marBottom w:val="0"/>
      <w:divBdr>
        <w:top w:val="none" w:sz="0" w:space="0" w:color="auto"/>
        <w:left w:val="none" w:sz="0" w:space="0" w:color="auto"/>
        <w:bottom w:val="none" w:sz="0" w:space="0" w:color="auto"/>
        <w:right w:val="none" w:sz="0" w:space="0" w:color="auto"/>
      </w:divBdr>
      <w:divsChild>
        <w:div w:id="1535575352">
          <w:marLeft w:val="0"/>
          <w:marRight w:val="0"/>
          <w:marTop w:val="0"/>
          <w:marBottom w:val="0"/>
          <w:divBdr>
            <w:top w:val="none" w:sz="0" w:space="0" w:color="auto"/>
            <w:left w:val="none" w:sz="0" w:space="0" w:color="auto"/>
            <w:bottom w:val="none" w:sz="0" w:space="0" w:color="auto"/>
            <w:right w:val="none" w:sz="0" w:space="0" w:color="auto"/>
          </w:divBdr>
          <w:divsChild>
            <w:div w:id="1841627192">
              <w:marLeft w:val="0"/>
              <w:marRight w:val="0"/>
              <w:marTop w:val="0"/>
              <w:marBottom w:val="0"/>
              <w:divBdr>
                <w:top w:val="none" w:sz="0" w:space="0" w:color="auto"/>
                <w:left w:val="none" w:sz="0" w:space="0" w:color="auto"/>
                <w:bottom w:val="none" w:sz="0" w:space="0" w:color="auto"/>
                <w:right w:val="none" w:sz="0" w:space="0" w:color="auto"/>
              </w:divBdr>
              <w:divsChild>
                <w:div w:id="1013923410">
                  <w:marLeft w:val="0"/>
                  <w:marRight w:val="0"/>
                  <w:marTop w:val="0"/>
                  <w:marBottom w:val="0"/>
                  <w:divBdr>
                    <w:top w:val="none" w:sz="0" w:space="0" w:color="auto"/>
                    <w:left w:val="none" w:sz="0" w:space="0" w:color="auto"/>
                    <w:bottom w:val="none" w:sz="0" w:space="0" w:color="auto"/>
                    <w:right w:val="none" w:sz="0" w:space="0" w:color="auto"/>
                  </w:divBdr>
                  <w:divsChild>
                    <w:div w:id="13107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12959">
      <w:bodyDiv w:val="1"/>
      <w:marLeft w:val="0"/>
      <w:marRight w:val="0"/>
      <w:marTop w:val="0"/>
      <w:marBottom w:val="0"/>
      <w:divBdr>
        <w:top w:val="none" w:sz="0" w:space="0" w:color="auto"/>
        <w:left w:val="none" w:sz="0" w:space="0" w:color="auto"/>
        <w:bottom w:val="none" w:sz="0" w:space="0" w:color="auto"/>
        <w:right w:val="none" w:sz="0" w:space="0" w:color="auto"/>
      </w:divBdr>
      <w:divsChild>
        <w:div w:id="1460997049">
          <w:marLeft w:val="0"/>
          <w:marRight w:val="0"/>
          <w:marTop w:val="0"/>
          <w:marBottom w:val="0"/>
          <w:divBdr>
            <w:top w:val="none" w:sz="0" w:space="0" w:color="auto"/>
            <w:left w:val="none" w:sz="0" w:space="0" w:color="auto"/>
            <w:bottom w:val="none" w:sz="0" w:space="0" w:color="auto"/>
            <w:right w:val="none" w:sz="0" w:space="0" w:color="auto"/>
          </w:divBdr>
          <w:divsChild>
            <w:div w:id="1557858847">
              <w:marLeft w:val="0"/>
              <w:marRight w:val="0"/>
              <w:marTop w:val="0"/>
              <w:marBottom w:val="0"/>
              <w:divBdr>
                <w:top w:val="none" w:sz="0" w:space="0" w:color="auto"/>
                <w:left w:val="none" w:sz="0" w:space="0" w:color="auto"/>
                <w:bottom w:val="none" w:sz="0" w:space="0" w:color="auto"/>
                <w:right w:val="none" w:sz="0" w:space="0" w:color="auto"/>
              </w:divBdr>
              <w:divsChild>
                <w:div w:id="7566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7312">
      <w:bodyDiv w:val="1"/>
      <w:marLeft w:val="0"/>
      <w:marRight w:val="0"/>
      <w:marTop w:val="0"/>
      <w:marBottom w:val="0"/>
      <w:divBdr>
        <w:top w:val="none" w:sz="0" w:space="0" w:color="auto"/>
        <w:left w:val="none" w:sz="0" w:space="0" w:color="auto"/>
        <w:bottom w:val="none" w:sz="0" w:space="0" w:color="auto"/>
        <w:right w:val="none" w:sz="0" w:space="0" w:color="auto"/>
      </w:divBdr>
      <w:divsChild>
        <w:div w:id="703211468">
          <w:marLeft w:val="0"/>
          <w:marRight w:val="0"/>
          <w:marTop w:val="0"/>
          <w:marBottom w:val="0"/>
          <w:divBdr>
            <w:top w:val="none" w:sz="0" w:space="0" w:color="auto"/>
            <w:left w:val="none" w:sz="0" w:space="0" w:color="auto"/>
            <w:bottom w:val="none" w:sz="0" w:space="0" w:color="auto"/>
            <w:right w:val="none" w:sz="0" w:space="0" w:color="auto"/>
          </w:divBdr>
          <w:divsChild>
            <w:div w:id="62341082">
              <w:marLeft w:val="0"/>
              <w:marRight w:val="0"/>
              <w:marTop w:val="0"/>
              <w:marBottom w:val="0"/>
              <w:divBdr>
                <w:top w:val="none" w:sz="0" w:space="0" w:color="auto"/>
                <w:left w:val="none" w:sz="0" w:space="0" w:color="auto"/>
                <w:bottom w:val="none" w:sz="0" w:space="0" w:color="auto"/>
                <w:right w:val="none" w:sz="0" w:space="0" w:color="auto"/>
              </w:divBdr>
              <w:divsChild>
                <w:div w:id="963659501">
                  <w:marLeft w:val="0"/>
                  <w:marRight w:val="0"/>
                  <w:marTop w:val="0"/>
                  <w:marBottom w:val="0"/>
                  <w:divBdr>
                    <w:top w:val="none" w:sz="0" w:space="0" w:color="auto"/>
                    <w:left w:val="none" w:sz="0" w:space="0" w:color="auto"/>
                    <w:bottom w:val="none" w:sz="0" w:space="0" w:color="auto"/>
                    <w:right w:val="none" w:sz="0" w:space="0" w:color="auto"/>
                  </w:divBdr>
                  <w:divsChild>
                    <w:div w:id="19962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077">
      <w:bodyDiv w:val="1"/>
      <w:marLeft w:val="0"/>
      <w:marRight w:val="0"/>
      <w:marTop w:val="0"/>
      <w:marBottom w:val="0"/>
      <w:divBdr>
        <w:top w:val="none" w:sz="0" w:space="0" w:color="auto"/>
        <w:left w:val="none" w:sz="0" w:space="0" w:color="auto"/>
        <w:bottom w:val="none" w:sz="0" w:space="0" w:color="auto"/>
        <w:right w:val="none" w:sz="0" w:space="0" w:color="auto"/>
      </w:divBdr>
      <w:divsChild>
        <w:div w:id="148403213">
          <w:marLeft w:val="0"/>
          <w:marRight w:val="0"/>
          <w:marTop w:val="0"/>
          <w:marBottom w:val="0"/>
          <w:divBdr>
            <w:top w:val="none" w:sz="0" w:space="0" w:color="auto"/>
            <w:left w:val="none" w:sz="0" w:space="0" w:color="auto"/>
            <w:bottom w:val="none" w:sz="0" w:space="0" w:color="auto"/>
            <w:right w:val="none" w:sz="0" w:space="0" w:color="auto"/>
          </w:divBdr>
          <w:divsChild>
            <w:div w:id="142160686">
              <w:marLeft w:val="0"/>
              <w:marRight w:val="0"/>
              <w:marTop w:val="0"/>
              <w:marBottom w:val="0"/>
              <w:divBdr>
                <w:top w:val="none" w:sz="0" w:space="0" w:color="auto"/>
                <w:left w:val="none" w:sz="0" w:space="0" w:color="auto"/>
                <w:bottom w:val="none" w:sz="0" w:space="0" w:color="auto"/>
                <w:right w:val="none" w:sz="0" w:space="0" w:color="auto"/>
              </w:divBdr>
              <w:divsChild>
                <w:div w:id="2899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137709">
      <w:bodyDiv w:val="1"/>
      <w:marLeft w:val="0"/>
      <w:marRight w:val="0"/>
      <w:marTop w:val="0"/>
      <w:marBottom w:val="0"/>
      <w:divBdr>
        <w:top w:val="none" w:sz="0" w:space="0" w:color="auto"/>
        <w:left w:val="none" w:sz="0" w:space="0" w:color="auto"/>
        <w:bottom w:val="none" w:sz="0" w:space="0" w:color="auto"/>
        <w:right w:val="none" w:sz="0" w:space="0" w:color="auto"/>
      </w:divBdr>
    </w:div>
    <w:div w:id="1367296599">
      <w:bodyDiv w:val="1"/>
      <w:marLeft w:val="0"/>
      <w:marRight w:val="0"/>
      <w:marTop w:val="0"/>
      <w:marBottom w:val="0"/>
      <w:divBdr>
        <w:top w:val="none" w:sz="0" w:space="0" w:color="auto"/>
        <w:left w:val="none" w:sz="0" w:space="0" w:color="auto"/>
        <w:bottom w:val="none" w:sz="0" w:space="0" w:color="auto"/>
        <w:right w:val="none" w:sz="0" w:space="0" w:color="auto"/>
      </w:divBdr>
      <w:divsChild>
        <w:div w:id="316764580">
          <w:marLeft w:val="0"/>
          <w:marRight w:val="0"/>
          <w:marTop w:val="0"/>
          <w:marBottom w:val="0"/>
          <w:divBdr>
            <w:top w:val="none" w:sz="0" w:space="0" w:color="auto"/>
            <w:left w:val="none" w:sz="0" w:space="0" w:color="auto"/>
            <w:bottom w:val="none" w:sz="0" w:space="0" w:color="auto"/>
            <w:right w:val="none" w:sz="0" w:space="0" w:color="auto"/>
          </w:divBdr>
          <w:divsChild>
            <w:div w:id="1698580939">
              <w:marLeft w:val="0"/>
              <w:marRight w:val="0"/>
              <w:marTop w:val="0"/>
              <w:marBottom w:val="0"/>
              <w:divBdr>
                <w:top w:val="none" w:sz="0" w:space="0" w:color="auto"/>
                <w:left w:val="none" w:sz="0" w:space="0" w:color="auto"/>
                <w:bottom w:val="none" w:sz="0" w:space="0" w:color="auto"/>
                <w:right w:val="none" w:sz="0" w:space="0" w:color="auto"/>
              </w:divBdr>
              <w:divsChild>
                <w:div w:id="5527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067984">
      <w:bodyDiv w:val="1"/>
      <w:marLeft w:val="0"/>
      <w:marRight w:val="0"/>
      <w:marTop w:val="0"/>
      <w:marBottom w:val="0"/>
      <w:divBdr>
        <w:top w:val="none" w:sz="0" w:space="0" w:color="auto"/>
        <w:left w:val="none" w:sz="0" w:space="0" w:color="auto"/>
        <w:bottom w:val="none" w:sz="0" w:space="0" w:color="auto"/>
        <w:right w:val="none" w:sz="0" w:space="0" w:color="auto"/>
      </w:divBdr>
      <w:divsChild>
        <w:div w:id="792598819">
          <w:marLeft w:val="0"/>
          <w:marRight w:val="0"/>
          <w:marTop w:val="0"/>
          <w:marBottom w:val="0"/>
          <w:divBdr>
            <w:top w:val="none" w:sz="0" w:space="0" w:color="auto"/>
            <w:left w:val="none" w:sz="0" w:space="0" w:color="auto"/>
            <w:bottom w:val="none" w:sz="0" w:space="0" w:color="auto"/>
            <w:right w:val="none" w:sz="0" w:space="0" w:color="auto"/>
          </w:divBdr>
          <w:divsChild>
            <w:div w:id="1666934859">
              <w:marLeft w:val="0"/>
              <w:marRight w:val="0"/>
              <w:marTop w:val="0"/>
              <w:marBottom w:val="0"/>
              <w:divBdr>
                <w:top w:val="none" w:sz="0" w:space="0" w:color="auto"/>
                <w:left w:val="none" w:sz="0" w:space="0" w:color="auto"/>
                <w:bottom w:val="none" w:sz="0" w:space="0" w:color="auto"/>
                <w:right w:val="none" w:sz="0" w:space="0" w:color="auto"/>
              </w:divBdr>
              <w:divsChild>
                <w:div w:id="19620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27180">
      <w:bodyDiv w:val="1"/>
      <w:marLeft w:val="0"/>
      <w:marRight w:val="0"/>
      <w:marTop w:val="0"/>
      <w:marBottom w:val="0"/>
      <w:divBdr>
        <w:top w:val="none" w:sz="0" w:space="0" w:color="auto"/>
        <w:left w:val="none" w:sz="0" w:space="0" w:color="auto"/>
        <w:bottom w:val="none" w:sz="0" w:space="0" w:color="auto"/>
        <w:right w:val="none" w:sz="0" w:space="0" w:color="auto"/>
      </w:divBdr>
    </w:div>
    <w:div w:id="1373112399">
      <w:bodyDiv w:val="1"/>
      <w:marLeft w:val="0"/>
      <w:marRight w:val="0"/>
      <w:marTop w:val="0"/>
      <w:marBottom w:val="0"/>
      <w:divBdr>
        <w:top w:val="none" w:sz="0" w:space="0" w:color="auto"/>
        <w:left w:val="none" w:sz="0" w:space="0" w:color="auto"/>
        <w:bottom w:val="none" w:sz="0" w:space="0" w:color="auto"/>
        <w:right w:val="none" w:sz="0" w:space="0" w:color="auto"/>
      </w:divBdr>
      <w:divsChild>
        <w:div w:id="138425747">
          <w:marLeft w:val="0"/>
          <w:marRight w:val="0"/>
          <w:marTop w:val="0"/>
          <w:marBottom w:val="0"/>
          <w:divBdr>
            <w:top w:val="none" w:sz="0" w:space="0" w:color="auto"/>
            <w:left w:val="none" w:sz="0" w:space="0" w:color="auto"/>
            <w:bottom w:val="none" w:sz="0" w:space="0" w:color="auto"/>
            <w:right w:val="none" w:sz="0" w:space="0" w:color="auto"/>
          </w:divBdr>
          <w:divsChild>
            <w:div w:id="1563370382">
              <w:marLeft w:val="0"/>
              <w:marRight w:val="0"/>
              <w:marTop w:val="0"/>
              <w:marBottom w:val="0"/>
              <w:divBdr>
                <w:top w:val="none" w:sz="0" w:space="0" w:color="auto"/>
                <w:left w:val="none" w:sz="0" w:space="0" w:color="auto"/>
                <w:bottom w:val="none" w:sz="0" w:space="0" w:color="auto"/>
                <w:right w:val="none" w:sz="0" w:space="0" w:color="auto"/>
              </w:divBdr>
              <w:divsChild>
                <w:div w:id="1979450864">
                  <w:marLeft w:val="0"/>
                  <w:marRight w:val="0"/>
                  <w:marTop w:val="0"/>
                  <w:marBottom w:val="0"/>
                  <w:divBdr>
                    <w:top w:val="none" w:sz="0" w:space="0" w:color="auto"/>
                    <w:left w:val="none" w:sz="0" w:space="0" w:color="auto"/>
                    <w:bottom w:val="none" w:sz="0" w:space="0" w:color="auto"/>
                    <w:right w:val="none" w:sz="0" w:space="0" w:color="auto"/>
                  </w:divBdr>
                  <w:divsChild>
                    <w:div w:id="1931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215869">
      <w:bodyDiv w:val="1"/>
      <w:marLeft w:val="0"/>
      <w:marRight w:val="0"/>
      <w:marTop w:val="0"/>
      <w:marBottom w:val="0"/>
      <w:divBdr>
        <w:top w:val="none" w:sz="0" w:space="0" w:color="auto"/>
        <w:left w:val="none" w:sz="0" w:space="0" w:color="auto"/>
        <w:bottom w:val="none" w:sz="0" w:space="0" w:color="auto"/>
        <w:right w:val="none" w:sz="0" w:space="0" w:color="auto"/>
      </w:divBdr>
      <w:divsChild>
        <w:div w:id="2113937426">
          <w:marLeft w:val="0"/>
          <w:marRight w:val="0"/>
          <w:marTop w:val="0"/>
          <w:marBottom w:val="0"/>
          <w:divBdr>
            <w:top w:val="none" w:sz="0" w:space="0" w:color="auto"/>
            <w:left w:val="none" w:sz="0" w:space="0" w:color="auto"/>
            <w:bottom w:val="none" w:sz="0" w:space="0" w:color="auto"/>
            <w:right w:val="none" w:sz="0" w:space="0" w:color="auto"/>
          </w:divBdr>
          <w:divsChild>
            <w:div w:id="231737244">
              <w:marLeft w:val="0"/>
              <w:marRight w:val="0"/>
              <w:marTop w:val="0"/>
              <w:marBottom w:val="0"/>
              <w:divBdr>
                <w:top w:val="none" w:sz="0" w:space="0" w:color="auto"/>
                <w:left w:val="none" w:sz="0" w:space="0" w:color="auto"/>
                <w:bottom w:val="none" w:sz="0" w:space="0" w:color="auto"/>
                <w:right w:val="none" w:sz="0" w:space="0" w:color="auto"/>
              </w:divBdr>
              <w:divsChild>
                <w:div w:id="205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532600">
      <w:bodyDiv w:val="1"/>
      <w:marLeft w:val="0"/>
      <w:marRight w:val="0"/>
      <w:marTop w:val="0"/>
      <w:marBottom w:val="0"/>
      <w:divBdr>
        <w:top w:val="none" w:sz="0" w:space="0" w:color="auto"/>
        <w:left w:val="none" w:sz="0" w:space="0" w:color="auto"/>
        <w:bottom w:val="none" w:sz="0" w:space="0" w:color="auto"/>
        <w:right w:val="none" w:sz="0" w:space="0" w:color="auto"/>
      </w:divBdr>
      <w:divsChild>
        <w:div w:id="163715453">
          <w:marLeft w:val="0"/>
          <w:marRight w:val="0"/>
          <w:marTop w:val="0"/>
          <w:marBottom w:val="0"/>
          <w:divBdr>
            <w:top w:val="none" w:sz="0" w:space="0" w:color="auto"/>
            <w:left w:val="none" w:sz="0" w:space="0" w:color="auto"/>
            <w:bottom w:val="none" w:sz="0" w:space="0" w:color="auto"/>
            <w:right w:val="none" w:sz="0" w:space="0" w:color="auto"/>
          </w:divBdr>
          <w:divsChild>
            <w:div w:id="601768995">
              <w:marLeft w:val="0"/>
              <w:marRight w:val="0"/>
              <w:marTop w:val="0"/>
              <w:marBottom w:val="0"/>
              <w:divBdr>
                <w:top w:val="none" w:sz="0" w:space="0" w:color="auto"/>
                <w:left w:val="none" w:sz="0" w:space="0" w:color="auto"/>
                <w:bottom w:val="none" w:sz="0" w:space="0" w:color="auto"/>
                <w:right w:val="none" w:sz="0" w:space="0" w:color="auto"/>
              </w:divBdr>
              <w:divsChild>
                <w:div w:id="703213362">
                  <w:marLeft w:val="0"/>
                  <w:marRight w:val="0"/>
                  <w:marTop w:val="0"/>
                  <w:marBottom w:val="0"/>
                  <w:divBdr>
                    <w:top w:val="none" w:sz="0" w:space="0" w:color="auto"/>
                    <w:left w:val="none" w:sz="0" w:space="0" w:color="auto"/>
                    <w:bottom w:val="none" w:sz="0" w:space="0" w:color="auto"/>
                    <w:right w:val="none" w:sz="0" w:space="0" w:color="auto"/>
                  </w:divBdr>
                  <w:divsChild>
                    <w:div w:id="15299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572387">
      <w:bodyDiv w:val="1"/>
      <w:marLeft w:val="0"/>
      <w:marRight w:val="0"/>
      <w:marTop w:val="0"/>
      <w:marBottom w:val="0"/>
      <w:divBdr>
        <w:top w:val="none" w:sz="0" w:space="0" w:color="auto"/>
        <w:left w:val="none" w:sz="0" w:space="0" w:color="auto"/>
        <w:bottom w:val="none" w:sz="0" w:space="0" w:color="auto"/>
        <w:right w:val="none" w:sz="0" w:space="0" w:color="auto"/>
      </w:divBdr>
      <w:divsChild>
        <w:div w:id="692803899">
          <w:marLeft w:val="0"/>
          <w:marRight w:val="0"/>
          <w:marTop w:val="0"/>
          <w:marBottom w:val="0"/>
          <w:divBdr>
            <w:top w:val="none" w:sz="0" w:space="0" w:color="auto"/>
            <w:left w:val="none" w:sz="0" w:space="0" w:color="auto"/>
            <w:bottom w:val="none" w:sz="0" w:space="0" w:color="auto"/>
            <w:right w:val="none" w:sz="0" w:space="0" w:color="auto"/>
          </w:divBdr>
          <w:divsChild>
            <w:div w:id="535776816">
              <w:marLeft w:val="0"/>
              <w:marRight w:val="0"/>
              <w:marTop w:val="0"/>
              <w:marBottom w:val="0"/>
              <w:divBdr>
                <w:top w:val="none" w:sz="0" w:space="0" w:color="auto"/>
                <w:left w:val="none" w:sz="0" w:space="0" w:color="auto"/>
                <w:bottom w:val="none" w:sz="0" w:space="0" w:color="auto"/>
                <w:right w:val="none" w:sz="0" w:space="0" w:color="auto"/>
              </w:divBdr>
              <w:divsChild>
                <w:div w:id="335573281">
                  <w:marLeft w:val="0"/>
                  <w:marRight w:val="0"/>
                  <w:marTop w:val="0"/>
                  <w:marBottom w:val="0"/>
                  <w:divBdr>
                    <w:top w:val="none" w:sz="0" w:space="0" w:color="auto"/>
                    <w:left w:val="none" w:sz="0" w:space="0" w:color="auto"/>
                    <w:bottom w:val="none" w:sz="0" w:space="0" w:color="auto"/>
                    <w:right w:val="none" w:sz="0" w:space="0" w:color="auto"/>
                  </w:divBdr>
                  <w:divsChild>
                    <w:div w:id="4436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58598">
      <w:bodyDiv w:val="1"/>
      <w:marLeft w:val="0"/>
      <w:marRight w:val="0"/>
      <w:marTop w:val="0"/>
      <w:marBottom w:val="0"/>
      <w:divBdr>
        <w:top w:val="none" w:sz="0" w:space="0" w:color="auto"/>
        <w:left w:val="none" w:sz="0" w:space="0" w:color="auto"/>
        <w:bottom w:val="none" w:sz="0" w:space="0" w:color="auto"/>
        <w:right w:val="none" w:sz="0" w:space="0" w:color="auto"/>
      </w:divBdr>
      <w:divsChild>
        <w:div w:id="83456951">
          <w:marLeft w:val="0"/>
          <w:marRight w:val="0"/>
          <w:marTop w:val="0"/>
          <w:marBottom w:val="0"/>
          <w:divBdr>
            <w:top w:val="none" w:sz="0" w:space="0" w:color="auto"/>
            <w:left w:val="none" w:sz="0" w:space="0" w:color="auto"/>
            <w:bottom w:val="none" w:sz="0" w:space="0" w:color="auto"/>
            <w:right w:val="none" w:sz="0" w:space="0" w:color="auto"/>
          </w:divBdr>
          <w:divsChild>
            <w:div w:id="594360751">
              <w:marLeft w:val="0"/>
              <w:marRight w:val="0"/>
              <w:marTop w:val="0"/>
              <w:marBottom w:val="0"/>
              <w:divBdr>
                <w:top w:val="none" w:sz="0" w:space="0" w:color="auto"/>
                <w:left w:val="none" w:sz="0" w:space="0" w:color="auto"/>
                <w:bottom w:val="none" w:sz="0" w:space="0" w:color="auto"/>
                <w:right w:val="none" w:sz="0" w:space="0" w:color="auto"/>
              </w:divBdr>
              <w:divsChild>
                <w:div w:id="1822577574">
                  <w:marLeft w:val="0"/>
                  <w:marRight w:val="0"/>
                  <w:marTop w:val="0"/>
                  <w:marBottom w:val="0"/>
                  <w:divBdr>
                    <w:top w:val="none" w:sz="0" w:space="0" w:color="auto"/>
                    <w:left w:val="none" w:sz="0" w:space="0" w:color="auto"/>
                    <w:bottom w:val="none" w:sz="0" w:space="0" w:color="auto"/>
                    <w:right w:val="none" w:sz="0" w:space="0" w:color="auto"/>
                  </w:divBdr>
                  <w:divsChild>
                    <w:div w:id="167702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79893">
      <w:bodyDiv w:val="1"/>
      <w:marLeft w:val="0"/>
      <w:marRight w:val="0"/>
      <w:marTop w:val="0"/>
      <w:marBottom w:val="0"/>
      <w:divBdr>
        <w:top w:val="none" w:sz="0" w:space="0" w:color="auto"/>
        <w:left w:val="none" w:sz="0" w:space="0" w:color="auto"/>
        <w:bottom w:val="none" w:sz="0" w:space="0" w:color="auto"/>
        <w:right w:val="none" w:sz="0" w:space="0" w:color="auto"/>
      </w:divBdr>
    </w:div>
    <w:div w:id="1395082566">
      <w:bodyDiv w:val="1"/>
      <w:marLeft w:val="0"/>
      <w:marRight w:val="0"/>
      <w:marTop w:val="0"/>
      <w:marBottom w:val="0"/>
      <w:divBdr>
        <w:top w:val="none" w:sz="0" w:space="0" w:color="auto"/>
        <w:left w:val="none" w:sz="0" w:space="0" w:color="auto"/>
        <w:bottom w:val="none" w:sz="0" w:space="0" w:color="auto"/>
        <w:right w:val="none" w:sz="0" w:space="0" w:color="auto"/>
      </w:divBdr>
      <w:divsChild>
        <w:div w:id="323897518">
          <w:marLeft w:val="0"/>
          <w:marRight w:val="0"/>
          <w:marTop w:val="0"/>
          <w:marBottom w:val="0"/>
          <w:divBdr>
            <w:top w:val="none" w:sz="0" w:space="0" w:color="auto"/>
            <w:left w:val="none" w:sz="0" w:space="0" w:color="auto"/>
            <w:bottom w:val="none" w:sz="0" w:space="0" w:color="auto"/>
            <w:right w:val="none" w:sz="0" w:space="0" w:color="auto"/>
          </w:divBdr>
          <w:divsChild>
            <w:div w:id="1194877339">
              <w:marLeft w:val="0"/>
              <w:marRight w:val="0"/>
              <w:marTop w:val="0"/>
              <w:marBottom w:val="0"/>
              <w:divBdr>
                <w:top w:val="none" w:sz="0" w:space="0" w:color="auto"/>
                <w:left w:val="none" w:sz="0" w:space="0" w:color="auto"/>
                <w:bottom w:val="none" w:sz="0" w:space="0" w:color="auto"/>
                <w:right w:val="none" w:sz="0" w:space="0" w:color="auto"/>
              </w:divBdr>
              <w:divsChild>
                <w:div w:id="187374863">
                  <w:marLeft w:val="0"/>
                  <w:marRight w:val="0"/>
                  <w:marTop w:val="0"/>
                  <w:marBottom w:val="0"/>
                  <w:divBdr>
                    <w:top w:val="none" w:sz="0" w:space="0" w:color="auto"/>
                    <w:left w:val="none" w:sz="0" w:space="0" w:color="auto"/>
                    <w:bottom w:val="none" w:sz="0" w:space="0" w:color="auto"/>
                    <w:right w:val="none" w:sz="0" w:space="0" w:color="auto"/>
                  </w:divBdr>
                  <w:divsChild>
                    <w:div w:id="10931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197313">
      <w:bodyDiv w:val="1"/>
      <w:marLeft w:val="0"/>
      <w:marRight w:val="0"/>
      <w:marTop w:val="0"/>
      <w:marBottom w:val="0"/>
      <w:divBdr>
        <w:top w:val="none" w:sz="0" w:space="0" w:color="auto"/>
        <w:left w:val="none" w:sz="0" w:space="0" w:color="auto"/>
        <w:bottom w:val="none" w:sz="0" w:space="0" w:color="auto"/>
        <w:right w:val="none" w:sz="0" w:space="0" w:color="auto"/>
      </w:divBdr>
      <w:divsChild>
        <w:div w:id="1541017343">
          <w:marLeft w:val="0"/>
          <w:marRight w:val="0"/>
          <w:marTop w:val="0"/>
          <w:marBottom w:val="0"/>
          <w:divBdr>
            <w:top w:val="none" w:sz="0" w:space="0" w:color="auto"/>
            <w:left w:val="none" w:sz="0" w:space="0" w:color="auto"/>
            <w:bottom w:val="none" w:sz="0" w:space="0" w:color="auto"/>
            <w:right w:val="none" w:sz="0" w:space="0" w:color="auto"/>
          </w:divBdr>
          <w:divsChild>
            <w:div w:id="129325822">
              <w:marLeft w:val="0"/>
              <w:marRight w:val="0"/>
              <w:marTop w:val="0"/>
              <w:marBottom w:val="0"/>
              <w:divBdr>
                <w:top w:val="none" w:sz="0" w:space="0" w:color="auto"/>
                <w:left w:val="none" w:sz="0" w:space="0" w:color="auto"/>
                <w:bottom w:val="none" w:sz="0" w:space="0" w:color="auto"/>
                <w:right w:val="none" w:sz="0" w:space="0" w:color="auto"/>
              </w:divBdr>
              <w:divsChild>
                <w:div w:id="872571310">
                  <w:marLeft w:val="0"/>
                  <w:marRight w:val="0"/>
                  <w:marTop w:val="0"/>
                  <w:marBottom w:val="0"/>
                  <w:divBdr>
                    <w:top w:val="none" w:sz="0" w:space="0" w:color="auto"/>
                    <w:left w:val="none" w:sz="0" w:space="0" w:color="auto"/>
                    <w:bottom w:val="none" w:sz="0" w:space="0" w:color="auto"/>
                    <w:right w:val="none" w:sz="0" w:space="0" w:color="auto"/>
                  </w:divBdr>
                  <w:divsChild>
                    <w:div w:id="309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9424">
      <w:bodyDiv w:val="1"/>
      <w:marLeft w:val="0"/>
      <w:marRight w:val="0"/>
      <w:marTop w:val="0"/>
      <w:marBottom w:val="0"/>
      <w:divBdr>
        <w:top w:val="none" w:sz="0" w:space="0" w:color="auto"/>
        <w:left w:val="none" w:sz="0" w:space="0" w:color="auto"/>
        <w:bottom w:val="none" w:sz="0" w:space="0" w:color="auto"/>
        <w:right w:val="none" w:sz="0" w:space="0" w:color="auto"/>
      </w:divBdr>
      <w:divsChild>
        <w:div w:id="1833525524">
          <w:marLeft w:val="0"/>
          <w:marRight w:val="0"/>
          <w:marTop w:val="0"/>
          <w:marBottom w:val="0"/>
          <w:divBdr>
            <w:top w:val="none" w:sz="0" w:space="0" w:color="auto"/>
            <w:left w:val="none" w:sz="0" w:space="0" w:color="auto"/>
            <w:bottom w:val="none" w:sz="0" w:space="0" w:color="auto"/>
            <w:right w:val="none" w:sz="0" w:space="0" w:color="auto"/>
          </w:divBdr>
          <w:divsChild>
            <w:div w:id="1556548048">
              <w:marLeft w:val="0"/>
              <w:marRight w:val="0"/>
              <w:marTop w:val="0"/>
              <w:marBottom w:val="0"/>
              <w:divBdr>
                <w:top w:val="none" w:sz="0" w:space="0" w:color="auto"/>
                <w:left w:val="none" w:sz="0" w:space="0" w:color="auto"/>
                <w:bottom w:val="none" w:sz="0" w:space="0" w:color="auto"/>
                <w:right w:val="none" w:sz="0" w:space="0" w:color="auto"/>
              </w:divBdr>
              <w:divsChild>
                <w:div w:id="735905688">
                  <w:marLeft w:val="0"/>
                  <w:marRight w:val="0"/>
                  <w:marTop w:val="0"/>
                  <w:marBottom w:val="0"/>
                  <w:divBdr>
                    <w:top w:val="none" w:sz="0" w:space="0" w:color="auto"/>
                    <w:left w:val="none" w:sz="0" w:space="0" w:color="auto"/>
                    <w:bottom w:val="none" w:sz="0" w:space="0" w:color="auto"/>
                    <w:right w:val="none" w:sz="0" w:space="0" w:color="auto"/>
                  </w:divBdr>
                  <w:divsChild>
                    <w:div w:id="15860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66470">
      <w:bodyDiv w:val="1"/>
      <w:marLeft w:val="0"/>
      <w:marRight w:val="0"/>
      <w:marTop w:val="0"/>
      <w:marBottom w:val="0"/>
      <w:divBdr>
        <w:top w:val="none" w:sz="0" w:space="0" w:color="auto"/>
        <w:left w:val="none" w:sz="0" w:space="0" w:color="auto"/>
        <w:bottom w:val="none" w:sz="0" w:space="0" w:color="auto"/>
        <w:right w:val="none" w:sz="0" w:space="0" w:color="auto"/>
      </w:divBdr>
      <w:divsChild>
        <w:div w:id="2036610254">
          <w:marLeft w:val="0"/>
          <w:marRight w:val="0"/>
          <w:marTop w:val="0"/>
          <w:marBottom w:val="0"/>
          <w:divBdr>
            <w:top w:val="none" w:sz="0" w:space="0" w:color="auto"/>
            <w:left w:val="none" w:sz="0" w:space="0" w:color="auto"/>
            <w:bottom w:val="none" w:sz="0" w:space="0" w:color="auto"/>
            <w:right w:val="none" w:sz="0" w:space="0" w:color="auto"/>
          </w:divBdr>
          <w:divsChild>
            <w:div w:id="2079588528">
              <w:marLeft w:val="0"/>
              <w:marRight w:val="0"/>
              <w:marTop w:val="0"/>
              <w:marBottom w:val="0"/>
              <w:divBdr>
                <w:top w:val="none" w:sz="0" w:space="0" w:color="auto"/>
                <w:left w:val="none" w:sz="0" w:space="0" w:color="auto"/>
                <w:bottom w:val="none" w:sz="0" w:space="0" w:color="auto"/>
                <w:right w:val="none" w:sz="0" w:space="0" w:color="auto"/>
              </w:divBdr>
              <w:divsChild>
                <w:div w:id="534855080">
                  <w:marLeft w:val="0"/>
                  <w:marRight w:val="0"/>
                  <w:marTop w:val="0"/>
                  <w:marBottom w:val="0"/>
                  <w:divBdr>
                    <w:top w:val="none" w:sz="0" w:space="0" w:color="auto"/>
                    <w:left w:val="none" w:sz="0" w:space="0" w:color="auto"/>
                    <w:bottom w:val="none" w:sz="0" w:space="0" w:color="auto"/>
                    <w:right w:val="none" w:sz="0" w:space="0" w:color="auto"/>
                  </w:divBdr>
                  <w:divsChild>
                    <w:div w:id="4102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131526">
      <w:bodyDiv w:val="1"/>
      <w:marLeft w:val="0"/>
      <w:marRight w:val="0"/>
      <w:marTop w:val="0"/>
      <w:marBottom w:val="0"/>
      <w:divBdr>
        <w:top w:val="none" w:sz="0" w:space="0" w:color="auto"/>
        <w:left w:val="none" w:sz="0" w:space="0" w:color="auto"/>
        <w:bottom w:val="none" w:sz="0" w:space="0" w:color="auto"/>
        <w:right w:val="none" w:sz="0" w:space="0" w:color="auto"/>
      </w:divBdr>
      <w:divsChild>
        <w:div w:id="1759136018">
          <w:marLeft w:val="0"/>
          <w:marRight w:val="0"/>
          <w:marTop w:val="0"/>
          <w:marBottom w:val="0"/>
          <w:divBdr>
            <w:top w:val="none" w:sz="0" w:space="0" w:color="auto"/>
            <w:left w:val="none" w:sz="0" w:space="0" w:color="auto"/>
            <w:bottom w:val="none" w:sz="0" w:space="0" w:color="auto"/>
            <w:right w:val="none" w:sz="0" w:space="0" w:color="auto"/>
          </w:divBdr>
          <w:divsChild>
            <w:div w:id="655374760">
              <w:marLeft w:val="0"/>
              <w:marRight w:val="0"/>
              <w:marTop w:val="0"/>
              <w:marBottom w:val="0"/>
              <w:divBdr>
                <w:top w:val="none" w:sz="0" w:space="0" w:color="auto"/>
                <w:left w:val="none" w:sz="0" w:space="0" w:color="auto"/>
                <w:bottom w:val="none" w:sz="0" w:space="0" w:color="auto"/>
                <w:right w:val="none" w:sz="0" w:space="0" w:color="auto"/>
              </w:divBdr>
              <w:divsChild>
                <w:div w:id="112094697">
                  <w:marLeft w:val="0"/>
                  <w:marRight w:val="0"/>
                  <w:marTop w:val="0"/>
                  <w:marBottom w:val="0"/>
                  <w:divBdr>
                    <w:top w:val="none" w:sz="0" w:space="0" w:color="auto"/>
                    <w:left w:val="none" w:sz="0" w:space="0" w:color="auto"/>
                    <w:bottom w:val="none" w:sz="0" w:space="0" w:color="auto"/>
                    <w:right w:val="none" w:sz="0" w:space="0" w:color="auto"/>
                  </w:divBdr>
                  <w:divsChild>
                    <w:div w:id="19273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48362">
      <w:bodyDiv w:val="1"/>
      <w:marLeft w:val="0"/>
      <w:marRight w:val="0"/>
      <w:marTop w:val="0"/>
      <w:marBottom w:val="0"/>
      <w:divBdr>
        <w:top w:val="none" w:sz="0" w:space="0" w:color="auto"/>
        <w:left w:val="none" w:sz="0" w:space="0" w:color="auto"/>
        <w:bottom w:val="none" w:sz="0" w:space="0" w:color="auto"/>
        <w:right w:val="none" w:sz="0" w:space="0" w:color="auto"/>
      </w:divBdr>
      <w:divsChild>
        <w:div w:id="443774523">
          <w:marLeft w:val="0"/>
          <w:marRight w:val="0"/>
          <w:marTop w:val="0"/>
          <w:marBottom w:val="0"/>
          <w:divBdr>
            <w:top w:val="none" w:sz="0" w:space="0" w:color="auto"/>
            <w:left w:val="none" w:sz="0" w:space="0" w:color="auto"/>
            <w:bottom w:val="none" w:sz="0" w:space="0" w:color="auto"/>
            <w:right w:val="none" w:sz="0" w:space="0" w:color="auto"/>
          </w:divBdr>
          <w:divsChild>
            <w:div w:id="591165893">
              <w:marLeft w:val="0"/>
              <w:marRight w:val="0"/>
              <w:marTop w:val="0"/>
              <w:marBottom w:val="0"/>
              <w:divBdr>
                <w:top w:val="none" w:sz="0" w:space="0" w:color="auto"/>
                <w:left w:val="none" w:sz="0" w:space="0" w:color="auto"/>
                <w:bottom w:val="none" w:sz="0" w:space="0" w:color="auto"/>
                <w:right w:val="none" w:sz="0" w:space="0" w:color="auto"/>
              </w:divBdr>
              <w:divsChild>
                <w:div w:id="1628438699">
                  <w:marLeft w:val="0"/>
                  <w:marRight w:val="0"/>
                  <w:marTop w:val="0"/>
                  <w:marBottom w:val="0"/>
                  <w:divBdr>
                    <w:top w:val="none" w:sz="0" w:space="0" w:color="auto"/>
                    <w:left w:val="none" w:sz="0" w:space="0" w:color="auto"/>
                    <w:bottom w:val="none" w:sz="0" w:space="0" w:color="auto"/>
                    <w:right w:val="none" w:sz="0" w:space="0" w:color="auto"/>
                  </w:divBdr>
                  <w:divsChild>
                    <w:div w:id="9341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841006">
      <w:bodyDiv w:val="1"/>
      <w:marLeft w:val="0"/>
      <w:marRight w:val="0"/>
      <w:marTop w:val="0"/>
      <w:marBottom w:val="0"/>
      <w:divBdr>
        <w:top w:val="none" w:sz="0" w:space="0" w:color="auto"/>
        <w:left w:val="none" w:sz="0" w:space="0" w:color="auto"/>
        <w:bottom w:val="none" w:sz="0" w:space="0" w:color="auto"/>
        <w:right w:val="none" w:sz="0" w:space="0" w:color="auto"/>
      </w:divBdr>
      <w:divsChild>
        <w:div w:id="1449156967">
          <w:marLeft w:val="0"/>
          <w:marRight w:val="0"/>
          <w:marTop w:val="0"/>
          <w:marBottom w:val="0"/>
          <w:divBdr>
            <w:top w:val="none" w:sz="0" w:space="0" w:color="auto"/>
            <w:left w:val="none" w:sz="0" w:space="0" w:color="auto"/>
            <w:bottom w:val="none" w:sz="0" w:space="0" w:color="auto"/>
            <w:right w:val="none" w:sz="0" w:space="0" w:color="auto"/>
          </w:divBdr>
          <w:divsChild>
            <w:div w:id="272514945">
              <w:marLeft w:val="0"/>
              <w:marRight w:val="0"/>
              <w:marTop w:val="0"/>
              <w:marBottom w:val="0"/>
              <w:divBdr>
                <w:top w:val="none" w:sz="0" w:space="0" w:color="auto"/>
                <w:left w:val="none" w:sz="0" w:space="0" w:color="auto"/>
                <w:bottom w:val="none" w:sz="0" w:space="0" w:color="auto"/>
                <w:right w:val="none" w:sz="0" w:space="0" w:color="auto"/>
              </w:divBdr>
              <w:divsChild>
                <w:div w:id="4707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6488">
      <w:bodyDiv w:val="1"/>
      <w:marLeft w:val="0"/>
      <w:marRight w:val="0"/>
      <w:marTop w:val="0"/>
      <w:marBottom w:val="0"/>
      <w:divBdr>
        <w:top w:val="none" w:sz="0" w:space="0" w:color="auto"/>
        <w:left w:val="none" w:sz="0" w:space="0" w:color="auto"/>
        <w:bottom w:val="none" w:sz="0" w:space="0" w:color="auto"/>
        <w:right w:val="none" w:sz="0" w:space="0" w:color="auto"/>
      </w:divBdr>
    </w:div>
    <w:div w:id="1405757558">
      <w:bodyDiv w:val="1"/>
      <w:marLeft w:val="0"/>
      <w:marRight w:val="0"/>
      <w:marTop w:val="0"/>
      <w:marBottom w:val="0"/>
      <w:divBdr>
        <w:top w:val="none" w:sz="0" w:space="0" w:color="auto"/>
        <w:left w:val="none" w:sz="0" w:space="0" w:color="auto"/>
        <w:bottom w:val="none" w:sz="0" w:space="0" w:color="auto"/>
        <w:right w:val="none" w:sz="0" w:space="0" w:color="auto"/>
      </w:divBdr>
      <w:divsChild>
        <w:div w:id="112790794">
          <w:marLeft w:val="0"/>
          <w:marRight w:val="0"/>
          <w:marTop w:val="0"/>
          <w:marBottom w:val="0"/>
          <w:divBdr>
            <w:top w:val="none" w:sz="0" w:space="0" w:color="auto"/>
            <w:left w:val="none" w:sz="0" w:space="0" w:color="auto"/>
            <w:bottom w:val="none" w:sz="0" w:space="0" w:color="auto"/>
            <w:right w:val="none" w:sz="0" w:space="0" w:color="auto"/>
          </w:divBdr>
          <w:divsChild>
            <w:div w:id="924605206">
              <w:marLeft w:val="0"/>
              <w:marRight w:val="0"/>
              <w:marTop w:val="0"/>
              <w:marBottom w:val="0"/>
              <w:divBdr>
                <w:top w:val="none" w:sz="0" w:space="0" w:color="auto"/>
                <w:left w:val="none" w:sz="0" w:space="0" w:color="auto"/>
                <w:bottom w:val="none" w:sz="0" w:space="0" w:color="auto"/>
                <w:right w:val="none" w:sz="0" w:space="0" w:color="auto"/>
              </w:divBdr>
              <w:divsChild>
                <w:div w:id="10808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19444">
      <w:bodyDiv w:val="1"/>
      <w:marLeft w:val="0"/>
      <w:marRight w:val="0"/>
      <w:marTop w:val="0"/>
      <w:marBottom w:val="0"/>
      <w:divBdr>
        <w:top w:val="none" w:sz="0" w:space="0" w:color="auto"/>
        <w:left w:val="none" w:sz="0" w:space="0" w:color="auto"/>
        <w:bottom w:val="none" w:sz="0" w:space="0" w:color="auto"/>
        <w:right w:val="none" w:sz="0" w:space="0" w:color="auto"/>
      </w:divBdr>
      <w:divsChild>
        <w:div w:id="619148658">
          <w:marLeft w:val="0"/>
          <w:marRight w:val="0"/>
          <w:marTop w:val="0"/>
          <w:marBottom w:val="0"/>
          <w:divBdr>
            <w:top w:val="none" w:sz="0" w:space="0" w:color="auto"/>
            <w:left w:val="none" w:sz="0" w:space="0" w:color="auto"/>
            <w:bottom w:val="none" w:sz="0" w:space="0" w:color="auto"/>
            <w:right w:val="none" w:sz="0" w:space="0" w:color="auto"/>
          </w:divBdr>
          <w:divsChild>
            <w:div w:id="588585006">
              <w:marLeft w:val="0"/>
              <w:marRight w:val="0"/>
              <w:marTop w:val="0"/>
              <w:marBottom w:val="0"/>
              <w:divBdr>
                <w:top w:val="none" w:sz="0" w:space="0" w:color="auto"/>
                <w:left w:val="none" w:sz="0" w:space="0" w:color="auto"/>
                <w:bottom w:val="none" w:sz="0" w:space="0" w:color="auto"/>
                <w:right w:val="none" w:sz="0" w:space="0" w:color="auto"/>
              </w:divBdr>
              <w:divsChild>
                <w:div w:id="1385832034">
                  <w:marLeft w:val="0"/>
                  <w:marRight w:val="0"/>
                  <w:marTop w:val="0"/>
                  <w:marBottom w:val="0"/>
                  <w:divBdr>
                    <w:top w:val="none" w:sz="0" w:space="0" w:color="auto"/>
                    <w:left w:val="none" w:sz="0" w:space="0" w:color="auto"/>
                    <w:bottom w:val="none" w:sz="0" w:space="0" w:color="auto"/>
                    <w:right w:val="none" w:sz="0" w:space="0" w:color="auto"/>
                  </w:divBdr>
                  <w:divsChild>
                    <w:div w:id="4377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994407">
      <w:bodyDiv w:val="1"/>
      <w:marLeft w:val="0"/>
      <w:marRight w:val="0"/>
      <w:marTop w:val="0"/>
      <w:marBottom w:val="0"/>
      <w:divBdr>
        <w:top w:val="none" w:sz="0" w:space="0" w:color="auto"/>
        <w:left w:val="none" w:sz="0" w:space="0" w:color="auto"/>
        <w:bottom w:val="none" w:sz="0" w:space="0" w:color="auto"/>
        <w:right w:val="none" w:sz="0" w:space="0" w:color="auto"/>
      </w:divBdr>
      <w:divsChild>
        <w:div w:id="694355747">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2433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1527">
      <w:bodyDiv w:val="1"/>
      <w:marLeft w:val="0"/>
      <w:marRight w:val="0"/>
      <w:marTop w:val="0"/>
      <w:marBottom w:val="0"/>
      <w:divBdr>
        <w:top w:val="none" w:sz="0" w:space="0" w:color="auto"/>
        <w:left w:val="none" w:sz="0" w:space="0" w:color="auto"/>
        <w:bottom w:val="none" w:sz="0" w:space="0" w:color="auto"/>
        <w:right w:val="none" w:sz="0" w:space="0" w:color="auto"/>
      </w:divBdr>
      <w:divsChild>
        <w:div w:id="1446540705">
          <w:marLeft w:val="0"/>
          <w:marRight w:val="0"/>
          <w:marTop w:val="0"/>
          <w:marBottom w:val="0"/>
          <w:divBdr>
            <w:top w:val="none" w:sz="0" w:space="0" w:color="auto"/>
            <w:left w:val="none" w:sz="0" w:space="0" w:color="auto"/>
            <w:bottom w:val="none" w:sz="0" w:space="0" w:color="auto"/>
            <w:right w:val="none" w:sz="0" w:space="0" w:color="auto"/>
          </w:divBdr>
          <w:divsChild>
            <w:div w:id="260528877">
              <w:marLeft w:val="0"/>
              <w:marRight w:val="0"/>
              <w:marTop w:val="0"/>
              <w:marBottom w:val="0"/>
              <w:divBdr>
                <w:top w:val="none" w:sz="0" w:space="0" w:color="auto"/>
                <w:left w:val="none" w:sz="0" w:space="0" w:color="auto"/>
                <w:bottom w:val="none" w:sz="0" w:space="0" w:color="auto"/>
                <w:right w:val="none" w:sz="0" w:space="0" w:color="auto"/>
              </w:divBdr>
              <w:divsChild>
                <w:div w:id="882253419">
                  <w:marLeft w:val="0"/>
                  <w:marRight w:val="0"/>
                  <w:marTop w:val="0"/>
                  <w:marBottom w:val="0"/>
                  <w:divBdr>
                    <w:top w:val="none" w:sz="0" w:space="0" w:color="auto"/>
                    <w:left w:val="none" w:sz="0" w:space="0" w:color="auto"/>
                    <w:bottom w:val="none" w:sz="0" w:space="0" w:color="auto"/>
                    <w:right w:val="none" w:sz="0" w:space="0" w:color="auto"/>
                  </w:divBdr>
                  <w:divsChild>
                    <w:div w:id="17222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7122">
      <w:bodyDiv w:val="1"/>
      <w:marLeft w:val="0"/>
      <w:marRight w:val="0"/>
      <w:marTop w:val="0"/>
      <w:marBottom w:val="0"/>
      <w:divBdr>
        <w:top w:val="none" w:sz="0" w:space="0" w:color="auto"/>
        <w:left w:val="none" w:sz="0" w:space="0" w:color="auto"/>
        <w:bottom w:val="none" w:sz="0" w:space="0" w:color="auto"/>
        <w:right w:val="none" w:sz="0" w:space="0" w:color="auto"/>
      </w:divBdr>
      <w:divsChild>
        <w:div w:id="1956515997">
          <w:marLeft w:val="0"/>
          <w:marRight w:val="0"/>
          <w:marTop w:val="0"/>
          <w:marBottom w:val="0"/>
          <w:divBdr>
            <w:top w:val="none" w:sz="0" w:space="0" w:color="auto"/>
            <w:left w:val="none" w:sz="0" w:space="0" w:color="auto"/>
            <w:bottom w:val="none" w:sz="0" w:space="0" w:color="auto"/>
            <w:right w:val="none" w:sz="0" w:space="0" w:color="auto"/>
          </w:divBdr>
          <w:divsChild>
            <w:div w:id="1349911915">
              <w:marLeft w:val="0"/>
              <w:marRight w:val="0"/>
              <w:marTop w:val="0"/>
              <w:marBottom w:val="0"/>
              <w:divBdr>
                <w:top w:val="none" w:sz="0" w:space="0" w:color="auto"/>
                <w:left w:val="none" w:sz="0" w:space="0" w:color="auto"/>
                <w:bottom w:val="none" w:sz="0" w:space="0" w:color="auto"/>
                <w:right w:val="none" w:sz="0" w:space="0" w:color="auto"/>
              </w:divBdr>
              <w:divsChild>
                <w:div w:id="5606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5103">
      <w:bodyDiv w:val="1"/>
      <w:marLeft w:val="0"/>
      <w:marRight w:val="0"/>
      <w:marTop w:val="0"/>
      <w:marBottom w:val="0"/>
      <w:divBdr>
        <w:top w:val="none" w:sz="0" w:space="0" w:color="auto"/>
        <w:left w:val="none" w:sz="0" w:space="0" w:color="auto"/>
        <w:bottom w:val="none" w:sz="0" w:space="0" w:color="auto"/>
        <w:right w:val="none" w:sz="0" w:space="0" w:color="auto"/>
      </w:divBdr>
      <w:divsChild>
        <w:div w:id="1015808739">
          <w:marLeft w:val="0"/>
          <w:marRight w:val="0"/>
          <w:marTop w:val="0"/>
          <w:marBottom w:val="0"/>
          <w:divBdr>
            <w:top w:val="none" w:sz="0" w:space="0" w:color="auto"/>
            <w:left w:val="none" w:sz="0" w:space="0" w:color="auto"/>
            <w:bottom w:val="none" w:sz="0" w:space="0" w:color="auto"/>
            <w:right w:val="none" w:sz="0" w:space="0" w:color="auto"/>
          </w:divBdr>
          <w:divsChild>
            <w:div w:id="1249849295">
              <w:marLeft w:val="0"/>
              <w:marRight w:val="0"/>
              <w:marTop w:val="0"/>
              <w:marBottom w:val="0"/>
              <w:divBdr>
                <w:top w:val="none" w:sz="0" w:space="0" w:color="auto"/>
                <w:left w:val="none" w:sz="0" w:space="0" w:color="auto"/>
                <w:bottom w:val="none" w:sz="0" w:space="0" w:color="auto"/>
                <w:right w:val="none" w:sz="0" w:space="0" w:color="auto"/>
              </w:divBdr>
              <w:divsChild>
                <w:div w:id="1754542659">
                  <w:marLeft w:val="0"/>
                  <w:marRight w:val="0"/>
                  <w:marTop w:val="0"/>
                  <w:marBottom w:val="0"/>
                  <w:divBdr>
                    <w:top w:val="none" w:sz="0" w:space="0" w:color="auto"/>
                    <w:left w:val="none" w:sz="0" w:space="0" w:color="auto"/>
                    <w:bottom w:val="none" w:sz="0" w:space="0" w:color="auto"/>
                    <w:right w:val="none" w:sz="0" w:space="0" w:color="auto"/>
                  </w:divBdr>
                  <w:divsChild>
                    <w:div w:id="14385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12735">
      <w:bodyDiv w:val="1"/>
      <w:marLeft w:val="0"/>
      <w:marRight w:val="0"/>
      <w:marTop w:val="0"/>
      <w:marBottom w:val="0"/>
      <w:divBdr>
        <w:top w:val="none" w:sz="0" w:space="0" w:color="auto"/>
        <w:left w:val="none" w:sz="0" w:space="0" w:color="auto"/>
        <w:bottom w:val="none" w:sz="0" w:space="0" w:color="auto"/>
        <w:right w:val="none" w:sz="0" w:space="0" w:color="auto"/>
      </w:divBdr>
      <w:divsChild>
        <w:div w:id="1388259319">
          <w:marLeft w:val="0"/>
          <w:marRight w:val="0"/>
          <w:marTop w:val="0"/>
          <w:marBottom w:val="0"/>
          <w:divBdr>
            <w:top w:val="none" w:sz="0" w:space="0" w:color="auto"/>
            <w:left w:val="none" w:sz="0" w:space="0" w:color="auto"/>
            <w:bottom w:val="none" w:sz="0" w:space="0" w:color="auto"/>
            <w:right w:val="none" w:sz="0" w:space="0" w:color="auto"/>
          </w:divBdr>
          <w:divsChild>
            <w:div w:id="119954434">
              <w:marLeft w:val="0"/>
              <w:marRight w:val="0"/>
              <w:marTop w:val="0"/>
              <w:marBottom w:val="0"/>
              <w:divBdr>
                <w:top w:val="none" w:sz="0" w:space="0" w:color="auto"/>
                <w:left w:val="none" w:sz="0" w:space="0" w:color="auto"/>
                <w:bottom w:val="none" w:sz="0" w:space="0" w:color="auto"/>
                <w:right w:val="none" w:sz="0" w:space="0" w:color="auto"/>
              </w:divBdr>
              <w:divsChild>
                <w:div w:id="20758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8298">
      <w:bodyDiv w:val="1"/>
      <w:marLeft w:val="0"/>
      <w:marRight w:val="0"/>
      <w:marTop w:val="0"/>
      <w:marBottom w:val="0"/>
      <w:divBdr>
        <w:top w:val="none" w:sz="0" w:space="0" w:color="auto"/>
        <w:left w:val="none" w:sz="0" w:space="0" w:color="auto"/>
        <w:bottom w:val="none" w:sz="0" w:space="0" w:color="auto"/>
        <w:right w:val="none" w:sz="0" w:space="0" w:color="auto"/>
      </w:divBdr>
    </w:div>
    <w:div w:id="1457945181">
      <w:bodyDiv w:val="1"/>
      <w:marLeft w:val="0"/>
      <w:marRight w:val="0"/>
      <w:marTop w:val="0"/>
      <w:marBottom w:val="0"/>
      <w:divBdr>
        <w:top w:val="none" w:sz="0" w:space="0" w:color="auto"/>
        <w:left w:val="none" w:sz="0" w:space="0" w:color="auto"/>
        <w:bottom w:val="none" w:sz="0" w:space="0" w:color="auto"/>
        <w:right w:val="none" w:sz="0" w:space="0" w:color="auto"/>
      </w:divBdr>
      <w:divsChild>
        <w:div w:id="42872684">
          <w:marLeft w:val="0"/>
          <w:marRight w:val="0"/>
          <w:marTop w:val="0"/>
          <w:marBottom w:val="0"/>
          <w:divBdr>
            <w:top w:val="none" w:sz="0" w:space="0" w:color="auto"/>
            <w:left w:val="none" w:sz="0" w:space="0" w:color="auto"/>
            <w:bottom w:val="none" w:sz="0" w:space="0" w:color="auto"/>
            <w:right w:val="none" w:sz="0" w:space="0" w:color="auto"/>
          </w:divBdr>
          <w:divsChild>
            <w:div w:id="1707752719">
              <w:marLeft w:val="0"/>
              <w:marRight w:val="0"/>
              <w:marTop w:val="0"/>
              <w:marBottom w:val="0"/>
              <w:divBdr>
                <w:top w:val="none" w:sz="0" w:space="0" w:color="auto"/>
                <w:left w:val="none" w:sz="0" w:space="0" w:color="auto"/>
                <w:bottom w:val="none" w:sz="0" w:space="0" w:color="auto"/>
                <w:right w:val="none" w:sz="0" w:space="0" w:color="auto"/>
              </w:divBdr>
              <w:divsChild>
                <w:div w:id="13388901">
                  <w:marLeft w:val="0"/>
                  <w:marRight w:val="0"/>
                  <w:marTop w:val="0"/>
                  <w:marBottom w:val="0"/>
                  <w:divBdr>
                    <w:top w:val="none" w:sz="0" w:space="0" w:color="auto"/>
                    <w:left w:val="none" w:sz="0" w:space="0" w:color="auto"/>
                    <w:bottom w:val="none" w:sz="0" w:space="0" w:color="auto"/>
                    <w:right w:val="none" w:sz="0" w:space="0" w:color="auto"/>
                  </w:divBdr>
                  <w:divsChild>
                    <w:div w:id="20695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238773">
      <w:bodyDiv w:val="1"/>
      <w:marLeft w:val="0"/>
      <w:marRight w:val="0"/>
      <w:marTop w:val="0"/>
      <w:marBottom w:val="0"/>
      <w:divBdr>
        <w:top w:val="none" w:sz="0" w:space="0" w:color="auto"/>
        <w:left w:val="none" w:sz="0" w:space="0" w:color="auto"/>
        <w:bottom w:val="none" w:sz="0" w:space="0" w:color="auto"/>
        <w:right w:val="none" w:sz="0" w:space="0" w:color="auto"/>
      </w:divBdr>
    </w:div>
    <w:div w:id="1473018830">
      <w:bodyDiv w:val="1"/>
      <w:marLeft w:val="0"/>
      <w:marRight w:val="0"/>
      <w:marTop w:val="0"/>
      <w:marBottom w:val="0"/>
      <w:divBdr>
        <w:top w:val="none" w:sz="0" w:space="0" w:color="auto"/>
        <w:left w:val="none" w:sz="0" w:space="0" w:color="auto"/>
        <w:bottom w:val="none" w:sz="0" w:space="0" w:color="auto"/>
        <w:right w:val="none" w:sz="0" w:space="0" w:color="auto"/>
      </w:divBdr>
    </w:div>
    <w:div w:id="1475027278">
      <w:bodyDiv w:val="1"/>
      <w:marLeft w:val="0"/>
      <w:marRight w:val="0"/>
      <w:marTop w:val="0"/>
      <w:marBottom w:val="0"/>
      <w:divBdr>
        <w:top w:val="none" w:sz="0" w:space="0" w:color="auto"/>
        <w:left w:val="none" w:sz="0" w:space="0" w:color="auto"/>
        <w:bottom w:val="none" w:sz="0" w:space="0" w:color="auto"/>
        <w:right w:val="none" w:sz="0" w:space="0" w:color="auto"/>
      </w:divBdr>
      <w:divsChild>
        <w:div w:id="1533031523">
          <w:marLeft w:val="0"/>
          <w:marRight w:val="0"/>
          <w:marTop w:val="0"/>
          <w:marBottom w:val="0"/>
          <w:divBdr>
            <w:top w:val="none" w:sz="0" w:space="0" w:color="auto"/>
            <w:left w:val="none" w:sz="0" w:space="0" w:color="auto"/>
            <w:bottom w:val="none" w:sz="0" w:space="0" w:color="auto"/>
            <w:right w:val="none" w:sz="0" w:space="0" w:color="auto"/>
          </w:divBdr>
          <w:divsChild>
            <w:div w:id="355159588">
              <w:marLeft w:val="0"/>
              <w:marRight w:val="0"/>
              <w:marTop w:val="0"/>
              <w:marBottom w:val="0"/>
              <w:divBdr>
                <w:top w:val="none" w:sz="0" w:space="0" w:color="auto"/>
                <w:left w:val="none" w:sz="0" w:space="0" w:color="auto"/>
                <w:bottom w:val="none" w:sz="0" w:space="0" w:color="auto"/>
                <w:right w:val="none" w:sz="0" w:space="0" w:color="auto"/>
              </w:divBdr>
              <w:divsChild>
                <w:div w:id="1905411878">
                  <w:marLeft w:val="0"/>
                  <w:marRight w:val="0"/>
                  <w:marTop w:val="0"/>
                  <w:marBottom w:val="0"/>
                  <w:divBdr>
                    <w:top w:val="none" w:sz="0" w:space="0" w:color="auto"/>
                    <w:left w:val="none" w:sz="0" w:space="0" w:color="auto"/>
                    <w:bottom w:val="none" w:sz="0" w:space="0" w:color="auto"/>
                    <w:right w:val="none" w:sz="0" w:space="0" w:color="auto"/>
                  </w:divBdr>
                  <w:divsChild>
                    <w:div w:id="7641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81056">
      <w:bodyDiv w:val="1"/>
      <w:marLeft w:val="0"/>
      <w:marRight w:val="0"/>
      <w:marTop w:val="0"/>
      <w:marBottom w:val="0"/>
      <w:divBdr>
        <w:top w:val="none" w:sz="0" w:space="0" w:color="auto"/>
        <w:left w:val="none" w:sz="0" w:space="0" w:color="auto"/>
        <w:bottom w:val="none" w:sz="0" w:space="0" w:color="auto"/>
        <w:right w:val="none" w:sz="0" w:space="0" w:color="auto"/>
      </w:divBdr>
      <w:divsChild>
        <w:div w:id="449594585">
          <w:marLeft w:val="0"/>
          <w:marRight w:val="0"/>
          <w:marTop w:val="0"/>
          <w:marBottom w:val="0"/>
          <w:divBdr>
            <w:top w:val="none" w:sz="0" w:space="0" w:color="auto"/>
            <w:left w:val="none" w:sz="0" w:space="0" w:color="auto"/>
            <w:bottom w:val="none" w:sz="0" w:space="0" w:color="auto"/>
            <w:right w:val="none" w:sz="0" w:space="0" w:color="auto"/>
          </w:divBdr>
          <w:divsChild>
            <w:div w:id="1074472630">
              <w:marLeft w:val="0"/>
              <w:marRight w:val="0"/>
              <w:marTop w:val="0"/>
              <w:marBottom w:val="0"/>
              <w:divBdr>
                <w:top w:val="none" w:sz="0" w:space="0" w:color="auto"/>
                <w:left w:val="none" w:sz="0" w:space="0" w:color="auto"/>
                <w:bottom w:val="none" w:sz="0" w:space="0" w:color="auto"/>
                <w:right w:val="none" w:sz="0" w:space="0" w:color="auto"/>
              </w:divBdr>
              <w:divsChild>
                <w:div w:id="172956916">
                  <w:marLeft w:val="0"/>
                  <w:marRight w:val="0"/>
                  <w:marTop w:val="0"/>
                  <w:marBottom w:val="0"/>
                  <w:divBdr>
                    <w:top w:val="none" w:sz="0" w:space="0" w:color="auto"/>
                    <w:left w:val="none" w:sz="0" w:space="0" w:color="auto"/>
                    <w:bottom w:val="none" w:sz="0" w:space="0" w:color="auto"/>
                    <w:right w:val="none" w:sz="0" w:space="0" w:color="auto"/>
                  </w:divBdr>
                  <w:divsChild>
                    <w:div w:id="2701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95592">
      <w:bodyDiv w:val="1"/>
      <w:marLeft w:val="0"/>
      <w:marRight w:val="0"/>
      <w:marTop w:val="0"/>
      <w:marBottom w:val="0"/>
      <w:divBdr>
        <w:top w:val="none" w:sz="0" w:space="0" w:color="auto"/>
        <w:left w:val="none" w:sz="0" w:space="0" w:color="auto"/>
        <w:bottom w:val="none" w:sz="0" w:space="0" w:color="auto"/>
        <w:right w:val="none" w:sz="0" w:space="0" w:color="auto"/>
      </w:divBdr>
      <w:divsChild>
        <w:div w:id="602616197">
          <w:marLeft w:val="0"/>
          <w:marRight w:val="0"/>
          <w:marTop w:val="0"/>
          <w:marBottom w:val="0"/>
          <w:divBdr>
            <w:top w:val="none" w:sz="0" w:space="0" w:color="auto"/>
            <w:left w:val="none" w:sz="0" w:space="0" w:color="auto"/>
            <w:bottom w:val="none" w:sz="0" w:space="0" w:color="auto"/>
            <w:right w:val="none" w:sz="0" w:space="0" w:color="auto"/>
          </w:divBdr>
          <w:divsChild>
            <w:div w:id="251083708">
              <w:marLeft w:val="0"/>
              <w:marRight w:val="0"/>
              <w:marTop w:val="0"/>
              <w:marBottom w:val="0"/>
              <w:divBdr>
                <w:top w:val="none" w:sz="0" w:space="0" w:color="auto"/>
                <w:left w:val="none" w:sz="0" w:space="0" w:color="auto"/>
                <w:bottom w:val="none" w:sz="0" w:space="0" w:color="auto"/>
                <w:right w:val="none" w:sz="0" w:space="0" w:color="auto"/>
              </w:divBdr>
              <w:divsChild>
                <w:div w:id="6878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9632">
      <w:bodyDiv w:val="1"/>
      <w:marLeft w:val="0"/>
      <w:marRight w:val="0"/>
      <w:marTop w:val="0"/>
      <w:marBottom w:val="0"/>
      <w:divBdr>
        <w:top w:val="none" w:sz="0" w:space="0" w:color="auto"/>
        <w:left w:val="none" w:sz="0" w:space="0" w:color="auto"/>
        <w:bottom w:val="none" w:sz="0" w:space="0" w:color="auto"/>
        <w:right w:val="none" w:sz="0" w:space="0" w:color="auto"/>
      </w:divBdr>
      <w:divsChild>
        <w:div w:id="393819459">
          <w:marLeft w:val="0"/>
          <w:marRight w:val="0"/>
          <w:marTop w:val="0"/>
          <w:marBottom w:val="0"/>
          <w:divBdr>
            <w:top w:val="none" w:sz="0" w:space="0" w:color="auto"/>
            <w:left w:val="none" w:sz="0" w:space="0" w:color="auto"/>
            <w:bottom w:val="none" w:sz="0" w:space="0" w:color="auto"/>
            <w:right w:val="none" w:sz="0" w:space="0" w:color="auto"/>
          </w:divBdr>
          <w:divsChild>
            <w:div w:id="826215068">
              <w:marLeft w:val="0"/>
              <w:marRight w:val="0"/>
              <w:marTop w:val="0"/>
              <w:marBottom w:val="0"/>
              <w:divBdr>
                <w:top w:val="none" w:sz="0" w:space="0" w:color="auto"/>
                <w:left w:val="none" w:sz="0" w:space="0" w:color="auto"/>
                <w:bottom w:val="none" w:sz="0" w:space="0" w:color="auto"/>
                <w:right w:val="none" w:sz="0" w:space="0" w:color="auto"/>
              </w:divBdr>
              <w:divsChild>
                <w:div w:id="14589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9982">
      <w:bodyDiv w:val="1"/>
      <w:marLeft w:val="0"/>
      <w:marRight w:val="0"/>
      <w:marTop w:val="0"/>
      <w:marBottom w:val="0"/>
      <w:divBdr>
        <w:top w:val="none" w:sz="0" w:space="0" w:color="auto"/>
        <w:left w:val="none" w:sz="0" w:space="0" w:color="auto"/>
        <w:bottom w:val="none" w:sz="0" w:space="0" w:color="auto"/>
        <w:right w:val="none" w:sz="0" w:space="0" w:color="auto"/>
      </w:divBdr>
      <w:divsChild>
        <w:div w:id="1382902497">
          <w:marLeft w:val="0"/>
          <w:marRight w:val="0"/>
          <w:marTop w:val="0"/>
          <w:marBottom w:val="0"/>
          <w:divBdr>
            <w:top w:val="none" w:sz="0" w:space="0" w:color="auto"/>
            <w:left w:val="none" w:sz="0" w:space="0" w:color="auto"/>
            <w:bottom w:val="none" w:sz="0" w:space="0" w:color="auto"/>
            <w:right w:val="none" w:sz="0" w:space="0" w:color="auto"/>
          </w:divBdr>
          <w:divsChild>
            <w:div w:id="2048411285">
              <w:marLeft w:val="0"/>
              <w:marRight w:val="0"/>
              <w:marTop w:val="0"/>
              <w:marBottom w:val="0"/>
              <w:divBdr>
                <w:top w:val="none" w:sz="0" w:space="0" w:color="auto"/>
                <w:left w:val="none" w:sz="0" w:space="0" w:color="auto"/>
                <w:bottom w:val="none" w:sz="0" w:space="0" w:color="auto"/>
                <w:right w:val="none" w:sz="0" w:space="0" w:color="auto"/>
              </w:divBdr>
              <w:divsChild>
                <w:div w:id="797837803">
                  <w:marLeft w:val="0"/>
                  <w:marRight w:val="0"/>
                  <w:marTop w:val="0"/>
                  <w:marBottom w:val="0"/>
                  <w:divBdr>
                    <w:top w:val="none" w:sz="0" w:space="0" w:color="auto"/>
                    <w:left w:val="none" w:sz="0" w:space="0" w:color="auto"/>
                    <w:bottom w:val="none" w:sz="0" w:space="0" w:color="auto"/>
                    <w:right w:val="none" w:sz="0" w:space="0" w:color="auto"/>
                  </w:divBdr>
                  <w:divsChild>
                    <w:div w:id="4831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134414">
      <w:bodyDiv w:val="1"/>
      <w:marLeft w:val="0"/>
      <w:marRight w:val="0"/>
      <w:marTop w:val="0"/>
      <w:marBottom w:val="0"/>
      <w:divBdr>
        <w:top w:val="none" w:sz="0" w:space="0" w:color="auto"/>
        <w:left w:val="none" w:sz="0" w:space="0" w:color="auto"/>
        <w:bottom w:val="none" w:sz="0" w:space="0" w:color="auto"/>
        <w:right w:val="none" w:sz="0" w:space="0" w:color="auto"/>
      </w:divBdr>
      <w:divsChild>
        <w:div w:id="1945922403">
          <w:marLeft w:val="0"/>
          <w:marRight w:val="0"/>
          <w:marTop w:val="0"/>
          <w:marBottom w:val="0"/>
          <w:divBdr>
            <w:top w:val="none" w:sz="0" w:space="0" w:color="auto"/>
            <w:left w:val="none" w:sz="0" w:space="0" w:color="auto"/>
            <w:bottom w:val="none" w:sz="0" w:space="0" w:color="auto"/>
            <w:right w:val="none" w:sz="0" w:space="0" w:color="auto"/>
          </w:divBdr>
          <w:divsChild>
            <w:div w:id="718943579">
              <w:marLeft w:val="0"/>
              <w:marRight w:val="0"/>
              <w:marTop w:val="0"/>
              <w:marBottom w:val="0"/>
              <w:divBdr>
                <w:top w:val="none" w:sz="0" w:space="0" w:color="auto"/>
                <w:left w:val="none" w:sz="0" w:space="0" w:color="auto"/>
                <w:bottom w:val="none" w:sz="0" w:space="0" w:color="auto"/>
                <w:right w:val="none" w:sz="0" w:space="0" w:color="auto"/>
              </w:divBdr>
              <w:divsChild>
                <w:div w:id="990327686">
                  <w:marLeft w:val="0"/>
                  <w:marRight w:val="0"/>
                  <w:marTop w:val="0"/>
                  <w:marBottom w:val="0"/>
                  <w:divBdr>
                    <w:top w:val="none" w:sz="0" w:space="0" w:color="auto"/>
                    <w:left w:val="none" w:sz="0" w:space="0" w:color="auto"/>
                    <w:bottom w:val="none" w:sz="0" w:space="0" w:color="auto"/>
                    <w:right w:val="none" w:sz="0" w:space="0" w:color="auto"/>
                  </w:divBdr>
                </w:div>
              </w:divsChild>
            </w:div>
            <w:div w:id="1583368155">
              <w:marLeft w:val="0"/>
              <w:marRight w:val="0"/>
              <w:marTop w:val="0"/>
              <w:marBottom w:val="0"/>
              <w:divBdr>
                <w:top w:val="none" w:sz="0" w:space="0" w:color="auto"/>
                <w:left w:val="none" w:sz="0" w:space="0" w:color="auto"/>
                <w:bottom w:val="none" w:sz="0" w:space="0" w:color="auto"/>
                <w:right w:val="none" w:sz="0" w:space="0" w:color="auto"/>
              </w:divBdr>
              <w:divsChild>
                <w:div w:id="9554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38885">
      <w:bodyDiv w:val="1"/>
      <w:marLeft w:val="0"/>
      <w:marRight w:val="0"/>
      <w:marTop w:val="0"/>
      <w:marBottom w:val="0"/>
      <w:divBdr>
        <w:top w:val="none" w:sz="0" w:space="0" w:color="auto"/>
        <w:left w:val="none" w:sz="0" w:space="0" w:color="auto"/>
        <w:bottom w:val="none" w:sz="0" w:space="0" w:color="auto"/>
        <w:right w:val="none" w:sz="0" w:space="0" w:color="auto"/>
      </w:divBdr>
      <w:divsChild>
        <w:div w:id="932279076">
          <w:marLeft w:val="0"/>
          <w:marRight w:val="0"/>
          <w:marTop w:val="0"/>
          <w:marBottom w:val="0"/>
          <w:divBdr>
            <w:top w:val="none" w:sz="0" w:space="0" w:color="auto"/>
            <w:left w:val="none" w:sz="0" w:space="0" w:color="auto"/>
            <w:bottom w:val="none" w:sz="0" w:space="0" w:color="auto"/>
            <w:right w:val="none" w:sz="0" w:space="0" w:color="auto"/>
          </w:divBdr>
          <w:divsChild>
            <w:div w:id="440417936">
              <w:marLeft w:val="0"/>
              <w:marRight w:val="0"/>
              <w:marTop w:val="0"/>
              <w:marBottom w:val="0"/>
              <w:divBdr>
                <w:top w:val="none" w:sz="0" w:space="0" w:color="auto"/>
                <w:left w:val="none" w:sz="0" w:space="0" w:color="auto"/>
                <w:bottom w:val="none" w:sz="0" w:space="0" w:color="auto"/>
                <w:right w:val="none" w:sz="0" w:space="0" w:color="auto"/>
              </w:divBdr>
              <w:divsChild>
                <w:div w:id="11533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744091">
      <w:bodyDiv w:val="1"/>
      <w:marLeft w:val="0"/>
      <w:marRight w:val="0"/>
      <w:marTop w:val="0"/>
      <w:marBottom w:val="0"/>
      <w:divBdr>
        <w:top w:val="none" w:sz="0" w:space="0" w:color="auto"/>
        <w:left w:val="none" w:sz="0" w:space="0" w:color="auto"/>
        <w:bottom w:val="none" w:sz="0" w:space="0" w:color="auto"/>
        <w:right w:val="none" w:sz="0" w:space="0" w:color="auto"/>
      </w:divBdr>
      <w:divsChild>
        <w:div w:id="1790202004">
          <w:marLeft w:val="0"/>
          <w:marRight w:val="0"/>
          <w:marTop w:val="0"/>
          <w:marBottom w:val="0"/>
          <w:divBdr>
            <w:top w:val="none" w:sz="0" w:space="0" w:color="auto"/>
            <w:left w:val="none" w:sz="0" w:space="0" w:color="auto"/>
            <w:bottom w:val="none" w:sz="0" w:space="0" w:color="auto"/>
            <w:right w:val="none" w:sz="0" w:space="0" w:color="auto"/>
          </w:divBdr>
          <w:divsChild>
            <w:div w:id="1024676475">
              <w:marLeft w:val="0"/>
              <w:marRight w:val="0"/>
              <w:marTop w:val="0"/>
              <w:marBottom w:val="0"/>
              <w:divBdr>
                <w:top w:val="none" w:sz="0" w:space="0" w:color="auto"/>
                <w:left w:val="none" w:sz="0" w:space="0" w:color="auto"/>
                <w:bottom w:val="none" w:sz="0" w:space="0" w:color="auto"/>
                <w:right w:val="none" w:sz="0" w:space="0" w:color="auto"/>
              </w:divBdr>
              <w:divsChild>
                <w:div w:id="539825895">
                  <w:marLeft w:val="0"/>
                  <w:marRight w:val="0"/>
                  <w:marTop w:val="0"/>
                  <w:marBottom w:val="0"/>
                  <w:divBdr>
                    <w:top w:val="none" w:sz="0" w:space="0" w:color="auto"/>
                    <w:left w:val="none" w:sz="0" w:space="0" w:color="auto"/>
                    <w:bottom w:val="none" w:sz="0" w:space="0" w:color="auto"/>
                    <w:right w:val="none" w:sz="0" w:space="0" w:color="auto"/>
                  </w:divBdr>
                  <w:divsChild>
                    <w:div w:id="11081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158216">
      <w:bodyDiv w:val="1"/>
      <w:marLeft w:val="0"/>
      <w:marRight w:val="0"/>
      <w:marTop w:val="0"/>
      <w:marBottom w:val="0"/>
      <w:divBdr>
        <w:top w:val="none" w:sz="0" w:space="0" w:color="auto"/>
        <w:left w:val="none" w:sz="0" w:space="0" w:color="auto"/>
        <w:bottom w:val="none" w:sz="0" w:space="0" w:color="auto"/>
        <w:right w:val="none" w:sz="0" w:space="0" w:color="auto"/>
      </w:divBdr>
      <w:divsChild>
        <w:div w:id="1607493334">
          <w:marLeft w:val="0"/>
          <w:marRight w:val="0"/>
          <w:marTop w:val="0"/>
          <w:marBottom w:val="0"/>
          <w:divBdr>
            <w:top w:val="none" w:sz="0" w:space="0" w:color="auto"/>
            <w:left w:val="none" w:sz="0" w:space="0" w:color="auto"/>
            <w:bottom w:val="none" w:sz="0" w:space="0" w:color="auto"/>
            <w:right w:val="none" w:sz="0" w:space="0" w:color="auto"/>
          </w:divBdr>
          <w:divsChild>
            <w:div w:id="1666979644">
              <w:marLeft w:val="0"/>
              <w:marRight w:val="0"/>
              <w:marTop w:val="0"/>
              <w:marBottom w:val="0"/>
              <w:divBdr>
                <w:top w:val="none" w:sz="0" w:space="0" w:color="auto"/>
                <w:left w:val="none" w:sz="0" w:space="0" w:color="auto"/>
                <w:bottom w:val="none" w:sz="0" w:space="0" w:color="auto"/>
                <w:right w:val="none" w:sz="0" w:space="0" w:color="auto"/>
              </w:divBdr>
              <w:divsChild>
                <w:div w:id="7701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14614">
      <w:bodyDiv w:val="1"/>
      <w:marLeft w:val="0"/>
      <w:marRight w:val="0"/>
      <w:marTop w:val="0"/>
      <w:marBottom w:val="0"/>
      <w:divBdr>
        <w:top w:val="none" w:sz="0" w:space="0" w:color="auto"/>
        <w:left w:val="none" w:sz="0" w:space="0" w:color="auto"/>
        <w:bottom w:val="none" w:sz="0" w:space="0" w:color="auto"/>
        <w:right w:val="none" w:sz="0" w:space="0" w:color="auto"/>
      </w:divBdr>
      <w:divsChild>
        <w:div w:id="1731268421">
          <w:marLeft w:val="0"/>
          <w:marRight w:val="0"/>
          <w:marTop w:val="0"/>
          <w:marBottom w:val="0"/>
          <w:divBdr>
            <w:top w:val="none" w:sz="0" w:space="0" w:color="auto"/>
            <w:left w:val="none" w:sz="0" w:space="0" w:color="auto"/>
            <w:bottom w:val="none" w:sz="0" w:space="0" w:color="auto"/>
            <w:right w:val="none" w:sz="0" w:space="0" w:color="auto"/>
          </w:divBdr>
          <w:divsChild>
            <w:div w:id="78915706">
              <w:marLeft w:val="0"/>
              <w:marRight w:val="0"/>
              <w:marTop w:val="0"/>
              <w:marBottom w:val="0"/>
              <w:divBdr>
                <w:top w:val="none" w:sz="0" w:space="0" w:color="auto"/>
                <w:left w:val="none" w:sz="0" w:space="0" w:color="auto"/>
                <w:bottom w:val="none" w:sz="0" w:space="0" w:color="auto"/>
                <w:right w:val="none" w:sz="0" w:space="0" w:color="auto"/>
              </w:divBdr>
              <w:divsChild>
                <w:div w:id="188495472">
                  <w:marLeft w:val="0"/>
                  <w:marRight w:val="0"/>
                  <w:marTop w:val="0"/>
                  <w:marBottom w:val="0"/>
                  <w:divBdr>
                    <w:top w:val="none" w:sz="0" w:space="0" w:color="auto"/>
                    <w:left w:val="none" w:sz="0" w:space="0" w:color="auto"/>
                    <w:bottom w:val="none" w:sz="0" w:space="0" w:color="auto"/>
                    <w:right w:val="none" w:sz="0" w:space="0" w:color="auto"/>
                  </w:divBdr>
                  <w:divsChild>
                    <w:div w:id="20925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035254">
      <w:bodyDiv w:val="1"/>
      <w:marLeft w:val="0"/>
      <w:marRight w:val="0"/>
      <w:marTop w:val="0"/>
      <w:marBottom w:val="0"/>
      <w:divBdr>
        <w:top w:val="none" w:sz="0" w:space="0" w:color="auto"/>
        <w:left w:val="none" w:sz="0" w:space="0" w:color="auto"/>
        <w:bottom w:val="none" w:sz="0" w:space="0" w:color="auto"/>
        <w:right w:val="none" w:sz="0" w:space="0" w:color="auto"/>
      </w:divBdr>
      <w:divsChild>
        <w:div w:id="1254822142">
          <w:marLeft w:val="0"/>
          <w:marRight w:val="0"/>
          <w:marTop w:val="0"/>
          <w:marBottom w:val="0"/>
          <w:divBdr>
            <w:top w:val="none" w:sz="0" w:space="0" w:color="auto"/>
            <w:left w:val="none" w:sz="0" w:space="0" w:color="auto"/>
            <w:bottom w:val="none" w:sz="0" w:space="0" w:color="auto"/>
            <w:right w:val="none" w:sz="0" w:space="0" w:color="auto"/>
          </w:divBdr>
          <w:divsChild>
            <w:div w:id="1652442819">
              <w:marLeft w:val="0"/>
              <w:marRight w:val="0"/>
              <w:marTop w:val="0"/>
              <w:marBottom w:val="0"/>
              <w:divBdr>
                <w:top w:val="none" w:sz="0" w:space="0" w:color="auto"/>
                <w:left w:val="none" w:sz="0" w:space="0" w:color="auto"/>
                <w:bottom w:val="none" w:sz="0" w:space="0" w:color="auto"/>
                <w:right w:val="none" w:sz="0" w:space="0" w:color="auto"/>
              </w:divBdr>
              <w:divsChild>
                <w:div w:id="1388605917">
                  <w:marLeft w:val="0"/>
                  <w:marRight w:val="0"/>
                  <w:marTop w:val="0"/>
                  <w:marBottom w:val="0"/>
                  <w:divBdr>
                    <w:top w:val="none" w:sz="0" w:space="0" w:color="auto"/>
                    <w:left w:val="none" w:sz="0" w:space="0" w:color="auto"/>
                    <w:bottom w:val="none" w:sz="0" w:space="0" w:color="auto"/>
                    <w:right w:val="none" w:sz="0" w:space="0" w:color="auto"/>
                  </w:divBdr>
                  <w:divsChild>
                    <w:div w:id="20051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50053">
      <w:bodyDiv w:val="1"/>
      <w:marLeft w:val="0"/>
      <w:marRight w:val="0"/>
      <w:marTop w:val="0"/>
      <w:marBottom w:val="0"/>
      <w:divBdr>
        <w:top w:val="none" w:sz="0" w:space="0" w:color="auto"/>
        <w:left w:val="none" w:sz="0" w:space="0" w:color="auto"/>
        <w:bottom w:val="none" w:sz="0" w:space="0" w:color="auto"/>
        <w:right w:val="none" w:sz="0" w:space="0" w:color="auto"/>
      </w:divBdr>
      <w:divsChild>
        <w:div w:id="1903709091">
          <w:marLeft w:val="0"/>
          <w:marRight w:val="0"/>
          <w:marTop w:val="0"/>
          <w:marBottom w:val="0"/>
          <w:divBdr>
            <w:top w:val="none" w:sz="0" w:space="0" w:color="auto"/>
            <w:left w:val="none" w:sz="0" w:space="0" w:color="auto"/>
            <w:bottom w:val="none" w:sz="0" w:space="0" w:color="auto"/>
            <w:right w:val="none" w:sz="0" w:space="0" w:color="auto"/>
          </w:divBdr>
          <w:divsChild>
            <w:div w:id="1920017714">
              <w:marLeft w:val="0"/>
              <w:marRight w:val="0"/>
              <w:marTop w:val="0"/>
              <w:marBottom w:val="0"/>
              <w:divBdr>
                <w:top w:val="none" w:sz="0" w:space="0" w:color="auto"/>
                <w:left w:val="none" w:sz="0" w:space="0" w:color="auto"/>
                <w:bottom w:val="none" w:sz="0" w:space="0" w:color="auto"/>
                <w:right w:val="none" w:sz="0" w:space="0" w:color="auto"/>
              </w:divBdr>
              <w:divsChild>
                <w:div w:id="16205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71882">
      <w:bodyDiv w:val="1"/>
      <w:marLeft w:val="0"/>
      <w:marRight w:val="0"/>
      <w:marTop w:val="0"/>
      <w:marBottom w:val="0"/>
      <w:divBdr>
        <w:top w:val="none" w:sz="0" w:space="0" w:color="auto"/>
        <w:left w:val="none" w:sz="0" w:space="0" w:color="auto"/>
        <w:bottom w:val="none" w:sz="0" w:space="0" w:color="auto"/>
        <w:right w:val="none" w:sz="0" w:space="0" w:color="auto"/>
      </w:divBdr>
      <w:divsChild>
        <w:div w:id="2047873965">
          <w:marLeft w:val="0"/>
          <w:marRight w:val="0"/>
          <w:marTop w:val="0"/>
          <w:marBottom w:val="0"/>
          <w:divBdr>
            <w:top w:val="none" w:sz="0" w:space="0" w:color="auto"/>
            <w:left w:val="none" w:sz="0" w:space="0" w:color="auto"/>
            <w:bottom w:val="none" w:sz="0" w:space="0" w:color="auto"/>
            <w:right w:val="none" w:sz="0" w:space="0" w:color="auto"/>
          </w:divBdr>
          <w:divsChild>
            <w:div w:id="1898738255">
              <w:marLeft w:val="0"/>
              <w:marRight w:val="0"/>
              <w:marTop w:val="0"/>
              <w:marBottom w:val="0"/>
              <w:divBdr>
                <w:top w:val="none" w:sz="0" w:space="0" w:color="auto"/>
                <w:left w:val="none" w:sz="0" w:space="0" w:color="auto"/>
                <w:bottom w:val="none" w:sz="0" w:space="0" w:color="auto"/>
                <w:right w:val="none" w:sz="0" w:space="0" w:color="auto"/>
              </w:divBdr>
              <w:divsChild>
                <w:div w:id="20655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01783">
      <w:bodyDiv w:val="1"/>
      <w:marLeft w:val="0"/>
      <w:marRight w:val="0"/>
      <w:marTop w:val="0"/>
      <w:marBottom w:val="0"/>
      <w:divBdr>
        <w:top w:val="none" w:sz="0" w:space="0" w:color="auto"/>
        <w:left w:val="none" w:sz="0" w:space="0" w:color="auto"/>
        <w:bottom w:val="none" w:sz="0" w:space="0" w:color="auto"/>
        <w:right w:val="none" w:sz="0" w:space="0" w:color="auto"/>
      </w:divBdr>
      <w:divsChild>
        <w:div w:id="550383114">
          <w:marLeft w:val="0"/>
          <w:marRight w:val="0"/>
          <w:marTop w:val="0"/>
          <w:marBottom w:val="0"/>
          <w:divBdr>
            <w:top w:val="none" w:sz="0" w:space="0" w:color="auto"/>
            <w:left w:val="none" w:sz="0" w:space="0" w:color="auto"/>
            <w:bottom w:val="none" w:sz="0" w:space="0" w:color="auto"/>
            <w:right w:val="none" w:sz="0" w:space="0" w:color="auto"/>
          </w:divBdr>
          <w:divsChild>
            <w:div w:id="807822110">
              <w:marLeft w:val="0"/>
              <w:marRight w:val="0"/>
              <w:marTop w:val="0"/>
              <w:marBottom w:val="0"/>
              <w:divBdr>
                <w:top w:val="none" w:sz="0" w:space="0" w:color="auto"/>
                <w:left w:val="none" w:sz="0" w:space="0" w:color="auto"/>
                <w:bottom w:val="none" w:sz="0" w:space="0" w:color="auto"/>
                <w:right w:val="none" w:sz="0" w:space="0" w:color="auto"/>
              </w:divBdr>
              <w:divsChild>
                <w:div w:id="8606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09139">
      <w:bodyDiv w:val="1"/>
      <w:marLeft w:val="0"/>
      <w:marRight w:val="0"/>
      <w:marTop w:val="0"/>
      <w:marBottom w:val="0"/>
      <w:divBdr>
        <w:top w:val="none" w:sz="0" w:space="0" w:color="auto"/>
        <w:left w:val="none" w:sz="0" w:space="0" w:color="auto"/>
        <w:bottom w:val="none" w:sz="0" w:space="0" w:color="auto"/>
        <w:right w:val="none" w:sz="0" w:space="0" w:color="auto"/>
      </w:divBdr>
      <w:divsChild>
        <w:div w:id="301346748">
          <w:marLeft w:val="0"/>
          <w:marRight w:val="0"/>
          <w:marTop w:val="0"/>
          <w:marBottom w:val="0"/>
          <w:divBdr>
            <w:top w:val="none" w:sz="0" w:space="0" w:color="auto"/>
            <w:left w:val="none" w:sz="0" w:space="0" w:color="auto"/>
            <w:bottom w:val="none" w:sz="0" w:space="0" w:color="auto"/>
            <w:right w:val="none" w:sz="0" w:space="0" w:color="auto"/>
          </w:divBdr>
          <w:divsChild>
            <w:div w:id="864824624">
              <w:marLeft w:val="0"/>
              <w:marRight w:val="0"/>
              <w:marTop w:val="0"/>
              <w:marBottom w:val="0"/>
              <w:divBdr>
                <w:top w:val="none" w:sz="0" w:space="0" w:color="auto"/>
                <w:left w:val="none" w:sz="0" w:space="0" w:color="auto"/>
                <w:bottom w:val="none" w:sz="0" w:space="0" w:color="auto"/>
                <w:right w:val="none" w:sz="0" w:space="0" w:color="auto"/>
              </w:divBdr>
              <w:divsChild>
                <w:div w:id="350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5436">
      <w:bodyDiv w:val="1"/>
      <w:marLeft w:val="0"/>
      <w:marRight w:val="0"/>
      <w:marTop w:val="0"/>
      <w:marBottom w:val="0"/>
      <w:divBdr>
        <w:top w:val="none" w:sz="0" w:space="0" w:color="auto"/>
        <w:left w:val="none" w:sz="0" w:space="0" w:color="auto"/>
        <w:bottom w:val="none" w:sz="0" w:space="0" w:color="auto"/>
        <w:right w:val="none" w:sz="0" w:space="0" w:color="auto"/>
      </w:divBdr>
      <w:divsChild>
        <w:div w:id="1162625595">
          <w:marLeft w:val="0"/>
          <w:marRight w:val="0"/>
          <w:marTop w:val="0"/>
          <w:marBottom w:val="0"/>
          <w:divBdr>
            <w:top w:val="none" w:sz="0" w:space="0" w:color="auto"/>
            <w:left w:val="none" w:sz="0" w:space="0" w:color="auto"/>
            <w:bottom w:val="none" w:sz="0" w:space="0" w:color="auto"/>
            <w:right w:val="none" w:sz="0" w:space="0" w:color="auto"/>
          </w:divBdr>
          <w:divsChild>
            <w:div w:id="1889297410">
              <w:marLeft w:val="0"/>
              <w:marRight w:val="0"/>
              <w:marTop w:val="0"/>
              <w:marBottom w:val="0"/>
              <w:divBdr>
                <w:top w:val="none" w:sz="0" w:space="0" w:color="auto"/>
                <w:left w:val="none" w:sz="0" w:space="0" w:color="auto"/>
                <w:bottom w:val="none" w:sz="0" w:space="0" w:color="auto"/>
                <w:right w:val="none" w:sz="0" w:space="0" w:color="auto"/>
              </w:divBdr>
              <w:divsChild>
                <w:div w:id="146560933">
                  <w:marLeft w:val="0"/>
                  <w:marRight w:val="0"/>
                  <w:marTop w:val="0"/>
                  <w:marBottom w:val="0"/>
                  <w:divBdr>
                    <w:top w:val="none" w:sz="0" w:space="0" w:color="auto"/>
                    <w:left w:val="none" w:sz="0" w:space="0" w:color="auto"/>
                    <w:bottom w:val="none" w:sz="0" w:space="0" w:color="auto"/>
                    <w:right w:val="none" w:sz="0" w:space="0" w:color="auto"/>
                  </w:divBdr>
                  <w:divsChild>
                    <w:div w:id="6563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52228">
      <w:bodyDiv w:val="1"/>
      <w:marLeft w:val="0"/>
      <w:marRight w:val="0"/>
      <w:marTop w:val="0"/>
      <w:marBottom w:val="0"/>
      <w:divBdr>
        <w:top w:val="none" w:sz="0" w:space="0" w:color="auto"/>
        <w:left w:val="none" w:sz="0" w:space="0" w:color="auto"/>
        <w:bottom w:val="none" w:sz="0" w:space="0" w:color="auto"/>
        <w:right w:val="none" w:sz="0" w:space="0" w:color="auto"/>
      </w:divBdr>
      <w:divsChild>
        <w:div w:id="1197894336">
          <w:marLeft w:val="0"/>
          <w:marRight w:val="0"/>
          <w:marTop w:val="0"/>
          <w:marBottom w:val="0"/>
          <w:divBdr>
            <w:top w:val="none" w:sz="0" w:space="0" w:color="auto"/>
            <w:left w:val="none" w:sz="0" w:space="0" w:color="auto"/>
            <w:bottom w:val="none" w:sz="0" w:space="0" w:color="auto"/>
            <w:right w:val="none" w:sz="0" w:space="0" w:color="auto"/>
          </w:divBdr>
          <w:divsChild>
            <w:div w:id="920409039">
              <w:marLeft w:val="0"/>
              <w:marRight w:val="0"/>
              <w:marTop w:val="0"/>
              <w:marBottom w:val="0"/>
              <w:divBdr>
                <w:top w:val="none" w:sz="0" w:space="0" w:color="auto"/>
                <w:left w:val="none" w:sz="0" w:space="0" w:color="auto"/>
                <w:bottom w:val="none" w:sz="0" w:space="0" w:color="auto"/>
                <w:right w:val="none" w:sz="0" w:space="0" w:color="auto"/>
              </w:divBdr>
              <w:divsChild>
                <w:div w:id="800535300">
                  <w:marLeft w:val="0"/>
                  <w:marRight w:val="0"/>
                  <w:marTop w:val="0"/>
                  <w:marBottom w:val="0"/>
                  <w:divBdr>
                    <w:top w:val="none" w:sz="0" w:space="0" w:color="auto"/>
                    <w:left w:val="none" w:sz="0" w:space="0" w:color="auto"/>
                    <w:bottom w:val="none" w:sz="0" w:space="0" w:color="auto"/>
                    <w:right w:val="none" w:sz="0" w:space="0" w:color="auto"/>
                  </w:divBdr>
                  <w:divsChild>
                    <w:div w:id="16394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99508">
      <w:bodyDiv w:val="1"/>
      <w:marLeft w:val="0"/>
      <w:marRight w:val="0"/>
      <w:marTop w:val="0"/>
      <w:marBottom w:val="0"/>
      <w:divBdr>
        <w:top w:val="none" w:sz="0" w:space="0" w:color="auto"/>
        <w:left w:val="none" w:sz="0" w:space="0" w:color="auto"/>
        <w:bottom w:val="none" w:sz="0" w:space="0" w:color="auto"/>
        <w:right w:val="none" w:sz="0" w:space="0" w:color="auto"/>
      </w:divBdr>
      <w:divsChild>
        <w:div w:id="1705322421">
          <w:marLeft w:val="0"/>
          <w:marRight w:val="0"/>
          <w:marTop w:val="0"/>
          <w:marBottom w:val="0"/>
          <w:divBdr>
            <w:top w:val="none" w:sz="0" w:space="0" w:color="auto"/>
            <w:left w:val="none" w:sz="0" w:space="0" w:color="auto"/>
            <w:bottom w:val="none" w:sz="0" w:space="0" w:color="auto"/>
            <w:right w:val="none" w:sz="0" w:space="0" w:color="auto"/>
          </w:divBdr>
          <w:divsChild>
            <w:div w:id="520968828">
              <w:marLeft w:val="0"/>
              <w:marRight w:val="0"/>
              <w:marTop w:val="0"/>
              <w:marBottom w:val="0"/>
              <w:divBdr>
                <w:top w:val="none" w:sz="0" w:space="0" w:color="auto"/>
                <w:left w:val="none" w:sz="0" w:space="0" w:color="auto"/>
                <w:bottom w:val="none" w:sz="0" w:space="0" w:color="auto"/>
                <w:right w:val="none" w:sz="0" w:space="0" w:color="auto"/>
              </w:divBdr>
              <w:divsChild>
                <w:div w:id="1595742220">
                  <w:marLeft w:val="0"/>
                  <w:marRight w:val="0"/>
                  <w:marTop w:val="0"/>
                  <w:marBottom w:val="0"/>
                  <w:divBdr>
                    <w:top w:val="none" w:sz="0" w:space="0" w:color="auto"/>
                    <w:left w:val="none" w:sz="0" w:space="0" w:color="auto"/>
                    <w:bottom w:val="none" w:sz="0" w:space="0" w:color="auto"/>
                    <w:right w:val="none" w:sz="0" w:space="0" w:color="auto"/>
                  </w:divBdr>
                  <w:divsChild>
                    <w:div w:id="402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6007">
      <w:bodyDiv w:val="1"/>
      <w:marLeft w:val="0"/>
      <w:marRight w:val="0"/>
      <w:marTop w:val="0"/>
      <w:marBottom w:val="0"/>
      <w:divBdr>
        <w:top w:val="none" w:sz="0" w:space="0" w:color="auto"/>
        <w:left w:val="none" w:sz="0" w:space="0" w:color="auto"/>
        <w:bottom w:val="none" w:sz="0" w:space="0" w:color="auto"/>
        <w:right w:val="none" w:sz="0" w:space="0" w:color="auto"/>
      </w:divBdr>
      <w:divsChild>
        <w:div w:id="354159816">
          <w:marLeft w:val="0"/>
          <w:marRight w:val="0"/>
          <w:marTop w:val="0"/>
          <w:marBottom w:val="0"/>
          <w:divBdr>
            <w:top w:val="none" w:sz="0" w:space="0" w:color="auto"/>
            <w:left w:val="none" w:sz="0" w:space="0" w:color="auto"/>
            <w:bottom w:val="none" w:sz="0" w:space="0" w:color="auto"/>
            <w:right w:val="none" w:sz="0" w:space="0" w:color="auto"/>
          </w:divBdr>
          <w:divsChild>
            <w:div w:id="864056856">
              <w:marLeft w:val="0"/>
              <w:marRight w:val="0"/>
              <w:marTop w:val="0"/>
              <w:marBottom w:val="0"/>
              <w:divBdr>
                <w:top w:val="none" w:sz="0" w:space="0" w:color="auto"/>
                <w:left w:val="none" w:sz="0" w:space="0" w:color="auto"/>
                <w:bottom w:val="none" w:sz="0" w:space="0" w:color="auto"/>
                <w:right w:val="none" w:sz="0" w:space="0" w:color="auto"/>
              </w:divBdr>
              <w:divsChild>
                <w:div w:id="1106927003">
                  <w:marLeft w:val="0"/>
                  <w:marRight w:val="0"/>
                  <w:marTop w:val="0"/>
                  <w:marBottom w:val="0"/>
                  <w:divBdr>
                    <w:top w:val="none" w:sz="0" w:space="0" w:color="auto"/>
                    <w:left w:val="none" w:sz="0" w:space="0" w:color="auto"/>
                    <w:bottom w:val="none" w:sz="0" w:space="0" w:color="auto"/>
                    <w:right w:val="none" w:sz="0" w:space="0" w:color="auto"/>
                  </w:divBdr>
                  <w:divsChild>
                    <w:div w:id="14766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93809">
      <w:bodyDiv w:val="1"/>
      <w:marLeft w:val="0"/>
      <w:marRight w:val="0"/>
      <w:marTop w:val="0"/>
      <w:marBottom w:val="0"/>
      <w:divBdr>
        <w:top w:val="none" w:sz="0" w:space="0" w:color="auto"/>
        <w:left w:val="none" w:sz="0" w:space="0" w:color="auto"/>
        <w:bottom w:val="none" w:sz="0" w:space="0" w:color="auto"/>
        <w:right w:val="none" w:sz="0" w:space="0" w:color="auto"/>
      </w:divBdr>
      <w:divsChild>
        <w:div w:id="1150906845">
          <w:marLeft w:val="0"/>
          <w:marRight w:val="0"/>
          <w:marTop w:val="0"/>
          <w:marBottom w:val="0"/>
          <w:divBdr>
            <w:top w:val="none" w:sz="0" w:space="0" w:color="auto"/>
            <w:left w:val="none" w:sz="0" w:space="0" w:color="auto"/>
            <w:bottom w:val="none" w:sz="0" w:space="0" w:color="auto"/>
            <w:right w:val="none" w:sz="0" w:space="0" w:color="auto"/>
          </w:divBdr>
          <w:divsChild>
            <w:div w:id="236282308">
              <w:marLeft w:val="0"/>
              <w:marRight w:val="0"/>
              <w:marTop w:val="0"/>
              <w:marBottom w:val="0"/>
              <w:divBdr>
                <w:top w:val="none" w:sz="0" w:space="0" w:color="auto"/>
                <w:left w:val="none" w:sz="0" w:space="0" w:color="auto"/>
                <w:bottom w:val="none" w:sz="0" w:space="0" w:color="auto"/>
                <w:right w:val="none" w:sz="0" w:space="0" w:color="auto"/>
              </w:divBdr>
              <w:divsChild>
                <w:div w:id="233778653">
                  <w:marLeft w:val="0"/>
                  <w:marRight w:val="0"/>
                  <w:marTop w:val="0"/>
                  <w:marBottom w:val="0"/>
                  <w:divBdr>
                    <w:top w:val="none" w:sz="0" w:space="0" w:color="auto"/>
                    <w:left w:val="none" w:sz="0" w:space="0" w:color="auto"/>
                    <w:bottom w:val="none" w:sz="0" w:space="0" w:color="auto"/>
                    <w:right w:val="none" w:sz="0" w:space="0" w:color="auto"/>
                  </w:divBdr>
                  <w:divsChild>
                    <w:div w:id="4632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13125">
      <w:bodyDiv w:val="1"/>
      <w:marLeft w:val="0"/>
      <w:marRight w:val="0"/>
      <w:marTop w:val="0"/>
      <w:marBottom w:val="0"/>
      <w:divBdr>
        <w:top w:val="none" w:sz="0" w:space="0" w:color="auto"/>
        <w:left w:val="none" w:sz="0" w:space="0" w:color="auto"/>
        <w:bottom w:val="none" w:sz="0" w:space="0" w:color="auto"/>
        <w:right w:val="none" w:sz="0" w:space="0" w:color="auto"/>
      </w:divBdr>
      <w:divsChild>
        <w:div w:id="1783110573">
          <w:marLeft w:val="0"/>
          <w:marRight w:val="0"/>
          <w:marTop w:val="0"/>
          <w:marBottom w:val="0"/>
          <w:divBdr>
            <w:top w:val="none" w:sz="0" w:space="0" w:color="auto"/>
            <w:left w:val="none" w:sz="0" w:space="0" w:color="auto"/>
            <w:bottom w:val="none" w:sz="0" w:space="0" w:color="auto"/>
            <w:right w:val="none" w:sz="0" w:space="0" w:color="auto"/>
          </w:divBdr>
          <w:divsChild>
            <w:div w:id="1438869030">
              <w:marLeft w:val="0"/>
              <w:marRight w:val="0"/>
              <w:marTop w:val="0"/>
              <w:marBottom w:val="0"/>
              <w:divBdr>
                <w:top w:val="none" w:sz="0" w:space="0" w:color="auto"/>
                <w:left w:val="none" w:sz="0" w:space="0" w:color="auto"/>
                <w:bottom w:val="none" w:sz="0" w:space="0" w:color="auto"/>
                <w:right w:val="none" w:sz="0" w:space="0" w:color="auto"/>
              </w:divBdr>
              <w:divsChild>
                <w:div w:id="685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17476">
      <w:bodyDiv w:val="1"/>
      <w:marLeft w:val="0"/>
      <w:marRight w:val="0"/>
      <w:marTop w:val="0"/>
      <w:marBottom w:val="0"/>
      <w:divBdr>
        <w:top w:val="none" w:sz="0" w:space="0" w:color="auto"/>
        <w:left w:val="none" w:sz="0" w:space="0" w:color="auto"/>
        <w:bottom w:val="none" w:sz="0" w:space="0" w:color="auto"/>
        <w:right w:val="none" w:sz="0" w:space="0" w:color="auto"/>
      </w:divBdr>
      <w:divsChild>
        <w:div w:id="103765814">
          <w:marLeft w:val="0"/>
          <w:marRight w:val="0"/>
          <w:marTop w:val="0"/>
          <w:marBottom w:val="0"/>
          <w:divBdr>
            <w:top w:val="none" w:sz="0" w:space="0" w:color="auto"/>
            <w:left w:val="none" w:sz="0" w:space="0" w:color="auto"/>
            <w:bottom w:val="none" w:sz="0" w:space="0" w:color="auto"/>
            <w:right w:val="none" w:sz="0" w:space="0" w:color="auto"/>
          </w:divBdr>
          <w:divsChild>
            <w:div w:id="1113984902">
              <w:marLeft w:val="0"/>
              <w:marRight w:val="0"/>
              <w:marTop w:val="0"/>
              <w:marBottom w:val="0"/>
              <w:divBdr>
                <w:top w:val="none" w:sz="0" w:space="0" w:color="auto"/>
                <w:left w:val="none" w:sz="0" w:space="0" w:color="auto"/>
                <w:bottom w:val="none" w:sz="0" w:space="0" w:color="auto"/>
                <w:right w:val="none" w:sz="0" w:space="0" w:color="auto"/>
              </w:divBdr>
              <w:divsChild>
                <w:div w:id="14800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843089">
      <w:bodyDiv w:val="1"/>
      <w:marLeft w:val="0"/>
      <w:marRight w:val="0"/>
      <w:marTop w:val="0"/>
      <w:marBottom w:val="0"/>
      <w:divBdr>
        <w:top w:val="none" w:sz="0" w:space="0" w:color="auto"/>
        <w:left w:val="none" w:sz="0" w:space="0" w:color="auto"/>
        <w:bottom w:val="none" w:sz="0" w:space="0" w:color="auto"/>
        <w:right w:val="none" w:sz="0" w:space="0" w:color="auto"/>
      </w:divBdr>
      <w:divsChild>
        <w:div w:id="53551632">
          <w:marLeft w:val="0"/>
          <w:marRight w:val="0"/>
          <w:marTop w:val="0"/>
          <w:marBottom w:val="0"/>
          <w:divBdr>
            <w:top w:val="none" w:sz="0" w:space="0" w:color="auto"/>
            <w:left w:val="none" w:sz="0" w:space="0" w:color="auto"/>
            <w:bottom w:val="none" w:sz="0" w:space="0" w:color="auto"/>
            <w:right w:val="none" w:sz="0" w:space="0" w:color="auto"/>
          </w:divBdr>
          <w:divsChild>
            <w:div w:id="191771395">
              <w:marLeft w:val="0"/>
              <w:marRight w:val="0"/>
              <w:marTop w:val="0"/>
              <w:marBottom w:val="0"/>
              <w:divBdr>
                <w:top w:val="none" w:sz="0" w:space="0" w:color="auto"/>
                <w:left w:val="none" w:sz="0" w:space="0" w:color="auto"/>
                <w:bottom w:val="none" w:sz="0" w:space="0" w:color="auto"/>
                <w:right w:val="none" w:sz="0" w:space="0" w:color="auto"/>
              </w:divBdr>
              <w:divsChild>
                <w:div w:id="10106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224730">
      <w:bodyDiv w:val="1"/>
      <w:marLeft w:val="0"/>
      <w:marRight w:val="0"/>
      <w:marTop w:val="0"/>
      <w:marBottom w:val="0"/>
      <w:divBdr>
        <w:top w:val="none" w:sz="0" w:space="0" w:color="auto"/>
        <w:left w:val="none" w:sz="0" w:space="0" w:color="auto"/>
        <w:bottom w:val="none" w:sz="0" w:space="0" w:color="auto"/>
        <w:right w:val="none" w:sz="0" w:space="0" w:color="auto"/>
      </w:divBdr>
      <w:divsChild>
        <w:div w:id="1987709281">
          <w:marLeft w:val="0"/>
          <w:marRight w:val="0"/>
          <w:marTop w:val="0"/>
          <w:marBottom w:val="0"/>
          <w:divBdr>
            <w:top w:val="none" w:sz="0" w:space="0" w:color="auto"/>
            <w:left w:val="none" w:sz="0" w:space="0" w:color="auto"/>
            <w:bottom w:val="none" w:sz="0" w:space="0" w:color="auto"/>
            <w:right w:val="none" w:sz="0" w:space="0" w:color="auto"/>
          </w:divBdr>
          <w:divsChild>
            <w:div w:id="200825648">
              <w:marLeft w:val="0"/>
              <w:marRight w:val="0"/>
              <w:marTop w:val="0"/>
              <w:marBottom w:val="0"/>
              <w:divBdr>
                <w:top w:val="none" w:sz="0" w:space="0" w:color="auto"/>
                <w:left w:val="none" w:sz="0" w:space="0" w:color="auto"/>
                <w:bottom w:val="none" w:sz="0" w:space="0" w:color="auto"/>
                <w:right w:val="none" w:sz="0" w:space="0" w:color="auto"/>
              </w:divBdr>
              <w:divsChild>
                <w:div w:id="1849977240">
                  <w:marLeft w:val="0"/>
                  <w:marRight w:val="0"/>
                  <w:marTop w:val="0"/>
                  <w:marBottom w:val="0"/>
                  <w:divBdr>
                    <w:top w:val="none" w:sz="0" w:space="0" w:color="auto"/>
                    <w:left w:val="none" w:sz="0" w:space="0" w:color="auto"/>
                    <w:bottom w:val="none" w:sz="0" w:space="0" w:color="auto"/>
                    <w:right w:val="none" w:sz="0" w:space="0" w:color="auto"/>
                  </w:divBdr>
                  <w:divsChild>
                    <w:div w:id="2512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5175">
      <w:bodyDiv w:val="1"/>
      <w:marLeft w:val="0"/>
      <w:marRight w:val="0"/>
      <w:marTop w:val="0"/>
      <w:marBottom w:val="0"/>
      <w:divBdr>
        <w:top w:val="none" w:sz="0" w:space="0" w:color="auto"/>
        <w:left w:val="none" w:sz="0" w:space="0" w:color="auto"/>
        <w:bottom w:val="none" w:sz="0" w:space="0" w:color="auto"/>
        <w:right w:val="none" w:sz="0" w:space="0" w:color="auto"/>
      </w:divBdr>
      <w:divsChild>
        <w:div w:id="1277978774">
          <w:marLeft w:val="0"/>
          <w:marRight w:val="0"/>
          <w:marTop w:val="0"/>
          <w:marBottom w:val="0"/>
          <w:divBdr>
            <w:top w:val="none" w:sz="0" w:space="0" w:color="auto"/>
            <w:left w:val="none" w:sz="0" w:space="0" w:color="auto"/>
            <w:bottom w:val="none" w:sz="0" w:space="0" w:color="auto"/>
            <w:right w:val="none" w:sz="0" w:space="0" w:color="auto"/>
          </w:divBdr>
          <w:divsChild>
            <w:div w:id="1986663808">
              <w:marLeft w:val="0"/>
              <w:marRight w:val="0"/>
              <w:marTop w:val="0"/>
              <w:marBottom w:val="0"/>
              <w:divBdr>
                <w:top w:val="none" w:sz="0" w:space="0" w:color="auto"/>
                <w:left w:val="none" w:sz="0" w:space="0" w:color="auto"/>
                <w:bottom w:val="none" w:sz="0" w:space="0" w:color="auto"/>
                <w:right w:val="none" w:sz="0" w:space="0" w:color="auto"/>
              </w:divBdr>
              <w:divsChild>
                <w:div w:id="1823228629">
                  <w:marLeft w:val="0"/>
                  <w:marRight w:val="0"/>
                  <w:marTop w:val="0"/>
                  <w:marBottom w:val="0"/>
                  <w:divBdr>
                    <w:top w:val="none" w:sz="0" w:space="0" w:color="auto"/>
                    <w:left w:val="none" w:sz="0" w:space="0" w:color="auto"/>
                    <w:bottom w:val="none" w:sz="0" w:space="0" w:color="auto"/>
                    <w:right w:val="none" w:sz="0" w:space="0" w:color="auto"/>
                  </w:divBdr>
                  <w:divsChild>
                    <w:div w:id="12267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8234">
      <w:bodyDiv w:val="1"/>
      <w:marLeft w:val="0"/>
      <w:marRight w:val="0"/>
      <w:marTop w:val="0"/>
      <w:marBottom w:val="0"/>
      <w:divBdr>
        <w:top w:val="none" w:sz="0" w:space="0" w:color="auto"/>
        <w:left w:val="none" w:sz="0" w:space="0" w:color="auto"/>
        <w:bottom w:val="none" w:sz="0" w:space="0" w:color="auto"/>
        <w:right w:val="none" w:sz="0" w:space="0" w:color="auto"/>
      </w:divBdr>
      <w:divsChild>
        <w:div w:id="902521989">
          <w:marLeft w:val="0"/>
          <w:marRight w:val="0"/>
          <w:marTop w:val="0"/>
          <w:marBottom w:val="0"/>
          <w:divBdr>
            <w:top w:val="none" w:sz="0" w:space="0" w:color="auto"/>
            <w:left w:val="none" w:sz="0" w:space="0" w:color="auto"/>
            <w:bottom w:val="none" w:sz="0" w:space="0" w:color="auto"/>
            <w:right w:val="none" w:sz="0" w:space="0" w:color="auto"/>
          </w:divBdr>
          <w:divsChild>
            <w:div w:id="365257529">
              <w:marLeft w:val="0"/>
              <w:marRight w:val="0"/>
              <w:marTop w:val="0"/>
              <w:marBottom w:val="0"/>
              <w:divBdr>
                <w:top w:val="none" w:sz="0" w:space="0" w:color="auto"/>
                <w:left w:val="none" w:sz="0" w:space="0" w:color="auto"/>
                <w:bottom w:val="none" w:sz="0" w:space="0" w:color="auto"/>
                <w:right w:val="none" w:sz="0" w:space="0" w:color="auto"/>
              </w:divBdr>
              <w:divsChild>
                <w:div w:id="613752745">
                  <w:marLeft w:val="0"/>
                  <w:marRight w:val="0"/>
                  <w:marTop w:val="0"/>
                  <w:marBottom w:val="0"/>
                  <w:divBdr>
                    <w:top w:val="none" w:sz="0" w:space="0" w:color="auto"/>
                    <w:left w:val="none" w:sz="0" w:space="0" w:color="auto"/>
                    <w:bottom w:val="none" w:sz="0" w:space="0" w:color="auto"/>
                    <w:right w:val="none" w:sz="0" w:space="0" w:color="auto"/>
                  </w:divBdr>
                  <w:divsChild>
                    <w:div w:id="16551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94766">
      <w:bodyDiv w:val="1"/>
      <w:marLeft w:val="0"/>
      <w:marRight w:val="0"/>
      <w:marTop w:val="0"/>
      <w:marBottom w:val="0"/>
      <w:divBdr>
        <w:top w:val="none" w:sz="0" w:space="0" w:color="auto"/>
        <w:left w:val="none" w:sz="0" w:space="0" w:color="auto"/>
        <w:bottom w:val="none" w:sz="0" w:space="0" w:color="auto"/>
        <w:right w:val="none" w:sz="0" w:space="0" w:color="auto"/>
      </w:divBdr>
    </w:div>
    <w:div w:id="1594968100">
      <w:bodyDiv w:val="1"/>
      <w:marLeft w:val="0"/>
      <w:marRight w:val="0"/>
      <w:marTop w:val="0"/>
      <w:marBottom w:val="0"/>
      <w:divBdr>
        <w:top w:val="none" w:sz="0" w:space="0" w:color="auto"/>
        <w:left w:val="none" w:sz="0" w:space="0" w:color="auto"/>
        <w:bottom w:val="none" w:sz="0" w:space="0" w:color="auto"/>
        <w:right w:val="none" w:sz="0" w:space="0" w:color="auto"/>
      </w:divBdr>
      <w:divsChild>
        <w:div w:id="1546403690">
          <w:marLeft w:val="0"/>
          <w:marRight w:val="0"/>
          <w:marTop w:val="0"/>
          <w:marBottom w:val="0"/>
          <w:divBdr>
            <w:top w:val="none" w:sz="0" w:space="0" w:color="auto"/>
            <w:left w:val="none" w:sz="0" w:space="0" w:color="auto"/>
            <w:bottom w:val="none" w:sz="0" w:space="0" w:color="auto"/>
            <w:right w:val="none" w:sz="0" w:space="0" w:color="auto"/>
          </w:divBdr>
          <w:divsChild>
            <w:div w:id="783110936">
              <w:marLeft w:val="0"/>
              <w:marRight w:val="0"/>
              <w:marTop w:val="0"/>
              <w:marBottom w:val="0"/>
              <w:divBdr>
                <w:top w:val="none" w:sz="0" w:space="0" w:color="auto"/>
                <w:left w:val="none" w:sz="0" w:space="0" w:color="auto"/>
                <w:bottom w:val="none" w:sz="0" w:space="0" w:color="auto"/>
                <w:right w:val="none" w:sz="0" w:space="0" w:color="auto"/>
              </w:divBdr>
              <w:divsChild>
                <w:div w:id="469369200">
                  <w:marLeft w:val="0"/>
                  <w:marRight w:val="0"/>
                  <w:marTop w:val="0"/>
                  <w:marBottom w:val="0"/>
                  <w:divBdr>
                    <w:top w:val="none" w:sz="0" w:space="0" w:color="auto"/>
                    <w:left w:val="none" w:sz="0" w:space="0" w:color="auto"/>
                    <w:bottom w:val="none" w:sz="0" w:space="0" w:color="auto"/>
                    <w:right w:val="none" w:sz="0" w:space="0" w:color="auto"/>
                  </w:divBdr>
                  <w:divsChild>
                    <w:div w:id="10942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8719">
      <w:bodyDiv w:val="1"/>
      <w:marLeft w:val="0"/>
      <w:marRight w:val="0"/>
      <w:marTop w:val="0"/>
      <w:marBottom w:val="0"/>
      <w:divBdr>
        <w:top w:val="none" w:sz="0" w:space="0" w:color="auto"/>
        <w:left w:val="none" w:sz="0" w:space="0" w:color="auto"/>
        <w:bottom w:val="none" w:sz="0" w:space="0" w:color="auto"/>
        <w:right w:val="none" w:sz="0" w:space="0" w:color="auto"/>
      </w:divBdr>
    </w:div>
    <w:div w:id="1595899592">
      <w:bodyDiv w:val="1"/>
      <w:marLeft w:val="0"/>
      <w:marRight w:val="0"/>
      <w:marTop w:val="0"/>
      <w:marBottom w:val="0"/>
      <w:divBdr>
        <w:top w:val="none" w:sz="0" w:space="0" w:color="auto"/>
        <w:left w:val="none" w:sz="0" w:space="0" w:color="auto"/>
        <w:bottom w:val="none" w:sz="0" w:space="0" w:color="auto"/>
        <w:right w:val="none" w:sz="0" w:space="0" w:color="auto"/>
      </w:divBdr>
      <w:divsChild>
        <w:div w:id="750589612">
          <w:marLeft w:val="0"/>
          <w:marRight w:val="0"/>
          <w:marTop w:val="0"/>
          <w:marBottom w:val="0"/>
          <w:divBdr>
            <w:top w:val="none" w:sz="0" w:space="0" w:color="auto"/>
            <w:left w:val="none" w:sz="0" w:space="0" w:color="auto"/>
            <w:bottom w:val="none" w:sz="0" w:space="0" w:color="auto"/>
            <w:right w:val="none" w:sz="0" w:space="0" w:color="auto"/>
          </w:divBdr>
          <w:divsChild>
            <w:div w:id="1710954372">
              <w:marLeft w:val="0"/>
              <w:marRight w:val="0"/>
              <w:marTop w:val="0"/>
              <w:marBottom w:val="0"/>
              <w:divBdr>
                <w:top w:val="none" w:sz="0" w:space="0" w:color="auto"/>
                <w:left w:val="none" w:sz="0" w:space="0" w:color="auto"/>
                <w:bottom w:val="none" w:sz="0" w:space="0" w:color="auto"/>
                <w:right w:val="none" w:sz="0" w:space="0" w:color="auto"/>
              </w:divBdr>
              <w:divsChild>
                <w:div w:id="15493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81400">
      <w:bodyDiv w:val="1"/>
      <w:marLeft w:val="0"/>
      <w:marRight w:val="0"/>
      <w:marTop w:val="0"/>
      <w:marBottom w:val="0"/>
      <w:divBdr>
        <w:top w:val="none" w:sz="0" w:space="0" w:color="auto"/>
        <w:left w:val="none" w:sz="0" w:space="0" w:color="auto"/>
        <w:bottom w:val="none" w:sz="0" w:space="0" w:color="auto"/>
        <w:right w:val="none" w:sz="0" w:space="0" w:color="auto"/>
      </w:divBdr>
      <w:divsChild>
        <w:div w:id="556942730">
          <w:marLeft w:val="0"/>
          <w:marRight w:val="0"/>
          <w:marTop w:val="0"/>
          <w:marBottom w:val="0"/>
          <w:divBdr>
            <w:top w:val="none" w:sz="0" w:space="0" w:color="auto"/>
            <w:left w:val="none" w:sz="0" w:space="0" w:color="auto"/>
            <w:bottom w:val="none" w:sz="0" w:space="0" w:color="auto"/>
            <w:right w:val="none" w:sz="0" w:space="0" w:color="auto"/>
          </w:divBdr>
          <w:divsChild>
            <w:div w:id="1623922020">
              <w:marLeft w:val="0"/>
              <w:marRight w:val="0"/>
              <w:marTop w:val="0"/>
              <w:marBottom w:val="0"/>
              <w:divBdr>
                <w:top w:val="none" w:sz="0" w:space="0" w:color="auto"/>
                <w:left w:val="none" w:sz="0" w:space="0" w:color="auto"/>
                <w:bottom w:val="none" w:sz="0" w:space="0" w:color="auto"/>
                <w:right w:val="none" w:sz="0" w:space="0" w:color="auto"/>
              </w:divBdr>
              <w:divsChild>
                <w:div w:id="650594148">
                  <w:marLeft w:val="0"/>
                  <w:marRight w:val="0"/>
                  <w:marTop w:val="0"/>
                  <w:marBottom w:val="0"/>
                  <w:divBdr>
                    <w:top w:val="none" w:sz="0" w:space="0" w:color="auto"/>
                    <w:left w:val="none" w:sz="0" w:space="0" w:color="auto"/>
                    <w:bottom w:val="none" w:sz="0" w:space="0" w:color="auto"/>
                    <w:right w:val="none" w:sz="0" w:space="0" w:color="auto"/>
                  </w:divBdr>
                  <w:divsChild>
                    <w:div w:id="21212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146632">
      <w:bodyDiv w:val="1"/>
      <w:marLeft w:val="0"/>
      <w:marRight w:val="0"/>
      <w:marTop w:val="0"/>
      <w:marBottom w:val="0"/>
      <w:divBdr>
        <w:top w:val="none" w:sz="0" w:space="0" w:color="auto"/>
        <w:left w:val="none" w:sz="0" w:space="0" w:color="auto"/>
        <w:bottom w:val="none" w:sz="0" w:space="0" w:color="auto"/>
        <w:right w:val="none" w:sz="0" w:space="0" w:color="auto"/>
      </w:divBdr>
      <w:divsChild>
        <w:div w:id="443692131">
          <w:marLeft w:val="0"/>
          <w:marRight w:val="0"/>
          <w:marTop w:val="0"/>
          <w:marBottom w:val="0"/>
          <w:divBdr>
            <w:top w:val="none" w:sz="0" w:space="0" w:color="auto"/>
            <w:left w:val="none" w:sz="0" w:space="0" w:color="auto"/>
            <w:bottom w:val="none" w:sz="0" w:space="0" w:color="auto"/>
            <w:right w:val="none" w:sz="0" w:space="0" w:color="auto"/>
          </w:divBdr>
          <w:divsChild>
            <w:div w:id="1337880888">
              <w:marLeft w:val="0"/>
              <w:marRight w:val="0"/>
              <w:marTop w:val="0"/>
              <w:marBottom w:val="0"/>
              <w:divBdr>
                <w:top w:val="none" w:sz="0" w:space="0" w:color="auto"/>
                <w:left w:val="none" w:sz="0" w:space="0" w:color="auto"/>
                <w:bottom w:val="none" w:sz="0" w:space="0" w:color="auto"/>
                <w:right w:val="none" w:sz="0" w:space="0" w:color="auto"/>
              </w:divBdr>
              <w:divsChild>
                <w:div w:id="1041442901">
                  <w:marLeft w:val="0"/>
                  <w:marRight w:val="0"/>
                  <w:marTop w:val="0"/>
                  <w:marBottom w:val="0"/>
                  <w:divBdr>
                    <w:top w:val="none" w:sz="0" w:space="0" w:color="auto"/>
                    <w:left w:val="none" w:sz="0" w:space="0" w:color="auto"/>
                    <w:bottom w:val="none" w:sz="0" w:space="0" w:color="auto"/>
                    <w:right w:val="none" w:sz="0" w:space="0" w:color="auto"/>
                  </w:divBdr>
                  <w:divsChild>
                    <w:div w:id="7546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02082">
          <w:marLeft w:val="0"/>
          <w:marRight w:val="0"/>
          <w:marTop w:val="0"/>
          <w:marBottom w:val="0"/>
          <w:divBdr>
            <w:top w:val="none" w:sz="0" w:space="0" w:color="auto"/>
            <w:left w:val="none" w:sz="0" w:space="0" w:color="auto"/>
            <w:bottom w:val="none" w:sz="0" w:space="0" w:color="auto"/>
            <w:right w:val="none" w:sz="0" w:space="0" w:color="auto"/>
          </w:divBdr>
          <w:divsChild>
            <w:div w:id="1227644455">
              <w:marLeft w:val="0"/>
              <w:marRight w:val="0"/>
              <w:marTop w:val="0"/>
              <w:marBottom w:val="0"/>
              <w:divBdr>
                <w:top w:val="none" w:sz="0" w:space="0" w:color="auto"/>
                <w:left w:val="none" w:sz="0" w:space="0" w:color="auto"/>
                <w:bottom w:val="none" w:sz="0" w:space="0" w:color="auto"/>
                <w:right w:val="none" w:sz="0" w:space="0" w:color="auto"/>
              </w:divBdr>
              <w:divsChild>
                <w:div w:id="580603941">
                  <w:marLeft w:val="0"/>
                  <w:marRight w:val="0"/>
                  <w:marTop w:val="0"/>
                  <w:marBottom w:val="0"/>
                  <w:divBdr>
                    <w:top w:val="none" w:sz="0" w:space="0" w:color="auto"/>
                    <w:left w:val="none" w:sz="0" w:space="0" w:color="auto"/>
                    <w:bottom w:val="none" w:sz="0" w:space="0" w:color="auto"/>
                    <w:right w:val="none" w:sz="0" w:space="0" w:color="auto"/>
                  </w:divBdr>
                  <w:divsChild>
                    <w:div w:id="15370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779710">
      <w:bodyDiv w:val="1"/>
      <w:marLeft w:val="0"/>
      <w:marRight w:val="0"/>
      <w:marTop w:val="0"/>
      <w:marBottom w:val="0"/>
      <w:divBdr>
        <w:top w:val="none" w:sz="0" w:space="0" w:color="auto"/>
        <w:left w:val="none" w:sz="0" w:space="0" w:color="auto"/>
        <w:bottom w:val="none" w:sz="0" w:space="0" w:color="auto"/>
        <w:right w:val="none" w:sz="0" w:space="0" w:color="auto"/>
      </w:divBdr>
      <w:divsChild>
        <w:div w:id="146823186">
          <w:marLeft w:val="0"/>
          <w:marRight w:val="0"/>
          <w:marTop w:val="0"/>
          <w:marBottom w:val="0"/>
          <w:divBdr>
            <w:top w:val="none" w:sz="0" w:space="0" w:color="auto"/>
            <w:left w:val="none" w:sz="0" w:space="0" w:color="auto"/>
            <w:bottom w:val="none" w:sz="0" w:space="0" w:color="auto"/>
            <w:right w:val="none" w:sz="0" w:space="0" w:color="auto"/>
          </w:divBdr>
          <w:divsChild>
            <w:div w:id="2113166182">
              <w:marLeft w:val="0"/>
              <w:marRight w:val="0"/>
              <w:marTop w:val="0"/>
              <w:marBottom w:val="0"/>
              <w:divBdr>
                <w:top w:val="none" w:sz="0" w:space="0" w:color="auto"/>
                <w:left w:val="none" w:sz="0" w:space="0" w:color="auto"/>
                <w:bottom w:val="none" w:sz="0" w:space="0" w:color="auto"/>
                <w:right w:val="none" w:sz="0" w:space="0" w:color="auto"/>
              </w:divBdr>
              <w:divsChild>
                <w:div w:id="2623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2181">
      <w:bodyDiv w:val="1"/>
      <w:marLeft w:val="0"/>
      <w:marRight w:val="0"/>
      <w:marTop w:val="0"/>
      <w:marBottom w:val="0"/>
      <w:divBdr>
        <w:top w:val="none" w:sz="0" w:space="0" w:color="auto"/>
        <w:left w:val="none" w:sz="0" w:space="0" w:color="auto"/>
        <w:bottom w:val="none" w:sz="0" w:space="0" w:color="auto"/>
        <w:right w:val="none" w:sz="0" w:space="0" w:color="auto"/>
      </w:divBdr>
      <w:divsChild>
        <w:div w:id="725302005">
          <w:marLeft w:val="0"/>
          <w:marRight w:val="0"/>
          <w:marTop w:val="0"/>
          <w:marBottom w:val="0"/>
          <w:divBdr>
            <w:top w:val="none" w:sz="0" w:space="0" w:color="auto"/>
            <w:left w:val="none" w:sz="0" w:space="0" w:color="auto"/>
            <w:bottom w:val="none" w:sz="0" w:space="0" w:color="auto"/>
            <w:right w:val="none" w:sz="0" w:space="0" w:color="auto"/>
          </w:divBdr>
          <w:divsChild>
            <w:div w:id="939022753">
              <w:marLeft w:val="0"/>
              <w:marRight w:val="0"/>
              <w:marTop w:val="0"/>
              <w:marBottom w:val="0"/>
              <w:divBdr>
                <w:top w:val="none" w:sz="0" w:space="0" w:color="auto"/>
                <w:left w:val="none" w:sz="0" w:space="0" w:color="auto"/>
                <w:bottom w:val="none" w:sz="0" w:space="0" w:color="auto"/>
                <w:right w:val="none" w:sz="0" w:space="0" w:color="auto"/>
              </w:divBdr>
              <w:divsChild>
                <w:div w:id="24063271">
                  <w:marLeft w:val="0"/>
                  <w:marRight w:val="0"/>
                  <w:marTop w:val="0"/>
                  <w:marBottom w:val="0"/>
                  <w:divBdr>
                    <w:top w:val="none" w:sz="0" w:space="0" w:color="auto"/>
                    <w:left w:val="none" w:sz="0" w:space="0" w:color="auto"/>
                    <w:bottom w:val="none" w:sz="0" w:space="0" w:color="auto"/>
                    <w:right w:val="none" w:sz="0" w:space="0" w:color="auto"/>
                  </w:divBdr>
                  <w:divsChild>
                    <w:div w:id="6824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186335">
      <w:bodyDiv w:val="1"/>
      <w:marLeft w:val="0"/>
      <w:marRight w:val="0"/>
      <w:marTop w:val="0"/>
      <w:marBottom w:val="0"/>
      <w:divBdr>
        <w:top w:val="none" w:sz="0" w:space="0" w:color="auto"/>
        <w:left w:val="none" w:sz="0" w:space="0" w:color="auto"/>
        <w:bottom w:val="none" w:sz="0" w:space="0" w:color="auto"/>
        <w:right w:val="none" w:sz="0" w:space="0" w:color="auto"/>
      </w:divBdr>
      <w:divsChild>
        <w:div w:id="1121074453">
          <w:marLeft w:val="0"/>
          <w:marRight w:val="0"/>
          <w:marTop w:val="0"/>
          <w:marBottom w:val="0"/>
          <w:divBdr>
            <w:top w:val="none" w:sz="0" w:space="0" w:color="auto"/>
            <w:left w:val="none" w:sz="0" w:space="0" w:color="auto"/>
            <w:bottom w:val="none" w:sz="0" w:space="0" w:color="auto"/>
            <w:right w:val="none" w:sz="0" w:space="0" w:color="auto"/>
          </w:divBdr>
          <w:divsChild>
            <w:div w:id="1130126221">
              <w:marLeft w:val="0"/>
              <w:marRight w:val="0"/>
              <w:marTop w:val="0"/>
              <w:marBottom w:val="0"/>
              <w:divBdr>
                <w:top w:val="none" w:sz="0" w:space="0" w:color="auto"/>
                <w:left w:val="none" w:sz="0" w:space="0" w:color="auto"/>
                <w:bottom w:val="none" w:sz="0" w:space="0" w:color="auto"/>
                <w:right w:val="none" w:sz="0" w:space="0" w:color="auto"/>
              </w:divBdr>
              <w:divsChild>
                <w:div w:id="1968388639">
                  <w:marLeft w:val="0"/>
                  <w:marRight w:val="0"/>
                  <w:marTop w:val="0"/>
                  <w:marBottom w:val="0"/>
                  <w:divBdr>
                    <w:top w:val="none" w:sz="0" w:space="0" w:color="auto"/>
                    <w:left w:val="none" w:sz="0" w:space="0" w:color="auto"/>
                    <w:bottom w:val="none" w:sz="0" w:space="0" w:color="auto"/>
                    <w:right w:val="none" w:sz="0" w:space="0" w:color="auto"/>
                  </w:divBdr>
                  <w:divsChild>
                    <w:div w:id="8326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347903">
      <w:bodyDiv w:val="1"/>
      <w:marLeft w:val="0"/>
      <w:marRight w:val="0"/>
      <w:marTop w:val="0"/>
      <w:marBottom w:val="0"/>
      <w:divBdr>
        <w:top w:val="none" w:sz="0" w:space="0" w:color="auto"/>
        <w:left w:val="none" w:sz="0" w:space="0" w:color="auto"/>
        <w:bottom w:val="none" w:sz="0" w:space="0" w:color="auto"/>
        <w:right w:val="none" w:sz="0" w:space="0" w:color="auto"/>
      </w:divBdr>
      <w:divsChild>
        <w:div w:id="1829399068">
          <w:marLeft w:val="0"/>
          <w:marRight w:val="0"/>
          <w:marTop w:val="0"/>
          <w:marBottom w:val="0"/>
          <w:divBdr>
            <w:top w:val="none" w:sz="0" w:space="0" w:color="auto"/>
            <w:left w:val="none" w:sz="0" w:space="0" w:color="auto"/>
            <w:bottom w:val="none" w:sz="0" w:space="0" w:color="auto"/>
            <w:right w:val="none" w:sz="0" w:space="0" w:color="auto"/>
          </w:divBdr>
          <w:divsChild>
            <w:div w:id="213083449">
              <w:marLeft w:val="0"/>
              <w:marRight w:val="0"/>
              <w:marTop w:val="0"/>
              <w:marBottom w:val="0"/>
              <w:divBdr>
                <w:top w:val="none" w:sz="0" w:space="0" w:color="auto"/>
                <w:left w:val="none" w:sz="0" w:space="0" w:color="auto"/>
                <w:bottom w:val="none" w:sz="0" w:space="0" w:color="auto"/>
                <w:right w:val="none" w:sz="0" w:space="0" w:color="auto"/>
              </w:divBdr>
              <w:divsChild>
                <w:div w:id="99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2127">
      <w:bodyDiv w:val="1"/>
      <w:marLeft w:val="0"/>
      <w:marRight w:val="0"/>
      <w:marTop w:val="0"/>
      <w:marBottom w:val="0"/>
      <w:divBdr>
        <w:top w:val="none" w:sz="0" w:space="0" w:color="auto"/>
        <w:left w:val="none" w:sz="0" w:space="0" w:color="auto"/>
        <w:bottom w:val="none" w:sz="0" w:space="0" w:color="auto"/>
        <w:right w:val="none" w:sz="0" w:space="0" w:color="auto"/>
      </w:divBdr>
      <w:divsChild>
        <w:div w:id="1358970049">
          <w:marLeft w:val="0"/>
          <w:marRight w:val="0"/>
          <w:marTop w:val="0"/>
          <w:marBottom w:val="0"/>
          <w:divBdr>
            <w:top w:val="none" w:sz="0" w:space="0" w:color="auto"/>
            <w:left w:val="none" w:sz="0" w:space="0" w:color="auto"/>
            <w:bottom w:val="none" w:sz="0" w:space="0" w:color="auto"/>
            <w:right w:val="none" w:sz="0" w:space="0" w:color="auto"/>
          </w:divBdr>
          <w:divsChild>
            <w:div w:id="803693574">
              <w:marLeft w:val="0"/>
              <w:marRight w:val="0"/>
              <w:marTop w:val="0"/>
              <w:marBottom w:val="0"/>
              <w:divBdr>
                <w:top w:val="none" w:sz="0" w:space="0" w:color="auto"/>
                <w:left w:val="none" w:sz="0" w:space="0" w:color="auto"/>
                <w:bottom w:val="none" w:sz="0" w:space="0" w:color="auto"/>
                <w:right w:val="none" w:sz="0" w:space="0" w:color="auto"/>
              </w:divBdr>
              <w:divsChild>
                <w:div w:id="6812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55317">
      <w:bodyDiv w:val="1"/>
      <w:marLeft w:val="0"/>
      <w:marRight w:val="0"/>
      <w:marTop w:val="0"/>
      <w:marBottom w:val="0"/>
      <w:divBdr>
        <w:top w:val="none" w:sz="0" w:space="0" w:color="auto"/>
        <w:left w:val="none" w:sz="0" w:space="0" w:color="auto"/>
        <w:bottom w:val="none" w:sz="0" w:space="0" w:color="auto"/>
        <w:right w:val="none" w:sz="0" w:space="0" w:color="auto"/>
      </w:divBdr>
      <w:divsChild>
        <w:div w:id="1276207590">
          <w:marLeft w:val="0"/>
          <w:marRight w:val="0"/>
          <w:marTop w:val="0"/>
          <w:marBottom w:val="0"/>
          <w:divBdr>
            <w:top w:val="none" w:sz="0" w:space="0" w:color="auto"/>
            <w:left w:val="none" w:sz="0" w:space="0" w:color="auto"/>
            <w:bottom w:val="none" w:sz="0" w:space="0" w:color="auto"/>
            <w:right w:val="none" w:sz="0" w:space="0" w:color="auto"/>
          </w:divBdr>
          <w:divsChild>
            <w:div w:id="1883666716">
              <w:marLeft w:val="0"/>
              <w:marRight w:val="0"/>
              <w:marTop w:val="0"/>
              <w:marBottom w:val="0"/>
              <w:divBdr>
                <w:top w:val="none" w:sz="0" w:space="0" w:color="auto"/>
                <w:left w:val="none" w:sz="0" w:space="0" w:color="auto"/>
                <w:bottom w:val="none" w:sz="0" w:space="0" w:color="auto"/>
                <w:right w:val="none" w:sz="0" w:space="0" w:color="auto"/>
              </w:divBdr>
              <w:divsChild>
                <w:div w:id="5406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09697">
      <w:bodyDiv w:val="1"/>
      <w:marLeft w:val="0"/>
      <w:marRight w:val="0"/>
      <w:marTop w:val="0"/>
      <w:marBottom w:val="0"/>
      <w:divBdr>
        <w:top w:val="none" w:sz="0" w:space="0" w:color="auto"/>
        <w:left w:val="none" w:sz="0" w:space="0" w:color="auto"/>
        <w:bottom w:val="none" w:sz="0" w:space="0" w:color="auto"/>
        <w:right w:val="none" w:sz="0" w:space="0" w:color="auto"/>
      </w:divBdr>
      <w:divsChild>
        <w:div w:id="1606038534">
          <w:marLeft w:val="0"/>
          <w:marRight w:val="0"/>
          <w:marTop w:val="0"/>
          <w:marBottom w:val="0"/>
          <w:divBdr>
            <w:top w:val="none" w:sz="0" w:space="0" w:color="auto"/>
            <w:left w:val="none" w:sz="0" w:space="0" w:color="auto"/>
            <w:bottom w:val="none" w:sz="0" w:space="0" w:color="auto"/>
            <w:right w:val="none" w:sz="0" w:space="0" w:color="auto"/>
          </w:divBdr>
          <w:divsChild>
            <w:div w:id="1660576647">
              <w:marLeft w:val="0"/>
              <w:marRight w:val="0"/>
              <w:marTop w:val="0"/>
              <w:marBottom w:val="0"/>
              <w:divBdr>
                <w:top w:val="none" w:sz="0" w:space="0" w:color="auto"/>
                <w:left w:val="none" w:sz="0" w:space="0" w:color="auto"/>
                <w:bottom w:val="none" w:sz="0" w:space="0" w:color="auto"/>
                <w:right w:val="none" w:sz="0" w:space="0" w:color="auto"/>
              </w:divBdr>
              <w:divsChild>
                <w:div w:id="1284843455">
                  <w:marLeft w:val="0"/>
                  <w:marRight w:val="0"/>
                  <w:marTop w:val="0"/>
                  <w:marBottom w:val="0"/>
                  <w:divBdr>
                    <w:top w:val="none" w:sz="0" w:space="0" w:color="auto"/>
                    <w:left w:val="none" w:sz="0" w:space="0" w:color="auto"/>
                    <w:bottom w:val="none" w:sz="0" w:space="0" w:color="auto"/>
                    <w:right w:val="none" w:sz="0" w:space="0" w:color="auto"/>
                  </w:divBdr>
                  <w:divsChild>
                    <w:div w:id="14316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83481">
      <w:bodyDiv w:val="1"/>
      <w:marLeft w:val="0"/>
      <w:marRight w:val="0"/>
      <w:marTop w:val="0"/>
      <w:marBottom w:val="0"/>
      <w:divBdr>
        <w:top w:val="none" w:sz="0" w:space="0" w:color="auto"/>
        <w:left w:val="none" w:sz="0" w:space="0" w:color="auto"/>
        <w:bottom w:val="none" w:sz="0" w:space="0" w:color="auto"/>
        <w:right w:val="none" w:sz="0" w:space="0" w:color="auto"/>
      </w:divBdr>
    </w:div>
    <w:div w:id="1655714809">
      <w:bodyDiv w:val="1"/>
      <w:marLeft w:val="0"/>
      <w:marRight w:val="0"/>
      <w:marTop w:val="0"/>
      <w:marBottom w:val="0"/>
      <w:divBdr>
        <w:top w:val="none" w:sz="0" w:space="0" w:color="auto"/>
        <w:left w:val="none" w:sz="0" w:space="0" w:color="auto"/>
        <w:bottom w:val="none" w:sz="0" w:space="0" w:color="auto"/>
        <w:right w:val="none" w:sz="0" w:space="0" w:color="auto"/>
      </w:divBdr>
      <w:divsChild>
        <w:div w:id="1058893651">
          <w:marLeft w:val="0"/>
          <w:marRight w:val="0"/>
          <w:marTop w:val="0"/>
          <w:marBottom w:val="0"/>
          <w:divBdr>
            <w:top w:val="none" w:sz="0" w:space="0" w:color="auto"/>
            <w:left w:val="none" w:sz="0" w:space="0" w:color="auto"/>
            <w:bottom w:val="none" w:sz="0" w:space="0" w:color="auto"/>
            <w:right w:val="none" w:sz="0" w:space="0" w:color="auto"/>
          </w:divBdr>
          <w:divsChild>
            <w:div w:id="1720784979">
              <w:marLeft w:val="0"/>
              <w:marRight w:val="0"/>
              <w:marTop w:val="0"/>
              <w:marBottom w:val="0"/>
              <w:divBdr>
                <w:top w:val="none" w:sz="0" w:space="0" w:color="auto"/>
                <w:left w:val="none" w:sz="0" w:space="0" w:color="auto"/>
                <w:bottom w:val="none" w:sz="0" w:space="0" w:color="auto"/>
                <w:right w:val="none" w:sz="0" w:space="0" w:color="auto"/>
              </w:divBdr>
              <w:divsChild>
                <w:div w:id="731195394">
                  <w:marLeft w:val="0"/>
                  <w:marRight w:val="0"/>
                  <w:marTop w:val="0"/>
                  <w:marBottom w:val="0"/>
                  <w:divBdr>
                    <w:top w:val="none" w:sz="0" w:space="0" w:color="auto"/>
                    <w:left w:val="none" w:sz="0" w:space="0" w:color="auto"/>
                    <w:bottom w:val="none" w:sz="0" w:space="0" w:color="auto"/>
                    <w:right w:val="none" w:sz="0" w:space="0" w:color="auto"/>
                  </w:divBdr>
                  <w:divsChild>
                    <w:div w:id="3210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00475">
      <w:bodyDiv w:val="1"/>
      <w:marLeft w:val="0"/>
      <w:marRight w:val="0"/>
      <w:marTop w:val="0"/>
      <w:marBottom w:val="0"/>
      <w:divBdr>
        <w:top w:val="none" w:sz="0" w:space="0" w:color="auto"/>
        <w:left w:val="none" w:sz="0" w:space="0" w:color="auto"/>
        <w:bottom w:val="none" w:sz="0" w:space="0" w:color="auto"/>
        <w:right w:val="none" w:sz="0" w:space="0" w:color="auto"/>
      </w:divBdr>
    </w:div>
    <w:div w:id="1676304675">
      <w:bodyDiv w:val="1"/>
      <w:marLeft w:val="0"/>
      <w:marRight w:val="0"/>
      <w:marTop w:val="0"/>
      <w:marBottom w:val="0"/>
      <w:divBdr>
        <w:top w:val="none" w:sz="0" w:space="0" w:color="auto"/>
        <w:left w:val="none" w:sz="0" w:space="0" w:color="auto"/>
        <w:bottom w:val="none" w:sz="0" w:space="0" w:color="auto"/>
        <w:right w:val="none" w:sz="0" w:space="0" w:color="auto"/>
      </w:divBdr>
      <w:divsChild>
        <w:div w:id="279454525">
          <w:marLeft w:val="0"/>
          <w:marRight w:val="0"/>
          <w:marTop w:val="0"/>
          <w:marBottom w:val="0"/>
          <w:divBdr>
            <w:top w:val="none" w:sz="0" w:space="0" w:color="auto"/>
            <w:left w:val="none" w:sz="0" w:space="0" w:color="auto"/>
            <w:bottom w:val="none" w:sz="0" w:space="0" w:color="auto"/>
            <w:right w:val="none" w:sz="0" w:space="0" w:color="auto"/>
          </w:divBdr>
          <w:divsChild>
            <w:div w:id="2127193192">
              <w:marLeft w:val="0"/>
              <w:marRight w:val="0"/>
              <w:marTop w:val="0"/>
              <w:marBottom w:val="0"/>
              <w:divBdr>
                <w:top w:val="none" w:sz="0" w:space="0" w:color="auto"/>
                <w:left w:val="none" w:sz="0" w:space="0" w:color="auto"/>
                <w:bottom w:val="none" w:sz="0" w:space="0" w:color="auto"/>
                <w:right w:val="none" w:sz="0" w:space="0" w:color="auto"/>
              </w:divBdr>
              <w:divsChild>
                <w:div w:id="19990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4183">
      <w:bodyDiv w:val="1"/>
      <w:marLeft w:val="0"/>
      <w:marRight w:val="0"/>
      <w:marTop w:val="0"/>
      <w:marBottom w:val="0"/>
      <w:divBdr>
        <w:top w:val="none" w:sz="0" w:space="0" w:color="auto"/>
        <w:left w:val="none" w:sz="0" w:space="0" w:color="auto"/>
        <w:bottom w:val="none" w:sz="0" w:space="0" w:color="auto"/>
        <w:right w:val="none" w:sz="0" w:space="0" w:color="auto"/>
      </w:divBdr>
      <w:divsChild>
        <w:div w:id="1594779905">
          <w:marLeft w:val="0"/>
          <w:marRight w:val="0"/>
          <w:marTop w:val="0"/>
          <w:marBottom w:val="0"/>
          <w:divBdr>
            <w:top w:val="none" w:sz="0" w:space="0" w:color="auto"/>
            <w:left w:val="none" w:sz="0" w:space="0" w:color="auto"/>
            <w:bottom w:val="none" w:sz="0" w:space="0" w:color="auto"/>
            <w:right w:val="none" w:sz="0" w:space="0" w:color="auto"/>
          </w:divBdr>
          <w:divsChild>
            <w:div w:id="415369603">
              <w:marLeft w:val="0"/>
              <w:marRight w:val="0"/>
              <w:marTop w:val="0"/>
              <w:marBottom w:val="0"/>
              <w:divBdr>
                <w:top w:val="none" w:sz="0" w:space="0" w:color="auto"/>
                <w:left w:val="none" w:sz="0" w:space="0" w:color="auto"/>
                <w:bottom w:val="none" w:sz="0" w:space="0" w:color="auto"/>
                <w:right w:val="none" w:sz="0" w:space="0" w:color="auto"/>
              </w:divBdr>
              <w:divsChild>
                <w:div w:id="773205753">
                  <w:marLeft w:val="0"/>
                  <w:marRight w:val="0"/>
                  <w:marTop w:val="0"/>
                  <w:marBottom w:val="0"/>
                  <w:divBdr>
                    <w:top w:val="none" w:sz="0" w:space="0" w:color="auto"/>
                    <w:left w:val="none" w:sz="0" w:space="0" w:color="auto"/>
                    <w:bottom w:val="none" w:sz="0" w:space="0" w:color="auto"/>
                    <w:right w:val="none" w:sz="0" w:space="0" w:color="auto"/>
                  </w:divBdr>
                  <w:divsChild>
                    <w:div w:id="4600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20641">
      <w:bodyDiv w:val="1"/>
      <w:marLeft w:val="0"/>
      <w:marRight w:val="0"/>
      <w:marTop w:val="0"/>
      <w:marBottom w:val="0"/>
      <w:divBdr>
        <w:top w:val="none" w:sz="0" w:space="0" w:color="auto"/>
        <w:left w:val="none" w:sz="0" w:space="0" w:color="auto"/>
        <w:bottom w:val="none" w:sz="0" w:space="0" w:color="auto"/>
        <w:right w:val="none" w:sz="0" w:space="0" w:color="auto"/>
      </w:divBdr>
      <w:divsChild>
        <w:div w:id="885533495">
          <w:marLeft w:val="0"/>
          <w:marRight w:val="0"/>
          <w:marTop w:val="0"/>
          <w:marBottom w:val="0"/>
          <w:divBdr>
            <w:top w:val="none" w:sz="0" w:space="0" w:color="auto"/>
            <w:left w:val="none" w:sz="0" w:space="0" w:color="auto"/>
            <w:bottom w:val="none" w:sz="0" w:space="0" w:color="auto"/>
            <w:right w:val="none" w:sz="0" w:space="0" w:color="auto"/>
          </w:divBdr>
          <w:divsChild>
            <w:div w:id="944919549">
              <w:marLeft w:val="0"/>
              <w:marRight w:val="0"/>
              <w:marTop w:val="0"/>
              <w:marBottom w:val="0"/>
              <w:divBdr>
                <w:top w:val="none" w:sz="0" w:space="0" w:color="auto"/>
                <w:left w:val="none" w:sz="0" w:space="0" w:color="auto"/>
                <w:bottom w:val="none" w:sz="0" w:space="0" w:color="auto"/>
                <w:right w:val="none" w:sz="0" w:space="0" w:color="auto"/>
              </w:divBdr>
              <w:divsChild>
                <w:div w:id="15951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244">
      <w:bodyDiv w:val="1"/>
      <w:marLeft w:val="0"/>
      <w:marRight w:val="0"/>
      <w:marTop w:val="0"/>
      <w:marBottom w:val="0"/>
      <w:divBdr>
        <w:top w:val="none" w:sz="0" w:space="0" w:color="auto"/>
        <w:left w:val="none" w:sz="0" w:space="0" w:color="auto"/>
        <w:bottom w:val="none" w:sz="0" w:space="0" w:color="auto"/>
        <w:right w:val="none" w:sz="0" w:space="0" w:color="auto"/>
      </w:divBdr>
      <w:divsChild>
        <w:div w:id="1578128312">
          <w:marLeft w:val="0"/>
          <w:marRight w:val="0"/>
          <w:marTop w:val="0"/>
          <w:marBottom w:val="0"/>
          <w:divBdr>
            <w:top w:val="none" w:sz="0" w:space="0" w:color="auto"/>
            <w:left w:val="none" w:sz="0" w:space="0" w:color="auto"/>
            <w:bottom w:val="none" w:sz="0" w:space="0" w:color="auto"/>
            <w:right w:val="none" w:sz="0" w:space="0" w:color="auto"/>
          </w:divBdr>
          <w:divsChild>
            <w:div w:id="357707888">
              <w:marLeft w:val="0"/>
              <w:marRight w:val="0"/>
              <w:marTop w:val="0"/>
              <w:marBottom w:val="0"/>
              <w:divBdr>
                <w:top w:val="none" w:sz="0" w:space="0" w:color="auto"/>
                <w:left w:val="none" w:sz="0" w:space="0" w:color="auto"/>
                <w:bottom w:val="none" w:sz="0" w:space="0" w:color="auto"/>
                <w:right w:val="none" w:sz="0" w:space="0" w:color="auto"/>
              </w:divBdr>
              <w:divsChild>
                <w:div w:id="1694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69541">
      <w:bodyDiv w:val="1"/>
      <w:marLeft w:val="0"/>
      <w:marRight w:val="0"/>
      <w:marTop w:val="0"/>
      <w:marBottom w:val="0"/>
      <w:divBdr>
        <w:top w:val="none" w:sz="0" w:space="0" w:color="auto"/>
        <w:left w:val="none" w:sz="0" w:space="0" w:color="auto"/>
        <w:bottom w:val="none" w:sz="0" w:space="0" w:color="auto"/>
        <w:right w:val="none" w:sz="0" w:space="0" w:color="auto"/>
      </w:divBdr>
      <w:divsChild>
        <w:div w:id="242958850">
          <w:marLeft w:val="0"/>
          <w:marRight w:val="0"/>
          <w:marTop w:val="0"/>
          <w:marBottom w:val="0"/>
          <w:divBdr>
            <w:top w:val="none" w:sz="0" w:space="0" w:color="auto"/>
            <w:left w:val="none" w:sz="0" w:space="0" w:color="auto"/>
            <w:bottom w:val="none" w:sz="0" w:space="0" w:color="auto"/>
            <w:right w:val="none" w:sz="0" w:space="0" w:color="auto"/>
          </w:divBdr>
          <w:divsChild>
            <w:div w:id="742216864">
              <w:marLeft w:val="0"/>
              <w:marRight w:val="0"/>
              <w:marTop w:val="0"/>
              <w:marBottom w:val="0"/>
              <w:divBdr>
                <w:top w:val="none" w:sz="0" w:space="0" w:color="auto"/>
                <w:left w:val="none" w:sz="0" w:space="0" w:color="auto"/>
                <w:bottom w:val="none" w:sz="0" w:space="0" w:color="auto"/>
                <w:right w:val="none" w:sz="0" w:space="0" w:color="auto"/>
              </w:divBdr>
              <w:divsChild>
                <w:div w:id="1913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3913">
      <w:bodyDiv w:val="1"/>
      <w:marLeft w:val="0"/>
      <w:marRight w:val="0"/>
      <w:marTop w:val="0"/>
      <w:marBottom w:val="0"/>
      <w:divBdr>
        <w:top w:val="none" w:sz="0" w:space="0" w:color="auto"/>
        <w:left w:val="none" w:sz="0" w:space="0" w:color="auto"/>
        <w:bottom w:val="none" w:sz="0" w:space="0" w:color="auto"/>
        <w:right w:val="none" w:sz="0" w:space="0" w:color="auto"/>
      </w:divBdr>
      <w:divsChild>
        <w:div w:id="1144392711">
          <w:marLeft w:val="0"/>
          <w:marRight w:val="0"/>
          <w:marTop w:val="0"/>
          <w:marBottom w:val="0"/>
          <w:divBdr>
            <w:top w:val="none" w:sz="0" w:space="0" w:color="auto"/>
            <w:left w:val="none" w:sz="0" w:space="0" w:color="auto"/>
            <w:bottom w:val="none" w:sz="0" w:space="0" w:color="auto"/>
            <w:right w:val="none" w:sz="0" w:space="0" w:color="auto"/>
          </w:divBdr>
          <w:divsChild>
            <w:div w:id="381440461">
              <w:marLeft w:val="0"/>
              <w:marRight w:val="0"/>
              <w:marTop w:val="0"/>
              <w:marBottom w:val="0"/>
              <w:divBdr>
                <w:top w:val="none" w:sz="0" w:space="0" w:color="auto"/>
                <w:left w:val="none" w:sz="0" w:space="0" w:color="auto"/>
                <w:bottom w:val="none" w:sz="0" w:space="0" w:color="auto"/>
                <w:right w:val="none" w:sz="0" w:space="0" w:color="auto"/>
              </w:divBdr>
              <w:divsChild>
                <w:div w:id="1506242165">
                  <w:marLeft w:val="0"/>
                  <w:marRight w:val="0"/>
                  <w:marTop w:val="0"/>
                  <w:marBottom w:val="0"/>
                  <w:divBdr>
                    <w:top w:val="none" w:sz="0" w:space="0" w:color="auto"/>
                    <w:left w:val="none" w:sz="0" w:space="0" w:color="auto"/>
                    <w:bottom w:val="none" w:sz="0" w:space="0" w:color="auto"/>
                    <w:right w:val="none" w:sz="0" w:space="0" w:color="auto"/>
                  </w:divBdr>
                  <w:divsChild>
                    <w:div w:id="11022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13191">
      <w:bodyDiv w:val="1"/>
      <w:marLeft w:val="0"/>
      <w:marRight w:val="0"/>
      <w:marTop w:val="0"/>
      <w:marBottom w:val="0"/>
      <w:divBdr>
        <w:top w:val="none" w:sz="0" w:space="0" w:color="auto"/>
        <w:left w:val="none" w:sz="0" w:space="0" w:color="auto"/>
        <w:bottom w:val="none" w:sz="0" w:space="0" w:color="auto"/>
        <w:right w:val="none" w:sz="0" w:space="0" w:color="auto"/>
      </w:divBdr>
      <w:divsChild>
        <w:div w:id="560021191">
          <w:marLeft w:val="0"/>
          <w:marRight w:val="0"/>
          <w:marTop w:val="0"/>
          <w:marBottom w:val="0"/>
          <w:divBdr>
            <w:top w:val="none" w:sz="0" w:space="0" w:color="auto"/>
            <w:left w:val="none" w:sz="0" w:space="0" w:color="auto"/>
            <w:bottom w:val="none" w:sz="0" w:space="0" w:color="auto"/>
            <w:right w:val="none" w:sz="0" w:space="0" w:color="auto"/>
          </w:divBdr>
          <w:divsChild>
            <w:div w:id="820658385">
              <w:marLeft w:val="0"/>
              <w:marRight w:val="0"/>
              <w:marTop w:val="0"/>
              <w:marBottom w:val="0"/>
              <w:divBdr>
                <w:top w:val="none" w:sz="0" w:space="0" w:color="auto"/>
                <w:left w:val="none" w:sz="0" w:space="0" w:color="auto"/>
                <w:bottom w:val="none" w:sz="0" w:space="0" w:color="auto"/>
                <w:right w:val="none" w:sz="0" w:space="0" w:color="auto"/>
              </w:divBdr>
              <w:divsChild>
                <w:div w:id="673535487">
                  <w:marLeft w:val="0"/>
                  <w:marRight w:val="0"/>
                  <w:marTop w:val="0"/>
                  <w:marBottom w:val="0"/>
                  <w:divBdr>
                    <w:top w:val="none" w:sz="0" w:space="0" w:color="auto"/>
                    <w:left w:val="none" w:sz="0" w:space="0" w:color="auto"/>
                    <w:bottom w:val="none" w:sz="0" w:space="0" w:color="auto"/>
                    <w:right w:val="none" w:sz="0" w:space="0" w:color="auto"/>
                  </w:divBdr>
                  <w:divsChild>
                    <w:div w:id="1687753697">
                      <w:marLeft w:val="0"/>
                      <w:marRight w:val="0"/>
                      <w:marTop w:val="0"/>
                      <w:marBottom w:val="0"/>
                      <w:divBdr>
                        <w:top w:val="none" w:sz="0" w:space="0" w:color="auto"/>
                        <w:left w:val="none" w:sz="0" w:space="0" w:color="auto"/>
                        <w:bottom w:val="none" w:sz="0" w:space="0" w:color="auto"/>
                        <w:right w:val="none" w:sz="0" w:space="0" w:color="auto"/>
                      </w:divBdr>
                    </w:div>
                  </w:divsChild>
                </w:div>
                <w:div w:id="1131636030">
                  <w:marLeft w:val="0"/>
                  <w:marRight w:val="0"/>
                  <w:marTop w:val="0"/>
                  <w:marBottom w:val="0"/>
                  <w:divBdr>
                    <w:top w:val="none" w:sz="0" w:space="0" w:color="auto"/>
                    <w:left w:val="none" w:sz="0" w:space="0" w:color="auto"/>
                    <w:bottom w:val="none" w:sz="0" w:space="0" w:color="auto"/>
                    <w:right w:val="none" w:sz="0" w:space="0" w:color="auto"/>
                  </w:divBdr>
                  <w:divsChild>
                    <w:div w:id="1411348550">
                      <w:marLeft w:val="0"/>
                      <w:marRight w:val="0"/>
                      <w:marTop w:val="0"/>
                      <w:marBottom w:val="0"/>
                      <w:divBdr>
                        <w:top w:val="none" w:sz="0" w:space="0" w:color="auto"/>
                        <w:left w:val="none" w:sz="0" w:space="0" w:color="auto"/>
                        <w:bottom w:val="none" w:sz="0" w:space="0" w:color="auto"/>
                        <w:right w:val="none" w:sz="0" w:space="0" w:color="auto"/>
                      </w:divBdr>
                    </w:div>
                  </w:divsChild>
                </w:div>
                <w:div w:id="1661231535">
                  <w:marLeft w:val="0"/>
                  <w:marRight w:val="0"/>
                  <w:marTop w:val="0"/>
                  <w:marBottom w:val="0"/>
                  <w:divBdr>
                    <w:top w:val="none" w:sz="0" w:space="0" w:color="auto"/>
                    <w:left w:val="none" w:sz="0" w:space="0" w:color="auto"/>
                    <w:bottom w:val="none" w:sz="0" w:space="0" w:color="auto"/>
                    <w:right w:val="none" w:sz="0" w:space="0" w:color="auto"/>
                  </w:divBdr>
                  <w:divsChild>
                    <w:div w:id="1805007305">
                      <w:marLeft w:val="0"/>
                      <w:marRight w:val="0"/>
                      <w:marTop w:val="0"/>
                      <w:marBottom w:val="0"/>
                      <w:divBdr>
                        <w:top w:val="none" w:sz="0" w:space="0" w:color="auto"/>
                        <w:left w:val="none" w:sz="0" w:space="0" w:color="auto"/>
                        <w:bottom w:val="none" w:sz="0" w:space="0" w:color="auto"/>
                        <w:right w:val="none" w:sz="0" w:space="0" w:color="auto"/>
                      </w:divBdr>
                    </w:div>
                  </w:divsChild>
                </w:div>
                <w:div w:id="1871992314">
                  <w:marLeft w:val="0"/>
                  <w:marRight w:val="0"/>
                  <w:marTop w:val="0"/>
                  <w:marBottom w:val="0"/>
                  <w:divBdr>
                    <w:top w:val="none" w:sz="0" w:space="0" w:color="auto"/>
                    <w:left w:val="none" w:sz="0" w:space="0" w:color="auto"/>
                    <w:bottom w:val="none" w:sz="0" w:space="0" w:color="auto"/>
                    <w:right w:val="none" w:sz="0" w:space="0" w:color="auto"/>
                  </w:divBdr>
                  <w:divsChild>
                    <w:div w:id="1272778729">
                      <w:marLeft w:val="0"/>
                      <w:marRight w:val="0"/>
                      <w:marTop w:val="0"/>
                      <w:marBottom w:val="0"/>
                      <w:divBdr>
                        <w:top w:val="none" w:sz="0" w:space="0" w:color="auto"/>
                        <w:left w:val="none" w:sz="0" w:space="0" w:color="auto"/>
                        <w:bottom w:val="none" w:sz="0" w:space="0" w:color="auto"/>
                        <w:right w:val="none" w:sz="0" w:space="0" w:color="auto"/>
                      </w:divBdr>
                    </w:div>
                  </w:divsChild>
                </w:div>
                <w:div w:id="1960213521">
                  <w:marLeft w:val="0"/>
                  <w:marRight w:val="0"/>
                  <w:marTop w:val="0"/>
                  <w:marBottom w:val="0"/>
                  <w:divBdr>
                    <w:top w:val="none" w:sz="0" w:space="0" w:color="auto"/>
                    <w:left w:val="none" w:sz="0" w:space="0" w:color="auto"/>
                    <w:bottom w:val="none" w:sz="0" w:space="0" w:color="auto"/>
                    <w:right w:val="none" w:sz="0" w:space="0" w:color="auto"/>
                  </w:divBdr>
                  <w:divsChild>
                    <w:div w:id="947079379">
                      <w:marLeft w:val="0"/>
                      <w:marRight w:val="0"/>
                      <w:marTop w:val="0"/>
                      <w:marBottom w:val="0"/>
                      <w:divBdr>
                        <w:top w:val="none" w:sz="0" w:space="0" w:color="auto"/>
                        <w:left w:val="none" w:sz="0" w:space="0" w:color="auto"/>
                        <w:bottom w:val="none" w:sz="0" w:space="0" w:color="auto"/>
                        <w:right w:val="none" w:sz="0" w:space="0" w:color="auto"/>
                      </w:divBdr>
                    </w:div>
                  </w:divsChild>
                </w:div>
                <w:div w:id="1972317893">
                  <w:marLeft w:val="0"/>
                  <w:marRight w:val="0"/>
                  <w:marTop w:val="0"/>
                  <w:marBottom w:val="0"/>
                  <w:divBdr>
                    <w:top w:val="none" w:sz="0" w:space="0" w:color="auto"/>
                    <w:left w:val="none" w:sz="0" w:space="0" w:color="auto"/>
                    <w:bottom w:val="none" w:sz="0" w:space="0" w:color="auto"/>
                    <w:right w:val="none" w:sz="0" w:space="0" w:color="auto"/>
                  </w:divBdr>
                  <w:divsChild>
                    <w:div w:id="1498111142">
                      <w:marLeft w:val="0"/>
                      <w:marRight w:val="0"/>
                      <w:marTop w:val="0"/>
                      <w:marBottom w:val="0"/>
                      <w:divBdr>
                        <w:top w:val="none" w:sz="0" w:space="0" w:color="auto"/>
                        <w:left w:val="none" w:sz="0" w:space="0" w:color="auto"/>
                        <w:bottom w:val="none" w:sz="0" w:space="0" w:color="auto"/>
                        <w:right w:val="none" w:sz="0" w:space="0" w:color="auto"/>
                      </w:divBdr>
                    </w:div>
                  </w:divsChild>
                </w:div>
                <w:div w:id="2105375184">
                  <w:marLeft w:val="0"/>
                  <w:marRight w:val="0"/>
                  <w:marTop w:val="0"/>
                  <w:marBottom w:val="0"/>
                  <w:divBdr>
                    <w:top w:val="none" w:sz="0" w:space="0" w:color="auto"/>
                    <w:left w:val="none" w:sz="0" w:space="0" w:color="auto"/>
                    <w:bottom w:val="none" w:sz="0" w:space="0" w:color="auto"/>
                    <w:right w:val="none" w:sz="0" w:space="0" w:color="auto"/>
                  </w:divBdr>
                  <w:divsChild>
                    <w:div w:id="518858024">
                      <w:marLeft w:val="0"/>
                      <w:marRight w:val="0"/>
                      <w:marTop w:val="0"/>
                      <w:marBottom w:val="0"/>
                      <w:divBdr>
                        <w:top w:val="none" w:sz="0" w:space="0" w:color="auto"/>
                        <w:left w:val="none" w:sz="0" w:space="0" w:color="auto"/>
                        <w:bottom w:val="none" w:sz="0" w:space="0" w:color="auto"/>
                        <w:right w:val="none" w:sz="0" w:space="0" w:color="auto"/>
                      </w:divBdr>
                    </w:div>
                  </w:divsChild>
                </w:div>
                <w:div w:id="2112895245">
                  <w:marLeft w:val="0"/>
                  <w:marRight w:val="0"/>
                  <w:marTop w:val="0"/>
                  <w:marBottom w:val="0"/>
                  <w:divBdr>
                    <w:top w:val="none" w:sz="0" w:space="0" w:color="auto"/>
                    <w:left w:val="none" w:sz="0" w:space="0" w:color="auto"/>
                    <w:bottom w:val="none" w:sz="0" w:space="0" w:color="auto"/>
                    <w:right w:val="none" w:sz="0" w:space="0" w:color="auto"/>
                  </w:divBdr>
                  <w:divsChild>
                    <w:div w:id="81755468">
                      <w:marLeft w:val="0"/>
                      <w:marRight w:val="0"/>
                      <w:marTop w:val="0"/>
                      <w:marBottom w:val="0"/>
                      <w:divBdr>
                        <w:top w:val="none" w:sz="0" w:space="0" w:color="auto"/>
                        <w:left w:val="none" w:sz="0" w:space="0" w:color="auto"/>
                        <w:bottom w:val="none" w:sz="0" w:space="0" w:color="auto"/>
                        <w:right w:val="none" w:sz="0" w:space="0" w:color="auto"/>
                      </w:divBdr>
                    </w:div>
                  </w:divsChild>
                </w:div>
                <w:div w:id="2133939215">
                  <w:marLeft w:val="0"/>
                  <w:marRight w:val="0"/>
                  <w:marTop w:val="0"/>
                  <w:marBottom w:val="0"/>
                  <w:divBdr>
                    <w:top w:val="none" w:sz="0" w:space="0" w:color="auto"/>
                    <w:left w:val="none" w:sz="0" w:space="0" w:color="auto"/>
                    <w:bottom w:val="none" w:sz="0" w:space="0" w:color="auto"/>
                    <w:right w:val="none" w:sz="0" w:space="0" w:color="auto"/>
                  </w:divBdr>
                  <w:divsChild>
                    <w:div w:id="1336153783">
                      <w:marLeft w:val="0"/>
                      <w:marRight w:val="0"/>
                      <w:marTop w:val="0"/>
                      <w:marBottom w:val="0"/>
                      <w:divBdr>
                        <w:top w:val="none" w:sz="0" w:space="0" w:color="auto"/>
                        <w:left w:val="none" w:sz="0" w:space="0" w:color="auto"/>
                        <w:bottom w:val="none" w:sz="0" w:space="0" w:color="auto"/>
                        <w:right w:val="none" w:sz="0" w:space="0" w:color="auto"/>
                      </w:divBdr>
                    </w:div>
                  </w:divsChild>
                </w:div>
                <w:div w:id="2136173431">
                  <w:marLeft w:val="0"/>
                  <w:marRight w:val="0"/>
                  <w:marTop w:val="0"/>
                  <w:marBottom w:val="0"/>
                  <w:divBdr>
                    <w:top w:val="none" w:sz="0" w:space="0" w:color="auto"/>
                    <w:left w:val="none" w:sz="0" w:space="0" w:color="auto"/>
                    <w:bottom w:val="none" w:sz="0" w:space="0" w:color="auto"/>
                    <w:right w:val="none" w:sz="0" w:space="0" w:color="auto"/>
                  </w:divBdr>
                  <w:divsChild>
                    <w:div w:id="14939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32067">
      <w:bodyDiv w:val="1"/>
      <w:marLeft w:val="0"/>
      <w:marRight w:val="0"/>
      <w:marTop w:val="0"/>
      <w:marBottom w:val="0"/>
      <w:divBdr>
        <w:top w:val="none" w:sz="0" w:space="0" w:color="auto"/>
        <w:left w:val="none" w:sz="0" w:space="0" w:color="auto"/>
        <w:bottom w:val="none" w:sz="0" w:space="0" w:color="auto"/>
        <w:right w:val="none" w:sz="0" w:space="0" w:color="auto"/>
      </w:divBdr>
      <w:divsChild>
        <w:div w:id="417792957">
          <w:marLeft w:val="0"/>
          <w:marRight w:val="0"/>
          <w:marTop w:val="0"/>
          <w:marBottom w:val="0"/>
          <w:divBdr>
            <w:top w:val="none" w:sz="0" w:space="0" w:color="auto"/>
            <w:left w:val="none" w:sz="0" w:space="0" w:color="auto"/>
            <w:bottom w:val="none" w:sz="0" w:space="0" w:color="auto"/>
            <w:right w:val="none" w:sz="0" w:space="0" w:color="auto"/>
          </w:divBdr>
          <w:divsChild>
            <w:div w:id="1710035396">
              <w:marLeft w:val="0"/>
              <w:marRight w:val="0"/>
              <w:marTop w:val="0"/>
              <w:marBottom w:val="0"/>
              <w:divBdr>
                <w:top w:val="none" w:sz="0" w:space="0" w:color="auto"/>
                <w:left w:val="none" w:sz="0" w:space="0" w:color="auto"/>
                <w:bottom w:val="none" w:sz="0" w:space="0" w:color="auto"/>
                <w:right w:val="none" w:sz="0" w:space="0" w:color="auto"/>
              </w:divBdr>
              <w:divsChild>
                <w:div w:id="839079638">
                  <w:marLeft w:val="0"/>
                  <w:marRight w:val="0"/>
                  <w:marTop w:val="0"/>
                  <w:marBottom w:val="0"/>
                  <w:divBdr>
                    <w:top w:val="none" w:sz="0" w:space="0" w:color="auto"/>
                    <w:left w:val="none" w:sz="0" w:space="0" w:color="auto"/>
                    <w:bottom w:val="none" w:sz="0" w:space="0" w:color="auto"/>
                    <w:right w:val="none" w:sz="0" w:space="0" w:color="auto"/>
                  </w:divBdr>
                  <w:divsChild>
                    <w:div w:id="10551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892614">
      <w:bodyDiv w:val="1"/>
      <w:marLeft w:val="0"/>
      <w:marRight w:val="0"/>
      <w:marTop w:val="0"/>
      <w:marBottom w:val="0"/>
      <w:divBdr>
        <w:top w:val="none" w:sz="0" w:space="0" w:color="auto"/>
        <w:left w:val="none" w:sz="0" w:space="0" w:color="auto"/>
        <w:bottom w:val="none" w:sz="0" w:space="0" w:color="auto"/>
        <w:right w:val="none" w:sz="0" w:space="0" w:color="auto"/>
      </w:divBdr>
      <w:divsChild>
        <w:div w:id="312494258">
          <w:marLeft w:val="0"/>
          <w:marRight w:val="0"/>
          <w:marTop w:val="0"/>
          <w:marBottom w:val="0"/>
          <w:divBdr>
            <w:top w:val="none" w:sz="0" w:space="0" w:color="auto"/>
            <w:left w:val="none" w:sz="0" w:space="0" w:color="auto"/>
            <w:bottom w:val="none" w:sz="0" w:space="0" w:color="auto"/>
            <w:right w:val="none" w:sz="0" w:space="0" w:color="auto"/>
          </w:divBdr>
          <w:divsChild>
            <w:div w:id="92021870">
              <w:marLeft w:val="0"/>
              <w:marRight w:val="0"/>
              <w:marTop w:val="0"/>
              <w:marBottom w:val="0"/>
              <w:divBdr>
                <w:top w:val="none" w:sz="0" w:space="0" w:color="auto"/>
                <w:left w:val="none" w:sz="0" w:space="0" w:color="auto"/>
                <w:bottom w:val="none" w:sz="0" w:space="0" w:color="auto"/>
                <w:right w:val="none" w:sz="0" w:space="0" w:color="auto"/>
              </w:divBdr>
              <w:divsChild>
                <w:div w:id="81556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746372">
      <w:bodyDiv w:val="1"/>
      <w:marLeft w:val="0"/>
      <w:marRight w:val="0"/>
      <w:marTop w:val="0"/>
      <w:marBottom w:val="0"/>
      <w:divBdr>
        <w:top w:val="none" w:sz="0" w:space="0" w:color="auto"/>
        <w:left w:val="none" w:sz="0" w:space="0" w:color="auto"/>
        <w:bottom w:val="none" w:sz="0" w:space="0" w:color="auto"/>
        <w:right w:val="none" w:sz="0" w:space="0" w:color="auto"/>
      </w:divBdr>
      <w:divsChild>
        <w:div w:id="1970672661">
          <w:marLeft w:val="-225"/>
          <w:marRight w:val="-225"/>
          <w:marTop w:val="0"/>
          <w:marBottom w:val="0"/>
          <w:divBdr>
            <w:top w:val="none" w:sz="0" w:space="0" w:color="auto"/>
            <w:left w:val="none" w:sz="0" w:space="0" w:color="auto"/>
            <w:bottom w:val="none" w:sz="0" w:space="0" w:color="auto"/>
            <w:right w:val="none" w:sz="0" w:space="0" w:color="auto"/>
          </w:divBdr>
          <w:divsChild>
            <w:div w:id="17956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8450">
      <w:bodyDiv w:val="1"/>
      <w:marLeft w:val="0"/>
      <w:marRight w:val="0"/>
      <w:marTop w:val="0"/>
      <w:marBottom w:val="0"/>
      <w:divBdr>
        <w:top w:val="none" w:sz="0" w:space="0" w:color="auto"/>
        <w:left w:val="none" w:sz="0" w:space="0" w:color="auto"/>
        <w:bottom w:val="none" w:sz="0" w:space="0" w:color="auto"/>
        <w:right w:val="none" w:sz="0" w:space="0" w:color="auto"/>
      </w:divBdr>
      <w:divsChild>
        <w:div w:id="854805579">
          <w:marLeft w:val="0"/>
          <w:marRight w:val="0"/>
          <w:marTop w:val="0"/>
          <w:marBottom w:val="0"/>
          <w:divBdr>
            <w:top w:val="none" w:sz="0" w:space="0" w:color="auto"/>
            <w:left w:val="none" w:sz="0" w:space="0" w:color="auto"/>
            <w:bottom w:val="none" w:sz="0" w:space="0" w:color="auto"/>
            <w:right w:val="none" w:sz="0" w:space="0" w:color="auto"/>
          </w:divBdr>
          <w:divsChild>
            <w:div w:id="1178346243">
              <w:marLeft w:val="0"/>
              <w:marRight w:val="0"/>
              <w:marTop w:val="0"/>
              <w:marBottom w:val="0"/>
              <w:divBdr>
                <w:top w:val="none" w:sz="0" w:space="0" w:color="auto"/>
                <w:left w:val="none" w:sz="0" w:space="0" w:color="auto"/>
                <w:bottom w:val="none" w:sz="0" w:space="0" w:color="auto"/>
                <w:right w:val="none" w:sz="0" w:space="0" w:color="auto"/>
              </w:divBdr>
              <w:divsChild>
                <w:div w:id="7826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6867">
      <w:bodyDiv w:val="1"/>
      <w:marLeft w:val="0"/>
      <w:marRight w:val="0"/>
      <w:marTop w:val="0"/>
      <w:marBottom w:val="0"/>
      <w:divBdr>
        <w:top w:val="none" w:sz="0" w:space="0" w:color="auto"/>
        <w:left w:val="none" w:sz="0" w:space="0" w:color="auto"/>
        <w:bottom w:val="none" w:sz="0" w:space="0" w:color="auto"/>
        <w:right w:val="none" w:sz="0" w:space="0" w:color="auto"/>
      </w:divBdr>
      <w:divsChild>
        <w:div w:id="1628193979">
          <w:marLeft w:val="0"/>
          <w:marRight w:val="0"/>
          <w:marTop w:val="0"/>
          <w:marBottom w:val="0"/>
          <w:divBdr>
            <w:top w:val="none" w:sz="0" w:space="0" w:color="auto"/>
            <w:left w:val="none" w:sz="0" w:space="0" w:color="auto"/>
            <w:bottom w:val="none" w:sz="0" w:space="0" w:color="auto"/>
            <w:right w:val="none" w:sz="0" w:space="0" w:color="auto"/>
          </w:divBdr>
          <w:divsChild>
            <w:div w:id="1442264163">
              <w:marLeft w:val="0"/>
              <w:marRight w:val="0"/>
              <w:marTop w:val="0"/>
              <w:marBottom w:val="0"/>
              <w:divBdr>
                <w:top w:val="none" w:sz="0" w:space="0" w:color="auto"/>
                <w:left w:val="none" w:sz="0" w:space="0" w:color="auto"/>
                <w:bottom w:val="none" w:sz="0" w:space="0" w:color="auto"/>
                <w:right w:val="none" w:sz="0" w:space="0" w:color="auto"/>
              </w:divBdr>
              <w:divsChild>
                <w:div w:id="577447003">
                  <w:marLeft w:val="0"/>
                  <w:marRight w:val="0"/>
                  <w:marTop w:val="0"/>
                  <w:marBottom w:val="0"/>
                  <w:divBdr>
                    <w:top w:val="none" w:sz="0" w:space="0" w:color="auto"/>
                    <w:left w:val="none" w:sz="0" w:space="0" w:color="auto"/>
                    <w:bottom w:val="none" w:sz="0" w:space="0" w:color="auto"/>
                    <w:right w:val="none" w:sz="0" w:space="0" w:color="auto"/>
                  </w:divBdr>
                  <w:divsChild>
                    <w:div w:id="21440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027317">
      <w:bodyDiv w:val="1"/>
      <w:marLeft w:val="0"/>
      <w:marRight w:val="0"/>
      <w:marTop w:val="0"/>
      <w:marBottom w:val="0"/>
      <w:divBdr>
        <w:top w:val="none" w:sz="0" w:space="0" w:color="auto"/>
        <w:left w:val="none" w:sz="0" w:space="0" w:color="auto"/>
        <w:bottom w:val="none" w:sz="0" w:space="0" w:color="auto"/>
        <w:right w:val="none" w:sz="0" w:space="0" w:color="auto"/>
      </w:divBdr>
    </w:div>
    <w:div w:id="1727070227">
      <w:bodyDiv w:val="1"/>
      <w:marLeft w:val="0"/>
      <w:marRight w:val="0"/>
      <w:marTop w:val="0"/>
      <w:marBottom w:val="0"/>
      <w:divBdr>
        <w:top w:val="none" w:sz="0" w:space="0" w:color="auto"/>
        <w:left w:val="none" w:sz="0" w:space="0" w:color="auto"/>
        <w:bottom w:val="none" w:sz="0" w:space="0" w:color="auto"/>
        <w:right w:val="none" w:sz="0" w:space="0" w:color="auto"/>
      </w:divBdr>
      <w:divsChild>
        <w:div w:id="156503344">
          <w:marLeft w:val="0"/>
          <w:marRight w:val="0"/>
          <w:marTop w:val="0"/>
          <w:marBottom w:val="0"/>
          <w:divBdr>
            <w:top w:val="none" w:sz="0" w:space="0" w:color="auto"/>
            <w:left w:val="none" w:sz="0" w:space="0" w:color="auto"/>
            <w:bottom w:val="none" w:sz="0" w:space="0" w:color="auto"/>
            <w:right w:val="none" w:sz="0" w:space="0" w:color="auto"/>
          </w:divBdr>
          <w:divsChild>
            <w:div w:id="1729458154">
              <w:marLeft w:val="0"/>
              <w:marRight w:val="0"/>
              <w:marTop w:val="0"/>
              <w:marBottom w:val="0"/>
              <w:divBdr>
                <w:top w:val="none" w:sz="0" w:space="0" w:color="auto"/>
                <w:left w:val="none" w:sz="0" w:space="0" w:color="auto"/>
                <w:bottom w:val="none" w:sz="0" w:space="0" w:color="auto"/>
                <w:right w:val="none" w:sz="0" w:space="0" w:color="auto"/>
              </w:divBdr>
              <w:divsChild>
                <w:div w:id="1053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23091">
      <w:bodyDiv w:val="1"/>
      <w:marLeft w:val="0"/>
      <w:marRight w:val="0"/>
      <w:marTop w:val="0"/>
      <w:marBottom w:val="0"/>
      <w:divBdr>
        <w:top w:val="none" w:sz="0" w:space="0" w:color="auto"/>
        <w:left w:val="none" w:sz="0" w:space="0" w:color="auto"/>
        <w:bottom w:val="none" w:sz="0" w:space="0" w:color="auto"/>
        <w:right w:val="none" w:sz="0" w:space="0" w:color="auto"/>
      </w:divBdr>
      <w:divsChild>
        <w:div w:id="933132145">
          <w:marLeft w:val="0"/>
          <w:marRight w:val="0"/>
          <w:marTop w:val="0"/>
          <w:marBottom w:val="0"/>
          <w:divBdr>
            <w:top w:val="none" w:sz="0" w:space="0" w:color="auto"/>
            <w:left w:val="none" w:sz="0" w:space="0" w:color="auto"/>
            <w:bottom w:val="none" w:sz="0" w:space="0" w:color="auto"/>
            <w:right w:val="none" w:sz="0" w:space="0" w:color="auto"/>
          </w:divBdr>
          <w:divsChild>
            <w:div w:id="1976835255">
              <w:marLeft w:val="0"/>
              <w:marRight w:val="0"/>
              <w:marTop w:val="0"/>
              <w:marBottom w:val="0"/>
              <w:divBdr>
                <w:top w:val="none" w:sz="0" w:space="0" w:color="auto"/>
                <w:left w:val="none" w:sz="0" w:space="0" w:color="auto"/>
                <w:bottom w:val="none" w:sz="0" w:space="0" w:color="auto"/>
                <w:right w:val="none" w:sz="0" w:space="0" w:color="auto"/>
              </w:divBdr>
              <w:divsChild>
                <w:div w:id="1368679210">
                  <w:marLeft w:val="0"/>
                  <w:marRight w:val="0"/>
                  <w:marTop w:val="0"/>
                  <w:marBottom w:val="0"/>
                  <w:divBdr>
                    <w:top w:val="none" w:sz="0" w:space="0" w:color="auto"/>
                    <w:left w:val="none" w:sz="0" w:space="0" w:color="auto"/>
                    <w:bottom w:val="none" w:sz="0" w:space="0" w:color="auto"/>
                    <w:right w:val="none" w:sz="0" w:space="0" w:color="auto"/>
                  </w:divBdr>
                  <w:divsChild>
                    <w:div w:id="18117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07043">
      <w:bodyDiv w:val="1"/>
      <w:marLeft w:val="0"/>
      <w:marRight w:val="0"/>
      <w:marTop w:val="0"/>
      <w:marBottom w:val="0"/>
      <w:divBdr>
        <w:top w:val="none" w:sz="0" w:space="0" w:color="auto"/>
        <w:left w:val="none" w:sz="0" w:space="0" w:color="auto"/>
        <w:bottom w:val="none" w:sz="0" w:space="0" w:color="auto"/>
        <w:right w:val="none" w:sz="0" w:space="0" w:color="auto"/>
      </w:divBdr>
      <w:divsChild>
        <w:div w:id="680939351">
          <w:marLeft w:val="0"/>
          <w:marRight w:val="0"/>
          <w:marTop w:val="0"/>
          <w:marBottom w:val="0"/>
          <w:divBdr>
            <w:top w:val="none" w:sz="0" w:space="0" w:color="auto"/>
            <w:left w:val="none" w:sz="0" w:space="0" w:color="auto"/>
            <w:bottom w:val="none" w:sz="0" w:space="0" w:color="auto"/>
            <w:right w:val="none" w:sz="0" w:space="0" w:color="auto"/>
          </w:divBdr>
          <w:divsChild>
            <w:div w:id="612519464">
              <w:marLeft w:val="0"/>
              <w:marRight w:val="0"/>
              <w:marTop w:val="0"/>
              <w:marBottom w:val="0"/>
              <w:divBdr>
                <w:top w:val="none" w:sz="0" w:space="0" w:color="auto"/>
                <w:left w:val="none" w:sz="0" w:space="0" w:color="auto"/>
                <w:bottom w:val="none" w:sz="0" w:space="0" w:color="auto"/>
                <w:right w:val="none" w:sz="0" w:space="0" w:color="auto"/>
              </w:divBdr>
              <w:divsChild>
                <w:div w:id="409623206">
                  <w:marLeft w:val="0"/>
                  <w:marRight w:val="0"/>
                  <w:marTop w:val="0"/>
                  <w:marBottom w:val="0"/>
                  <w:divBdr>
                    <w:top w:val="none" w:sz="0" w:space="0" w:color="auto"/>
                    <w:left w:val="none" w:sz="0" w:space="0" w:color="auto"/>
                    <w:bottom w:val="none" w:sz="0" w:space="0" w:color="auto"/>
                    <w:right w:val="none" w:sz="0" w:space="0" w:color="auto"/>
                  </w:divBdr>
                </w:div>
              </w:divsChild>
            </w:div>
            <w:div w:id="1827625635">
              <w:marLeft w:val="0"/>
              <w:marRight w:val="0"/>
              <w:marTop w:val="0"/>
              <w:marBottom w:val="0"/>
              <w:divBdr>
                <w:top w:val="none" w:sz="0" w:space="0" w:color="auto"/>
                <w:left w:val="none" w:sz="0" w:space="0" w:color="auto"/>
                <w:bottom w:val="none" w:sz="0" w:space="0" w:color="auto"/>
                <w:right w:val="none" w:sz="0" w:space="0" w:color="auto"/>
              </w:divBdr>
              <w:divsChild>
                <w:div w:id="422647992">
                  <w:marLeft w:val="0"/>
                  <w:marRight w:val="0"/>
                  <w:marTop w:val="0"/>
                  <w:marBottom w:val="0"/>
                  <w:divBdr>
                    <w:top w:val="none" w:sz="0" w:space="0" w:color="auto"/>
                    <w:left w:val="none" w:sz="0" w:space="0" w:color="auto"/>
                    <w:bottom w:val="none" w:sz="0" w:space="0" w:color="auto"/>
                    <w:right w:val="none" w:sz="0" w:space="0" w:color="auto"/>
                  </w:divBdr>
                  <w:divsChild>
                    <w:div w:id="20347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4390">
              <w:marLeft w:val="0"/>
              <w:marRight w:val="0"/>
              <w:marTop w:val="0"/>
              <w:marBottom w:val="0"/>
              <w:divBdr>
                <w:top w:val="none" w:sz="0" w:space="0" w:color="auto"/>
                <w:left w:val="none" w:sz="0" w:space="0" w:color="auto"/>
                <w:bottom w:val="none" w:sz="0" w:space="0" w:color="auto"/>
                <w:right w:val="none" w:sz="0" w:space="0" w:color="auto"/>
              </w:divBdr>
              <w:divsChild>
                <w:div w:id="184945067">
                  <w:marLeft w:val="0"/>
                  <w:marRight w:val="0"/>
                  <w:marTop w:val="0"/>
                  <w:marBottom w:val="0"/>
                  <w:divBdr>
                    <w:top w:val="none" w:sz="0" w:space="0" w:color="auto"/>
                    <w:left w:val="none" w:sz="0" w:space="0" w:color="auto"/>
                    <w:bottom w:val="none" w:sz="0" w:space="0" w:color="auto"/>
                    <w:right w:val="none" w:sz="0" w:space="0" w:color="auto"/>
                  </w:divBdr>
                  <w:divsChild>
                    <w:div w:id="6071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42554">
      <w:bodyDiv w:val="1"/>
      <w:marLeft w:val="0"/>
      <w:marRight w:val="0"/>
      <w:marTop w:val="0"/>
      <w:marBottom w:val="0"/>
      <w:divBdr>
        <w:top w:val="none" w:sz="0" w:space="0" w:color="auto"/>
        <w:left w:val="none" w:sz="0" w:space="0" w:color="auto"/>
        <w:bottom w:val="none" w:sz="0" w:space="0" w:color="auto"/>
        <w:right w:val="none" w:sz="0" w:space="0" w:color="auto"/>
      </w:divBdr>
      <w:divsChild>
        <w:div w:id="1955356668">
          <w:marLeft w:val="0"/>
          <w:marRight w:val="0"/>
          <w:marTop w:val="0"/>
          <w:marBottom w:val="0"/>
          <w:divBdr>
            <w:top w:val="none" w:sz="0" w:space="0" w:color="auto"/>
            <w:left w:val="none" w:sz="0" w:space="0" w:color="auto"/>
            <w:bottom w:val="none" w:sz="0" w:space="0" w:color="auto"/>
            <w:right w:val="none" w:sz="0" w:space="0" w:color="auto"/>
          </w:divBdr>
          <w:divsChild>
            <w:div w:id="1981228705">
              <w:marLeft w:val="0"/>
              <w:marRight w:val="0"/>
              <w:marTop w:val="0"/>
              <w:marBottom w:val="0"/>
              <w:divBdr>
                <w:top w:val="none" w:sz="0" w:space="0" w:color="auto"/>
                <w:left w:val="none" w:sz="0" w:space="0" w:color="auto"/>
                <w:bottom w:val="none" w:sz="0" w:space="0" w:color="auto"/>
                <w:right w:val="none" w:sz="0" w:space="0" w:color="auto"/>
              </w:divBdr>
              <w:divsChild>
                <w:div w:id="1394114188">
                  <w:marLeft w:val="0"/>
                  <w:marRight w:val="0"/>
                  <w:marTop w:val="0"/>
                  <w:marBottom w:val="0"/>
                  <w:divBdr>
                    <w:top w:val="none" w:sz="0" w:space="0" w:color="auto"/>
                    <w:left w:val="none" w:sz="0" w:space="0" w:color="auto"/>
                    <w:bottom w:val="none" w:sz="0" w:space="0" w:color="auto"/>
                    <w:right w:val="none" w:sz="0" w:space="0" w:color="auto"/>
                  </w:divBdr>
                  <w:divsChild>
                    <w:div w:id="13327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119314">
      <w:bodyDiv w:val="1"/>
      <w:marLeft w:val="0"/>
      <w:marRight w:val="0"/>
      <w:marTop w:val="0"/>
      <w:marBottom w:val="0"/>
      <w:divBdr>
        <w:top w:val="none" w:sz="0" w:space="0" w:color="auto"/>
        <w:left w:val="none" w:sz="0" w:space="0" w:color="auto"/>
        <w:bottom w:val="none" w:sz="0" w:space="0" w:color="auto"/>
        <w:right w:val="none" w:sz="0" w:space="0" w:color="auto"/>
      </w:divBdr>
      <w:divsChild>
        <w:div w:id="1605923237">
          <w:marLeft w:val="0"/>
          <w:marRight w:val="0"/>
          <w:marTop w:val="0"/>
          <w:marBottom w:val="0"/>
          <w:divBdr>
            <w:top w:val="none" w:sz="0" w:space="0" w:color="auto"/>
            <w:left w:val="none" w:sz="0" w:space="0" w:color="auto"/>
            <w:bottom w:val="none" w:sz="0" w:space="0" w:color="auto"/>
            <w:right w:val="none" w:sz="0" w:space="0" w:color="auto"/>
          </w:divBdr>
          <w:divsChild>
            <w:div w:id="309789659">
              <w:marLeft w:val="0"/>
              <w:marRight w:val="0"/>
              <w:marTop w:val="0"/>
              <w:marBottom w:val="0"/>
              <w:divBdr>
                <w:top w:val="none" w:sz="0" w:space="0" w:color="auto"/>
                <w:left w:val="none" w:sz="0" w:space="0" w:color="auto"/>
                <w:bottom w:val="none" w:sz="0" w:space="0" w:color="auto"/>
                <w:right w:val="none" w:sz="0" w:space="0" w:color="auto"/>
              </w:divBdr>
              <w:divsChild>
                <w:div w:id="8077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21892">
      <w:bodyDiv w:val="1"/>
      <w:marLeft w:val="0"/>
      <w:marRight w:val="0"/>
      <w:marTop w:val="0"/>
      <w:marBottom w:val="0"/>
      <w:divBdr>
        <w:top w:val="none" w:sz="0" w:space="0" w:color="auto"/>
        <w:left w:val="none" w:sz="0" w:space="0" w:color="auto"/>
        <w:bottom w:val="none" w:sz="0" w:space="0" w:color="auto"/>
        <w:right w:val="none" w:sz="0" w:space="0" w:color="auto"/>
      </w:divBdr>
      <w:divsChild>
        <w:div w:id="216288274">
          <w:marLeft w:val="0"/>
          <w:marRight w:val="0"/>
          <w:marTop w:val="0"/>
          <w:marBottom w:val="0"/>
          <w:divBdr>
            <w:top w:val="none" w:sz="0" w:space="0" w:color="auto"/>
            <w:left w:val="none" w:sz="0" w:space="0" w:color="auto"/>
            <w:bottom w:val="none" w:sz="0" w:space="0" w:color="auto"/>
            <w:right w:val="none" w:sz="0" w:space="0" w:color="auto"/>
          </w:divBdr>
          <w:divsChild>
            <w:div w:id="1726559860">
              <w:marLeft w:val="0"/>
              <w:marRight w:val="0"/>
              <w:marTop w:val="0"/>
              <w:marBottom w:val="0"/>
              <w:divBdr>
                <w:top w:val="none" w:sz="0" w:space="0" w:color="auto"/>
                <w:left w:val="none" w:sz="0" w:space="0" w:color="auto"/>
                <w:bottom w:val="none" w:sz="0" w:space="0" w:color="auto"/>
                <w:right w:val="none" w:sz="0" w:space="0" w:color="auto"/>
              </w:divBdr>
              <w:divsChild>
                <w:div w:id="1486627224">
                  <w:marLeft w:val="0"/>
                  <w:marRight w:val="0"/>
                  <w:marTop w:val="0"/>
                  <w:marBottom w:val="0"/>
                  <w:divBdr>
                    <w:top w:val="none" w:sz="0" w:space="0" w:color="auto"/>
                    <w:left w:val="none" w:sz="0" w:space="0" w:color="auto"/>
                    <w:bottom w:val="none" w:sz="0" w:space="0" w:color="auto"/>
                    <w:right w:val="none" w:sz="0" w:space="0" w:color="auto"/>
                  </w:divBdr>
                  <w:divsChild>
                    <w:div w:id="7042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7372">
      <w:bodyDiv w:val="1"/>
      <w:marLeft w:val="0"/>
      <w:marRight w:val="0"/>
      <w:marTop w:val="0"/>
      <w:marBottom w:val="0"/>
      <w:divBdr>
        <w:top w:val="none" w:sz="0" w:space="0" w:color="auto"/>
        <w:left w:val="none" w:sz="0" w:space="0" w:color="auto"/>
        <w:bottom w:val="none" w:sz="0" w:space="0" w:color="auto"/>
        <w:right w:val="none" w:sz="0" w:space="0" w:color="auto"/>
      </w:divBdr>
      <w:divsChild>
        <w:div w:id="948044379">
          <w:marLeft w:val="0"/>
          <w:marRight w:val="0"/>
          <w:marTop w:val="0"/>
          <w:marBottom w:val="0"/>
          <w:divBdr>
            <w:top w:val="none" w:sz="0" w:space="0" w:color="auto"/>
            <w:left w:val="none" w:sz="0" w:space="0" w:color="auto"/>
            <w:bottom w:val="none" w:sz="0" w:space="0" w:color="auto"/>
            <w:right w:val="none" w:sz="0" w:space="0" w:color="auto"/>
          </w:divBdr>
          <w:divsChild>
            <w:div w:id="142743922">
              <w:marLeft w:val="0"/>
              <w:marRight w:val="0"/>
              <w:marTop w:val="0"/>
              <w:marBottom w:val="0"/>
              <w:divBdr>
                <w:top w:val="none" w:sz="0" w:space="0" w:color="auto"/>
                <w:left w:val="none" w:sz="0" w:space="0" w:color="auto"/>
                <w:bottom w:val="none" w:sz="0" w:space="0" w:color="auto"/>
                <w:right w:val="none" w:sz="0" w:space="0" w:color="auto"/>
              </w:divBdr>
              <w:divsChild>
                <w:div w:id="1681467728">
                  <w:marLeft w:val="0"/>
                  <w:marRight w:val="0"/>
                  <w:marTop w:val="0"/>
                  <w:marBottom w:val="0"/>
                  <w:divBdr>
                    <w:top w:val="none" w:sz="0" w:space="0" w:color="auto"/>
                    <w:left w:val="none" w:sz="0" w:space="0" w:color="auto"/>
                    <w:bottom w:val="none" w:sz="0" w:space="0" w:color="auto"/>
                    <w:right w:val="none" w:sz="0" w:space="0" w:color="auto"/>
                  </w:divBdr>
                  <w:divsChild>
                    <w:div w:id="20986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82537">
      <w:bodyDiv w:val="1"/>
      <w:marLeft w:val="0"/>
      <w:marRight w:val="0"/>
      <w:marTop w:val="0"/>
      <w:marBottom w:val="0"/>
      <w:divBdr>
        <w:top w:val="none" w:sz="0" w:space="0" w:color="auto"/>
        <w:left w:val="none" w:sz="0" w:space="0" w:color="auto"/>
        <w:bottom w:val="none" w:sz="0" w:space="0" w:color="auto"/>
        <w:right w:val="none" w:sz="0" w:space="0" w:color="auto"/>
      </w:divBdr>
      <w:divsChild>
        <w:div w:id="1763990414">
          <w:marLeft w:val="0"/>
          <w:marRight w:val="0"/>
          <w:marTop w:val="0"/>
          <w:marBottom w:val="0"/>
          <w:divBdr>
            <w:top w:val="none" w:sz="0" w:space="0" w:color="auto"/>
            <w:left w:val="none" w:sz="0" w:space="0" w:color="auto"/>
            <w:bottom w:val="none" w:sz="0" w:space="0" w:color="auto"/>
            <w:right w:val="none" w:sz="0" w:space="0" w:color="auto"/>
          </w:divBdr>
          <w:divsChild>
            <w:div w:id="1252010440">
              <w:marLeft w:val="0"/>
              <w:marRight w:val="0"/>
              <w:marTop w:val="0"/>
              <w:marBottom w:val="0"/>
              <w:divBdr>
                <w:top w:val="none" w:sz="0" w:space="0" w:color="auto"/>
                <w:left w:val="none" w:sz="0" w:space="0" w:color="auto"/>
                <w:bottom w:val="none" w:sz="0" w:space="0" w:color="auto"/>
                <w:right w:val="none" w:sz="0" w:space="0" w:color="auto"/>
              </w:divBdr>
              <w:divsChild>
                <w:div w:id="14727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89536">
      <w:bodyDiv w:val="1"/>
      <w:marLeft w:val="0"/>
      <w:marRight w:val="0"/>
      <w:marTop w:val="0"/>
      <w:marBottom w:val="0"/>
      <w:divBdr>
        <w:top w:val="none" w:sz="0" w:space="0" w:color="auto"/>
        <w:left w:val="none" w:sz="0" w:space="0" w:color="auto"/>
        <w:bottom w:val="none" w:sz="0" w:space="0" w:color="auto"/>
        <w:right w:val="none" w:sz="0" w:space="0" w:color="auto"/>
      </w:divBdr>
      <w:divsChild>
        <w:div w:id="623773776">
          <w:marLeft w:val="0"/>
          <w:marRight w:val="0"/>
          <w:marTop w:val="0"/>
          <w:marBottom w:val="0"/>
          <w:divBdr>
            <w:top w:val="none" w:sz="0" w:space="0" w:color="auto"/>
            <w:left w:val="none" w:sz="0" w:space="0" w:color="auto"/>
            <w:bottom w:val="none" w:sz="0" w:space="0" w:color="auto"/>
            <w:right w:val="none" w:sz="0" w:space="0" w:color="auto"/>
          </w:divBdr>
          <w:divsChild>
            <w:div w:id="1477262915">
              <w:marLeft w:val="0"/>
              <w:marRight w:val="0"/>
              <w:marTop w:val="0"/>
              <w:marBottom w:val="0"/>
              <w:divBdr>
                <w:top w:val="none" w:sz="0" w:space="0" w:color="auto"/>
                <w:left w:val="none" w:sz="0" w:space="0" w:color="auto"/>
                <w:bottom w:val="none" w:sz="0" w:space="0" w:color="auto"/>
                <w:right w:val="none" w:sz="0" w:space="0" w:color="auto"/>
              </w:divBdr>
              <w:divsChild>
                <w:div w:id="1768883009">
                  <w:marLeft w:val="0"/>
                  <w:marRight w:val="0"/>
                  <w:marTop w:val="0"/>
                  <w:marBottom w:val="0"/>
                  <w:divBdr>
                    <w:top w:val="none" w:sz="0" w:space="0" w:color="auto"/>
                    <w:left w:val="none" w:sz="0" w:space="0" w:color="auto"/>
                    <w:bottom w:val="none" w:sz="0" w:space="0" w:color="auto"/>
                    <w:right w:val="none" w:sz="0" w:space="0" w:color="auto"/>
                  </w:divBdr>
                  <w:divsChild>
                    <w:div w:id="21097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5894">
      <w:bodyDiv w:val="1"/>
      <w:marLeft w:val="0"/>
      <w:marRight w:val="0"/>
      <w:marTop w:val="0"/>
      <w:marBottom w:val="0"/>
      <w:divBdr>
        <w:top w:val="none" w:sz="0" w:space="0" w:color="auto"/>
        <w:left w:val="none" w:sz="0" w:space="0" w:color="auto"/>
        <w:bottom w:val="none" w:sz="0" w:space="0" w:color="auto"/>
        <w:right w:val="none" w:sz="0" w:space="0" w:color="auto"/>
      </w:divBdr>
      <w:divsChild>
        <w:div w:id="922688914">
          <w:marLeft w:val="0"/>
          <w:marRight w:val="0"/>
          <w:marTop w:val="0"/>
          <w:marBottom w:val="0"/>
          <w:divBdr>
            <w:top w:val="none" w:sz="0" w:space="0" w:color="auto"/>
            <w:left w:val="none" w:sz="0" w:space="0" w:color="auto"/>
            <w:bottom w:val="none" w:sz="0" w:space="0" w:color="auto"/>
            <w:right w:val="none" w:sz="0" w:space="0" w:color="auto"/>
          </w:divBdr>
          <w:divsChild>
            <w:div w:id="2137487690">
              <w:marLeft w:val="0"/>
              <w:marRight w:val="0"/>
              <w:marTop w:val="0"/>
              <w:marBottom w:val="0"/>
              <w:divBdr>
                <w:top w:val="none" w:sz="0" w:space="0" w:color="auto"/>
                <w:left w:val="none" w:sz="0" w:space="0" w:color="auto"/>
                <w:bottom w:val="none" w:sz="0" w:space="0" w:color="auto"/>
                <w:right w:val="none" w:sz="0" w:space="0" w:color="auto"/>
              </w:divBdr>
              <w:divsChild>
                <w:div w:id="2227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56614">
      <w:bodyDiv w:val="1"/>
      <w:marLeft w:val="0"/>
      <w:marRight w:val="0"/>
      <w:marTop w:val="0"/>
      <w:marBottom w:val="0"/>
      <w:divBdr>
        <w:top w:val="none" w:sz="0" w:space="0" w:color="auto"/>
        <w:left w:val="none" w:sz="0" w:space="0" w:color="auto"/>
        <w:bottom w:val="none" w:sz="0" w:space="0" w:color="auto"/>
        <w:right w:val="none" w:sz="0" w:space="0" w:color="auto"/>
      </w:divBdr>
      <w:divsChild>
        <w:div w:id="380592004">
          <w:marLeft w:val="0"/>
          <w:marRight w:val="0"/>
          <w:marTop w:val="0"/>
          <w:marBottom w:val="0"/>
          <w:divBdr>
            <w:top w:val="none" w:sz="0" w:space="0" w:color="auto"/>
            <w:left w:val="none" w:sz="0" w:space="0" w:color="auto"/>
            <w:bottom w:val="none" w:sz="0" w:space="0" w:color="auto"/>
            <w:right w:val="none" w:sz="0" w:space="0" w:color="auto"/>
          </w:divBdr>
          <w:divsChild>
            <w:div w:id="1717316678">
              <w:marLeft w:val="0"/>
              <w:marRight w:val="0"/>
              <w:marTop w:val="0"/>
              <w:marBottom w:val="0"/>
              <w:divBdr>
                <w:top w:val="none" w:sz="0" w:space="0" w:color="auto"/>
                <w:left w:val="none" w:sz="0" w:space="0" w:color="auto"/>
                <w:bottom w:val="none" w:sz="0" w:space="0" w:color="auto"/>
                <w:right w:val="none" w:sz="0" w:space="0" w:color="auto"/>
              </w:divBdr>
              <w:divsChild>
                <w:div w:id="2138182603">
                  <w:marLeft w:val="0"/>
                  <w:marRight w:val="0"/>
                  <w:marTop w:val="0"/>
                  <w:marBottom w:val="0"/>
                  <w:divBdr>
                    <w:top w:val="none" w:sz="0" w:space="0" w:color="auto"/>
                    <w:left w:val="none" w:sz="0" w:space="0" w:color="auto"/>
                    <w:bottom w:val="none" w:sz="0" w:space="0" w:color="auto"/>
                    <w:right w:val="none" w:sz="0" w:space="0" w:color="auto"/>
                  </w:divBdr>
                  <w:divsChild>
                    <w:div w:id="12555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398371">
      <w:bodyDiv w:val="1"/>
      <w:marLeft w:val="0"/>
      <w:marRight w:val="0"/>
      <w:marTop w:val="0"/>
      <w:marBottom w:val="0"/>
      <w:divBdr>
        <w:top w:val="none" w:sz="0" w:space="0" w:color="auto"/>
        <w:left w:val="none" w:sz="0" w:space="0" w:color="auto"/>
        <w:bottom w:val="none" w:sz="0" w:space="0" w:color="auto"/>
        <w:right w:val="none" w:sz="0" w:space="0" w:color="auto"/>
      </w:divBdr>
      <w:divsChild>
        <w:div w:id="1254777722">
          <w:marLeft w:val="0"/>
          <w:marRight w:val="0"/>
          <w:marTop w:val="0"/>
          <w:marBottom w:val="0"/>
          <w:divBdr>
            <w:top w:val="none" w:sz="0" w:space="0" w:color="auto"/>
            <w:left w:val="none" w:sz="0" w:space="0" w:color="auto"/>
            <w:bottom w:val="none" w:sz="0" w:space="0" w:color="auto"/>
            <w:right w:val="none" w:sz="0" w:space="0" w:color="auto"/>
          </w:divBdr>
          <w:divsChild>
            <w:div w:id="1863128474">
              <w:marLeft w:val="0"/>
              <w:marRight w:val="0"/>
              <w:marTop w:val="0"/>
              <w:marBottom w:val="0"/>
              <w:divBdr>
                <w:top w:val="none" w:sz="0" w:space="0" w:color="auto"/>
                <w:left w:val="none" w:sz="0" w:space="0" w:color="auto"/>
                <w:bottom w:val="none" w:sz="0" w:space="0" w:color="auto"/>
                <w:right w:val="none" w:sz="0" w:space="0" w:color="auto"/>
              </w:divBdr>
              <w:divsChild>
                <w:div w:id="12949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66371">
      <w:bodyDiv w:val="1"/>
      <w:marLeft w:val="0"/>
      <w:marRight w:val="0"/>
      <w:marTop w:val="0"/>
      <w:marBottom w:val="0"/>
      <w:divBdr>
        <w:top w:val="none" w:sz="0" w:space="0" w:color="auto"/>
        <w:left w:val="none" w:sz="0" w:space="0" w:color="auto"/>
        <w:bottom w:val="none" w:sz="0" w:space="0" w:color="auto"/>
        <w:right w:val="none" w:sz="0" w:space="0" w:color="auto"/>
      </w:divBdr>
      <w:divsChild>
        <w:div w:id="193730861">
          <w:marLeft w:val="0"/>
          <w:marRight w:val="0"/>
          <w:marTop w:val="0"/>
          <w:marBottom w:val="0"/>
          <w:divBdr>
            <w:top w:val="none" w:sz="0" w:space="0" w:color="auto"/>
            <w:left w:val="none" w:sz="0" w:space="0" w:color="auto"/>
            <w:bottom w:val="none" w:sz="0" w:space="0" w:color="auto"/>
            <w:right w:val="none" w:sz="0" w:space="0" w:color="auto"/>
          </w:divBdr>
          <w:divsChild>
            <w:div w:id="126170142">
              <w:marLeft w:val="0"/>
              <w:marRight w:val="0"/>
              <w:marTop w:val="0"/>
              <w:marBottom w:val="0"/>
              <w:divBdr>
                <w:top w:val="none" w:sz="0" w:space="0" w:color="auto"/>
                <w:left w:val="none" w:sz="0" w:space="0" w:color="auto"/>
                <w:bottom w:val="none" w:sz="0" w:space="0" w:color="auto"/>
                <w:right w:val="none" w:sz="0" w:space="0" w:color="auto"/>
              </w:divBdr>
              <w:divsChild>
                <w:div w:id="485710844">
                  <w:marLeft w:val="0"/>
                  <w:marRight w:val="0"/>
                  <w:marTop w:val="0"/>
                  <w:marBottom w:val="0"/>
                  <w:divBdr>
                    <w:top w:val="none" w:sz="0" w:space="0" w:color="auto"/>
                    <w:left w:val="none" w:sz="0" w:space="0" w:color="auto"/>
                    <w:bottom w:val="none" w:sz="0" w:space="0" w:color="auto"/>
                    <w:right w:val="none" w:sz="0" w:space="0" w:color="auto"/>
                  </w:divBdr>
                  <w:divsChild>
                    <w:div w:id="14583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75105">
      <w:bodyDiv w:val="1"/>
      <w:marLeft w:val="0"/>
      <w:marRight w:val="0"/>
      <w:marTop w:val="0"/>
      <w:marBottom w:val="0"/>
      <w:divBdr>
        <w:top w:val="none" w:sz="0" w:space="0" w:color="auto"/>
        <w:left w:val="none" w:sz="0" w:space="0" w:color="auto"/>
        <w:bottom w:val="none" w:sz="0" w:space="0" w:color="auto"/>
        <w:right w:val="none" w:sz="0" w:space="0" w:color="auto"/>
      </w:divBdr>
      <w:divsChild>
        <w:div w:id="1638027759">
          <w:marLeft w:val="0"/>
          <w:marRight w:val="0"/>
          <w:marTop w:val="0"/>
          <w:marBottom w:val="0"/>
          <w:divBdr>
            <w:top w:val="none" w:sz="0" w:space="0" w:color="auto"/>
            <w:left w:val="none" w:sz="0" w:space="0" w:color="auto"/>
            <w:bottom w:val="none" w:sz="0" w:space="0" w:color="auto"/>
            <w:right w:val="none" w:sz="0" w:space="0" w:color="auto"/>
          </w:divBdr>
          <w:divsChild>
            <w:div w:id="250623829">
              <w:marLeft w:val="0"/>
              <w:marRight w:val="0"/>
              <w:marTop w:val="0"/>
              <w:marBottom w:val="0"/>
              <w:divBdr>
                <w:top w:val="none" w:sz="0" w:space="0" w:color="auto"/>
                <w:left w:val="none" w:sz="0" w:space="0" w:color="auto"/>
                <w:bottom w:val="none" w:sz="0" w:space="0" w:color="auto"/>
                <w:right w:val="none" w:sz="0" w:space="0" w:color="auto"/>
              </w:divBdr>
              <w:divsChild>
                <w:div w:id="258102612">
                  <w:marLeft w:val="0"/>
                  <w:marRight w:val="0"/>
                  <w:marTop w:val="0"/>
                  <w:marBottom w:val="0"/>
                  <w:divBdr>
                    <w:top w:val="none" w:sz="0" w:space="0" w:color="auto"/>
                    <w:left w:val="none" w:sz="0" w:space="0" w:color="auto"/>
                    <w:bottom w:val="none" w:sz="0" w:space="0" w:color="auto"/>
                    <w:right w:val="none" w:sz="0" w:space="0" w:color="auto"/>
                  </w:divBdr>
                  <w:divsChild>
                    <w:div w:id="4786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89114">
      <w:bodyDiv w:val="1"/>
      <w:marLeft w:val="0"/>
      <w:marRight w:val="0"/>
      <w:marTop w:val="0"/>
      <w:marBottom w:val="0"/>
      <w:divBdr>
        <w:top w:val="none" w:sz="0" w:space="0" w:color="auto"/>
        <w:left w:val="none" w:sz="0" w:space="0" w:color="auto"/>
        <w:bottom w:val="none" w:sz="0" w:space="0" w:color="auto"/>
        <w:right w:val="none" w:sz="0" w:space="0" w:color="auto"/>
      </w:divBdr>
      <w:divsChild>
        <w:div w:id="1121455788">
          <w:marLeft w:val="0"/>
          <w:marRight w:val="0"/>
          <w:marTop w:val="0"/>
          <w:marBottom w:val="0"/>
          <w:divBdr>
            <w:top w:val="none" w:sz="0" w:space="0" w:color="auto"/>
            <w:left w:val="none" w:sz="0" w:space="0" w:color="auto"/>
            <w:bottom w:val="none" w:sz="0" w:space="0" w:color="auto"/>
            <w:right w:val="none" w:sz="0" w:space="0" w:color="auto"/>
          </w:divBdr>
          <w:divsChild>
            <w:div w:id="349180921">
              <w:marLeft w:val="0"/>
              <w:marRight w:val="0"/>
              <w:marTop w:val="0"/>
              <w:marBottom w:val="0"/>
              <w:divBdr>
                <w:top w:val="none" w:sz="0" w:space="0" w:color="auto"/>
                <w:left w:val="none" w:sz="0" w:space="0" w:color="auto"/>
                <w:bottom w:val="none" w:sz="0" w:space="0" w:color="auto"/>
                <w:right w:val="none" w:sz="0" w:space="0" w:color="auto"/>
              </w:divBdr>
              <w:divsChild>
                <w:div w:id="561717711">
                  <w:marLeft w:val="0"/>
                  <w:marRight w:val="0"/>
                  <w:marTop w:val="0"/>
                  <w:marBottom w:val="0"/>
                  <w:divBdr>
                    <w:top w:val="none" w:sz="0" w:space="0" w:color="auto"/>
                    <w:left w:val="none" w:sz="0" w:space="0" w:color="auto"/>
                    <w:bottom w:val="none" w:sz="0" w:space="0" w:color="auto"/>
                    <w:right w:val="none" w:sz="0" w:space="0" w:color="auto"/>
                  </w:divBdr>
                  <w:divsChild>
                    <w:div w:id="7228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21240">
      <w:bodyDiv w:val="1"/>
      <w:marLeft w:val="0"/>
      <w:marRight w:val="0"/>
      <w:marTop w:val="0"/>
      <w:marBottom w:val="0"/>
      <w:divBdr>
        <w:top w:val="none" w:sz="0" w:space="0" w:color="auto"/>
        <w:left w:val="none" w:sz="0" w:space="0" w:color="auto"/>
        <w:bottom w:val="none" w:sz="0" w:space="0" w:color="auto"/>
        <w:right w:val="none" w:sz="0" w:space="0" w:color="auto"/>
      </w:divBdr>
    </w:div>
    <w:div w:id="1772504022">
      <w:bodyDiv w:val="1"/>
      <w:marLeft w:val="0"/>
      <w:marRight w:val="0"/>
      <w:marTop w:val="0"/>
      <w:marBottom w:val="0"/>
      <w:divBdr>
        <w:top w:val="none" w:sz="0" w:space="0" w:color="auto"/>
        <w:left w:val="none" w:sz="0" w:space="0" w:color="auto"/>
        <w:bottom w:val="none" w:sz="0" w:space="0" w:color="auto"/>
        <w:right w:val="none" w:sz="0" w:space="0" w:color="auto"/>
      </w:divBdr>
      <w:divsChild>
        <w:div w:id="671840831">
          <w:marLeft w:val="0"/>
          <w:marRight w:val="0"/>
          <w:marTop w:val="0"/>
          <w:marBottom w:val="0"/>
          <w:divBdr>
            <w:top w:val="none" w:sz="0" w:space="0" w:color="auto"/>
            <w:left w:val="none" w:sz="0" w:space="0" w:color="auto"/>
            <w:bottom w:val="none" w:sz="0" w:space="0" w:color="auto"/>
            <w:right w:val="none" w:sz="0" w:space="0" w:color="auto"/>
          </w:divBdr>
          <w:divsChild>
            <w:div w:id="1305702195">
              <w:marLeft w:val="0"/>
              <w:marRight w:val="0"/>
              <w:marTop w:val="0"/>
              <w:marBottom w:val="0"/>
              <w:divBdr>
                <w:top w:val="none" w:sz="0" w:space="0" w:color="auto"/>
                <w:left w:val="none" w:sz="0" w:space="0" w:color="auto"/>
                <w:bottom w:val="none" w:sz="0" w:space="0" w:color="auto"/>
                <w:right w:val="none" w:sz="0" w:space="0" w:color="auto"/>
              </w:divBdr>
              <w:divsChild>
                <w:div w:id="21193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79724">
      <w:bodyDiv w:val="1"/>
      <w:marLeft w:val="0"/>
      <w:marRight w:val="0"/>
      <w:marTop w:val="0"/>
      <w:marBottom w:val="0"/>
      <w:divBdr>
        <w:top w:val="none" w:sz="0" w:space="0" w:color="auto"/>
        <w:left w:val="none" w:sz="0" w:space="0" w:color="auto"/>
        <w:bottom w:val="none" w:sz="0" w:space="0" w:color="auto"/>
        <w:right w:val="none" w:sz="0" w:space="0" w:color="auto"/>
      </w:divBdr>
      <w:divsChild>
        <w:div w:id="1882548317">
          <w:marLeft w:val="0"/>
          <w:marRight w:val="0"/>
          <w:marTop w:val="0"/>
          <w:marBottom w:val="0"/>
          <w:divBdr>
            <w:top w:val="none" w:sz="0" w:space="0" w:color="auto"/>
            <w:left w:val="none" w:sz="0" w:space="0" w:color="auto"/>
            <w:bottom w:val="none" w:sz="0" w:space="0" w:color="auto"/>
            <w:right w:val="none" w:sz="0" w:space="0" w:color="auto"/>
          </w:divBdr>
          <w:divsChild>
            <w:div w:id="289748348">
              <w:marLeft w:val="0"/>
              <w:marRight w:val="0"/>
              <w:marTop w:val="0"/>
              <w:marBottom w:val="0"/>
              <w:divBdr>
                <w:top w:val="none" w:sz="0" w:space="0" w:color="auto"/>
                <w:left w:val="none" w:sz="0" w:space="0" w:color="auto"/>
                <w:bottom w:val="none" w:sz="0" w:space="0" w:color="auto"/>
                <w:right w:val="none" w:sz="0" w:space="0" w:color="auto"/>
              </w:divBdr>
              <w:divsChild>
                <w:div w:id="11732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02993">
      <w:bodyDiv w:val="1"/>
      <w:marLeft w:val="0"/>
      <w:marRight w:val="0"/>
      <w:marTop w:val="0"/>
      <w:marBottom w:val="0"/>
      <w:divBdr>
        <w:top w:val="none" w:sz="0" w:space="0" w:color="auto"/>
        <w:left w:val="none" w:sz="0" w:space="0" w:color="auto"/>
        <w:bottom w:val="none" w:sz="0" w:space="0" w:color="auto"/>
        <w:right w:val="none" w:sz="0" w:space="0" w:color="auto"/>
      </w:divBdr>
      <w:divsChild>
        <w:div w:id="2077389878">
          <w:marLeft w:val="0"/>
          <w:marRight w:val="0"/>
          <w:marTop w:val="0"/>
          <w:marBottom w:val="0"/>
          <w:divBdr>
            <w:top w:val="none" w:sz="0" w:space="0" w:color="auto"/>
            <w:left w:val="none" w:sz="0" w:space="0" w:color="auto"/>
            <w:bottom w:val="none" w:sz="0" w:space="0" w:color="auto"/>
            <w:right w:val="none" w:sz="0" w:space="0" w:color="auto"/>
          </w:divBdr>
          <w:divsChild>
            <w:div w:id="1516503890">
              <w:marLeft w:val="0"/>
              <w:marRight w:val="0"/>
              <w:marTop w:val="0"/>
              <w:marBottom w:val="0"/>
              <w:divBdr>
                <w:top w:val="none" w:sz="0" w:space="0" w:color="auto"/>
                <w:left w:val="none" w:sz="0" w:space="0" w:color="auto"/>
                <w:bottom w:val="none" w:sz="0" w:space="0" w:color="auto"/>
                <w:right w:val="none" w:sz="0" w:space="0" w:color="auto"/>
              </w:divBdr>
              <w:divsChild>
                <w:div w:id="1686515224">
                  <w:marLeft w:val="0"/>
                  <w:marRight w:val="0"/>
                  <w:marTop w:val="0"/>
                  <w:marBottom w:val="0"/>
                  <w:divBdr>
                    <w:top w:val="none" w:sz="0" w:space="0" w:color="auto"/>
                    <w:left w:val="none" w:sz="0" w:space="0" w:color="auto"/>
                    <w:bottom w:val="none" w:sz="0" w:space="0" w:color="auto"/>
                    <w:right w:val="none" w:sz="0" w:space="0" w:color="auto"/>
                  </w:divBdr>
                  <w:divsChild>
                    <w:div w:id="18469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44785">
      <w:bodyDiv w:val="1"/>
      <w:marLeft w:val="0"/>
      <w:marRight w:val="0"/>
      <w:marTop w:val="0"/>
      <w:marBottom w:val="0"/>
      <w:divBdr>
        <w:top w:val="none" w:sz="0" w:space="0" w:color="auto"/>
        <w:left w:val="none" w:sz="0" w:space="0" w:color="auto"/>
        <w:bottom w:val="none" w:sz="0" w:space="0" w:color="auto"/>
        <w:right w:val="none" w:sz="0" w:space="0" w:color="auto"/>
      </w:divBdr>
      <w:divsChild>
        <w:div w:id="1085031805">
          <w:marLeft w:val="0"/>
          <w:marRight w:val="0"/>
          <w:marTop w:val="0"/>
          <w:marBottom w:val="0"/>
          <w:divBdr>
            <w:top w:val="none" w:sz="0" w:space="0" w:color="auto"/>
            <w:left w:val="none" w:sz="0" w:space="0" w:color="auto"/>
            <w:bottom w:val="none" w:sz="0" w:space="0" w:color="auto"/>
            <w:right w:val="none" w:sz="0" w:space="0" w:color="auto"/>
          </w:divBdr>
          <w:divsChild>
            <w:div w:id="1313604366">
              <w:marLeft w:val="0"/>
              <w:marRight w:val="0"/>
              <w:marTop w:val="0"/>
              <w:marBottom w:val="0"/>
              <w:divBdr>
                <w:top w:val="none" w:sz="0" w:space="0" w:color="auto"/>
                <w:left w:val="none" w:sz="0" w:space="0" w:color="auto"/>
                <w:bottom w:val="none" w:sz="0" w:space="0" w:color="auto"/>
                <w:right w:val="none" w:sz="0" w:space="0" w:color="auto"/>
              </w:divBdr>
              <w:divsChild>
                <w:div w:id="1004434125">
                  <w:marLeft w:val="0"/>
                  <w:marRight w:val="0"/>
                  <w:marTop w:val="0"/>
                  <w:marBottom w:val="0"/>
                  <w:divBdr>
                    <w:top w:val="none" w:sz="0" w:space="0" w:color="auto"/>
                    <w:left w:val="none" w:sz="0" w:space="0" w:color="auto"/>
                    <w:bottom w:val="none" w:sz="0" w:space="0" w:color="auto"/>
                    <w:right w:val="none" w:sz="0" w:space="0" w:color="auto"/>
                  </w:divBdr>
                  <w:divsChild>
                    <w:div w:id="10097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902719">
      <w:bodyDiv w:val="1"/>
      <w:marLeft w:val="0"/>
      <w:marRight w:val="0"/>
      <w:marTop w:val="0"/>
      <w:marBottom w:val="0"/>
      <w:divBdr>
        <w:top w:val="none" w:sz="0" w:space="0" w:color="auto"/>
        <w:left w:val="none" w:sz="0" w:space="0" w:color="auto"/>
        <w:bottom w:val="none" w:sz="0" w:space="0" w:color="auto"/>
        <w:right w:val="none" w:sz="0" w:space="0" w:color="auto"/>
      </w:divBdr>
      <w:divsChild>
        <w:div w:id="567766677">
          <w:marLeft w:val="0"/>
          <w:marRight w:val="0"/>
          <w:marTop w:val="0"/>
          <w:marBottom w:val="0"/>
          <w:divBdr>
            <w:top w:val="none" w:sz="0" w:space="0" w:color="auto"/>
            <w:left w:val="none" w:sz="0" w:space="0" w:color="auto"/>
            <w:bottom w:val="none" w:sz="0" w:space="0" w:color="auto"/>
            <w:right w:val="none" w:sz="0" w:space="0" w:color="auto"/>
          </w:divBdr>
          <w:divsChild>
            <w:div w:id="945884896">
              <w:marLeft w:val="0"/>
              <w:marRight w:val="0"/>
              <w:marTop w:val="0"/>
              <w:marBottom w:val="0"/>
              <w:divBdr>
                <w:top w:val="none" w:sz="0" w:space="0" w:color="auto"/>
                <w:left w:val="none" w:sz="0" w:space="0" w:color="auto"/>
                <w:bottom w:val="none" w:sz="0" w:space="0" w:color="auto"/>
                <w:right w:val="none" w:sz="0" w:space="0" w:color="auto"/>
              </w:divBdr>
              <w:divsChild>
                <w:div w:id="1049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52333">
      <w:bodyDiv w:val="1"/>
      <w:marLeft w:val="0"/>
      <w:marRight w:val="0"/>
      <w:marTop w:val="0"/>
      <w:marBottom w:val="0"/>
      <w:divBdr>
        <w:top w:val="none" w:sz="0" w:space="0" w:color="auto"/>
        <w:left w:val="none" w:sz="0" w:space="0" w:color="auto"/>
        <w:bottom w:val="none" w:sz="0" w:space="0" w:color="auto"/>
        <w:right w:val="none" w:sz="0" w:space="0" w:color="auto"/>
      </w:divBdr>
      <w:divsChild>
        <w:div w:id="187985453">
          <w:marLeft w:val="0"/>
          <w:marRight w:val="0"/>
          <w:marTop w:val="0"/>
          <w:marBottom w:val="0"/>
          <w:divBdr>
            <w:top w:val="none" w:sz="0" w:space="0" w:color="auto"/>
            <w:left w:val="none" w:sz="0" w:space="0" w:color="auto"/>
            <w:bottom w:val="none" w:sz="0" w:space="0" w:color="auto"/>
            <w:right w:val="none" w:sz="0" w:space="0" w:color="auto"/>
          </w:divBdr>
          <w:divsChild>
            <w:div w:id="1367757646">
              <w:marLeft w:val="0"/>
              <w:marRight w:val="0"/>
              <w:marTop w:val="0"/>
              <w:marBottom w:val="0"/>
              <w:divBdr>
                <w:top w:val="none" w:sz="0" w:space="0" w:color="auto"/>
                <w:left w:val="none" w:sz="0" w:space="0" w:color="auto"/>
                <w:bottom w:val="none" w:sz="0" w:space="0" w:color="auto"/>
                <w:right w:val="none" w:sz="0" w:space="0" w:color="auto"/>
              </w:divBdr>
              <w:divsChild>
                <w:div w:id="261113192">
                  <w:marLeft w:val="0"/>
                  <w:marRight w:val="0"/>
                  <w:marTop w:val="0"/>
                  <w:marBottom w:val="0"/>
                  <w:divBdr>
                    <w:top w:val="none" w:sz="0" w:space="0" w:color="auto"/>
                    <w:left w:val="none" w:sz="0" w:space="0" w:color="auto"/>
                    <w:bottom w:val="none" w:sz="0" w:space="0" w:color="auto"/>
                    <w:right w:val="none" w:sz="0" w:space="0" w:color="auto"/>
                  </w:divBdr>
                  <w:divsChild>
                    <w:div w:id="9545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4244">
      <w:bodyDiv w:val="1"/>
      <w:marLeft w:val="0"/>
      <w:marRight w:val="0"/>
      <w:marTop w:val="0"/>
      <w:marBottom w:val="0"/>
      <w:divBdr>
        <w:top w:val="none" w:sz="0" w:space="0" w:color="auto"/>
        <w:left w:val="none" w:sz="0" w:space="0" w:color="auto"/>
        <w:bottom w:val="none" w:sz="0" w:space="0" w:color="auto"/>
        <w:right w:val="none" w:sz="0" w:space="0" w:color="auto"/>
      </w:divBdr>
      <w:divsChild>
        <w:div w:id="365566373">
          <w:marLeft w:val="0"/>
          <w:marRight w:val="0"/>
          <w:marTop w:val="0"/>
          <w:marBottom w:val="0"/>
          <w:divBdr>
            <w:top w:val="none" w:sz="0" w:space="0" w:color="auto"/>
            <w:left w:val="none" w:sz="0" w:space="0" w:color="auto"/>
            <w:bottom w:val="none" w:sz="0" w:space="0" w:color="auto"/>
            <w:right w:val="none" w:sz="0" w:space="0" w:color="auto"/>
          </w:divBdr>
        </w:div>
        <w:div w:id="376122168">
          <w:marLeft w:val="0"/>
          <w:marRight w:val="0"/>
          <w:marTop w:val="0"/>
          <w:marBottom w:val="0"/>
          <w:divBdr>
            <w:top w:val="none" w:sz="0" w:space="0" w:color="auto"/>
            <w:left w:val="none" w:sz="0" w:space="0" w:color="auto"/>
            <w:bottom w:val="none" w:sz="0" w:space="0" w:color="auto"/>
            <w:right w:val="none" w:sz="0" w:space="0" w:color="auto"/>
          </w:divBdr>
          <w:divsChild>
            <w:div w:id="972752416">
              <w:marLeft w:val="0"/>
              <w:marRight w:val="0"/>
              <w:marTop w:val="0"/>
              <w:marBottom w:val="0"/>
              <w:divBdr>
                <w:top w:val="none" w:sz="0" w:space="0" w:color="auto"/>
                <w:left w:val="none" w:sz="0" w:space="0" w:color="auto"/>
                <w:bottom w:val="none" w:sz="0" w:space="0" w:color="auto"/>
                <w:right w:val="none" w:sz="0" w:space="0" w:color="auto"/>
              </w:divBdr>
              <w:divsChild>
                <w:div w:id="8614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9444">
      <w:bodyDiv w:val="1"/>
      <w:marLeft w:val="0"/>
      <w:marRight w:val="0"/>
      <w:marTop w:val="0"/>
      <w:marBottom w:val="0"/>
      <w:divBdr>
        <w:top w:val="none" w:sz="0" w:space="0" w:color="auto"/>
        <w:left w:val="none" w:sz="0" w:space="0" w:color="auto"/>
        <w:bottom w:val="none" w:sz="0" w:space="0" w:color="auto"/>
        <w:right w:val="none" w:sz="0" w:space="0" w:color="auto"/>
      </w:divBdr>
    </w:div>
    <w:div w:id="1794405030">
      <w:bodyDiv w:val="1"/>
      <w:marLeft w:val="0"/>
      <w:marRight w:val="0"/>
      <w:marTop w:val="0"/>
      <w:marBottom w:val="0"/>
      <w:divBdr>
        <w:top w:val="none" w:sz="0" w:space="0" w:color="auto"/>
        <w:left w:val="none" w:sz="0" w:space="0" w:color="auto"/>
        <w:bottom w:val="none" w:sz="0" w:space="0" w:color="auto"/>
        <w:right w:val="none" w:sz="0" w:space="0" w:color="auto"/>
      </w:divBdr>
      <w:divsChild>
        <w:div w:id="522791968">
          <w:marLeft w:val="0"/>
          <w:marRight w:val="0"/>
          <w:marTop w:val="0"/>
          <w:marBottom w:val="0"/>
          <w:divBdr>
            <w:top w:val="none" w:sz="0" w:space="0" w:color="auto"/>
            <w:left w:val="none" w:sz="0" w:space="0" w:color="auto"/>
            <w:bottom w:val="none" w:sz="0" w:space="0" w:color="auto"/>
            <w:right w:val="none" w:sz="0" w:space="0" w:color="auto"/>
          </w:divBdr>
          <w:divsChild>
            <w:div w:id="1715038256">
              <w:marLeft w:val="0"/>
              <w:marRight w:val="0"/>
              <w:marTop w:val="0"/>
              <w:marBottom w:val="0"/>
              <w:divBdr>
                <w:top w:val="none" w:sz="0" w:space="0" w:color="auto"/>
                <w:left w:val="none" w:sz="0" w:space="0" w:color="auto"/>
                <w:bottom w:val="none" w:sz="0" w:space="0" w:color="auto"/>
                <w:right w:val="none" w:sz="0" w:space="0" w:color="auto"/>
              </w:divBdr>
              <w:divsChild>
                <w:div w:id="896822722">
                  <w:marLeft w:val="0"/>
                  <w:marRight w:val="0"/>
                  <w:marTop w:val="0"/>
                  <w:marBottom w:val="0"/>
                  <w:divBdr>
                    <w:top w:val="none" w:sz="0" w:space="0" w:color="auto"/>
                    <w:left w:val="none" w:sz="0" w:space="0" w:color="auto"/>
                    <w:bottom w:val="none" w:sz="0" w:space="0" w:color="auto"/>
                    <w:right w:val="none" w:sz="0" w:space="0" w:color="auto"/>
                  </w:divBdr>
                  <w:divsChild>
                    <w:div w:id="7084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69659">
      <w:bodyDiv w:val="1"/>
      <w:marLeft w:val="0"/>
      <w:marRight w:val="0"/>
      <w:marTop w:val="0"/>
      <w:marBottom w:val="0"/>
      <w:divBdr>
        <w:top w:val="none" w:sz="0" w:space="0" w:color="auto"/>
        <w:left w:val="none" w:sz="0" w:space="0" w:color="auto"/>
        <w:bottom w:val="none" w:sz="0" w:space="0" w:color="auto"/>
        <w:right w:val="none" w:sz="0" w:space="0" w:color="auto"/>
      </w:divBdr>
      <w:divsChild>
        <w:div w:id="1455952343">
          <w:marLeft w:val="0"/>
          <w:marRight w:val="0"/>
          <w:marTop w:val="0"/>
          <w:marBottom w:val="0"/>
          <w:divBdr>
            <w:top w:val="none" w:sz="0" w:space="0" w:color="auto"/>
            <w:left w:val="none" w:sz="0" w:space="0" w:color="auto"/>
            <w:bottom w:val="none" w:sz="0" w:space="0" w:color="auto"/>
            <w:right w:val="none" w:sz="0" w:space="0" w:color="auto"/>
          </w:divBdr>
          <w:divsChild>
            <w:div w:id="526335223">
              <w:marLeft w:val="0"/>
              <w:marRight w:val="0"/>
              <w:marTop w:val="0"/>
              <w:marBottom w:val="0"/>
              <w:divBdr>
                <w:top w:val="none" w:sz="0" w:space="0" w:color="auto"/>
                <w:left w:val="none" w:sz="0" w:space="0" w:color="auto"/>
                <w:bottom w:val="none" w:sz="0" w:space="0" w:color="auto"/>
                <w:right w:val="none" w:sz="0" w:space="0" w:color="auto"/>
              </w:divBdr>
              <w:divsChild>
                <w:div w:id="1358892571">
                  <w:marLeft w:val="0"/>
                  <w:marRight w:val="0"/>
                  <w:marTop w:val="0"/>
                  <w:marBottom w:val="0"/>
                  <w:divBdr>
                    <w:top w:val="none" w:sz="0" w:space="0" w:color="auto"/>
                    <w:left w:val="none" w:sz="0" w:space="0" w:color="auto"/>
                    <w:bottom w:val="none" w:sz="0" w:space="0" w:color="auto"/>
                    <w:right w:val="none" w:sz="0" w:space="0" w:color="auto"/>
                  </w:divBdr>
                  <w:divsChild>
                    <w:div w:id="8294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024693">
      <w:bodyDiv w:val="1"/>
      <w:marLeft w:val="0"/>
      <w:marRight w:val="0"/>
      <w:marTop w:val="0"/>
      <w:marBottom w:val="0"/>
      <w:divBdr>
        <w:top w:val="none" w:sz="0" w:space="0" w:color="auto"/>
        <w:left w:val="none" w:sz="0" w:space="0" w:color="auto"/>
        <w:bottom w:val="none" w:sz="0" w:space="0" w:color="auto"/>
        <w:right w:val="none" w:sz="0" w:space="0" w:color="auto"/>
      </w:divBdr>
      <w:divsChild>
        <w:div w:id="1680422638">
          <w:marLeft w:val="0"/>
          <w:marRight w:val="0"/>
          <w:marTop w:val="0"/>
          <w:marBottom w:val="0"/>
          <w:divBdr>
            <w:top w:val="none" w:sz="0" w:space="0" w:color="auto"/>
            <w:left w:val="none" w:sz="0" w:space="0" w:color="auto"/>
            <w:bottom w:val="none" w:sz="0" w:space="0" w:color="auto"/>
            <w:right w:val="none" w:sz="0" w:space="0" w:color="auto"/>
          </w:divBdr>
          <w:divsChild>
            <w:div w:id="628897408">
              <w:marLeft w:val="0"/>
              <w:marRight w:val="0"/>
              <w:marTop w:val="0"/>
              <w:marBottom w:val="0"/>
              <w:divBdr>
                <w:top w:val="none" w:sz="0" w:space="0" w:color="auto"/>
                <w:left w:val="none" w:sz="0" w:space="0" w:color="auto"/>
                <w:bottom w:val="none" w:sz="0" w:space="0" w:color="auto"/>
                <w:right w:val="none" w:sz="0" w:space="0" w:color="auto"/>
              </w:divBdr>
              <w:divsChild>
                <w:div w:id="1001008229">
                  <w:marLeft w:val="0"/>
                  <w:marRight w:val="0"/>
                  <w:marTop w:val="0"/>
                  <w:marBottom w:val="0"/>
                  <w:divBdr>
                    <w:top w:val="none" w:sz="0" w:space="0" w:color="auto"/>
                    <w:left w:val="none" w:sz="0" w:space="0" w:color="auto"/>
                    <w:bottom w:val="none" w:sz="0" w:space="0" w:color="auto"/>
                    <w:right w:val="none" w:sz="0" w:space="0" w:color="auto"/>
                  </w:divBdr>
                  <w:divsChild>
                    <w:div w:id="18693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342638">
      <w:bodyDiv w:val="1"/>
      <w:marLeft w:val="0"/>
      <w:marRight w:val="0"/>
      <w:marTop w:val="0"/>
      <w:marBottom w:val="0"/>
      <w:divBdr>
        <w:top w:val="none" w:sz="0" w:space="0" w:color="auto"/>
        <w:left w:val="none" w:sz="0" w:space="0" w:color="auto"/>
        <w:bottom w:val="none" w:sz="0" w:space="0" w:color="auto"/>
        <w:right w:val="none" w:sz="0" w:space="0" w:color="auto"/>
      </w:divBdr>
      <w:divsChild>
        <w:div w:id="1212419292">
          <w:marLeft w:val="0"/>
          <w:marRight w:val="0"/>
          <w:marTop w:val="0"/>
          <w:marBottom w:val="0"/>
          <w:divBdr>
            <w:top w:val="none" w:sz="0" w:space="0" w:color="auto"/>
            <w:left w:val="none" w:sz="0" w:space="0" w:color="auto"/>
            <w:bottom w:val="none" w:sz="0" w:space="0" w:color="auto"/>
            <w:right w:val="none" w:sz="0" w:space="0" w:color="auto"/>
          </w:divBdr>
          <w:divsChild>
            <w:div w:id="937758810">
              <w:marLeft w:val="0"/>
              <w:marRight w:val="0"/>
              <w:marTop w:val="0"/>
              <w:marBottom w:val="0"/>
              <w:divBdr>
                <w:top w:val="none" w:sz="0" w:space="0" w:color="auto"/>
                <w:left w:val="none" w:sz="0" w:space="0" w:color="auto"/>
                <w:bottom w:val="none" w:sz="0" w:space="0" w:color="auto"/>
                <w:right w:val="none" w:sz="0" w:space="0" w:color="auto"/>
              </w:divBdr>
              <w:divsChild>
                <w:div w:id="4447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4112">
      <w:bodyDiv w:val="1"/>
      <w:marLeft w:val="0"/>
      <w:marRight w:val="0"/>
      <w:marTop w:val="0"/>
      <w:marBottom w:val="0"/>
      <w:divBdr>
        <w:top w:val="none" w:sz="0" w:space="0" w:color="auto"/>
        <w:left w:val="none" w:sz="0" w:space="0" w:color="auto"/>
        <w:bottom w:val="none" w:sz="0" w:space="0" w:color="auto"/>
        <w:right w:val="none" w:sz="0" w:space="0" w:color="auto"/>
      </w:divBdr>
      <w:divsChild>
        <w:div w:id="206067227">
          <w:marLeft w:val="0"/>
          <w:marRight w:val="0"/>
          <w:marTop w:val="0"/>
          <w:marBottom w:val="0"/>
          <w:divBdr>
            <w:top w:val="none" w:sz="0" w:space="0" w:color="auto"/>
            <w:left w:val="none" w:sz="0" w:space="0" w:color="auto"/>
            <w:bottom w:val="none" w:sz="0" w:space="0" w:color="auto"/>
            <w:right w:val="none" w:sz="0" w:space="0" w:color="auto"/>
          </w:divBdr>
          <w:divsChild>
            <w:div w:id="328488793">
              <w:marLeft w:val="0"/>
              <w:marRight w:val="0"/>
              <w:marTop w:val="0"/>
              <w:marBottom w:val="0"/>
              <w:divBdr>
                <w:top w:val="none" w:sz="0" w:space="0" w:color="auto"/>
                <w:left w:val="none" w:sz="0" w:space="0" w:color="auto"/>
                <w:bottom w:val="none" w:sz="0" w:space="0" w:color="auto"/>
                <w:right w:val="none" w:sz="0" w:space="0" w:color="auto"/>
              </w:divBdr>
              <w:divsChild>
                <w:div w:id="1756591456">
                  <w:marLeft w:val="0"/>
                  <w:marRight w:val="0"/>
                  <w:marTop w:val="0"/>
                  <w:marBottom w:val="0"/>
                  <w:divBdr>
                    <w:top w:val="none" w:sz="0" w:space="0" w:color="auto"/>
                    <w:left w:val="none" w:sz="0" w:space="0" w:color="auto"/>
                    <w:bottom w:val="none" w:sz="0" w:space="0" w:color="auto"/>
                    <w:right w:val="none" w:sz="0" w:space="0" w:color="auto"/>
                  </w:divBdr>
                  <w:divsChild>
                    <w:div w:id="11211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58237">
      <w:bodyDiv w:val="1"/>
      <w:marLeft w:val="0"/>
      <w:marRight w:val="0"/>
      <w:marTop w:val="0"/>
      <w:marBottom w:val="0"/>
      <w:divBdr>
        <w:top w:val="none" w:sz="0" w:space="0" w:color="auto"/>
        <w:left w:val="none" w:sz="0" w:space="0" w:color="auto"/>
        <w:bottom w:val="none" w:sz="0" w:space="0" w:color="auto"/>
        <w:right w:val="none" w:sz="0" w:space="0" w:color="auto"/>
      </w:divBdr>
      <w:divsChild>
        <w:div w:id="1142697666">
          <w:marLeft w:val="0"/>
          <w:marRight w:val="0"/>
          <w:marTop w:val="0"/>
          <w:marBottom w:val="0"/>
          <w:divBdr>
            <w:top w:val="none" w:sz="0" w:space="0" w:color="auto"/>
            <w:left w:val="none" w:sz="0" w:space="0" w:color="auto"/>
            <w:bottom w:val="none" w:sz="0" w:space="0" w:color="auto"/>
            <w:right w:val="none" w:sz="0" w:space="0" w:color="auto"/>
          </w:divBdr>
          <w:divsChild>
            <w:div w:id="404229856">
              <w:marLeft w:val="0"/>
              <w:marRight w:val="0"/>
              <w:marTop w:val="0"/>
              <w:marBottom w:val="0"/>
              <w:divBdr>
                <w:top w:val="none" w:sz="0" w:space="0" w:color="auto"/>
                <w:left w:val="none" w:sz="0" w:space="0" w:color="auto"/>
                <w:bottom w:val="none" w:sz="0" w:space="0" w:color="auto"/>
                <w:right w:val="none" w:sz="0" w:space="0" w:color="auto"/>
              </w:divBdr>
              <w:divsChild>
                <w:div w:id="9097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62796">
      <w:bodyDiv w:val="1"/>
      <w:marLeft w:val="0"/>
      <w:marRight w:val="0"/>
      <w:marTop w:val="0"/>
      <w:marBottom w:val="0"/>
      <w:divBdr>
        <w:top w:val="none" w:sz="0" w:space="0" w:color="auto"/>
        <w:left w:val="none" w:sz="0" w:space="0" w:color="auto"/>
        <w:bottom w:val="none" w:sz="0" w:space="0" w:color="auto"/>
        <w:right w:val="none" w:sz="0" w:space="0" w:color="auto"/>
      </w:divBdr>
      <w:divsChild>
        <w:div w:id="201943520">
          <w:marLeft w:val="0"/>
          <w:marRight w:val="0"/>
          <w:marTop w:val="0"/>
          <w:marBottom w:val="0"/>
          <w:divBdr>
            <w:top w:val="none" w:sz="0" w:space="0" w:color="auto"/>
            <w:left w:val="none" w:sz="0" w:space="0" w:color="auto"/>
            <w:bottom w:val="none" w:sz="0" w:space="0" w:color="auto"/>
            <w:right w:val="none" w:sz="0" w:space="0" w:color="auto"/>
          </w:divBdr>
          <w:divsChild>
            <w:div w:id="251277919">
              <w:marLeft w:val="0"/>
              <w:marRight w:val="0"/>
              <w:marTop w:val="0"/>
              <w:marBottom w:val="0"/>
              <w:divBdr>
                <w:top w:val="none" w:sz="0" w:space="0" w:color="auto"/>
                <w:left w:val="none" w:sz="0" w:space="0" w:color="auto"/>
                <w:bottom w:val="none" w:sz="0" w:space="0" w:color="auto"/>
                <w:right w:val="none" w:sz="0" w:space="0" w:color="auto"/>
              </w:divBdr>
              <w:divsChild>
                <w:div w:id="1122310019">
                  <w:marLeft w:val="0"/>
                  <w:marRight w:val="0"/>
                  <w:marTop w:val="0"/>
                  <w:marBottom w:val="0"/>
                  <w:divBdr>
                    <w:top w:val="none" w:sz="0" w:space="0" w:color="auto"/>
                    <w:left w:val="none" w:sz="0" w:space="0" w:color="auto"/>
                    <w:bottom w:val="none" w:sz="0" w:space="0" w:color="auto"/>
                    <w:right w:val="none" w:sz="0" w:space="0" w:color="auto"/>
                  </w:divBdr>
                  <w:divsChild>
                    <w:div w:id="4195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428933">
      <w:bodyDiv w:val="1"/>
      <w:marLeft w:val="0"/>
      <w:marRight w:val="0"/>
      <w:marTop w:val="0"/>
      <w:marBottom w:val="0"/>
      <w:divBdr>
        <w:top w:val="none" w:sz="0" w:space="0" w:color="auto"/>
        <w:left w:val="none" w:sz="0" w:space="0" w:color="auto"/>
        <w:bottom w:val="none" w:sz="0" w:space="0" w:color="auto"/>
        <w:right w:val="none" w:sz="0" w:space="0" w:color="auto"/>
      </w:divBdr>
      <w:divsChild>
        <w:div w:id="1876890718">
          <w:marLeft w:val="0"/>
          <w:marRight w:val="0"/>
          <w:marTop w:val="0"/>
          <w:marBottom w:val="0"/>
          <w:divBdr>
            <w:top w:val="none" w:sz="0" w:space="0" w:color="auto"/>
            <w:left w:val="none" w:sz="0" w:space="0" w:color="auto"/>
            <w:bottom w:val="none" w:sz="0" w:space="0" w:color="auto"/>
            <w:right w:val="none" w:sz="0" w:space="0" w:color="auto"/>
          </w:divBdr>
          <w:divsChild>
            <w:div w:id="272246733">
              <w:marLeft w:val="0"/>
              <w:marRight w:val="0"/>
              <w:marTop w:val="0"/>
              <w:marBottom w:val="0"/>
              <w:divBdr>
                <w:top w:val="none" w:sz="0" w:space="0" w:color="auto"/>
                <w:left w:val="none" w:sz="0" w:space="0" w:color="auto"/>
                <w:bottom w:val="none" w:sz="0" w:space="0" w:color="auto"/>
                <w:right w:val="none" w:sz="0" w:space="0" w:color="auto"/>
              </w:divBdr>
              <w:divsChild>
                <w:div w:id="350111713">
                  <w:marLeft w:val="0"/>
                  <w:marRight w:val="0"/>
                  <w:marTop w:val="0"/>
                  <w:marBottom w:val="0"/>
                  <w:divBdr>
                    <w:top w:val="none" w:sz="0" w:space="0" w:color="auto"/>
                    <w:left w:val="none" w:sz="0" w:space="0" w:color="auto"/>
                    <w:bottom w:val="none" w:sz="0" w:space="0" w:color="auto"/>
                    <w:right w:val="none" w:sz="0" w:space="0" w:color="auto"/>
                  </w:divBdr>
                  <w:divsChild>
                    <w:div w:id="13288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07219">
      <w:bodyDiv w:val="1"/>
      <w:marLeft w:val="0"/>
      <w:marRight w:val="0"/>
      <w:marTop w:val="0"/>
      <w:marBottom w:val="0"/>
      <w:divBdr>
        <w:top w:val="none" w:sz="0" w:space="0" w:color="auto"/>
        <w:left w:val="none" w:sz="0" w:space="0" w:color="auto"/>
        <w:bottom w:val="none" w:sz="0" w:space="0" w:color="auto"/>
        <w:right w:val="none" w:sz="0" w:space="0" w:color="auto"/>
      </w:divBdr>
      <w:divsChild>
        <w:div w:id="1521889460">
          <w:marLeft w:val="0"/>
          <w:marRight w:val="0"/>
          <w:marTop w:val="0"/>
          <w:marBottom w:val="0"/>
          <w:divBdr>
            <w:top w:val="none" w:sz="0" w:space="0" w:color="auto"/>
            <w:left w:val="none" w:sz="0" w:space="0" w:color="auto"/>
            <w:bottom w:val="none" w:sz="0" w:space="0" w:color="auto"/>
            <w:right w:val="none" w:sz="0" w:space="0" w:color="auto"/>
          </w:divBdr>
          <w:divsChild>
            <w:div w:id="457913170">
              <w:marLeft w:val="0"/>
              <w:marRight w:val="0"/>
              <w:marTop w:val="0"/>
              <w:marBottom w:val="0"/>
              <w:divBdr>
                <w:top w:val="none" w:sz="0" w:space="0" w:color="auto"/>
                <w:left w:val="none" w:sz="0" w:space="0" w:color="auto"/>
                <w:bottom w:val="none" w:sz="0" w:space="0" w:color="auto"/>
                <w:right w:val="none" w:sz="0" w:space="0" w:color="auto"/>
              </w:divBdr>
              <w:divsChild>
                <w:div w:id="506599940">
                  <w:marLeft w:val="0"/>
                  <w:marRight w:val="0"/>
                  <w:marTop w:val="0"/>
                  <w:marBottom w:val="0"/>
                  <w:divBdr>
                    <w:top w:val="none" w:sz="0" w:space="0" w:color="auto"/>
                    <w:left w:val="none" w:sz="0" w:space="0" w:color="auto"/>
                    <w:bottom w:val="none" w:sz="0" w:space="0" w:color="auto"/>
                    <w:right w:val="none" w:sz="0" w:space="0" w:color="auto"/>
                  </w:divBdr>
                  <w:divsChild>
                    <w:div w:id="2157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3405">
      <w:bodyDiv w:val="1"/>
      <w:marLeft w:val="0"/>
      <w:marRight w:val="0"/>
      <w:marTop w:val="0"/>
      <w:marBottom w:val="0"/>
      <w:divBdr>
        <w:top w:val="none" w:sz="0" w:space="0" w:color="auto"/>
        <w:left w:val="none" w:sz="0" w:space="0" w:color="auto"/>
        <w:bottom w:val="none" w:sz="0" w:space="0" w:color="auto"/>
        <w:right w:val="none" w:sz="0" w:space="0" w:color="auto"/>
      </w:divBdr>
      <w:divsChild>
        <w:div w:id="684482539">
          <w:marLeft w:val="0"/>
          <w:marRight w:val="0"/>
          <w:marTop w:val="0"/>
          <w:marBottom w:val="0"/>
          <w:divBdr>
            <w:top w:val="none" w:sz="0" w:space="0" w:color="auto"/>
            <w:left w:val="none" w:sz="0" w:space="0" w:color="auto"/>
            <w:bottom w:val="none" w:sz="0" w:space="0" w:color="auto"/>
            <w:right w:val="none" w:sz="0" w:space="0" w:color="auto"/>
          </w:divBdr>
          <w:divsChild>
            <w:div w:id="633602543">
              <w:marLeft w:val="0"/>
              <w:marRight w:val="0"/>
              <w:marTop w:val="0"/>
              <w:marBottom w:val="0"/>
              <w:divBdr>
                <w:top w:val="none" w:sz="0" w:space="0" w:color="auto"/>
                <w:left w:val="none" w:sz="0" w:space="0" w:color="auto"/>
                <w:bottom w:val="none" w:sz="0" w:space="0" w:color="auto"/>
                <w:right w:val="none" w:sz="0" w:space="0" w:color="auto"/>
              </w:divBdr>
              <w:divsChild>
                <w:div w:id="203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5629">
      <w:bodyDiv w:val="1"/>
      <w:marLeft w:val="0"/>
      <w:marRight w:val="0"/>
      <w:marTop w:val="0"/>
      <w:marBottom w:val="0"/>
      <w:divBdr>
        <w:top w:val="none" w:sz="0" w:space="0" w:color="auto"/>
        <w:left w:val="none" w:sz="0" w:space="0" w:color="auto"/>
        <w:bottom w:val="none" w:sz="0" w:space="0" w:color="auto"/>
        <w:right w:val="none" w:sz="0" w:space="0" w:color="auto"/>
      </w:divBdr>
    </w:div>
    <w:div w:id="1839661102">
      <w:bodyDiv w:val="1"/>
      <w:marLeft w:val="0"/>
      <w:marRight w:val="0"/>
      <w:marTop w:val="0"/>
      <w:marBottom w:val="0"/>
      <w:divBdr>
        <w:top w:val="none" w:sz="0" w:space="0" w:color="auto"/>
        <w:left w:val="none" w:sz="0" w:space="0" w:color="auto"/>
        <w:bottom w:val="none" w:sz="0" w:space="0" w:color="auto"/>
        <w:right w:val="none" w:sz="0" w:space="0" w:color="auto"/>
      </w:divBdr>
    </w:div>
    <w:div w:id="1843818403">
      <w:bodyDiv w:val="1"/>
      <w:marLeft w:val="0"/>
      <w:marRight w:val="0"/>
      <w:marTop w:val="0"/>
      <w:marBottom w:val="0"/>
      <w:divBdr>
        <w:top w:val="none" w:sz="0" w:space="0" w:color="auto"/>
        <w:left w:val="none" w:sz="0" w:space="0" w:color="auto"/>
        <w:bottom w:val="none" w:sz="0" w:space="0" w:color="auto"/>
        <w:right w:val="none" w:sz="0" w:space="0" w:color="auto"/>
      </w:divBdr>
      <w:divsChild>
        <w:div w:id="2079747266">
          <w:marLeft w:val="0"/>
          <w:marRight w:val="0"/>
          <w:marTop w:val="0"/>
          <w:marBottom w:val="0"/>
          <w:divBdr>
            <w:top w:val="none" w:sz="0" w:space="0" w:color="auto"/>
            <w:left w:val="none" w:sz="0" w:space="0" w:color="auto"/>
            <w:bottom w:val="none" w:sz="0" w:space="0" w:color="auto"/>
            <w:right w:val="none" w:sz="0" w:space="0" w:color="auto"/>
          </w:divBdr>
          <w:divsChild>
            <w:div w:id="1092816373">
              <w:marLeft w:val="0"/>
              <w:marRight w:val="0"/>
              <w:marTop w:val="0"/>
              <w:marBottom w:val="0"/>
              <w:divBdr>
                <w:top w:val="none" w:sz="0" w:space="0" w:color="auto"/>
                <w:left w:val="none" w:sz="0" w:space="0" w:color="auto"/>
                <w:bottom w:val="none" w:sz="0" w:space="0" w:color="auto"/>
                <w:right w:val="none" w:sz="0" w:space="0" w:color="auto"/>
              </w:divBdr>
              <w:divsChild>
                <w:div w:id="1220215873">
                  <w:marLeft w:val="0"/>
                  <w:marRight w:val="0"/>
                  <w:marTop w:val="0"/>
                  <w:marBottom w:val="0"/>
                  <w:divBdr>
                    <w:top w:val="none" w:sz="0" w:space="0" w:color="auto"/>
                    <w:left w:val="none" w:sz="0" w:space="0" w:color="auto"/>
                    <w:bottom w:val="none" w:sz="0" w:space="0" w:color="auto"/>
                    <w:right w:val="none" w:sz="0" w:space="0" w:color="auto"/>
                  </w:divBdr>
                  <w:divsChild>
                    <w:div w:id="13759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4947">
      <w:bodyDiv w:val="1"/>
      <w:marLeft w:val="0"/>
      <w:marRight w:val="0"/>
      <w:marTop w:val="0"/>
      <w:marBottom w:val="0"/>
      <w:divBdr>
        <w:top w:val="none" w:sz="0" w:space="0" w:color="auto"/>
        <w:left w:val="none" w:sz="0" w:space="0" w:color="auto"/>
        <w:bottom w:val="none" w:sz="0" w:space="0" w:color="auto"/>
        <w:right w:val="none" w:sz="0" w:space="0" w:color="auto"/>
      </w:divBdr>
      <w:divsChild>
        <w:div w:id="487288512">
          <w:marLeft w:val="0"/>
          <w:marRight w:val="0"/>
          <w:marTop w:val="0"/>
          <w:marBottom w:val="0"/>
          <w:divBdr>
            <w:top w:val="none" w:sz="0" w:space="0" w:color="auto"/>
            <w:left w:val="none" w:sz="0" w:space="0" w:color="auto"/>
            <w:bottom w:val="none" w:sz="0" w:space="0" w:color="auto"/>
            <w:right w:val="none" w:sz="0" w:space="0" w:color="auto"/>
          </w:divBdr>
          <w:divsChild>
            <w:div w:id="1175346240">
              <w:marLeft w:val="0"/>
              <w:marRight w:val="0"/>
              <w:marTop w:val="0"/>
              <w:marBottom w:val="0"/>
              <w:divBdr>
                <w:top w:val="none" w:sz="0" w:space="0" w:color="auto"/>
                <w:left w:val="none" w:sz="0" w:space="0" w:color="auto"/>
                <w:bottom w:val="none" w:sz="0" w:space="0" w:color="auto"/>
                <w:right w:val="none" w:sz="0" w:space="0" w:color="auto"/>
              </w:divBdr>
              <w:divsChild>
                <w:div w:id="1359282361">
                  <w:marLeft w:val="0"/>
                  <w:marRight w:val="0"/>
                  <w:marTop w:val="0"/>
                  <w:marBottom w:val="0"/>
                  <w:divBdr>
                    <w:top w:val="none" w:sz="0" w:space="0" w:color="auto"/>
                    <w:left w:val="none" w:sz="0" w:space="0" w:color="auto"/>
                    <w:bottom w:val="none" w:sz="0" w:space="0" w:color="auto"/>
                    <w:right w:val="none" w:sz="0" w:space="0" w:color="auto"/>
                  </w:divBdr>
                  <w:divsChild>
                    <w:div w:id="3689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92965">
      <w:bodyDiv w:val="1"/>
      <w:marLeft w:val="0"/>
      <w:marRight w:val="0"/>
      <w:marTop w:val="0"/>
      <w:marBottom w:val="0"/>
      <w:divBdr>
        <w:top w:val="none" w:sz="0" w:space="0" w:color="auto"/>
        <w:left w:val="none" w:sz="0" w:space="0" w:color="auto"/>
        <w:bottom w:val="none" w:sz="0" w:space="0" w:color="auto"/>
        <w:right w:val="none" w:sz="0" w:space="0" w:color="auto"/>
      </w:divBdr>
    </w:div>
    <w:div w:id="1856845077">
      <w:bodyDiv w:val="1"/>
      <w:marLeft w:val="0"/>
      <w:marRight w:val="0"/>
      <w:marTop w:val="0"/>
      <w:marBottom w:val="0"/>
      <w:divBdr>
        <w:top w:val="none" w:sz="0" w:space="0" w:color="auto"/>
        <w:left w:val="none" w:sz="0" w:space="0" w:color="auto"/>
        <w:bottom w:val="none" w:sz="0" w:space="0" w:color="auto"/>
        <w:right w:val="none" w:sz="0" w:space="0" w:color="auto"/>
      </w:divBdr>
      <w:divsChild>
        <w:div w:id="587732172">
          <w:marLeft w:val="0"/>
          <w:marRight w:val="0"/>
          <w:marTop w:val="0"/>
          <w:marBottom w:val="0"/>
          <w:divBdr>
            <w:top w:val="none" w:sz="0" w:space="0" w:color="auto"/>
            <w:left w:val="none" w:sz="0" w:space="0" w:color="auto"/>
            <w:bottom w:val="none" w:sz="0" w:space="0" w:color="auto"/>
            <w:right w:val="none" w:sz="0" w:space="0" w:color="auto"/>
          </w:divBdr>
          <w:divsChild>
            <w:div w:id="627396064">
              <w:marLeft w:val="0"/>
              <w:marRight w:val="0"/>
              <w:marTop w:val="0"/>
              <w:marBottom w:val="0"/>
              <w:divBdr>
                <w:top w:val="none" w:sz="0" w:space="0" w:color="auto"/>
                <w:left w:val="none" w:sz="0" w:space="0" w:color="auto"/>
                <w:bottom w:val="none" w:sz="0" w:space="0" w:color="auto"/>
                <w:right w:val="none" w:sz="0" w:space="0" w:color="auto"/>
              </w:divBdr>
              <w:divsChild>
                <w:div w:id="6234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42375">
      <w:bodyDiv w:val="1"/>
      <w:marLeft w:val="0"/>
      <w:marRight w:val="0"/>
      <w:marTop w:val="0"/>
      <w:marBottom w:val="0"/>
      <w:divBdr>
        <w:top w:val="none" w:sz="0" w:space="0" w:color="auto"/>
        <w:left w:val="none" w:sz="0" w:space="0" w:color="auto"/>
        <w:bottom w:val="none" w:sz="0" w:space="0" w:color="auto"/>
        <w:right w:val="none" w:sz="0" w:space="0" w:color="auto"/>
      </w:divBdr>
      <w:divsChild>
        <w:div w:id="1745371217">
          <w:marLeft w:val="0"/>
          <w:marRight w:val="0"/>
          <w:marTop w:val="0"/>
          <w:marBottom w:val="0"/>
          <w:divBdr>
            <w:top w:val="none" w:sz="0" w:space="0" w:color="auto"/>
            <w:left w:val="none" w:sz="0" w:space="0" w:color="auto"/>
            <w:bottom w:val="none" w:sz="0" w:space="0" w:color="auto"/>
            <w:right w:val="none" w:sz="0" w:space="0" w:color="auto"/>
          </w:divBdr>
          <w:divsChild>
            <w:div w:id="1932469737">
              <w:marLeft w:val="0"/>
              <w:marRight w:val="0"/>
              <w:marTop w:val="0"/>
              <w:marBottom w:val="0"/>
              <w:divBdr>
                <w:top w:val="none" w:sz="0" w:space="0" w:color="auto"/>
                <w:left w:val="none" w:sz="0" w:space="0" w:color="auto"/>
                <w:bottom w:val="none" w:sz="0" w:space="0" w:color="auto"/>
                <w:right w:val="none" w:sz="0" w:space="0" w:color="auto"/>
              </w:divBdr>
              <w:divsChild>
                <w:div w:id="408239495">
                  <w:marLeft w:val="0"/>
                  <w:marRight w:val="0"/>
                  <w:marTop w:val="0"/>
                  <w:marBottom w:val="0"/>
                  <w:divBdr>
                    <w:top w:val="none" w:sz="0" w:space="0" w:color="auto"/>
                    <w:left w:val="none" w:sz="0" w:space="0" w:color="auto"/>
                    <w:bottom w:val="none" w:sz="0" w:space="0" w:color="auto"/>
                    <w:right w:val="none" w:sz="0" w:space="0" w:color="auto"/>
                  </w:divBdr>
                  <w:divsChild>
                    <w:div w:id="98500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9591">
      <w:bodyDiv w:val="1"/>
      <w:marLeft w:val="0"/>
      <w:marRight w:val="0"/>
      <w:marTop w:val="0"/>
      <w:marBottom w:val="0"/>
      <w:divBdr>
        <w:top w:val="none" w:sz="0" w:space="0" w:color="auto"/>
        <w:left w:val="none" w:sz="0" w:space="0" w:color="auto"/>
        <w:bottom w:val="none" w:sz="0" w:space="0" w:color="auto"/>
        <w:right w:val="none" w:sz="0" w:space="0" w:color="auto"/>
      </w:divBdr>
      <w:divsChild>
        <w:div w:id="1098410198">
          <w:marLeft w:val="0"/>
          <w:marRight w:val="0"/>
          <w:marTop w:val="0"/>
          <w:marBottom w:val="0"/>
          <w:divBdr>
            <w:top w:val="none" w:sz="0" w:space="0" w:color="auto"/>
            <w:left w:val="none" w:sz="0" w:space="0" w:color="auto"/>
            <w:bottom w:val="none" w:sz="0" w:space="0" w:color="auto"/>
            <w:right w:val="none" w:sz="0" w:space="0" w:color="auto"/>
          </w:divBdr>
          <w:divsChild>
            <w:div w:id="37706253">
              <w:marLeft w:val="0"/>
              <w:marRight w:val="0"/>
              <w:marTop w:val="0"/>
              <w:marBottom w:val="0"/>
              <w:divBdr>
                <w:top w:val="none" w:sz="0" w:space="0" w:color="auto"/>
                <w:left w:val="none" w:sz="0" w:space="0" w:color="auto"/>
                <w:bottom w:val="none" w:sz="0" w:space="0" w:color="auto"/>
                <w:right w:val="none" w:sz="0" w:space="0" w:color="auto"/>
              </w:divBdr>
              <w:divsChild>
                <w:div w:id="10302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73572">
      <w:bodyDiv w:val="1"/>
      <w:marLeft w:val="0"/>
      <w:marRight w:val="0"/>
      <w:marTop w:val="0"/>
      <w:marBottom w:val="0"/>
      <w:divBdr>
        <w:top w:val="none" w:sz="0" w:space="0" w:color="auto"/>
        <w:left w:val="none" w:sz="0" w:space="0" w:color="auto"/>
        <w:bottom w:val="none" w:sz="0" w:space="0" w:color="auto"/>
        <w:right w:val="none" w:sz="0" w:space="0" w:color="auto"/>
      </w:divBdr>
      <w:divsChild>
        <w:div w:id="1233273790">
          <w:marLeft w:val="0"/>
          <w:marRight w:val="0"/>
          <w:marTop w:val="0"/>
          <w:marBottom w:val="0"/>
          <w:divBdr>
            <w:top w:val="none" w:sz="0" w:space="0" w:color="auto"/>
            <w:left w:val="none" w:sz="0" w:space="0" w:color="auto"/>
            <w:bottom w:val="none" w:sz="0" w:space="0" w:color="auto"/>
            <w:right w:val="none" w:sz="0" w:space="0" w:color="auto"/>
          </w:divBdr>
          <w:divsChild>
            <w:div w:id="1842548782">
              <w:marLeft w:val="0"/>
              <w:marRight w:val="0"/>
              <w:marTop w:val="0"/>
              <w:marBottom w:val="0"/>
              <w:divBdr>
                <w:top w:val="none" w:sz="0" w:space="0" w:color="auto"/>
                <w:left w:val="none" w:sz="0" w:space="0" w:color="auto"/>
                <w:bottom w:val="none" w:sz="0" w:space="0" w:color="auto"/>
                <w:right w:val="none" w:sz="0" w:space="0" w:color="auto"/>
              </w:divBdr>
              <w:divsChild>
                <w:div w:id="2122527123">
                  <w:marLeft w:val="0"/>
                  <w:marRight w:val="0"/>
                  <w:marTop w:val="0"/>
                  <w:marBottom w:val="0"/>
                  <w:divBdr>
                    <w:top w:val="none" w:sz="0" w:space="0" w:color="auto"/>
                    <w:left w:val="none" w:sz="0" w:space="0" w:color="auto"/>
                    <w:bottom w:val="none" w:sz="0" w:space="0" w:color="auto"/>
                    <w:right w:val="none" w:sz="0" w:space="0" w:color="auto"/>
                  </w:divBdr>
                  <w:divsChild>
                    <w:div w:id="16916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42924">
      <w:bodyDiv w:val="1"/>
      <w:marLeft w:val="0"/>
      <w:marRight w:val="0"/>
      <w:marTop w:val="0"/>
      <w:marBottom w:val="0"/>
      <w:divBdr>
        <w:top w:val="none" w:sz="0" w:space="0" w:color="auto"/>
        <w:left w:val="none" w:sz="0" w:space="0" w:color="auto"/>
        <w:bottom w:val="none" w:sz="0" w:space="0" w:color="auto"/>
        <w:right w:val="none" w:sz="0" w:space="0" w:color="auto"/>
      </w:divBdr>
      <w:divsChild>
        <w:div w:id="1519852112">
          <w:marLeft w:val="0"/>
          <w:marRight w:val="0"/>
          <w:marTop w:val="0"/>
          <w:marBottom w:val="0"/>
          <w:divBdr>
            <w:top w:val="none" w:sz="0" w:space="0" w:color="auto"/>
            <w:left w:val="none" w:sz="0" w:space="0" w:color="auto"/>
            <w:bottom w:val="none" w:sz="0" w:space="0" w:color="auto"/>
            <w:right w:val="none" w:sz="0" w:space="0" w:color="auto"/>
          </w:divBdr>
          <w:divsChild>
            <w:div w:id="42216477">
              <w:marLeft w:val="0"/>
              <w:marRight w:val="0"/>
              <w:marTop w:val="0"/>
              <w:marBottom w:val="0"/>
              <w:divBdr>
                <w:top w:val="none" w:sz="0" w:space="0" w:color="auto"/>
                <w:left w:val="none" w:sz="0" w:space="0" w:color="auto"/>
                <w:bottom w:val="none" w:sz="0" w:space="0" w:color="auto"/>
                <w:right w:val="none" w:sz="0" w:space="0" w:color="auto"/>
              </w:divBdr>
              <w:divsChild>
                <w:div w:id="914239765">
                  <w:marLeft w:val="0"/>
                  <w:marRight w:val="0"/>
                  <w:marTop w:val="0"/>
                  <w:marBottom w:val="0"/>
                  <w:divBdr>
                    <w:top w:val="none" w:sz="0" w:space="0" w:color="auto"/>
                    <w:left w:val="none" w:sz="0" w:space="0" w:color="auto"/>
                    <w:bottom w:val="none" w:sz="0" w:space="0" w:color="auto"/>
                    <w:right w:val="none" w:sz="0" w:space="0" w:color="auto"/>
                  </w:divBdr>
                  <w:divsChild>
                    <w:div w:id="5927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964280">
      <w:bodyDiv w:val="1"/>
      <w:marLeft w:val="0"/>
      <w:marRight w:val="0"/>
      <w:marTop w:val="0"/>
      <w:marBottom w:val="0"/>
      <w:divBdr>
        <w:top w:val="none" w:sz="0" w:space="0" w:color="auto"/>
        <w:left w:val="none" w:sz="0" w:space="0" w:color="auto"/>
        <w:bottom w:val="none" w:sz="0" w:space="0" w:color="auto"/>
        <w:right w:val="none" w:sz="0" w:space="0" w:color="auto"/>
      </w:divBdr>
      <w:divsChild>
        <w:div w:id="1387994444">
          <w:marLeft w:val="0"/>
          <w:marRight w:val="0"/>
          <w:marTop w:val="0"/>
          <w:marBottom w:val="0"/>
          <w:divBdr>
            <w:top w:val="none" w:sz="0" w:space="0" w:color="auto"/>
            <w:left w:val="none" w:sz="0" w:space="0" w:color="auto"/>
            <w:bottom w:val="none" w:sz="0" w:space="0" w:color="auto"/>
            <w:right w:val="none" w:sz="0" w:space="0" w:color="auto"/>
          </w:divBdr>
          <w:divsChild>
            <w:div w:id="470293968">
              <w:marLeft w:val="0"/>
              <w:marRight w:val="0"/>
              <w:marTop w:val="0"/>
              <w:marBottom w:val="0"/>
              <w:divBdr>
                <w:top w:val="none" w:sz="0" w:space="0" w:color="auto"/>
                <w:left w:val="none" w:sz="0" w:space="0" w:color="auto"/>
                <w:bottom w:val="none" w:sz="0" w:space="0" w:color="auto"/>
                <w:right w:val="none" w:sz="0" w:space="0" w:color="auto"/>
              </w:divBdr>
              <w:divsChild>
                <w:div w:id="780103718">
                  <w:marLeft w:val="0"/>
                  <w:marRight w:val="0"/>
                  <w:marTop w:val="0"/>
                  <w:marBottom w:val="0"/>
                  <w:divBdr>
                    <w:top w:val="none" w:sz="0" w:space="0" w:color="auto"/>
                    <w:left w:val="none" w:sz="0" w:space="0" w:color="auto"/>
                    <w:bottom w:val="none" w:sz="0" w:space="0" w:color="auto"/>
                    <w:right w:val="none" w:sz="0" w:space="0" w:color="auto"/>
                  </w:divBdr>
                  <w:divsChild>
                    <w:div w:id="23320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44043">
      <w:bodyDiv w:val="1"/>
      <w:marLeft w:val="0"/>
      <w:marRight w:val="0"/>
      <w:marTop w:val="0"/>
      <w:marBottom w:val="0"/>
      <w:divBdr>
        <w:top w:val="none" w:sz="0" w:space="0" w:color="auto"/>
        <w:left w:val="none" w:sz="0" w:space="0" w:color="auto"/>
        <w:bottom w:val="none" w:sz="0" w:space="0" w:color="auto"/>
        <w:right w:val="none" w:sz="0" w:space="0" w:color="auto"/>
      </w:divBdr>
      <w:divsChild>
        <w:div w:id="1426611793">
          <w:marLeft w:val="-225"/>
          <w:marRight w:val="-225"/>
          <w:marTop w:val="0"/>
          <w:marBottom w:val="0"/>
          <w:divBdr>
            <w:top w:val="none" w:sz="0" w:space="0" w:color="auto"/>
            <w:left w:val="none" w:sz="0" w:space="0" w:color="auto"/>
            <w:bottom w:val="none" w:sz="0" w:space="0" w:color="auto"/>
            <w:right w:val="none" w:sz="0" w:space="0" w:color="auto"/>
          </w:divBdr>
          <w:divsChild>
            <w:div w:id="1570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8200">
      <w:bodyDiv w:val="1"/>
      <w:marLeft w:val="0"/>
      <w:marRight w:val="0"/>
      <w:marTop w:val="0"/>
      <w:marBottom w:val="0"/>
      <w:divBdr>
        <w:top w:val="none" w:sz="0" w:space="0" w:color="auto"/>
        <w:left w:val="none" w:sz="0" w:space="0" w:color="auto"/>
        <w:bottom w:val="none" w:sz="0" w:space="0" w:color="auto"/>
        <w:right w:val="none" w:sz="0" w:space="0" w:color="auto"/>
      </w:divBdr>
      <w:divsChild>
        <w:div w:id="17826339">
          <w:marLeft w:val="0"/>
          <w:marRight w:val="0"/>
          <w:marTop w:val="0"/>
          <w:marBottom w:val="0"/>
          <w:divBdr>
            <w:top w:val="none" w:sz="0" w:space="0" w:color="auto"/>
            <w:left w:val="none" w:sz="0" w:space="0" w:color="auto"/>
            <w:bottom w:val="none" w:sz="0" w:space="0" w:color="auto"/>
            <w:right w:val="none" w:sz="0" w:space="0" w:color="auto"/>
          </w:divBdr>
          <w:divsChild>
            <w:div w:id="609897491">
              <w:marLeft w:val="0"/>
              <w:marRight w:val="0"/>
              <w:marTop w:val="0"/>
              <w:marBottom w:val="0"/>
              <w:divBdr>
                <w:top w:val="none" w:sz="0" w:space="0" w:color="auto"/>
                <w:left w:val="none" w:sz="0" w:space="0" w:color="auto"/>
                <w:bottom w:val="none" w:sz="0" w:space="0" w:color="auto"/>
                <w:right w:val="none" w:sz="0" w:space="0" w:color="auto"/>
              </w:divBdr>
              <w:divsChild>
                <w:div w:id="15698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33782">
      <w:bodyDiv w:val="1"/>
      <w:marLeft w:val="0"/>
      <w:marRight w:val="0"/>
      <w:marTop w:val="0"/>
      <w:marBottom w:val="0"/>
      <w:divBdr>
        <w:top w:val="none" w:sz="0" w:space="0" w:color="auto"/>
        <w:left w:val="none" w:sz="0" w:space="0" w:color="auto"/>
        <w:bottom w:val="none" w:sz="0" w:space="0" w:color="auto"/>
        <w:right w:val="none" w:sz="0" w:space="0" w:color="auto"/>
      </w:divBdr>
      <w:divsChild>
        <w:div w:id="1965194528">
          <w:marLeft w:val="0"/>
          <w:marRight w:val="0"/>
          <w:marTop w:val="0"/>
          <w:marBottom w:val="0"/>
          <w:divBdr>
            <w:top w:val="none" w:sz="0" w:space="0" w:color="auto"/>
            <w:left w:val="none" w:sz="0" w:space="0" w:color="auto"/>
            <w:bottom w:val="none" w:sz="0" w:space="0" w:color="auto"/>
            <w:right w:val="none" w:sz="0" w:space="0" w:color="auto"/>
          </w:divBdr>
          <w:divsChild>
            <w:div w:id="222177830">
              <w:marLeft w:val="0"/>
              <w:marRight w:val="0"/>
              <w:marTop w:val="0"/>
              <w:marBottom w:val="0"/>
              <w:divBdr>
                <w:top w:val="none" w:sz="0" w:space="0" w:color="auto"/>
                <w:left w:val="none" w:sz="0" w:space="0" w:color="auto"/>
                <w:bottom w:val="none" w:sz="0" w:space="0" w:color="auto"/>
                <w:right w:val="none" w:sz="0" w:space="0" w:color="auto"/>
              </w:divBdr>
              <w:divsChild>
                <w:div w:id="18752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5417">
      <w:bodyDiv w:val="1"/>
      <w:marLeft w:val="0"/>
      <w:marRight w:val="0"/>
      <w:marTop w:val="0"/>
      <w:marBottom w:val="0"/>
      <w:divBdr>
        <w:top w:val="none" w:sz="0" w:space="0" w:color="auto"/>
        <w:left w:val="none" w:sz="0" w:space="0" w:color="auto"/>
        <w:bottom w:val="none" w:sz="0" w:space="0" w:color="auto"/>
        <w:right w:val="none" w:sz="0" w:space="0" w:color="auto"/>
      </w:divBdr>
      <w:divsChild>
        <w:div w:id="830365132">
          <w:marLeft w:val="0"/>
          <w:marRight w:val="0"/>
          <w:marTop w:val="0"/>
          <w:marBottom w:val="0"/>
          <w:divBdr>
            <w:top w:val="none" w:sz="0" w:space="0" w:color="auto"/>
            <w:left w:val="none" w:sz="0" w:space="0" w:color="auto"/>
            <w:bottom w:val="none" w:sz="0" w:space="0" w:color="auto"/>
            <w:right w:val="none" w:sz="0" w:space="0" w:color="auto"/>
          </w:divBdr>
          <w:divsChild>
            <w:div w:id="784930665">
              <w:marLeft w:val="0"/>
              <w:marRight w:val="0"/>
              <w:marTop w:val="0"/>
              <w:marBottom w:val="0"/>
              <w:divBdr>
                <w:top w:val="none" w:sz="0" w:space="0" w:color="auto"/>
                <w:left w:val="none" w:sz="0" w:space="0" w:color="auto"/>
                <w:bottom w:val="none" w:sz="0" w:space="0" w:color="auto"/>
                <w:right w:val="none" w:sz="0" w:space="0" w:color="auto"/>
              </w:divBdr>
              <w:divsChild>
                <w:div w:id="12923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69422">
      <w:bodyDiv w:val="1"/>
      <w:marLeft w:val="0"/>
      <w:marRight w:val="0"/>
      <w:marTop w:val="0"/>
      <w:marBottom w:val="0"/>
      <w:divBdr>
        <w:top w:val="none" w:sz="0" w:space="0" w:color="auto"/>
        <w:left w:val="none" w:sz="0" w:space="0" w:color="auto"/>
        <w:bottom w:val="none" w:sz="0" w:space="0" w:color="auto"/>
        <w:right w:val="none" w:sz="0" w:space="0" w:color="auto"/>
      </w:divBdr>
      <w:divsChild>
        <w:div w:id="286088632">
          <w:marLeft w:val="0"/>
          <w:marRight w:val="0"/>
          <w:marTop w:val="0"/>
          <w:marBottom w:val="0"/>
          <w:divBdr>
            <w:top w:val="none" w:sz="0" w:space="0" w:color="auto"/>
            <w:left w:val="none" w:sz="0" w:space="0" w:color="auto"/>
            <w:bottom w:val="none" w:sz="0" w:space="0" w:color="auto"/>
            <w:right w:val="none" w:sz="0" w:space="0" w:color="auto"/>
          </w:divBdr>
          <w:divsChild>
            <w:div w:id="134107052">
              <w:marLeft w:val="0"/>
              <w:marRight w:val="0"/>
              <w:marTop w:val="0"/>
              <w:marBottom w:val="0"/>
              <w:divBdr>
                <w:top w:val="none" w:sz="0" w:space="0" w:color="auto"/>
                <w:left w:val="none" w:sz="0" w:space="0" w:color="auto"/>
                <w:bottom w:val="none" w:sz="0" w:space="0" w:color="auto"/>
                <w:right w:val="none" w:sz="0" w:space="0" w:color="auto"/>
              </w:divBdr>
              <w:divsChild>
                <w:div w:id="171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86254">
      <w:bodyDiv w:val="1"/>
      <w:marLeft w:val="0"/>
      <w:marRight w:val="0"/>
      <w:marTop w:val="0"/>
      <w:marBottom w:val="0"/>
      <w:divBdr>
        <w:top w:val="none" w:sz="0" w:space="0" w:color="auto"/>
        <w:left w:val="none" w:sz="0" w:space="0" w:color="auto"/>
        <w:bottom w:val="none" w:sz="0" w:space="0" w:color="auto"/>
        <w:right w:val="none" w:sz="0" w:space="0" w:color="auto"/>
      </w:divBdr>
      <w:divsChild>
        <w:div w:id="1979257273">
          <w:marLeft w:val="0"/>
          <w:marRight w:val="0"/>
          <w:marTop w:val="0"/>
          <w:marBottom w:val="0"/>
          <w:divBdr>
            <w:top w:val="none" w:sz="0" w:space="0" w:color="auto"/>
            <w:left w:val="none" w:sz="0" w:space="0" w:color="auto"/>
            <w:bottom w:val="none" w:sz="0" w:space="0" w:color="auto"/>
            <w:right w:val="none" w:sz="0" w:space="0" w:color="auto"/>
          </w:divBdr>
          <w:divsChild>
            <w:div w:id="728266506">
              <w:marLeft w:val="0"/>
              <w:marRight w:val="0"/>
              <w:marTop w:val="0"/>
              <w:marBottom w:val="0"/>
              <w:divBdr>
                <w:top w:val="none" w:sz="0" w:space="0" w:color="auto"/>
                <w:left w:val="none" w:sz="0" w:space="0" w:color="auto"/>
                <w:bottom w:val="none" w:sz="0" w:space="0" w:color="auto"/>
                <w:right w:val="none" w:sz="0" w:space="0" w:color="auto"/>
              </w:divBdr>
              <w:divsChild>
                <w:div w:id="2636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04036">
      <w:bodyDiv w:val="1"/>
      <w:marLeft w:val="0"/>
      <w:marRight w:val="0"/>
      <w:marTop w:val="0"/>
      <w:marBottom w:val="0"/>
      <w:divBdr>
        <w:top w:val="none" w:sz="0" w:space="0" w:color="auto"/>
        <w:left w:val="none" w:sz="0" w:space="0" w:color="auto"/>
        <w:bottom w:val="none" w:sz="0" w:space="0" w:color="auto"/>
        <w:right w:val="none" w:sz="0" w:space="0" w:color="auto"/>
      </w:divBdr>
      <w:divsChild>
        <w:div w:id="1651208146">
          <w:marLeft w:val="0"/>
          <w:marRight w:val="0"/>
          <w:marTop w:val="0"/>
          <w:marBottom w:val="0"/>
          <w:divBdr>
            <w:top w:val="none" w:sz="0" w:space="0" w:color="auto"/>
            <w:left w:val="none" w:sz="0" w:space="0" w:color="auto"/>
            <w:bottom w:val="none" w:sz="0" w:space="0" w:color="auto"/>
            <w:right w:val="none" w:sz="0" w:space="0" w:color="auto"/>
          </w:divBdr>
          <w:divsChild>
            <w:div w:id="905913162">
              <w:marLeft w:val="0"/>
              <w:marRight w:val="0"/>
              <w:marTop w:val="0"/>
              <w:marBottom w:val="0"/>
              <w:divBdr>
                <w:top w:val="none" w:sz="0" w:space="0" w:color="auto"/>
                <w:left w:val="none" w:sz="0" w:space="0" w:color="auto"/>
                <w:bottom w:val="none" w:sz="0" w:space="0" w:color="auto"/>
                <w:right w:val="none" w:sz="0" w:space="0" w:color="auto"/>
              </w:divBdr>
              <w:divsChild>
                <w:div w:id="1626887626">
                  <w:marLeft w:val="0"/>
                  <w:marRight w:val="0"/>
                  <w:marTop w:val="0"/>
                  <w:marBottom w:val="0"/>
                  <w:divBdr>
                    <w:top w:val="none" w:sz="0" w:space="0" w:color="auto"/>
                    <w:left w:val="none" w:sz="0" w:space="0" w:color="auto"/>
                    <w:bottom w:val="none" w:sz="0" w:space="0" w:color="auto"/>
                    <w:right w:val="none" w:sz="0" w:space="0" w:color="auto"/>
                  </w:divBdr>
                </w:div>
              </w:divsChild>
            </w:div>
            <w:div w:id="1708482259">
              <w:marLeft w:val="0"/>
              <w:marRight w:val="0"/>
              <w:marTop w:val="0"/>
              <w:marBottom w:val="0"/>
              <w:divBdr>
                <w:top w:val="none" w:sz="0" w:space="0" w:color="auto"/>
                <w:left w:val="none" w:sz="0" w:space="0" w:color="auto"/>
                <w:bottom w:val="none" w:sz="0" w:space="0" w:color="auto"/>
                <w:right w:val="none" w:sz="0" w:space="0" w:color="auto"/>
              </w:divBdr>
              <w:divsChild>
                <w:div w:id="2503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235378">
      <w:bodyDiv w:val="1"/>
      <w:marLeft w:val="0"/>
      <w:marRight w:val="0"/>
      <w:marTop w:val="0"/>
      <w:marBottom w:val="0"/>
      <w:divBdr>
        <w:top w:val="none" w:sz="0" w:space="0" w:color="auto"/>
        <w:left w:val="none" w:sz="0" w:space="0" w:color="auto"/>
        <w:bottom w:val="none" w:sz="0" w:space="0" w:color="auto"/>
        <w:right w:val="none" w:sz="0" w:space="0" w:color="auto"/>
      </w:divBdr>
      <w:divsChild>
        <w:div w:id="1408844831">
          <w:marLeft w:val="0"/>
          <w:marRight w:val="0"/>
          <w:marTop w:val="0"/>
          <w:marBottom w:val="0"/>
          <w:divBdr>
            <w:top w:val="none" w:sz="0" w:space="0" w:color="auto"/>
            <w:left w:val="none" w:sz="0" w:space="0" w:color="auto"/>
            <w:bottom w:val="none" w:sz="0" w:space="0" w:color="auto"/>
            <w:right w:val="none" w:sz="0" w:space="0" w:color="auto"/>
          </w:divBdr>
          <w:divsChild>
            <w:div w:id="7871308">
              <w:marLeft w:val="0"/>
              <w:marRight w:val="0"/>
              <w:marTop w:val="0"/>
              <w:marBottom w:val="0"/>
              <w:divBdr>
                <w:top w:val="none" w:sz="0" w:space="0" w:color="auto"/>
                <w:left w:val="none" w:sz="0" w:space="0" w:color="auto"/>
                <w:bottom w:val="none" w:sz="0" w:space="0" w:color="auto"/>
                <w:right w:val="none" w:sz="0" w:space="0" w:color="auto"/>
              </w:divBdr>
              <w:divsChild>
                <w:div w:id="1542864100">
                  <w:marLeft w:val="0"/>
                  <w:marRight w:val="0"/>
                  <w:marTop w:val="0"/>
                  <w:marBottom w:val="0"/>
                  <w:divBdr>
                    <w:top w:val="none" w:sz="0" w:space="0" w:color="auto"/>
                    <w:left w:val="none" w:sz="0" w:space="0" w:color="auto"/>
                    <w:bottom w:val="none" w:sz="0" w:space="0" w:color="auto"/>
                    <w:right w:val="none" w:sz="0" w:space="0" w:color="auto"/>
                  </w:divBdr>
                  <w:divsChild>
                    <w:div w:id="17095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168024">
      <w:bodyDiv w:val="1"/>
      <w:marLeft w:val="0"/>
      <w:marRight w:val="0"/>
      <w:marTop w:val="0"/>
      <w:marBottom w:val="0"/>
      <w:divBdr>
        <w:top w:val="none" w:sz="0" w:space="0" w:color="auto"/>
        <w:left w:val="none" w:sz="0" w:space="0" w:color="auto"/>
        <w:bottom w:val="none" w:sz="0" w:space="0" w:color="auto"/>
        <w:right w:val="none" w:sz="0" w:space="0" w:color="auto"/>
      </w:divBdr>
      <w:divsChild>
        <w:div w:id="1377850483">
          <w:marLeft w:val="0"/>
          <w:marRight w:val="0"/>
          <w:marTop w:val="0"/>
          <w:marBottom w:val="0"/>
          <w:divBdr>
            <w:top w:val="none" w:sz="0" w:space="0" w:color="auto"/>
            <w:left w:val="none" w:sz="0" w:space="0" w:color="auto"/>
            <w:bottom w:val="none" w:sz="0" w:space="0" w:color="auto"/>
            <w:right w:val="none" w:sz="0" w:space="0" w:color="auto"/>
          </w:divBdr>
          <w:divsChild>
            <w:div w:id="502093031">
              <w:marLeft w:val="0"/>
              <w:marRight w:val="0"/>
              <w:marTop w:val="0"/>
              <w:marBottom w:val="0"/>
              <w:divBdr>
                <w:top w:val="none" w:sz="0" w:space="0" w:color="auto"/>
                <w:left w:val="none" w:sz="0" w:space="0" w:color="auto"/>
                <w:bottom w:val="none" w:sz="0" w:space="0" w:color="auto"/>
                <w:right w:val="none" w:sz="0" w:space="0" w:color="auto"/>
              </w:divBdr>
              <w:divsChild>
                <w:div w:id="4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54656">
      <w:bodyDiv w:val="1"/>
      <w:marLeft w:val="0"/>
      <w:marRight w:val="0"/>
      <w:marTop w:val="0"/>
      <w:marBottom w:val="0"/>
      <w:divBdr>
        <w:top w:val="none" w:sz="0" w:space="0" w:color="auto"/>
        <w:left w:val="none" w:sz="0" w:space="0" w:color="auto"/>
        <w:bottom w:val="none" w:sz="0" w:space="0" w:color="auto"/>
        <w:right w:val="none" w:sz="0" w:space="0" w:color="auto"/>
      </w:divBdr>
      <w:divsChild>
        <w:div w:id="1198082393">
          <w:marLeft w:val="0"/>
          <w:marRight w:val="0"/>
          <w:marTop w:val="0"/>
          <w:marBottom w:val="0"/>
          <w:divBdr>
            <w:top w:val="none" w:sz="0" w:space="0" w:color="auto"/>
            <w:left w:val="none" w:sz="0" w:space="0" w:color="auto"/>
            <w:bottom w:val="none" w:sz="0" w:space="0" w:color="auto"/>
            <w:right w:val="none" w:sz="0" w:space="0" w:color="auto"/>
          </w:divBdr>
          <w:divsChild>
            <w:div w:id="1447117293">
              <w:marLeft w:val="0"/>
              <w:marRight w:val="0"/>
              <w:marTop w:val="0"/>
              <w:marBottom w:val="0"/>
              <w:divBdr>
                <w:top w:val="none" w:sz="0" w:space="0" w:color="auto"/>
                <w:left w:val="none" w:sz="0" w:space="0" w:color="auto"/>
                <w:bottom w:val="none" w:sz="0" w:space="0" w:color="auto"/>
                <w:right w:val="none" w:sz="0" w:space="0" w:color="auto"/>
              </w:divBdr>
              <w:divsChild>
                <w:div w:id="174073137">
                  <w:marLeft w:val="0"/>
                  <w:marRight w:val="0"/>
                  <w:marTop w:val="0"/>
                  <w:marBottom w:val="0"/>
                  <w:divBdr>
                    <w:top w:val="none" w:sz="0" w:space="0" w:color="auto"/>
                    <w:left w:val="none" w:sz="0" w:space="0" w:color="auto"/>
                    <w:bottom w:val="none" w:sz="0" w:space="0" w:color="auto"/>
                    <w:right w:val="none" w:sz="0" w:space="0" w:color="auto"/>
                  </w:divBdr>
                  <w:divsChild>
                    <w:div w:id="16986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312272">
      <w:bodyDiv w:val="1"/>
      <w:marLeft w:val="0"/>
      <w:marRight w:val="0"/>
      <w:marTop w:val="0"/>
      <w:marBottom w:val="0"/>
      <w:divBdr>
        <w:top w:val="none" w:sz="0" w:space="0" w:color="auto"/>
        <w:left w:val="none" w:sz="0" w:space="0" w:color="auto"/>
        <w:bottom w:val="none" w:sz="0" w:space="0" w:color="auto"/>
        <w:right w:val="none" w:sz="0" w:space="0" w:color="auto"/>
      </w:divBdr>
      <w:divsChild>
        <w:div w:id="1643269302">
          <w:marLeft w:val="0"/>
          <w:marRight w:val="0"/>
          <w:marTop w:val="0"/>
          <w:marBottom w:val="0"/>
          <w:divBdr>
            <w:top w:val="none" w:sz="0" w:space="0" w:color="auto"/>
            <w:left w:val="none" w:sz="0" w:space="0" w:color="auto"/>
            <w:bottom w:val="none" w:sz="0" w:space="0" w:color="auto"/>
            <w:right w:val="none" w:sz="0" w:space="0" w:color="auto"/>
          </w:divBdr>
          <w:divsChild>
            <w:div w:id="467287644">
              <w:marLeft w:val="0"/>
              <w:marRight w:val="0"/>
              <w:marTop w:val="0"/>
              <w:marBottom w:val="0"/>
              <w:divBdr>
                <w:top w:val="none" w:sz="0" w:space="0" w:color="auto"/>
                <w:left w:val="none" w:sz="0" w:space="0" w:color="auto"/>
                <w:bottom w:val="none" w:sz="0" w:space="0" w:color="auto"/>
                <w:right w:val="none" w:sz="0" w:space="0" w:color="auto"/>
              </w:divBdr>
              <w:divsChild>
                <w:div w:id="20294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95728">
      <w:bodyDiv w:val="1"/>
      <w:marLeft w:val="0"/>
      <w:marRight w:val="0"/>
      <w:marTop w:val="0"/>
      <w:marBottom w:val="0"/>
      <w:divBdr>
        <w:top w:val="none" w:sz="0" w:space="0" w:color="auto"/>
        <w:left w:val="none" w:sz="0" w:space="0" w:color="auto"/>
        <w:bottom w:val="none" w:sz="0" w:space="0" w:color="auto"/>
        <w:right w:val="none" w:sz="0" w:space="0" w:color="auto"/>
      </w:divBdr>
      <w:divsChild>
        <w:div w:id="1767144002">
          <w:marLeft w:val="0"/>
          <w:marRight w:val="0"/>
          <w:marTop w:val="0"/>
          <w:marBottom w:val="0"/>
          <w:divBdr>
            <w:top w:val="none" w:sz="0" w:space="0" w:color="auto"/>
            <w:left w:val="none" w:sz="0" w:space="0" w:color="auto"/>
            <w:bottom w:val="none" w:sz="0" w:space="0" w:color="auto"/>
            <w:right w:val="none" w:sz="0" w:space="0" w:color="auto"/>
          </w:divBdr>
          <w:divsChild>
            <w:div w:id="909580773">
              <w:marLeft w:val="0"/>
              <w:marRight w:val="0"/>
              <w:marTop w:val="0"/>
              <w:marBottom w:val="0"/>
              <w:divBdr>
                <w:top w:val="none" w:sz="0" w:space="0" w:color="auto"/>
                <w:left w:val="none" w:sz="0" w:space="0" w:color="auto"/>
                <w:bottom w:val="none" w:sz="0" w:space="0" w:color="auto"/>
                <w:right w:val="none" w:sz="0" w:space="0" w:color="auto"/>
              </w:divBdr>
              <w:divsChild>
                <w:div w:id="1702124091">
                  <w:marLeft w:val="0"/>
                  <w:marRight w:val="0"/>
                  <w:marTop w:val="0"/>
                  <w:marBottom w:val="0"/>
                  <w:divBdr>
                    <w:top w:val="none" w:sz="0" w:space="0" w:color="auto"/>
                    <w:left w:val="none" w:sz="0" w:space="0" w:color="auto"/>
                    <w:bottom w:val="none" w:sz="0" w:space="0" w:color="auto"/>
                    <w:right w:val="none" w:sz="0" w:space="0" w:color="auto"/>
                  </w:divBdr>
                  <w:divsChild>
                    <w:div w:id="9084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456198">
      <w:bodyDiv w:val="1"/>
      <w:marLeft w:val="0"/>
      <w:marRight w:val="0"/>
      <w:marTop w:val="0"/>
      <w:marBottom w:val="0"/>
      <w:divBdr>
        <w:top w:val="none" w:sz="0" w:space="0" w:color="auto"/>
        <w:left w:val="none" w:sz="0" w:space="0" w:color="auto"/>
        <w:bottom w:val="none" w:sz="0" w:space="0" w:color="auto"/>
        <w:right w:val="none" w:sz="0" w:space="0" w:color="auto"/>
      </w:divBdr>
      <w:divsChild>
        <w:div w:id="1876573682">
          <w:marLeft w:val="0"/>
          <w:marRight w:val="0"/>
          <w:marTop w:val="0"/>
          <w:marBottom w:val="0"/>
          <w:divBdr>
            <w:top w:val="none" w:sz="0" w:space="0" w:color="auto"/>
            <w:left w:val="none" w:sz="0" w:space="0" w:color="auto"/>
            <w:bottom w:val="none" w:sz="0" w:space="0" w:color="auto"/>
            <w:right w:val="none" w:sz="0" w:space="0" w:color="auto"/>
          </w:divBdr>
          <w:divsChild>
            <w:div w:id="1915309955">
              <w:marLeft w:val="0"/>
              <w:marRight w:val="0"/>
              <w:marTop w:val="0"/>
              <w:marBottom w:val="0"/>
              <w:divBdr>
                <w:top w:val="none" w:sz="0" w:space="0" w:color="auto"/>
                <w:left w:val="none" w:sz="0" w:space="0" w:color="auto"/>
                <w:bottom w:val="none" w:sz="0" w:space="0" w:color="auto"/>
                <w:right w:val="none" w:sz="0" w:space="0" w:color="auto"/>
              </w:divBdr>
              <w:divsChild>
                <w:div w:id="458768948">
                  <w:marLeft w:val="0"/>
                  <w:marRight w:val="0"/>
                  <w:marTop w:val="0"/>
                  <w:marBottom w:val="0"/>
                  <w:divBdr>
                    <w:top w:val="none" w:sz="0" w:space="0" w:color="auto"/>
                    <w:left w:val="none" w:sz="0" w:space="0" w:color="auto"/>
                    <w:bottom w:val="none" w:sz="0" w:space="0" w:color="auto"/>
                    <w:right w:val="none" w:sz="0" w:space="0" w:color="auto"/>
                  </w:divBdr>
                  <w:divsChild>
                    <w:div w:id="8367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961663">
      <w:bodyDiv w:val="1"/>
      <w:marLeft w:val="0"/>
      <w:marRight w:val="0"/>
      <w:marTop w:val="0"/>
      <w:marBottom w:val="0"/>
      <w:divBdr>
        <w:top w:val="none" w:sz="0" w:space="0" w:color="auto"/>
        <w:left w:val="none" w:sz="0" w:space="0" w:color="auto"/>
        <w:bottom w:val="none" w:sz="0" w:space="0" w:color="auto"/>
        <w:right w:val="none" w:sz="0" w:space="0" w:color="auto"/>
      </w:divBdr>
      <w:divsChild>
        <w:div w:id="955402909">
          <w:marLeft w:val="0"/>
          <w:marRight w:val="0"/>
          <w:marTop w:val="0"/>
          <w:marBottom w:val="0"/>
          <w:divBdr>
            <w:top w:val="none" w:sz="0" w:space="0" w:color="auto"/>
            <w:left w:val="none" w:sz="0" w:space="0" w:color="auto"/>
            <w:bottom w:val="none" w:sz="0" w:space="0" w:color="auto"/>
            <w:right w:val="none" w:sz="0" w:space="0" w:color="auto"/>
          </w:divBdr>
          <w:divsChild>
            <w:div w:id="823471445">
              <w:marLeft w:val="0"/>
              <w:marRight w:val="0"/>
              <w:marTop w:val="0"/>
              <w:marBottom w:val="0"/>
              <w:divBdr>
                <w:top w:val="none" w:sz="0" w:space="0" w:color="auto"/>
                <w:left w:val="none" w:sz="0" w:space="0" w:color="auto"/>
                <w:bottom w:val="none" w:sz="0" w:space="0" w:color="auto"/>
                <w:right w:val="none" w:sz="0" w:space="0" w:color="auto"/>
              </w:divBdr>
              <w:divsChild>
                <w:div w:id="1086926749">
                  <w:marLeft w:val="0"/>
                  <w:marRight w:val="0"/>
                  <w:marTop w:val="0"/>
                  <w:marBottom w:val="0"/>
                  <w:divBdr>
                    <w:top w:val="none" w:sz="0" w:space="0" w:color="auto"/>
                    <w:left w:val="none" w:sz="0" w:space="0" w:color="auto"/>
                    <w:bottom w:val="none" w:sz="0" w:space="0" w:color="auto"/>
                    <w:right w:val="none" w:sz="0" w:space="0" w:color="auto"/>
                  </w:divBdr>
                  <w:divsChild>
                    <w:div w:id="11662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4041">
      <w:bodyDiv w:val="1"/>
      <w:marLeft w:val="0"/>
      <w:marRight w:val="0"/>
      <w:marTop w:val="0"/>
      <w:marBottom w:val="0"/>
      <w:divBdr>
        <w:top w:val="none" w:sz="0" w:space="0" w:color="auto"/>
        <w:left w:val="none" w:sz="0" w:space="0" w:color="auto"/>
        <w:bottom w:val="none" w:sz="0" w:space="0" w:color="auto"/>
        <w:right w:val="none" w:sz="0" w:space="0" w:color="auto"/>
      </w:divBdr>
      <w:divsChild>
        <w:div w:id="549272750">
          <w:marLeft w:val="-225"/>
          <w:marRight w:val="-225"/>
          <w:marTop w:val="0"/>
          <w:marBottom w:val="0"/>
          <w:divBdr>
            <w:top w:val="none" w:sz="0" w:space="0" w:color="auto"/>
            <w:left w:val="none" w:sz="0" w:space="0" w:color="auto"/>
            <w:bottom w:val="none" w:sz="0" w:space="0" w:color="auto"/>
            <w:right w:val="none" w:sz="0" w:space="0" w:color="auto"/>
          </w:divBdr>
          <w:divsChild>
            <w:div w:id="9470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6273">
      <w:bodyDiv w:val="1"/>
      <w:marLeft w:val="0"/>
      <w:marRight w:val="0"/>
      <w:marTop w:val="0"/>
      <w:marBottom w:val="0"/>
      <w:divBdr>
        <w:top w:val="none" w:sz="0" w:space="0" w:color="auto"/>
        <w:left w:val="none" w:sz="0" w:space="0" w:color="auto"/>
        <w:bottom w:val="none" w:sz="0" w:space="0" w:color="auto"/>
        <w:right w:val="none" w:sz="0" w:space="0" w:color="auto"/>
      </w:divBdr>
      <w:divsChild>
        <w:div w:id="1562594683">
          <w:marLeft w:val="0"/>
          <w:marRight w:val="0"/>
          <w:marTop w:val="0"/>
          <w:marBottom w:val="0"/>
          <w:divBdr>
            <w:top w:val="none" w:sz="0" w:space="0" w:color="auto"/>
            <w:left w:val="none" w:sz="0" w:space="0" w:color="auto"/>
            <w:bottom w:val="none" w:sz="0" w:space="0" w:color="auto"/>
            <w:right w:val="none" w:sz="0" w:space="0" w:color="auto"/>
          </w:divBdr>
          <w:divsChild>
            <w:div w:id="1971323159">
              <w:marLeft w:val="0"/>
              <w:marRight w:val="0"/>
              <w:marTop w:val="0"/>
              <w:marBottom w:val="0"/>
              <w:divBdr>
                <w:top w:val="none" w:sz="0" w:space="0" w:color="auto"/>
                <w:left w:val="none" w:sz="0" w:space="0" w:color="auto"/>
                <w:bottom w:val="none" w:sz="0" w:space="0" w:color="auto"/>
                <w:right w:val="none" w:sz="0" w:space="0" w:color="auto"/>
              </w:divBdr>
              <w:divsChild>
                <w:div w:id="14413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81829">
      <w:bodyDiv w:val="1"/>
      <w:marLeft w:val="0"/>
      <w:marRight w:val="0"/>
      <w:marTop w:val="0"/>
      <w:marBottom w:val="0"/>
      <w:divBdr>
        <w:top w:val="none" w:sz="0" w:space="0" w:color="auto"/>
        <w:left w:val="none" w:sz="0" w:space="0" w:color="auto"/>
        <w:bottom w:val="none" w:sz="0" w:space="0" w:color="auto"/>
        <w:right w:val="none" w:sz="0" w:space="0" w:color="auto"/>
      </w:divBdr>
      <w:divsChild>
        <w:div w:id="1971403072">
          <w:marLeft w:val="0"/>
          <w:marRight w:val="0"/>
          <w:marTop w:val="0"/>
          <w:marBottom w:val="0"/>
          <w:divBdr>
            <w:top w:val="none" w:sz="0" w:space="0" w:color="auto"/>
            <w:left w:val="none" w:sz="0" w:space="0" w:color="auto"/>
            <w:bottom w:val="none" w:sz="0" w:space="0" w:color="auto"/>
            <w:right w:val="none" w:sz="0" w:space="0" w:color="auto"/>
          </w:divBdr>
          <w:divsChild>
            <w:div w:id="1934623480">
              <w:marLeft w:val="0"/>
              <w:marRight w:val="0"/>
              <w:marTop w:val="0"/>
              <w:marBottom w:val="0"/>
              <w:divBdr>
                <w:top w:val="none" w:sz="0" w:space="0" w:color="auto"/>
                <w:left w:val="none" w:sz="0" w:space="0" w:color="auto"/>
                <w:bottom w:val="none" w:sz="0" w:space="0" w:color="auto"/>
                <w:right w:val="none" w:sz="0" w:space="0" w:color="auto"/>
              </w:divBdr>
              <w:divsChild>
                <w:div w:id="7743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80951">
      <w:bodyDiv w:val="1"/>
      <w:marLeft w:val="0"/>
      <w:marRight w:val="0"/>
      <w:marTop w:val="0"/>
      <w:marBottom w:val="0"/>
      <w:divBdr>
        <w:top w:val="none" w:sz="0" w:space="0" w:color="auto"/>
        <w:left w:val="none" w:sz="0" w:space="0" w:color="auto"/>
        <w:bottom w:val="none" w:sz="0" w:space="0" w:color="auto"/>
        <w:right w:val="none" w:sz="0" w:space="0" w:color="auto"/>
      </w:divBdr>
      <w:divsChild>
        <w:div w:id="708796279">
          <w:marLeft w:val="0"/>
          <w:marRight w:val="0"/>
          <w:marTop w:val="0"/>
          <w:marBottom w:val="0"/>
          <w:divBdr>
            <w:top w:val="none" w:sz="0" w:space="0" w:color="auto"/>
            <w:left w:val="none" w:sz="0" w:space="0" w:color="auto"/>
            <w:bottom w:val="none" w:sz="0" w:space="0" w:color="auto"/>
            <w:right w:val="none" w:sz="0" w:space="0" w:color="auto"/>
          </w:divBdr>
          <w:divsChild>
            <w:div w:id="1171333637">
              <w:marLeft w:val="0"/>
              <w:marRight w:val="0"/>
              <w:marTop w:val="0"/>
              <w:marBottom w:val="0"/>
              <w:divBdr>
                <w:top w:val="none" w:sz="0" w:space="0" w:color="auto"/>
                <w:left w:val="none" w:sz="0" w:space="0" w:color="auto"/>
                <w:bottom w:val="none" w:sz="0" w:space="0" w:color="auto"/>
                <w:right w:val="none" w:sz="0" w:space="0" w:color="auto"/>
              </w:divBdr>
              <w:divsChild>
                <w:div w:id="228417588">
                  <w:marLeft w:val="0"/>
                  <w:marRight w:val="0"/>
                  <w:marTop w:val="0"/>
                  <w:marBottom w:val="0"/>
                  <w:divBdr>
                    <w:top w:val="none" w:sz="0" w:space="0" w:color="auto"/>
                    <w:left w:val="none" w:sz="0" w:space="0" w:color="auto"/>
                    <w:bottom w:val="none" w:sz="0" w:space="0" w:color="auto"/>
                    <w:right w:val="none" w:sz="0" w:space="0" w:color="auto"/>
                  </w:divBdr>
                  <w:divsChild>
                    <w:div w:id="459812010">
                      <w:marLeft w:val="0"/>
                      <w:marRight w:val="0"/>
                      <w:marTop w:val="0"/>
                      <w:marBottom w:val="0"/>
                      <w:divBdr>
                        <w:top w:val="none" w:sz="0" w:space="0" w:color="auto"/>
                        <w:left w:val="none" w:sz="0" w:space="0" w:color="auto"/>
                        <w:bottom w:val="none" w:sz="0" w:space="0" w:color="auto"/>
                        <w:right w:val="none" w:sz="0" w:space="0" w:color="auto"/>
                      </w:divBdr>
                    </w:div>
                  </w:divsChild>
                </w:div>
                <w:div w:id="1396319165">
                  <w:marLeft w:val="0"/>
                  <w:marRight w:val="0"/>
                  <w:marTop w:val="0"/>
                  <w:marBottom w:val="0"/>
                  <w:divBdr>
                    <w:top w:val="none" w:sz="0" w:space="0" w:color="auto"/>
                    <w:left w:val="none" w:sz="0" w:space="0" w:color="auto"/>
                    <w:bottom w:val="none" w:sz="0" w:space="0" w:color="auto"/>
                    <w:right w:val="none" w:sz="0" w:space="0" w:color="auto"/>
                  </w:divBdr>
                  <w:divsChild>
                    <w:div w:id="1686517989">
                      <w:marLeft w:val="0"/>
                      <w:marRight w:val="0"/>
                      <w:marTop w:val="0"/>
                      <w:marBottom w:val="0"/>
                      <w:divBdr>
                        <w:top w:val="none" w:sz="0" w:space="0" w:color="auto"/>
                        <w:left w:val="none" w:sz="0" w:space="0" w:color="auto"/>
                        <w:bottom w:val="none" w:sz="0" w:space="0" w:color="auto"/>
                        <w:right w:val="none" w:sz="0" w:space="0" w:color="auto"/>
                      </w:divBdr>
                    </w:div>
                  </w:divsChild>
                </w:div>
                <w:div w:id="1637682343">
                  <w:marLeft w:val="0"/>
                  <w:marRight w:val="0"/>
                  <w:marTop w:val="0"/>
                  <w:marBottom w:val="0"/>
                  <w:divBdr>
                    <w:top w:val="none" w:sz="0" w:space="0" w:color="auto"/>
                    <w:left w:val="none" w:sz="0" w:space="0" w:color="auto"/>
                    <w:bottom w:val="none" w:sz="0" w:space="0" w:color="auto"/>
                    <w:right w:val="none" w:sz="0" w:space="0" w:color="auto"/>
                  </w:divBdr>
                  <w:divsChild>
                    <w:div w:id="210002850">
                      <w:marLeft w:val="0"/>
                      <w:marRight w:val="0"/>
                      <w:marTop w:val="0"/>
                      <w:marBottom w:val="0"/>
                      <w:divBdr>
                        <w:top w:val="none" w:sz="0" w:space="0" w:color="auto"/>
                        <w:left w:val="none" w:sz="0" w:space="0" w:color="auto"/>
                        <w:bottom w:val="none" w:sz="0" w:space="0" w:color="auto"/>
                        <w:right w:val="none" w:sz="0" w:space="0" w:color="auto"/>
                      </w:divBdr>
                    </w:div>
                  </w:divsChild>
                </w:div>
                <w:div w:id="2039812404">
                  <w:marLeft w:val="0"/>
                  <w:marRight w:val="0"/>
                  <w:marTop w:val="0"/>
                  <w:marBottom w:val="0"/>
                  <w:divBdr>
                    <w:top w:val="none" w:sz="0" w:space="0" w:color="auto"/>
                    <w:left w:val="none" w:sz="0" w:space="0" w:color="auto"/>
                    <w:bottom w:val="none" w:sz="0" w:space="0" w:color="auto"/>
                    <w:right w:val="none" w:sz="0" w:space="0" w:color="auto"/>
                  </w:divBdr>
                  <w:divsChild>
                    <w:div w:id="439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76649">
      <w:bodyDiv w:val="1"/>
      <w:marLeft w:val="0"/>
      <w:marRight w:val="0"/>
      <w:marTop w:val="0"/>
      <w:marBottom w:val="0"/>
      <w:divBdr>
        <w:top w:val="none" w:sz="0" w:space="0" w:color="auto"/>
        <w:left w:val="none" w:sz="0" w:space="0" w:color="auto"/>
        <w:bottom w:val="none" w:sz="0" w:space="0" w:color="auto"/>
        <w:right w:val="none" w:sz="0" w:space="0" w:color="auto"/>
      </w:divBdr>
      <w:divsChild>
        <w:div w:id="889614130">
          <w:marLeft w:val="0"/>
          <w:marRight w:val="0"/>
          <w:marTop w:val="0"/>
          <w:marBottom w:val="0"/>
          <w:divBdr>
            <w:top w:val="none" w:sz="0" w:space="0" w:color="auto"/>
            <w:left w:val="none" w:sz="0" w:space="0" w:color="auto"/>
            <w:bottom w:val="none" w:sz="0" w:space="0" w:color="auto"/>
            <w:right w:val="none" w:sz="0" w:space="0" w:color="auto"/>
          </w:divBdr>
          <w:divsChild>
            <w:div w:id="1459421656">
              <w:marLeft w:val="0"/>
              <w:marRight w:val="0"/>
              <w:marTop w:val="0"/>
              <w:marBottom w:val="0"/>
              <w:divBdr>
                <w:top w:val="none" w:sz="0" w:space="0" w:color="auto"/>
                <w:left w:val="none" w:sz="0" w:space="0" w:color="auto"/>
                <w:bottom w:val="none" w:sz="0" w:space="0" w:color="auto"/>
                <w:right w:val="none" w:sz="0" w:space="0" w:color="auto"/>
              </w:divBdr>
              <w:divsChild>
                <w:div w:id="19071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09137">
      <w:bodyDiv w:val="1"/>
      <w:marLeft w:val="0"/>
      <w:marRight w:val="0"/>
      <w:marTop w:val="0"/>
      <w:marBottom w:val="0"/>
      <w:divBdr>
        <w:top w:val="none" w:sz="0" w:space="0" w:color="auto"/>
        <w:left w:val="none" w:sz="0" w:space="0" w:color="auto"/>
        <w:bottom w:val="none" w:sz="0" w:space="0" w:color="auto"/>
        <w:right w:val="none" w:sz="0" w:space="0" w:color="auto"/>
      </w:divBdr>
      <w:divsChild>
        <w:div w:id="2100431">
          <w:marLeft w:val="0"/>
          <w:marRight w:val="0"/>
          <w:marTop w:val="0"/>
          <w:marBottom w:val="0"/>
          <w:divBdr>
            <w:top w:val="none" w:sz="0" w:space="0" w:color="auto"/>
            <w:left w:val="none" w:sz="0" w:space="0" w:color="auto"/>
            <w:bottom w:val="none" w:sz="0" w:space="0" w:color="auto"/>
            <w:right w:val="none" w:sz="0" w:space="0" w:color="auto"/>
          </w:divBdr>
          <w:divsChild>
            <w:div w:id="575363842">
              <w:marLeft w:val="0"/>
              <w:marRight w:val="0"/>
              <w:marTop w:val="0"/>
              <w:marBottom w:val="0"/>
              <w:divBdr>
                <w:top w:val="none" w:sz="0" w:space="0" w:color="auto"/>
                <w:left w:val="none" w:sz="0" w:space="0" w:color="auto"/>
                <w:bottom w:val="none" w:sz="0" w:space="0" w:color="auto"/>
                <w:right w:val="none" w:sz="0" w:space="0" w:color="auto"/>
              </w:divBdr>
              <w:divsChild>
                <w:div w:id="1934971964">
                  <w:marLeft w:val="0"/>
                  <w:marRight w:val="0"/>
                  <w:marTop w:val="0"/>
                  <w:marBottom w:val="0"/>
                  <w:divBdr>
                    <w:top w:val="none" w:sz="0" w:space="0" w:color="auto"/>
                    <w:left w:val="none" w:sz="0" w:space="0" w:color="auto"/>
                    <w:bottom w:val="none" w:sz="0" w:space="0" w:color="auto"/>
                    <w:right w:val="none" w:sz="0" w:space="0" w:color="auto"/>
                  </w:divBdr>
                  <w:divsChild>
                    <w:div w:id="21285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6808">
      <w:bodyDiv w:val="1"/>
      <w:marLeft w:val="0"/>
      <w:marRight w:val="0"/>
      <w:marTop w:val="0"/>
      <w:marBottom w:val="0"/>
      <w:divBdr>
        <w:top w:val="none" w:sz="0" w:space="0" w:color="auto"/>
        <w:left w:val="none" w:sz="0" w:space="0" w:color="auto"/>
        <w:bottom w:val="none" w:sz="0" w:space="0" w:color="auto"/>
        <w:right w:val="none" w:sz="0" w:space="0" w:color="auto"/>
      </w:divBdr>
      <w:divsChild>
        <w:div w:id="861361514">
          <w:marLeft w:val="0"/>
          <w:marRight w:val="0"/>
          <w:marTop w:val="0"/>
          <w:marBottom w:val="0"/>
          <w:divBdr>
            <w:top w:val="none" w:sz="0" w:space="0" w:color="auto"/>
            <w:left w:val="none" w:sz="0" w:space="0" w:color="auto"/>
            <w:bottom w:val="none" w:sz="0" w:space="0" w:color="auto"/>
            <w:right w:val="none" w:sz="0" w:space="0" w:color="auto"/>
          </w:divBdr>
          <w:divsChild>
            <w:div w:id="270821748">
              <w:marLeft w:val="0"/>
              <w:marRight w:val="0"/>
              <w:marTop w:val="0"/>
              <w:marBottom w:val="0"/>
              <w:divBdr>
                <w:top w:val="none" w:sz="0" w:space="0" w:color="auto"/>
                <w:left w:val="none" w:sz="0" w:space="0" w:color="auto"/>
                <w:bottom w:val="none" w:sz="0" w:space="0" w:color="auto"/>
                <w:right w:val="none" w:sz="0" w:space="0" w:color="auto"/>
              </w:divBdr>
              <w:divsChild>
                <w:div w:id="222369894">
                  <w:marLeft w:val="0"/>
                  <w:marRight w:val="0"/>
                  <w:marTop w:val="0"/>
                  <w:marBottom w:val="0"/>
                  <w:divBdr>
                    <w:top w:val="none" w:sz="0" w:space="0" w:color="auto"/>
                    <w:left w:val="none" w:sz="0" w:space="0" w:color="auto"/>
                    <w:bottom w:val="none" w:sz="0" w:space="0" w:color="auto"/>
                    <w:right w:val="none" w:sz="0" w:space="0" w:color="auto"/>
                  </w:divBdr>
                  <w:divsChild>
                    <w:div w:id="20621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429132">
      <w:bodyDiv w:val="1"/>
      <w:marLeft w:val="0"/>
      <w:marRight w:val="0"/>
      <w:marTop w:val="0"/>
      <w:marBottom w:val="0"/>
      <w:divBdr>
        <w:top w:val="none" w:sz="0" w:space="0" w:color="auto"/>
        <w:left w:val="none" w:sz="0" w:space="0" w:color="auto"/>
        <w:bottom w:val="none" w:sz="0" w:space="0" w:color="auto"/>
        <w:right w:val="none" w:sz="0" w:space="0" w:color="auto"/>
      </w:divBdr>
      <w:divsChild>
        <w:div w:id="1636447986">
          <w:marLeft w:val="0"/>
          <w:marRight w:val="0"/>
          <w:marTop w:val="0"/>
          <w:marBottom w:val="0"/>
          <w:divBdr>
            <w:top w:val="none" w:sz="0" w:space="0" w:color="auto"/>
            <w:left w:val="none" w:sz="0" w:space="0" w:color="auto"/>
            <w:bottom w:val="none" w:sz="0" w:space="0" w:color="auto"/>
            <w:right w:val="none" w:sz="0" w:space="0" w:color="auto"/>
          </w:divBdr>
          <w:divsChild>
            <w:div w:id="80765017">
              <w:marLeft w:val="0"/>
              <w:marRight w:val="0"/>
              <w:marTop w:val="0"/>
              <w:marBottom w:val="0"/>
              <w:divBdr>
                <w:top w:val="none" w:sz="0" w:space="0" w:color="auto"/>
                <w:left w:val="none" w:sz="0" w:space="0" w:color="auto"/>
                <w:bottom w:val="none" w:sz="0" w:space="0" w:color="auto"/>
                <w:right w:val="none" w:sz="0" w:space="0" w:color="auto"/>
              </w:divBdr>
              <w:divsChild>
                <w:div w:id="67190522">
                  <w:marLeft w:val="0"/>
                  <w:marRight w:val="0"/>
                  <w:marTop w:val="0"/>
                  <w:marBottom w:val="0"/>
                  <w:divBdr>
                    <w:top w:val="none" w:sz="0" w:space="0" w:color="auto"/>
                    <w:left w:val="none" w:sz="0" w:space="0" w:color="auto"/>
                    <w:bottom w:val="none" w:sz="0" w:space="0" w:color="auto"/>
                    <w:right w:val="none" w:sz="0" w:space="0" w:color="auto"/>
                  </w:divBdr>
                  <w:divsChild>
                    <w:div w:id="1598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00671">
      <w:bodyDiv w:val="1"/>
      <w:marLeft w:val="0"/>
      <w:marRight w:val="0"/>
      <w:marTop w:val="0"/>
      <w:marBottom w:val="0"/>
      <w:divBdr>
        <w:top w:val="none" w:sz="0" w:space="0" w:color="auto"/>
        <w:left w:val="none" w:sz="0" w:space="0" w:color="auto"/>
        <w:bottom w:val="none" w:sz="0" w:space="0" w:color="auto"/>
        <w:right w:val="none" w:sz="0" w:space="0" w:color="auto"/>
      </w:divBdr>
      <w:divsChild>
        <w:div w:id="1981762782">
          <w:marLeft w:val="0"/>
          <w:marRight w:val="0"/>
          <w:marTop w:val="0"/>
          <w:marBottom w:val="0"/>
          <w:divBdr>
            <w:top w:val="none" w:sz="0" w:space="0" w:color="auto"/>
            <w:left w:val="none" w:sz="0" w:space="0" w:color="auto"/>
            <w:bottom w:val="none" w:sz="0" w:space="0" w:color="auto"/>
            <w:right w:val="none" w:sz="0" w:space="0" w:color="auto"/>
          </w:divBdr>
          <w:divsChild>
            <w:div w:id="1870147797">
              <w:marLeft w:val="0"/>
              <w:marRight w:val="0"/>
              <w:marTop w:val="0"/>
              <w:marBottom w:val="0"/>
              <w:divBdr>
                <w:top w:val="none" w:sz="0" w:space="0" w:color="auto"/>
                <w:left w:val="none" w:sz="0" w:space="0" w:color="auto"/>
                <w:bottom w:val="none" w:sz="0" w:space="0" w:color="auto"/>
                <w:right w:val="none" w:sz="0" w:space="0" w:color="auto"/>
              </w:divBdr>
              <w:divsChild>
                <w:div w:id="894853647">
                  <w:marLeft w:val="0"/>
                  <w:marRight w:val="0"/>
                  <w:marTop w:val="0"/>
                  <w:marBottom w:val="0"/>
                  <w:divBdr>
                    <w:top w:val="none" w:sz="0" w:space="0" w:color="auto"/>
                    <w:left w:val="none" w:sz="0" w:space="0" w:color="auto"/>
                    <w:bottom w:val="none" w:sz="0" w:space="0" w:color="auto"/>
                    <w:right w:val="none" w:sz="0" w:space="0" w:color="auto"/>
                  </w:divBdr>
                  <w:divsChild>
                    <w:div w:id="2775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800">
      <w:bodyDiv w:val="1"/>
      <w:marLeft w:val="0"/>
      <w:marRight w:val="0"/>
      <w:marTop w:val="0"/>
      <w:marBottom w:val="0"/>
      <w:divBdr>
        <w:top w:val="none" w:sz="0" w:space="0" w:color="auto"/>
        <w:left w:val="none" w:sz="0" w:space="0" w:color="auto"/>
        <w:bottom w:val="none" w:sz="0" w:space="0" w:color="auto"/>
        <w:right w:val="none" w:sz="0" w:space="0" w:color="auto"/>
      </w:divBdr>
      <w:divsChild>
        <w:div w:id="709763801">
          <w:marLeft w:val="0"/>
          <w:marRight w:val="0"/>
          <w:marTop w:val="0"/>
          <w:marBottom w:val="0"/>
          <w:divBdr>
            <w:top w:val="none" w:sz="0" w:space="0" w:color="auto"/>
            <w:left w:val="none" w:sz="0" w:space="0" w:color="auto"/>
            <w:bottom w:val="none" w:sz="0" w:space="0" w:color="auto"/>
            <w:right w:val="none" w:sz="0" w:space="0" w:color="auto"/>
          </w:divBdr>
          <w:divsChild>
            <w:div w:id="827595529">
              <w:marLeft w:val="0"/>
              <w:marRight w:val="0"/>
              <w:marTop w:val="0"/>
              <w:marBottom w:val="0"/>
              <w:divBdr>
                <w:top w:val="none" w:sz="0" w:space="0" w:color="auto"/>
                <w:left w:val="none" w:sz="0" w:space="0" w:color="auto"/>
                <w:bottom w:val="none" w:sz="0" w:space="0" w:color="auto"/>
                <w:right w:val="none" w:sz="0" w:space="0" w:color="auto"/>
              </w:divBdr>
              <w:divsChild>
                <w:div w:id="9799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3579">
      <w:bodyDiv w:val="1"/>
      <w:marLeft w:val="0"/>
      <w:marRight w:val="0"/>
      <w:marTop w:val="0"/>
      <w:marBottom w:val="0"/>
      <w:divBdr>
        <w:top w:val="none" w:sz="0" w:space="0" w:color="auto"/>
        <w:left w:val="none" w:sz="0" w:space="0" w:color="auto"/>
        <w:bottom w:val="none" w:sz="0" w:space="0" w:color="auto"/>
        <w:right w:val="none" w:sz="0" w:space="0" w:color="auto"/>
      </w:divBdr>
      <w:divsChild>
        <w:div w:id="1946647724">
          <w:marLeft w:val="0"/>
          <w:marRight w:val="0"/>
          <w:marTop w:val="0"/>
          <w:marBottom w:val="0"/>
          <w:divBdr>
            <w:top w:val="none" w:sz="0" w:space="0" w:color="auto"/>
            <w:left w:val="none" w:sz="0" w:space="0" w:color="auto"/>
            <w:bottom w:val="none" w:sz="0" w:space="0" w:color="auto"/>
            <w:right w:val="none" w:sz="0" w:space="0" w:color="auto"/>
          </w:divBdr>
          <w:divsChild>
            <w:div w:id="850994382">
              <w:marLeft w:val="0"/>
              <w:marRight w:val="0"/>
              <w:marTop w:val="0"/>
              <w:marBottom w:val="0"/>
              <w:divBdr>
                <w:top w:val="none" w:sz="0" w:space="0" w:color="auto"/>
                <w:left w:val="none" w:sz="0" w:space="0" w:color="auto"/>
                <w:bottom w:val="none" w:sz="0" w:space="0" w:color="auto"/>
                <w:right w:val="none" w:sz="0" w:space="0" w:color="auto"/>
              </w:divBdr>
              <w:divsChild>
                <w:div w:id="20541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1320">
      <w:bodyDiv w:val="1"/>
      <w:marLeft w:val="0"/>
      <w:marRight w:val="0"/>
      <w:marTop w:val="0"/>
      <w:marBottom w:val="0"/>
      <w:divBdr>
        <w:top w:val="none" w:sz="0" w:space="0" w:color="auto"/>
        <w:left w:val="none" w:sz="0" w:space="0" w:color="auto"/>
        <w:bottom w:val="none" w:sz="0" w:space="0" w:color="auto"/>
        <w:right w:val="none" w:sz="0" w:space="0" w:color="auto"/>
      </w:divBdr>
      <w:divsChild>
        <w:div w:id="683365799">
          <w:marLeft w:val="0"/>
          <w:marRight w:val="0"/>
          <w:marTop w:val="0"/>
          <w:marBottom w:val="0"/>
          <w:divBdr>
            <w:top w:val="none" w:sz="0" w:space="0" w:color="auto"/>
            <w:left w:val="none" w:sz="0" w:space="0" w:color="auto"/>
            <w:bottom w:val="none" w:sz="0" w:space="0" w:color="auto"/>
            <w:right w:val="none" w:sz="0" w:space="0" w:color="auto"/>
          </w:divBdr>
          <w:divsChild>
            <w:div w:id="1459955105">
              <w:marLeft w:val="0"/>
              <w:marRight w:val="0"/>
              <w:marTop w:val="0"/>
              <w:marBottom w:val="0"/>
              <w:divBdr>
                <w:top w:val="none" w:sz="0" w:space="0" w:color="auto"/>
                <w:left w:val="none" w:sz="0" w:space="0" w:color="auto"/>
                <w:bottom w:val="none" w:sz="0" w:space="0" w:color="auto"/>
                <w:right w:val="none" w:sz="0" w:space="0" w:color="auto"/>
              </w:divBdr>
              <w:divsChild>
                <w:div w:id="1175071232">
                  <w:marLeft w:val="0"/>
                  <w:marRight w:val="0"/>
                  <w:marTop w:val="0"/>
                  <w:marBottom w:val="0"/>
                  <w:divBdr>
                    <w:top w:val="none" w:sz="0" w:space="0" w:color="auto"/>
                    <w:left w:val="none" w:sz="0" w:space="0" w:color="auto"/>
                    <w:bottom w:val="none" w:sz="0" w:space="0" w:color="auto"/>
                    <w:right w:val="none" w:sz="0" w:space="0" w:color="auto"/>
                  </w:divBdr>
                  <w:divsChild>
                    <w:div w:id="11761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15867">
      <w:bodyDiv w:val="1"/>
      <w:marLeft w:val="0"/>
      <w:marRight w:val="0"/>
      <w:marTop w:val="0"/>
      <w:marBottom w:val="0"/>
      <w:divBdr>
        <w:top w:val="none" w:sz="0" w:space="0" w:color="auto"/>
        <w:left w:val="none" w:sz="0" w:space="0" w:color="auto"/>
        <w:bottom w:val="none" w:sz="0" w:space="0" w:color="auto"/>
        <w:right w:val="none" w:sz="0" w:space="0" w:color="auto"/>
      </w:divBdr>
      <w:divsChild>
        <w:div w:id="1544781165">
          <w:marLeft w:val="0"/>
          <w:marRight w:val="0"/>
          <w:marTop w:val="0"/>
          <w:marBottom w:val="0"/>
          <w:divBdr>
            <w:top w:val="none" w:sz="0" w:space="0" w:color="auto"/>
            <w:left w:val="none" w:sz="0" w:space="0" w:color="auto"/>
            <w:bottom w:val="none" w:sz="0" w:space="0" w:color="auto"/>
            <w:right w:val="none" w:sz="0" w:space="0" w:color="auto"/>
          </w:divBdr>
          <w:divsChild>
            <w:div w:id="1373767953">
              <w:marLeft w:val="0"/>
              <w:marRight w:val="0"/>
              <w:marTop w:val="0"/>
              <w:marBottom w:val="0"/>
              <w:divBdr>
                <w:top w:val="none" w:sz="0" w:space="0" w:color="auto"/>
                <w:left w:val="none" w:sz="0" w:space="0" w:color="auto"/>
                <w:bottom w:val="none" w:sz="0" w:space="0" w:color="auto"/>
                <w:right w:val="none" w:sz="0" w:space="0" w:color="auto"/>
              </w:divBdr>
              <w:divsChild>
                <w:div w:id="19209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72583">
      <w:bodyDiv w:val="1"/>
      <w:marLeft w:val="0"/>
      <w:marRight w:val="0"/>
      <w:marTop w:val="0"/>
      <w:marBottom w:val="0"/>
      <w:divBdr>
        <w:top w:val="none" w:sz="0" w:space="0" w:color="auto"/>
        <w:left w:val="none" w:sz="0" w:space="0" w:color="auto"/>
        <w:bottom w:val="none" w:sz="0" w:space="0" w:color="auto"/>
        <w:right w:val="none" w:sz="0" w:space="0" w:color="auto"/>
      </w:divBdr>
      <w:divsChild>
        <w:div w:id="1188372272">
          <w:marLeft w:val="0"/>
          <w:marRight w:val="0"/>
          <w:marTop w:val="0"/>
          <w:marBottom w:val="0"/>
          <w:divBdr>
            <w:top w:val="none" w:sz="0" w:space="0" w:color="auto"/>
            <w:left w:val="none" w:sz="0" w:space="0" w:color="auto"/>
            <w:bottom w:val="none" w:sz="0" w:space="0" w:color="auto"/>
            <w:right w:val="none" w:sz="0" w:space="0" w:color="auto"/>
          </w:divBdr>
          <w:divsChild>
            <w:div w:id="189951589">
              <w:marLeft w:val="0"/>
              <w:marRight w:val="0"/>
              <w:marTop w:val="0"/>
              <w:marBottom w:val="0"/>
              <w:divBdr>
                <w:top w:val="none" w:sz="0" w:space="0" w:color="auto"/>
                <w:left w:val="none" w:sz="0" w:space="0" w:color="auto"/>
                <w:bottom w:val="none" w:sz="0" w:space="0" w:color="auto"/>
                <w:right w:val="none" w:sz="0" w:space="0" w:color="auto"/>
              </w:divBdr>
              <w:divsChild>
                <w:div w:id="1005400575">
                  <w:marLeft w:val="0"/>
                  <w:marRight w:val="0"/>
                  <w:marTop w:val="0"/>
                  <w:marBottom w:val="0"/>
                  <w:divBdr>
                    <w:top w:val="none" w:sz="0" w:space="0" w:color="auto"/>
                    <w:left w:val="none" w:sz="0" w:space="0" w:color="auto"/>
                    <w:bottom w:val="none" w:sz="0" w:space="0" w:color="auto"/>
                    <w:right w:val="none" w:sz="0" w:space="0" w:color="auto"/>
                  </w:divBdr>
                  <w:divsChild>
                    <w:div w:id="185306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25028">
      <w:bodyDiv w:val="1"/>
      <w:marLeft w:val="0"/>
      <w:marRight w:val="0"/>
      <w:marTop w:val="0"/>
      <w:marBottom w:val="0"/>
      <w:divBdr>
        <w:top w:val="none" w:sz="0" w:space="0" w:color="auto"/>
        <w:left w:val="none" w:sz="0" w:space="0" w:color="auto"/>
        <w:bottom w:val="none" w:sz="0" w:space="0" w:color="auto"/>
        <w:right w:val="none" w:sz="0" w:space="0" w:color="auto"/>
      </w:divBdr>
      <w:divsChild>
        <w:div w:id="1951625844">
          <w:marLeft w:val="0"/>
          <w:marRight w:val="0"/>
          <w:marTop w:val="0"/>
          <w:marBottom w:val="0"/>
          <w:divBdr>
            <w:top w:val="none" w:sz="0" w:space="0" w:color="auto"/>
            <w:left w:val="none" w:sz="0" w:space="0" w:color="auto"/>
            <w:bottom w:val="none" w:sz="0" w:space="0" w:color="auto"/>
            <w:right w:val="none" w:sz="0" w:space="0" w:color="auto"/>
          </w:divBdr>
          <w:divsChild>
            <w:div w:id="40329819">
              <w:marLeft w:val="0"/>
              <w:marRight w:val="0"/>
              <w:marTop w:val="0"/>
              <w:marBottom w:val="0"/>
              <w:divBdr>
                <w:top w:val="none" w:sz="0" w:space="0" w:color="auto"/>
                <w:left w:val="none" w:sz="0" w:space="0" w:color="auto"/>
                <w:bottom w:val="none" w:sz="0" w:space="0" w:color="auto"/>
                <w:right w:val="none" w:sz="0" w:space="0" w:color="auto"/>
              </w:divBdr>
              <w:divsChild>
                <w:div w:id="16739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532502">
      <w:bodyDiv w:val="1"/>
      <w:marLeft w:val="0"/>
      <w:marRight w:val="0"/>
      <w:marTop w:val="0"/>
      <w:marBottom w:val="0"/>
      <w:divBdr>
        <w:top w:val="none" w:sz="0" w:space="0" w:color="auto"/>
        <w:left w:val="none" w:sz="0" w:space="0" w:color="auto"/>
        <w:bottom w:val="none" w:sz="0" w:space="0" w:color="auto"/>
        <w:right w:val="none" w:sz="0" w:space="0" w:color="auto"/>
      </w:divBdr>
      <w:divsChild>
        <w:div w:id="203642846">
          <w:marLeft w:val="0"/>
          <w:marRight w:val="0"/>
          <w:marTop w:val="0"/>
          <w:marBottom w:val="0"/>
          <w:divBdr>
            <w:top w:val="none" w:sz="0" w:space="0" w:color="auto"/>
            <w:left w:val="none" w:sz="0" w:space="0" w:color="auto"/>
            <w:bottom w:val="none" w:sz="0" w:space="0" w:color="auto"/>
            <w:right w:val="none" w:sz="0" w:space="0" w:color="auto"/>
          </w:divBdr>
          <w:divsChild>
            <w:div w:id="540678543">
              <w:marLeft w:val="0"/>
              <w:marRight w:val="0"/>
              <w:marTop w:val="0"/>
              <w:marBottom w:val="0"/>
              <w:divBdr>
                <w:top w:val="none" w:sz="0" w:space="0" w:color="auto"/>
                <w:left w:val="none" w:sz="0" w:space="0" w:color="auto"/>
                <w:bottom w:val="none" w:sz="0" w:space="0" w:color="auto"/>
                <w:right w:val="none" w:sz="0" w:space="0" w:color="auto"/>
              </w:divBdr>
              <w:divsChild>
                <w:div w:id="830873363">
                  <w:marLeft w:val="0"/>
                  <w:marRight w:val="0"/>
                  <w:marTop w:val="0"/>
                  <w:marBottom w:val="0"/>
                  <w:divBdr>
                    <w:top w:val="none" w:sz="0" w:space="0" w:color="auto"/>
                    <w:left w:val="none" w:sz="0" w:space="0" w:color="auto"/>
                    <w:bottom w:val="none" w:sz="0" w:space="0" w:color="auto"/>
                    <w:right w:val="none" w:sz="0" w:space="0" w:color="auto"/>
                  </w:divBdr>
                  <w:divsChild>
                    <w:div w:id="10965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568865">
      <w:bodyDiv w:val="1"/>
      <w:marLeft w:val="0"/>
      <w:marRight w:val="0"/>
      <w:marTop w:val="0"/>
      <w:marBottom w:val="0"/>
      <w:divBdr>
        <w:top w:val="none" w:sz="0" w:space="0" w:color="auto"/>
        <w:left w:val="none" w:sz="0" w:space="0" w:color="auto"/>
        <w:bottom w:val="none" w:sz="0" w:space="0" w:color="auto"/>
        <w:right w:val="none" w:sz="0" w:space="0" w:color="auto"/>
      </w:divBdr>
      <w:divsChild>
        <w:div w:id="265188069">
          <w:marLeft w:val="0"/>
          <w:marRight w:val="0"/>
          <w:marTop w:val="0"/>
          <w:marBottom w:val="0"/>
          <w:divBdr>
            <w:top w:val="none" w:sz="0" w:space="0" w:color="auto"/>
            <w:left w:val="none" w:sz="0" w:space="0" w:color="auto"/>
            <w:bottom w:val="none" w:sz="0" w:space="0" w:color="auto"/>
            <w:right w:val="none" w:sz="0" w:space="0" w:color="auto"/>
          </w:divBdr>
          <w:divsChild>
            <w:div w:id="509761262">
              <w:marLeft w:val="0"/>
              <w:marRight w:val="0"/>
              <w:marTop w:val="0"/>
              <w:marBottom w:val="0"/>
              <w:divBdr>
                <w:top w:val="none" w:sz="0" w:space="0" w:color="auto"/>
                <w:left w:val="none" w:sz="0" w:space="0" w:color="auto"/>
                <w:bottom w:val="none" w:sz="0" w:space="0" w:color="auto"/>
                <w:right w:val="none" w:sz="0" w:space="0" w:color="auto"/>
              </w:divBdr>
              <w:divsChild>
                <w:div w:id="15566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40145">
      <w:bodyDiv w:val="1"/>
      <w:marLeft w:val="0"/>
      <w:marRight w:val="0"/>
      <w:marTop w:val="0"/>
      <w:marBottom w:val="0"/>
      <w:divBdr>
        <w:top w:val="none" w:sz="0" w:space="0" w:color="auto"/>
        <w:left w:val="none" w:sz="0" w:space="0" w:color="auto"/>
        <w:bottom w:val="none" w:sz="0" w:space="0" w:color="auto"/>
        <w:right w:val="none" w:sz="0" w:space="0" w:color="auto"/>
      </w:divBdr>
      <w:divsChild>
        <w:div w:id="432550752">
          <w:marLeft w:val="0"/>
          <w:marRight w:val="0"/>
          <w:marTop w:val="0"/>
          <w:marBottom w:val="0"/>
          <w:divBdr>
            <w:top w:val="none" w:sz="0" w:space="0" w:color="auto"/>
            <w:left w:val="none" w:sz="0" w:space="0" w:color="auto"/>
            <w:bottom w:val="none" w:sz="0" w:space="0" w:color="auto"/>
            <w:right w:val="none" w:sz="0" w:space="0" w:color="auto"/>
          </w:divBdr>
          <w:divsChild>
            <w:div w:id="1213077326">
              <w:marLeft w:val="0"/>
              <w:marRight w:val="0"/>
              <w:marTop w:val="0"/>
              <w:marBottom w:val="0"/>
              <w:divBdr>
                <w:top w:val="none" w:sz="0" w:space="0" w:color="auto"/>
                <w:left w:val="none" w:sz="0" w:space="0" w:color="auto"/>
                <w:bottom w:val="none" w:sz="0" w:space="0" w:color="auto"/>
                <w:right w:val="none" w:sz="0" w:space="0" w:color="auto"/>
              </w:divBdr>
              <w:divsChild>
                <w:div w:id="19996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13429">
      <w:bodyDiv w:val="1"/>
      <w:marLeft w:val="0"/>
      <w:marRight w:val="0"/>
      <w:marTop w:val="0"/>
      <w:marBottom w:val="0"/>
      <w:divBdr>
        <w:top w:val="none" w:sz="0" w:space="0" w:color="auto"/>
        <w:left w:val="none" w:sz="0" w:space="0" w:color="auto"/>
        <w:bottom w:val="none" w:sz="0" w:space="0" w:color="auto"/>
        <w:right w:val="none" w:sz="0" w:space="0" w:color="auto"/>
      </w:divBdr>
      <w:divsChild>
        <w:div w:id="2146241246">
          <w:marLeft w:val="0"/>
          <w:marRight w:val="0"/>
          <w:marTop w:val="0"/>
          <w:marBottom w:val="0"/>
          <w:divBdr>
            <w:top w:val="none" w:sz="0" w:space="0" w:color="auto"/>
            <w:left w:val="none" w:sz="0" w:space="0" w:color="auto"/>
            <w:bottom w:val="none" w:sz="0" w:space="0" w:color="auto"/>
            <w:right w:val="none" w:sz="0" w:space="0" w:color="auto"/>
          </w:divBdr>
          <w:divsChild>
            <w:div w:id="1209729701">
              <w:marLeft w:val="0"/>
              <w:marRight w:val="0"/>
              <w:marTop w:val="0"/>
              <w:marBottom w:val="0"/>
              <w:divBdr>
                <w:top w:val="none" w:sz="0" w:space="0" w:color="auto"/>
                <w:left w:val="none" w:sz="0" w:space="0" w:color="auto"/>
                <w:bottom w:val="none" w:sz="0" w:space="0" w:color="auto"/>
                <w:right w:val="none" w:sz="0" w:space="0" w:color="auto"/>
              </w:divBdr>
              <w:divsChild>
                <w:div w:id="7560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60092">
      <w:bodyDiv w:val="1"/>
      <w:marLeft w:val="0"/>
      <w:marRight w:val="0"/>
      <w:marTop w:val="0"/>
      <w:marBottom w:val="0"/>
      <w:divBdr>
        <w:top w:val="none" w:sz="0" w:space="0" w:color="auto"/>
        <w:left w:val="none" w:sz="0" w:space="0" w:color="auto"/>
        <w:bottom w:val="none" w:sz="0" w:space="0" w:color="auto"/>
        <w:right w:val="none" w:sz="0" w:space="0" w:color="auto"/>
      </w:divBdr>
      <w:divsChild>
        <w:div w:id="2104835403">
          <w:marLeft w:val="0"/>
          <w:marRight w:val="0"/>
          <w:marTop w:val="0"/>
          <w:marBottom w:val="0"/>
          <w:divBdr>
            <w:top w:val="none" w:sz="0" w:space="0" w:color="auto"/>
            <w:left w:val="none" w:sz="0" w:space="0" w:color="auto"/>
            <w:bottom w:val="none" w:sz="0" w:space="0" w:color="auto"/>
            <w:right w:val="none" w:sz="0" w:space="0" w:color="auto"/>
          </w:divBdr>
          <w:divsChild>
            <w:div w:id="1864437097">
              <w:marLeft w:val="0"/>
              <w:marRight w:val="0"/>
              <w:marTop w:val="0"/>
              <w:marBottom w:val="0"/>
              <w:divBdr>
                <w:top w:val="none" w:sz="0" w:space="0" w:color="auto"/>
                <w:left w:val="none" w:sz="0" w:space="0" w:color="auto"/>
                <w:bottom w:val="none" w:sz="0" w:space="0" w:color="auto"/>
                <w:right w:val="none" w:sz="0" w:space="0" w:color="auto"/>
              </w:divBdr>
              <w:divsChild>
                <w:div w:id="3960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6737">
      <w:bodyDiv w:val="1"/>
      <w:marLeft w:val="0"/>
      <w:marRight w:val="0"/>
      <w:marTop w:val="0"/>
      <w:marBottom w:val="0"/>
      <w:divBdr>
        <w:top w:val="none" w:sz="0" w:space="0" w:color="auto"/>
        <w:left w:val="none" w:sz="0" w:space="0" w:color="auto"/>
        <w:bottom w:val="none" w:sz="0" w:space="0" w:color="auto"/>
        <w:right w:val="none" w:sz="0" w:space="0" w:color="auto"/>
      </w:divBdr>
    </w:div>
    <w:div w:id="2042589633">
      <w:bodyDiv w:val="1"/>
      <w:marLeft w:val="0"/>
      <w:marRight w:val="0"/>
      <w:marTop w:val="0"/>
      <w:marBottom w:val="0"/>
      <w:divBdr>
        <w:top w:val="none" w:sz="0" w:space="0" w:color="auto"/>
        <w:left w:val="none" w:sz="0" w:space="0" w:color="auto"/>
        <w:bottom w:val="none" w:sz="0" w:space="0" w:color="auto"/>
        <w:right w:val="none" w:sz="0" w:space="0" w:color="auto"/>
      </w:divBdr>
      <w:divsChild>
        <w:div w:id="626745017">
          <w:marLeft w:val="0"/>
          <w:marRight w:val="0"/>
          <w:marTop w:val="0"/>
          <w:marBottom w:val="0"/>
          <w:divBdr>
            <w:top w:val="none" w:sz="0" w:space="0" w:color="auto"/>
            <w:left w:val="none" w:sz="0" w:space="0" w:color="auto"/>
            <w:bottom w:val="none" w:sz="0" w:space="0" w:color="auto"/>
            <w:right w:val="none" w:sz="0" w:space="0" w:color="auto"/>
          </w:divBdr>
          <w:divsChild>
            <w:div w:id="917591787">
              <w:marLeft w:val="0"/>
              <w:marRight w:val="0"/>
              <w:marTop w:val="0"/>
              <w:marBottom w:val="0"/>
              <w:divBdr>
                <w:top w:val="none" w:sz="0" w:space="0" w:color="auto"/>
                <w:left w:val="none" w:sz="0" w:space="0" w:color="auto"/>
                <w:bottom w:val="none" w:sz="0" w:space="0" w:color="auto"/>
                <w:right w:val="none" w:sz="0" w:space="0" w:color="auto"/>
              </w:divBdr>
              <w:divsChild>
                <w:div w:id="2312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6049">
      <w:bodyDiv w:val="1"/>
      <w:marLeft w:val="0"/>
      <w:marRight w:val="0"/>
      <w:marTop w:val="0"/>
      <w:marBottom w:val="0"/>
      <w:divBdr>
        <w:top w:val="none" w:sz="0" w:space="0" w:color="auto"/>
        <w:left w:val="none" w:sz="0" w:space="0" w:color="auto"/>
        <w:bottom w:val="none" w:sz="0" w:space="0" w:color="auto"/>
        <w:right w:val="none" w:sz="0" w:space="0" w:color="auto"/>
      </w:divBdr>
      <w:divsChild>
        <w:div w:id="1603538227">
          <w:marLeft w:val="0"/>
          <w:marRight w:val="0"/>
          <w:marTop w:val="0"/>
          <w:marBottom w:val="0"/>
          <w:divBdr>
            <w:top w:val="none" w:sz="0" w:space="0" w:color="auto"/>
            <w:left w:val="none" w:sz="0" w:space="0" w:color="auto"/>
            <w:bottom w:val="none" w:sz="0" w:space="0" w:color="auto"/>
            <w:right w:val="none" w:sz="0" w:space="0" w:color="auto"/>
          </w:divBdr>
          <w:divsChild>
            <w:div w:id="1591506745">
              <w:marLeft w:val="0"/>
              <w:marRight w:val="0"/>
              <w:marTop w:val="0"/>
              <w:marBottom w:val="0"/>
              <w:divBdr>
                <w:top w:val="none" w:sz="0" w:space="0" w:color="auto"/>
                <w:left w:val="none" w:sz="0" w:space="0" w:color="auto"/>
                <w:bottom w:val="none" w:sz="0" w:space="0" w:color="auto"/>
                <w:right w:val="none" w:sz="0" w:space="0" w:color="auto"/>
              </w:divBdr>
              <w:divsChild>
                <w:div w:id="1904442035">
                  <w:marLeft w:val="0"/>
                  <w:marRight w:val="0"/>
                  <w:marTop w:val="0"/>
                  <w:marBottom w:val="0"/>
                  <w:divBdr>
                    <w:top w:val="none" w:sz="0" w:space="0" w:color="auto"/>
                    <w:left w:val="none" w:sz="0" w:space="0" w:color="auto"/>
                    <w:bottom w:val="none" w:sz="0" w:space="0" w:color="auto"/>
                    <w:right w:val="none" w:sz="0" w:space="0" w:color="auto"/>
                  </w:divBdr>
                  <w:divsChild>
                    <w:div w:id="18652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916048">
      <w:bodyDiv w:val="1"/>
      <w:marLeft w:val="0"/>
      <w:marRight w:val="0"/>
      <w:marTop w:val="0"/>
      <w:marBottom w:val="0"/>
      <w:divBdr>
        <w:top w:val="none" w:sz="0" w:space="0" w:color="auto"/>
        <w:left w:val="none" w:sz="0" w:space="0" w:color="auto"/>
        <w:bottom w:val="none" w:sz="0" w:space="0" w:color="auto"/>
        <w:right w:val="none" w:sz="0" w:space="0" w:color="auto"/>
      </w:divBdr>
      <w:divsChild>
        <w:div w:id="932394097">
          <w:marLeft w:val="0"/>
          <w:marRight w:val="0"/>
          <w:marTop w:val="0"/>
          <w:marBottom w:val="0"/>
          <w:divBdr>
            <w:top w:val="none" w:sz="0" w:space="0" w:color="auto"/>
            <w:left w:val="none" w:sz="0" w:space="0" w:color="auto"/>
            <w:bottom w:val="none" w:sz="0" w:space="0" w:color="auto"/>
            <w:right w:val="none" w:sz="0" w:space="0" w:color="auto"/>
          </w:divBdr>
          <w:divsChild>
            <w:div w:id="1204832349">
              <w:marLeft w:val="0"/>
              <w:marRight w:val="0"/>
              <w:marTop w:val="0"/>
              <w:marBottom w:val="0"/>
              <w:divBdr>
                <w:top w:val="none" w:sz="0" w:space="0" w:color="auto"/>
                <w:left w:val="none" w:sz="0" w:space="0" w:color="auto"/>
                <w:bottom w:val="none" w:sz="0" w:space="0" w:color="auto"/>
                <w:right w:val="none" w:sz="0" w:space="0" w:color="auto"/>
              </w:divBdr>
              <w:divsChild>
                <w:div w:id="264852134">
                  <w:marLeft w:val="0"/>
                  <w:marRight w:val="0"/>
                  <w:marTop w:val="0"/>
                  <w:marBottom w:val="0"/>
                  <w:divBdr>
                    <w:top w:val="none" w:sz="0" w:space="0" w:color="auto"/>
                    <w:left w:val="none" w:sz="0" w:space="0" w:color="auto"/>
                    <w:bottom w:val="none" w:sz="0" w:space="0" w:color="auto"/>
                    <w:right w:val="none" w:sz="0" w:space="0" w:color="auto"/>
                  </w:divBdr>
                  <w:divsChild>
                    <w:div w:id="18821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02393">
      <w:bodyDiv w:val="1"/>
      <w:marLeft w:val="0"/>
      <w:marRight w:val="0"/>
      <w:marTop w:val="0"/>
      <w:marBottom w:val="0"/>
      <w:divBdr>
        <w:top w:val="none" w:sz="0" w:space="0" w:color="auto"/>
        <w:left w:val="none" w:sz="0" w:space="0" w:color="auto"/>
        <w:bottom w:val="none" w:sz="0" w:space="0" w:color="auto"/>
        <w:right w:val="none" w:sz="0" w:space="0" w:color="auto"/>
      </w:divBdr>
      <w:divsChild>
        <w:div w:id="1478843335">
          <w:marLeft w:val="0"/>
          <w:marRight w:val="0"/>
          <w:marTop w:val="0"/>
          <w:marBottom w:val="0"/>
          <w:divBdr>
            <w:top w:val="none" w:sz="0" w:space="0" w:color="auto"/>
            <w:left w:val="none" w:sz="0" w:space="0" w:color="auto"/>
            <w:bottom w:val="none" w:sz="0" w:space="0" w:color="auto"/>
            <w:right w:val="none" w:sz="0" w:space="0" w:color="auto"/>
          </w:divBdr>
          <w:divsChild>
            <w:div w:id="1015691237">
              <w:marLeft w:val="0"/>
              <w:marRight w:val="0"/>
              <w:marTop w:val="0"/>
              <w:marBottom w:val="0"/>
              <w:divBdr>
                <w:top w:val="none" w:sz="0" w:space="0" w:color="auto"/>
                <w:left w:val="none" w:sz="0" w:space="0" w:color="auto"/>
                <w:bottom w:val="none" w:sz="0" w:space="0" w:color="auto"/>
                <w:right w:val="none" w:sz="0" w:space="0" w:color="auto"/>
              </w:divBdr>
              <w:divsChild>
                <w:div w:id="150558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6121">
      <w:bodyDiv w:val="1"/>
      <w:marLeft w:val="0"/>
      <w:marRight w:val="0"/>
      <w:marTop w:val="0"/>
      <w:marBottom w:val="0"/>
      <w:divBdr>
        <w:top w:val="none" w:sz="0" w:space="0" w:color="auto"/>
        <w:left w:val="none" w:sz="0" w:space="0" w:color="auto"/>
        <w:bottom w:val="none" w:sz="0" w:space="0" w:color="auto"/>
        <w:right w:val="none" w:sz="0" w:space="0" w:color="auto"/>
      </w:divBdr>
      <w:divsChild>
        <w:div w:id="1719665654">
          <w:marLeft w:val="0"/>
          <w:marRight w:val="0"/>
          <w:marTop w:val="0"/>
          <w:marBottom w:val="0"/>
          <w:divBdr>
            <w:top w:val="none" w:sz="0" w:space="0" w:color="auto"/>
            <w:left w:val="none" w:sz="0" w:space="0" w:color="auto"/>
            <w:bottom w:val="none" w:sz="0" w:space="0" w:color="auto"/>
            <w:right w:val="none" w:sz="0" w:space="0" w:color="auto"/>
          </w:divBdr>
          <w:divsChild>
            <w:div w:id="1723093087">
              <w:marLeft w:val="0"/>
              <w:marRight w:val="0"/>
              <w:marTop w:val="0"/>
              <w:marBottom w:val="0"/>
              <w:divBdr>
                <w:top w:val="none" w:sz="0" w:space="0" w:color="auto"/>
                <w:left w:val="none" w:sz="0" w:space="0" w:color="auto"/>
                <w:bottom w:val="none" w:sz="0" w:space="0" w:color="auto"/>
                <w:right w:val="none" w:sz="0" w:space="0" w:color="auto"/>
              </w:divBdr>
              <w:divsChild>
                <w:div w:id="2602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5962">
      <w:bodyDiv w:val="1"/>
      <w:marLeft w:val="0"/>
      <w:marRight w:val="0"/>
      <w:marTop w:val="0"/>
      <w:marBottom w:val="0"/>
      <w:divBdr>
        <w:top w:val="none" w:sz="0" w:space="0" w:color="auto"/>
        <w:left w:val="none" w:sz="0" w:space="0" w:color="auto"/>
        <w:bottom w:val="none" w:sz="0" w:space="0" w:color="auto"/>
        <w:right w:val="none" w:sz="0" w:space="0" w:color="auto"/>
      </w:divBdr>
      <w:divsChild>
        <w:div w:id="275138388">
          <w:marLeft w:val="0"/>
          <w:marRight w:val="0"/>
          <w:marTop w:val="0"/>
          <w:marBottom w:val="0"/>
          <w:divBdr>
            <w:top w:val="none" w:sz="0" w:space="0" w:color="auto"/>
            <w:left w:val="none" w:sz="0" w:space="0" w:color="auto"/>
            <w:bottom w:val="none" w:sz="0" w:space="0" w:color="auto"/>
            <w:right w:val="none" w:sz="0" w:space="0" w:color="auto"/>
          </w:divBdr>
          <w:divsChild>
            <w:div w:id="2129661093">
              <w:marLeft w:val="0"/>
              <w:marRight w:val="0"/>
              <w:marTop w:val="0"/>
              <w:marBottom w:val="0"/>
              <w:divBdr>
                <w:top w:val="none" w:sz="0" w:space="0" w:color="auto"/>
                <w:left w:val="none" w:sz="0" w:space="0" w:color="auto"/>
                <w:bottom w:val="none" w:sz="0" w:space="0" w:color="auto"/>
                <w:right w:val="none" w:sz="0" w:space="0" w:color="auto"/>
              </w:divBdr>
              <w:divsChild>
                <w:div w:id="1993873983">
                  <w:marLeft w:val="0"/>
                  <w:marRight w:val="0"/>
                  <w:marTop w:val="0"/>
                  <w:marBottom w:val="0"/>
                  <w:divBdr>
                    <w:top w:val="none" w:sz="0" w:space="0" w:color="auto"/>
                    <w:left w:val="none" w:sz="0" w:space="0" w:color="auto"/>
                    <w:bottom w:val="none" w:sz="0" w:space="0" w:color="auto"/>
                    <w:right w:val="none" w:sz="0" w:space="0" w:color="auto"/>
                  </w:divBdr>
                  <w:divsChild>
                    <w:div w:id="237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007088">
      <w:bodyDiv w:val="1"/>
      <w:marLeft w:val="0"/>
      <w:marRight w:val="0"/>
      <w:marTop w:val="0"/>
      <w:marBottom w:val="0"/>
      <w:divBdr>
        <w:top w:val="none" w:sz="0" w:space="0" w:color="auto"/>
        <w:left w:val="none" w:sz="0" w:space="0" w:color="auto"/>
        <w:bottom w:val="none" w:sz="0" w:space="0" w:color="auto"/>
        <w:right w:val="none" w:sz="0" w:space="0" w:color="auto"/>
      </w:divBdr>
      <w:divsChild>
        <w:div w:id="577447818">
          <w:marLeft w:val="0"/>
          <w:marRight w:val="0"/>
          <w:marTop w:val="0"/>
          <w:marBottom w:val="0"/>
          <w:divBdr>
            <w:top w:val="none" w:sz="0" w:space="0" w:color="auto"/>
            <w:left w:val="none" w:sz="0" w:space="0" w:color="auto"/>
            <w:bottom w:val="none" w:sz="0" w:space="0" w:color="auto"/>
            <w:right w:val="none" w:sz="0" w:space="0" w:color="auto"/>
          </w:divBdr>
          <w:divsChild>
            <w:div w:id="2091271624">
              <w:marLeft w:val="0"/>
              <w:marRight w:val="0"/>
              <w:marTop w:val="0"/>
              <w:marBottom w:val="0"/>
              <w:divBdr>
                <w:top w:val="none" w:sz="0" w:space="0" w:color="auto"/>
                <w:left w:val="none" w:sz="0" w:space="0" w:color="auto"/>
                <w:bottom w:val="none" w:sz="0" w:space="0" w:color="auto"/>
                <w:right w:val="none" w:sz="0" w:space="0" w:color="auto"/>
              </w:divBdr>
              <w:divsChild>
                <w:div w:id="16747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91904">
      <w:bodyDiv w:val="1"/>
      <w:marLeft w:val="0"/>
      <w:marRight w:val="0"/>
      <w:marTop w:val="0"/>
      <w:marBottom w:val="0"/>
      <w:divBdr>
        <w:top w:val="none" w:sz="0" w:space="0" w:color="auto"/>
        <w:left w:val="none" w:sz="0" w:space="0" w:color="auto"/>
        <w:bottom w:val="none" w:sz="0" w:space="0" w:color="auto"/>
        <w:right w:val="none" w:sz="0" w:space="0" w:color="auto"/>
      </w:divBdr>
    </w:div>
    <w:div w:id="2067561698">
      <w:bodyDiv w:val="1"/>
      <w:marLeft w:val="0"/>
      <w:marRight w:val="0"/>
      <w:marTop w:val="0"/>
      <w:marBottom w:val="0"/>
      <w:divBdr>
        <w:top w:val="none" w:sz="0" w:space="0" w:color="auto"/>
        <w:left w:val="none" w:sz="0" w:space="0" w:color="auto"/>
        <w:bottom w:val="none" w:sz="0" w:space="0" w:color="auto"/>
        <w:right w:val="none" w:sz="0" w:space="0" w:color="auto"/>
      </w:divBdr>
    </w:div>
    <w:div w:id="2068644916">
      <w:bodyDiv w:val="1"/>
      <w:marLeft w:val="0"/>
      <w:marRight w:val="0"/>
      <w:marTop w:val="0"/>
      <w:marBottom w:val="0"/>
      <w:divBdr>
        <w:top w:val="none" w:sz="0" w:space="0" w:color="auto"/>
        <w:left w:val="none" w:sz="0" w:space="0" w:color="auto"/>
        <w:bottom w:val="none" w:sz="0" w:space="0" w:color="auto"/>
        <w:right w:val="none" w:sz="0" w:space="0" w:color="auto"/>
      </w:divBdr>
      <w:divsChild>
        <w:div w:id="1926768109">
          <w:marLeft w:val="0"/>
          <w:marRight w:val="0"/>
          <w:marTop w:val="0"/>
          <w:marBottom w:val="0"/>
          <w:divBdr>
            <w:top w:val="none" w:sz="0" w:space="0" w:color="auto"/>
            <w:left w:val="none" w:sz="0" w:space="0" w:color="auto"/>
            <w:bottom w:val="none" w:sz="0" w:space="0" w:color="auto"/>
            <w:right w:val="none" w:sz="0" w:space="0" w:color="auto"/>
          </w:divBdr>
          <w:divsChild>
            <w:div w:id="1979332251">
              <w:marLeft w:val="0"/>
              <w:marRight w:val="0"/>
              <w:marTop w:val="0"/>
              <w:marBottom w:val="0"/>
              <w:divBdr>
                <w:top w:val="none" w:sz="0" w:space="0" w:color="auto"/>
                <w:left w:val="none" w:sz="0" w:space="0" w:color="auto"/>
                <w:bottom w:val="none" w:sz="0" w:space="0" w:color="auto"/>
                <w:right w:val="none" w:sz="0" w:space="0" w:color="auto"/>
              </w:divBdr>
              <w:divsChild>
                <w:div w:id="8174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6020">
      <w:bodyDiv w:val="1"/>
      <w:marLeft w:val="0"/>
      <w:marRight w:val="0"/>
      <w:marTop w:val="0"/>
      <w:marBottom w:val="0"/>
      <w:divBdr>
        <w:top w:val="none" w:sz="0" w:space="0" w:color="auto"/>
        <w:left w:val="none" w:sz="0" w:space="0" w:color="auto"/>
        <w:bottom w:val="none" w:sz="0" w:space="0" w:color="auto"/>
        <w:right w:val="none" w:sz="0" w:space="0" w:color="auto"/>
      </w:divBdr>
      <w:divsChild>
        <w:div w:id="1727332512">
          <w:marLeft w:val="0"/>
          <w:marRight w:val="0"/>
          <w:marTop w:val="0"/>
          <w:marBottom w:val="0"/>
          <w:divBdr>
            <w:top w:val="none" w:sz="0" w:space="0" w:color="auto"/>
            <w:left w:val="none" w:sz="0" w:space="0" w:color="auto"/>
            <w:bottom w:val="none" w:sz="0" w:space="0" w:color="auto"/>
            <w:right w:val="none" w:sz="0" w:space="0" w:color="auto"/>
          </w:divBdr>
          <w:divsChild>
            <w:div w:id="87506822">
              <w:marLeft w:val="0"/>
              <w:marRight w:val="0"/>
              <w:marTop w:val="0"/>
              <w:marBottom w:val="0"/>
              <w:divBdr>
                <w:top w:val="none" w:sz="0" w:space="0" w:color="auto"/>
                <w:left w:val="none" w:sz="0" w:space="0" w:color="auto"/>
                <w:bottom w:val="none" w:sz="0" w:space="0" w:color="auto"/>
                <w:right w:val="none" w:sz="0" w:space="0" w:color="auto"/>
              </w:divBdr>
              <w:divsChild>
                <w:div w:id="1422023259">
                  <w:marLeft w:val="0"/>
                  <w:marRight w:val="0"/>
                  <w:marTop w:val="0"/>
                  <w:marBottom w:val="0"/>
                  <w:divBdr>
                    <w:top w:val="none" w:sz="0" w:space="0" w:color="auto"/>
                    <w:left w:val="none" w:sz="0" w:space="0" w:color="auto"/>
                    <w:bottom w:val="none" w:sz="0" w:space="0" w:color="auto"/>
                    <w:right w:val="none" w:sz="0" w:space="0" w:color="auto"/>
                  </w:divBdr>
                </w:div>
              </w:divsChild>
            </w:div>
            <w:div w:id="729695072">
              <w:marLeft w:val="0"/>
              <w:marRight w:val="0"/>
              <w:marTop w:val="0"/>
              <w:marBottom w:val="0"/>
              <w:divBdr>
                <w:top w:val="none" w:sz="0" w:space="0" w:color="auto"/>
                <w:left w:val="none" w:sz="0" w:space="0" w:color="auto"/>
                <w:bottom w:val="none" w:sz="0" w:space="0" w:color="auto"/>
                <w:right w:val="none" w:sz="0" w:space="0" w:color="auto"/>
              </w:divBdr>
              <w:divsChild>
                <w:div w:id="1575703252">
                  <w:marLeft w:val="0"/>
                  <w:marRight w:val="0"/>
                  <w:marTop w:val="0"/>
                  <w:marBottom w:val="0"/>
                  <w:divBdr>
                    <w:top w:val="none" w:sz="0" w:space="0" w:color="auto"/>
                    <w:left w:val="none" w:sz="0" w:space="0" w:color="auto"/>
                    <w:bottom w:val="none" w:sz="0" w:space="0" w:color="auto"/>
                    <w:right w:val="none" w:sz="0" w:space="0" w:color="auto"/>
                  </w:divBdr>
                </w:div>
              </w:divsChild>
            </w:div>
            <w:div w:id="790440261">
              <w:marLeft w:val="0"/>
              <w:marRight w:val="0"/>
              <w:marTop w:val="0"/>
              <w:marBottom w:val="0"/>
              <w:divBdr>
                <w:top w:val="none" w:sz="0" w:space="0" w:color="auto"/>
                <w:left w:val="none" w:sz="0" w:space="0" w:color="auto"/>
                <w:bottom w:val="none" w:sz="0" w:space="0" w:color="auto"/>
                <w:right w:val="none" w:sz="0" w:space="0" w:color="auto"/>
              </w:divBdr>
              <w:divsChild>
                <w:div w:id="1329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1717">
      <w:bodyDiv w:val="1"/>
      <w:marLeft w:val="0"/>
      <w:marRight w:val="0"/>
      <w:marTop w:val="0"/>
      <w:marBottom w:val="0"/>
      <w:divBdr>
        <w:top w:val="none" w:sz="0" w:space="0" w:color="auto"/>
        <w:left w:val="none" w:sz="0" w:space="0" w:color="auto"/>
        <w:bottom w:val="none" w:sz="0" w:space="0" w:color="auto"/>
        <w:right w:val="none" w:sz="0" w:space="0" w:color="auto"/>
      </w:divBdr>
      <w:divsChild>
        <w:div w:id="1573585089">
          <w:marLeft w:val="0"/>
          <w:marRight w:val="0"/>
          <w:marTop w:val="0"/>
          <w:marBottom w:val="0"/>
          <w:divBdr>
            <w:top w:val="none" w:sz="0" w:space="0" w:color="auto"/>
            <w:left w:val="none" w:sz="0" w:space="0" w:color="auto"/>
            <w:bottom w:val="none" w:sz="0" w:space="0" w:color="auto"/>
            <w:right w:val="none" w:sz="0" w:space="0" w:color="auto"/>
          </w:divBdr>
          <w:divsChild>
            <w:div w:id="1196846577">
              <w:marLeft w:val="0"/>
              <w:marRight w:val="0"/>
              <w:marTop w:val="0"/>
              <w:marBottom w:val="0"/>
              <w:divBdr>
                <w:top w:val="none" w:sz="0" w:space="0" w:color="auto"/>
                <w:left w:val="none" w:sz="0" w:space="0" w:color="auto"/>
                <w:bottom w:val="none" w:sz="0" w:space="0" w:color="auto"/>
                <w:right w:val="none" w:sz="0" w:space="0" w:color="auto"/>
              </w:divBdr>
              <w:divsChild>
                <w:div w:id="1653947064">
                  <w:marLeft w:val="0"/>
                  <w:marRight w:val="0"/>
                  <w:marTop w:val="0"/>
                  <w:marBottom w:val="0"/>
                  <w:divBdr>
                    <w:top w:val="none" w:sz="0" w:space="0" w:color="auto"/>
                    <w:left w:val="none" w:sz="0" w:space="0" w:color="auto"/>
                    <w:bottom w:val="none" w:sz="0" w:space="0" w:color="auto"/>
                    <w:right w:val="none" w:sz="0" w:space="0" w:color="auto"/>
                  </w:divBdr>
                  <w:divsChild>
                    <w:div w:id="6161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2673">
      <w:bodyDiv w:val="1"/>
      <w:marLeft w:val="0"/>
      <w:marRight w:val="0"/>
      <w:marTop w:val="0"/>
      <w:marBottom w:val="0"/>
      <w:divBdr>
        <w:top w:val="none" w:sz="0" w:space="0" w:color="auto"/>
        <w:left w:val="none" w:sz="0" w:space="0" w:color="auto"/>
        <w:bottom w:val="none" w:sz="0" w:space="0" w:color="auto"/>
        <w:right w:val="none" w:sz="0" w:space="0" w:color="auto"/>
      </w:divBdr>
      <w:divsChild>
        <w:div w:id="1559827984">
          <w:marLeft w:val="0"/>
          <w:marRight w:val="0"/>
          <w:marTop w:val="0"/>
          <w:marBottom w:val="0"/>
          <w:divBdr>
            <w:top w:val="none" w:sz="0" w:space="0" w:color="auto"/>
            <w:left w:val="none" w:sz="0" w:space="0" w:color="auto"/>
            <w:bottom w:val="none" w:sz="0" w:space="0" w:color="auto"/>
            <w:right w:val="none" w:sz="0" w:space="0" w:color="auto"/>
          </w:divBdr>
          <w:divsChild>
            <w:div w:id="701396916">
              <w:marLeft w:val="0"/>
              <w:marRight w:val="0"/>
              <w:marTop w:val="0"/>
              <w:marBottom w:val="0"/>
              <w:divBdr>
                <w:top w:val="none" w:sz="0" w:space="0" w:color="auto"/>
                <w:left w:val="none" w:sz="0" w:space="0" w:color="auto"/>
                <w:bottom w:val="none" w:sz="0" w:space="0" w:color="auto"/>
                <w:right w:val="none" w:sz="0" w:space="0" w:color="auto"/>
              </w:divBdr>
              <w:divsChild>
                <w:div w:id="9131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12779">
      <w:bodyDiv w:val="1"/>
      <w:marLeft w:val="0"/>
      <w:marRight w:val="0"/>
      <w:marTop w:val="0"/>
      <w:marBottom w:val="0"/>
      <w:divBdr>
        <w:top w:val="none" w:sz="0" w:space="0" w:color="auto"/>
        <w:left w:val="none" w:sz="0" w:space="0" w:color="auto"/>
        <w:bottom w:val="none" w:sz="0" w:space="0" w:color="auto"/>
        <w:right w:val="none" w:sz="0" w:space="0" w:color="auto"/>
      </w:divBdr>
      <w:divsChild>
        <w:div w:id="1192456130">
          <w:marLeft w:val="0"/>
          <w:marRight w:val="0"/>
          <w:marTop w:val="0"/>
          <w:marBottom w:val="0"/>
          <w:divBdr>
            <w:top w:val="none" w:sz="0" w:space="0" w:color="auto"/>
            <w:left w:val="none" w:sz="0" w:space="0" w:color="auto"/>
            <w:bottom w:val="none" w:sz="0" w:space="0" w:color="auto"/>
            <w:right w:val="none" w:sz="0" w:space="0" w:color="auto"/>
          </w:divBdr>
          <w:divsChild>
            <w:div w:id="1444961825">
              <w:marLeft w:val="0"/>
              <w:marRight w:val="0"/>
              <w:marTop w:val="0"/>
              <w:marBottom w:val="0"/>
              <w:divBdr>
                <w:top w:val="none" w:sz="0" w:space="0" w:color="auto"/>
                <w:left w:val="none" w:sz="0" w:space="0" w:color="auto"/>
                <w:bottom w:val="none" w:sz="0" w:space="0" w:color="auto"/>
                <w:right w:val="none" w:sz="0" w:space="0" w:color="auto"/>
              </w:divBdr>
              <w:divsChild>
                <w:div w:id="5096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1389">
      <w:bodyDiv w:val="1"/>
      <w:marLeft w:val="0"/>
      <w:marRight w:val="0"/>
      <w:marTop w:val="0"/>
      <w:marBottom w:val="0"/>
      <w:divBdr>
        <w:top w:val="none" w:sz="0" w:space="0" w:color="auto"/>
        <w:left w:val="none" w:sz="0" w:space="0" w:color="auto"/>
        <w:bottom w:val="none" w:sz="0" w:space="0" w:color="auto"/>
        <w:right w:val="none" w:sz="0" w:space="0" w:color="auto"/>
      </w:divBdr>
      <w:divsChild>
        <w:div w:id="1543245691">
          <w:marLeft w:val="0"/>
          <w:marRight w:val="0"/>
          <w:marTop w:val="0"/>
          <w:marBottom w:val="0"/>
          <w:divBdr>
            <w:top w:val="none" w:sz="0" w:space="0" w:color="auto"/>
            <w:left w:val="none" w:sz="0" w:space="0" w:color="auto"/>
            <w:bottom w:val="none" w:sz="0" w:space="0" w:color="auto"/>
            <w:right w:val="none" w:sz="0" w:space="0" w:color="auto"/>
          </w:divBdr>
          <w:divsChild>
            <w:div w:id="1529682478">
              <w:marLeft w:val="0"/>
              <w:marRight w:val="0"/>
              <w:marTop w:val="0"/>
              <w:marBottom w:val="0"/>
              <w:divBdr>
                <w:top w:val="none" w:sz="0" w:space="0" w:color="auto"/>
                <w:left w:val="none" w:sz="0" w:space="0" w:color="auto"/>
                <w:bottom w:val="none" w:sz="0" w:space="0" w:color="auto"/>
                <w:right w:val="none" w:sz="0" w:space="0" w:color="auto"/>
              </w:divBdr>
              <w:divsChild>
                <w:div w:id="9493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5068">
      <w:bodyDiv w:val="1"/>
      <w:marLeft w:val="0"/>
      <w:marRight w:val="0"/>
      <w:marTop w:val="0"/>
      <w:marBottom w:val="0"/>
      <w:divBdr>
        <w:top w:val="none" w:sz="0" w:space="0" w:color="auto"/>
        <w:left w:val="none" w:sz="0" w:space="0" w:color="auto"/>
        <w:bottom w:val="none" w:sz="0" w:space="0" w:color="auto"/>
        <w:right w:val="none" w:sz="0" w:space="0" w:color="auto"/>
      </w:divBdr>
      <w:divsChild>
        <w:div w:id="1206673952">
          <w:marLeft w:val="0"/>
          <w:marRight w:val="0"/>
          <w:marTop w:val="0"/>
          <w:marBottom w:val="0"/>
          <w:divBdr>
            <w:top w:val="none" w:sz="0" w:space="0" w:color="auto"/>
            <w:left w:val="none" w:sz="0" w:space="0" w:color="auto"/>
            <w:bottom w:val="none" w:sz="0" w:space="0" w:color="auto"/>
            <w:right w:val="none" w:sz="0" w:space="0" w:color="auto"/>
          </w:divBdr>
          <w:divsChild>
            <w:div w:id="1932470920">
              <w:marLeft w:val="0"/>
              <w:marRight w:val="0"/>
              <w:marTop w:val="0"/>
              <w:marBottom w:val="0"/>
              <w:divBdr>
                <w:top w:val="none" w:sz="0" w:space="0" w:color="auto"/>
                <w:left w:val="none" w:sz="0" w:space="0" w:color="auto"/>
                <w:bottom w:val="none" w:sz="0" w:space="0" w:color="auto"/>
                <w:right w:val="none" w:sz="0" w:space="0" w:color="auto"/>
              </w:divBdr>
              <w:divsChild>
                <w:div w:id="1728454514">
                  <w:marLeft w:val="0"/>
                  <w:marRight w:val="0"/>
                  <w:marTop w:val="0"/>
                  <w:marBottom w:val="0"/>
                  <w:divBdr>
                    <w:top w:val="none" w:sz="0" w:space="0" w:color="auto"/>
                    <w:left w:val="none" w:sz="0" w:space="0" w:color="auto"/>
                    <w:bottom w:val="none" w:sz="0" w:space="0" w:color="auto"/>
                    <w:right w:val="none" w:sz="0" w:space="0" w:color="auto"/>
                  </w:divBdr>
                  <w:divsChild>
                    <w:div w:id="13519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96673">
      <w:bodyDiv w:val="1"/>
      <w:marLeft w:val="0"/>
      <w:marRight w:val="0"/>
      <w:marTop w:val="0"/>
      <w:marBottom w:val="0"/>
      <w:divBdr>
        <w:top w:val="none" w:sz="0" w:space="0" w:color="auto"/>
        <w:left w:val="none" w:sz="0" w:space="0" w:color="auto"/>
        <w:bottom w:val="none" w:sz="0" w:space="0" w:color="auto"/>
        <w:right w:val="none" w:sz="0" w:space="0" w:color="auto"/>
      </w:divBdr>
      <w:divsChild>
        <w:div w:id="324479512">
          <w:marLeft w:val="0"/>
          <w:marRight w:val="0"/>
          <w:marTop w:val="0"/>
          <w:marBottom w:val="0"/>
          <w:divBdr>
            <w:top w:val="none" w:sz="0" w:space="0" w:color="auto"/>
            <w:left w:val="none" w:sz="0" w:space="0" w:color="auto"/>
            <w:bottom w:val="none" w:sz="0" w:space="0" w:color="auto"/>
            <w:right w:val="none" w:sz="0" w:space="0" w:color="auto"/>
          </w:divBdr>
          <w:divsChild>
            <w:div w:id="1238325928">
              <w:marLeft w:val="0"/>
              <w:marRight w:val="0"/>
              <w:marTop w:val="0"/>
              <w:marBottom w:val="0"/>
              <w:divBdr>
                <w:top w:val="none" w:sz="0" w:space="0" w:color="auto"/>
                <w:left w:val="none" w:sz="0" w:space="0" w:color="auto"/>
                <w:bottom w:val="none" w:sz="0" w:space="0" w:color="auto"/>
                <w:right w:val="none" w:sz="0" w:space="0" w:color="auto"/>
              </w:divBdr>
              <w:divsChild>
                <w:div w:id="20204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03915">
      <w:bodyDiv w:val="1"/>
      <w:marLeft w:val="0"/>
      <w:marRight w:val="0"/>
      <w:marTop w:val="0"/>
      <w:marBottom w:val="0"/>
      <w:divBdr>
        <w:top w:val="none" w:sz="0" w:space="0" w:color="auto"/>
        <w:left w:val="none" w:sz="0" w:space="0" w:color="auto"/>
        <w:bottom w:val="none" w:sz="0" w:space="0" w:color="auto"/>
        <w:right w:val="none" w:sz="0" w:space="0" w:color="auto"/>
      </w:divBdr>
      <w:divsChild>
        <w:div w:id="395667590">
          <w:marLeft w:val="0"/>
          <w:marRight w:val="0"/>
          <w:marTop w:val="0"/>
          <w:marBottom w:val="0"/>
          <w:divBdr>
            <w:top w:val="none" w:sz="0" w:space="0" w:color="auto"/>
            <w:left w:val="none" w:sz="0" w:space="0" w:color="auto"/>
            <w:bottom w:val="none" w:sz="0" w:space="0" w:color="auto"/>
            <w:right w:val="none" w:sz="0" w:space="0" w:color="auto"/>
          </w:divBdr>
          <w:divsChild>
            <w:div w:id="120463853">
              <w:marLeft w:val="0"/>
              <w:marRight w:val="0"/>
              <w:marTop w:val="0"/>
              <w:marBottom w:val="0"/>
              <w:divBdr>
                <w:top w:val="none" w:sz="0" w:space="0" w:color="auto"/>
                <w:left w:val="none" w:sz="0" w:space="0" w:color="auto"/>
                <w:bottom w:val="none" w:sz="0" w:space="0" w:color="auto"/>
                <w:right w:val="none" w:sz="0" w:space="0" w:color="auto"/>
              </w:divBdr>
              <w:divsChild>
                <w:div w:id="1475030546">
                  <w:marLeft w:val="0"/>
                  <w:marRight w:val="0"/>
                  <w:marTop w:val="0"/>
                  <w:marBottom w:val="0"/>
                  <w:divBdr>
                    <w:top w:val="none" w:sz="0" w:space="0" w:color="auto"/>
                    <w:left w:val="none" w:sz="0" w:space="0" w:color="auto"/>
                    <w:bottom w:val="none" w:sz="0" w:space="0" w:color="auto"/>
                    <w:right w:val="none" w:sz="0" w:space="0" w:color="auto"/>
                  </w:divBdr>
                  <w:divsChild>
                    <w:div w:id="16468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836084">
      <w:bodyDiv w:val="1"/>
      <w:marLeft w:val="0"/>
      <w:marRight w:val="0"/>
      <w:marTop w:val="0"/>
      <w:marBottom w:val="0"/>
      <w:divBdr>
        <w:top w:val="none" w:sz="0" w:space="0" w:color="auto"/>
        <w:left w:val="none" w:sz="0" w:space="0" w:color="auto"/>
        <w:bottom w:val="none" w:sz="0" w:space="0" w:color="auto"/>
        <w:right w:val="none" w:sz="0" w:space="0" w:color="auto"/>
      </w:divBdr>
      <w:divsChild>
        <w:div w:id="625234760">
          <w:marLeft w:val="0"/>
          <w:marRight w:val="0"/>
          <w:marTop w:val="0"/>
          <w:marBottom w:val="0"/>
          <w:divBdr>
            <w:top w:val="none" w:sz="0" w:space="0" w:color="auto"/>
            <w:left w:val="none" w:sz="0" w:space="0" w:color="auto"/>
            <w:bottom w:val="none" w:sz="0" w:space="0" w:color="auto"/>
            <w:right w:val="none" w:sz="0" w:space="0" w:color="auto"/>
          </w:divBdr>
          <w:divsChild>
            <w:div w:id="1172723922">
              <w:marLeft w:val="0"/>
              <w:marRight w:val="0"/>
              <w:marTop w:val="0"/>
              <w:marBottom w:val="0"/>
              <w:divBdr>
                <w:top w:val="none" w:sz="0" w:space="0" w:color="auto"/>
                <w:left w:val="none" w:sz="0" w:space="0" w:color="auto"/>
                <w:bottom w:val="none" w:sz="0" w:space="0" w:color="auto"/>
                <w:right w:val="none" w:sz="0" w:space="0" w:color="auto"/>
              </w:divBdr>
              <w:divsChild>
                <w:div w:id="723604451">
                  <w:marLeft w:val="0"/>
                  <w:marRight w:val="0"/>
                  <w:marTop w:val="0"/>
                  <w:marBottom w:val="0"/>
                  <w:divBdr>
                    <w:top w:val="none" w:sz="0" w:space="0" w:color="auto"/>
                    <w:left w:val="none" w:sz="0" w:space="0" w:color="auto"/>
                    <w:bottom w:val="none" w:sz="0" w:space="0" w:color="auto"/>
                    <w:right w:val="none" w:sz="0" w:space="0" w:color="auto"/>
                  </w:divBdr>
                  <w:divsChild>
                    <w:div w:id="2024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68076">
      <w:bodyDiv w:val="1"/>
      <w:marLeft w:val="0"/>
      <w:marRight w:val="0"/>
      <w:marTop w:val="0"/>
      <w:marBottom w:val="0"/>
      <w:divBdr>
        <w:top w:val="none" w:sz="0" w:space="0" w:color="auto"/>
        <w:left w:val="none" w:sz="0" w:space="0" w:color="auto"/>
        <w:bottom w:val="none" w:sz="0" w:space="0" w:color="auto"/>
        <w:right w:val="none" w:sz="0" w:space="0" w:color="auto"/>
      </w:divBdr>
      <w:divsChild>
        <w:div w:id="657423138">
          <w:marLeft w:val="0"/>
          <w:marRight w:val="0"/>
          <w:marTop w:val="0"/>
          <w:marBottom w:val="0"/>
          <w:divBdr>
            <w:top w:val="none" w:sz="0" w:space="0" w:color="auto"/>
            <w:left w:val="none" w:sz="0" w:space="0" w:color="auto"/>
            <w:bottom w:val="none" w:sz="0" w:space="0" w:color="auto"/>
            <w:right w:val="none" w:sz="0" w:space="0" w:color="auto"/>
          </w:divBdr>
          <w:divsChild>
            <w:div w:id="1817061470">
              <w:marLeft w:val="0"/>
              <w:marRight w:val="0"/>
              <w:marTop w:val="0"/>
              <w:marBottom w:val="0"/>
              <w:divBdr>
                <w:top w:val="none" w:sz="0" w:space="0" w:color="auto"/>
                <w:left w:val="none" w:sz="0" w:space="0" w:color="auto"/>
                <w:bottom w:val="none" w:sz="0" w:space="0" w:color="auto"/>
                <w:right w:val="none" w:sz="0" w:space="0" w:color="auto"/>
              </w:divBdr>
              <w:divsChild>
                <w:div w:id="1924757605">
                  <w:marLeft w:val="0"/>
                  <w:marRight w:val="0"/>
                  <w:marTop w:val="0"/>
                  <w:marBottom w:val="0"/>
                  <w:divBdr>
                    <w:top w:val="none" w:sz="0" w:space="0" w:color="auto"/>
                    <w:left w:val="none" w:sz="0" w:space="0" w:color="auto"/>
                    <w:bottom w:val="none" w:sz="0" w:space="0" w:color="auto"/>
                    <w:right w:val="none" w:sz="0" w:space="0" w:color="auto"/>
                  </w:divBdr>
                  <w:divsChild>
                    <w:div w:id="17966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69088">
      <w:bodyDiv w:val="1"/>
      <w:marLeft w:val="0"/>
      <w:marRight w:val="0"/>
      <w:marTop w:val="0"/>
      <w:marBottom w:val="0"/>
      <w:divBdr>
        <w:top w:val="none" w:sz="0" w:space="0" w:color="auto"/>
        <w:left w:val="none" w:sz="0" w:space="0" w:color="auto"/>
        <w:bottom w:val="none" w:sz="0" w:space="0" w:color="auto"/>
        <w:right w:val="none" w:sz="0" w:space="0" w:color="auto"/>
      </w:divBdr>
      <w:divsChild>
        <w:div w:id="1091321060">
          <w:marLeft w:val="0"/>
          <w:marRight w:val="0"/>
          <w:marTop w:val="0"/>
          <w:marBottom w:val="0"/>
          <w:divBdr>
            <w:top w:val="none" w:sz="0" w:space="0" w:color="auto"/>
            <w:left w:val="none" w:sz="0" w:space="0" w:color="auto"/>
            <w:bottom w:val="none" w:sz="0" w:space="0" w:color="auto"/>
            <w:right w:val="none" w:sz="0" w:space="0" w:color="auto"/>
          </w:divBdr>
          <w:divsChild>
            <w:div w:id="464742786">
              <w:marLeft w:val="0"/>
              <w:marRight w:val="0"/>
              <w:marTop w:val="0"/>
              <w:marBottom w:val="0"/>
              <w:divBdr>
                <w:top w:val="none" w:sz="0" w:space="0" w:color="auto"/>
                <w:left w:val="none" w:sz="0" w:space="0" w:color="auto"/>
                <w:bottom w:val="none" w:sz="0" w:space="0" w:color="auto"/>
                <w:right w:val="none" w:sz="0" w:space="0" w:color="auto"/>
              </w:divBdr>
              <w:divsChild>
                <w:div w:id="395706902">
                  <w:marLeft w:val="0"/>
                  <w:marRight w:val="0"/>
                  <w:marTop w:val="0"/>
                  <w:marBottom w:val="0"/>
                  <w:divBdr>
                    <w:top w:val="none" w:sz="0" w:space="0" w:color="auto"/>
                    <w:left w:val="none" w:sz="0" w:space="0" w:color="auto"/>
                    <w:bottom w:val="none" w:sz="0" w:space="0" w:color="auto"/>
                    <w:right w:val="none" w:sz="0" w:space="0" w:color="auto"/>
                  </w:divBdr>
                  <w:divsChild>
                    <w:div w:id="10692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81800">
      <w:bodyDiv w:val="1"/>
      <w:marLeft w:val="0"/>
      <w:marRight w:val="0"/>
      <w:marTop w:val="0"/>
      <w:marBottom w:val="0"/>
      <w:divBdr>
        <w:top w:val="none" w:sz="0" w:space="0" w:color="auto"/>
        <w:left w:val="none" w:sz="0" w:space="0" w:color="auto"/>
        <w:bottom w:val="none" w:sz="0" w:space="0" w:color="auto"/>
        <w:right w:val="none" w:sz="0" w:space="0" w:color="auto"/>
      </w:divBdr>
      <w:divsChild>
        <w:div w:id="1794977715">
          <w:marLeft w:val="0"/>
          <w:marRight w:val="0"/>
          <w:marTop w:val="0"/>
          <w:marBottom w:val="0"/>
          <w:divBdr>
            <w:top w:val="none" w:sz="0" w:space="0" w:color="auto"/>
            <w:left w:val="none" w:sz="0" w:space="0" w:color="auto"/>
            <w:bottom w:val="none" w:sz="0" w:space="0" w:color="auto"/>
            <w:right w:val="none" w:sz="0" w:space="0" w:color="auto"/>
          </w:divBdr>
          <w:divsChild>
            <w:div w:id="2106991915">
              <w:marLeft w:val="0"/>
              <w:marRight w:val="0"/>
              <w:marTop w:val="0"/>
              <w:marBottom w:val="0"/>
              <w:divBdr>
                <w:top w:val="none" w:sz="0" w:space="0" w:color="auto"/>
                <w:left w:val="none" w:sz="0" w:space="0" w:color="auto"/>
                <w:bottom w:val="none" w:sz="0" w:space="0" w:color="auto"/>
                <w:right w:val="none" w:sz="0" w:space="0" w:color="auto"/>
              </w:divBdr>
              <w:divsChild>
                <w:div w:id="746154812">
                  <w:marLeft w:val="0"/>
                  <w:marRight w:val="0"/>
                  <w:marTop w:val="0"/>
                  <w:marBottom w:val="0"/>
                  <w:divBdr>
                    <w:top w:val="none" w:sz="0" w:space="0" w:color="auto"/>
                    <w:left w:val="none" w:sz="0" w:space="0" w:color="auto"/>
                    <w:bottom w:val="none" w:sz="0" w:space="0" w:color="auto"/>
                    <w:right w:val="none" w:sz="0" w:space="0" w:color="auto"/>
                  </w:divBdr>
                  <w:divsChild>
                    <w:div w:id="106090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578162">
      <w:bodyDiv w:val="1"/>
      <w:marLeft w:val="0"/>
      <w:marRight w:val="0"/>
      <w:marTop w:val="0"/>
      <w:marBottom w:val="0"/>
      <w:divBdr>
        <w:top w:val="none" w:sz="0" w:space="0" w:color="auto"/>
        <w:left w:val="none" w:sz="0" w:space="0" w:color="auto"/>
        <w:bottom w:val="none" w:sz="0" w:space="0" w:color="auto"/>
        <w:right w:val="none" w:sz="0" w:space="0" w:color="auto"/>
      </w:divBdr>
      <w:divsChild>
        <w:div w:id="1132401168">
          <w:marLeft w:val="0"/>
          <w:marRight w:val="0"/>
          <w:marTop w:val="0"/>
          <w:marBottom w:val="0"/>
          <w:divBdr>
            <w:top w:val="none" w:sz="0" w:space="0" w:color="auto"/>
            <w:left w:val="none" w:sz="0" w:space="0" w:color="auto"/>
            <w:bottom w:val="none" w:sz="0" w:space="0" w:color="auto"/>
            <w:right w:val="none" w:sz="0" w:space="0" w:color="auto"/>
          </w:divBdr>
          <w:divsChild>
            <w:div w:id="1641690190">
              <w:marLeft w:val="0"/>
              <w:marRight w:val="0"/>
              <w:marTop w:val="0"/>
              <w:marBottom w:val="0"/>
              <w:divBdr>
                <w:top w:val="none" w:sz="0" w:space="0" w:color="auto"/>
                <w:left w:val="none" w:sz="0" w:space="0" w:color="auto"/>
                <w:bottom w:val="none" w:sz="0" w:space="0" w:color="auto"/>
                <w:right w:val="none" w:sz="0" w:space="0" w:color="auto"/>
              </w:divBdr>
              <w:divsChild>
                <w:div w:id="1951624412">
                  <w:marLeft w:val="0"/>
                  <w:marRight w:val="0"/>
                  <w:marTop w:val="0"/>
                  <w:marBottom w:val="0"/>
                  <w:divBdr>
                    <w:top w:val="none" w:sz="0" w:space="0" w:color="auto"/>
                    <w:left w:val="none" w:sz="0" w:space="0" w:color="auto"/>
                    <w:bottom w:val="none" w:sz="0" w:space="0" w:color="auto"/>
                    <w:right w:val="none" w:sz="0" w:space="0" w:color="auto"/>
                  </w:divBdr>
                </w:div>
              </w:divsChild>
            </w:div>
            <w:div w:id="2018775029">
              <w:marLeft w:val="0"/>
              <w:marRight w:val="0"/>
              <w:marTop w:val="0"/>
              <w:marBottom w:val="0"/>
              <w:divBdr>
                <w:top w:val="none" w:sz="0" w:space="0" w:color="auto"/>
                <w:left w:val="none" w:sz="0" w:space="0" w:color="auto"/>
                <w:bottom w:val="none" w:sz="0" w:space="0" w:color="auto"/>
                <w:right w:val="none" w:sz="0" w:space="0" w:color="auto"/>
              </w:divBdr>
              <w:divsChild>
                <w:div w:id="249705146">
                  <w:marLeft w:val="0"/>
                  <w:marRight w:val="0"/>
                  <w:marTop w:val="0"/>
                  <w:marBottom w:val="0"/>
                  <w:divBdr>
                    <w:top w:val="none" w:sz="0" w:space="0" w:color="auto"/>
                    <w:left w:val="none" w:sz="0" w:space="0" w:color="auto"/>
                    <w:bottom w:val="none" w:sz="0" w:space="0" w:color="auto"/>
                    <w:right w:val="none" w:sz="0" w:space="0" w:color="auto"/>
                  </w:divBdr>
                  <w:divsChild>
                    <w:div w:id="207768245">
                      <w:marLeft w:val="0"/>
                      <w:marRight w:val="0"/>
                      <w:marTop w:val="0"/>
                      <w:marBottom w:val="0"/>
                      <w:divBdr>
                        <w:top w:val="none" w:sz="0" w:space="0" w:color="auto"/>
                        <w:left w:val="none" w:sz="0" w:space="0" w:color="auto"/>
                        <w:bottom w:val="none" w:sz="0" w:space="0" w:color="auto"/>
                        <w:right w:val="none" w:sz="0" w:space="0" w:color="auto"/>
                      </w:divBdr>
                    </w:div>
                  </w:divsChild>
                </w:div>
                <w:div w:id="1159536440">
                  <w:marLeft w:val="0"/>
                  <w:marRight w:val="0"/>
                  <w:marTop w:val="0"/>
                  <w:marBottom w:val="0"/>
                  <w:divBdr>
                    <w:top w:val="none" w:sz="0" w:space="0" w:color="auto"/>
                    <w:left w:val="none" w:sz="0" w:space="0" w:color="auto"/>
                    <w:bottom w:val="none" w:sz="0" w:space="0" w:color="auto"/>
                    <w:right w:val="none" w:sz="0" w:space="0" w:color="auto"/>
                  </w:divBdr>
                  <w:divsChild>
                    <w:div w:id="2034115308">
                      <w:marLeft w:val="0"/>
                      <w:marRight w:val="0"/>
                      <w:marTop w:val="0"/>
                      <w:marBottom w:val="0"/>
                      <w:divBdr>
                        <w:top w:val="none" w:sz="0" w:space="0" w:color="auto"/>
                        <w:left w:val="none" w:sz="0" w:space="0" w:color="auto"/>
                        <w:bottom w:val="none" w:sz="0" w:space="0" w:color="auto"/>
                        <w:right w:val="none" w:sz="0" w:space="0" w:color="auto"/>
                      </w:divBdr>
                    </w:div>
                  </w:divsChild>
                </w:div>
                <w:div w:id="1472088889">
                  <w:marLeft w:val="0"/>
                  <w:marRight w:val="0"/>
                  <w:marTop w:val="0"/>
                  <w:marBottom w:val="0"/>
                  <w:divBdr>
                    <w:top w:val="none" w:sz="0" w:space="0" w:color="auto"/>
                    <w:left w:val="none" w:sz="0" w:space="0" w:color="auto"/>
                    <w:bottom w:val="none" w:sz="0" w:space="0" w:color="auto"/>
                    <w:right w:val="none" w:sz="0" w:space="0" w:color="auto"/>
                  </w:divBdr>
                  <w:divsChild>
                    <w:div w:id="1048380875">
                      <w:marLeft w:val="0"/>
                      <w:marRight w:val="0"/>
                      <w:marTop w:val="0"/>
                      <w:marBottom w:val="0"/>
                      <w:divBdr>
                        <w:top w:val="none" w:sz="0" w:space="0" w:color="auto"/>
                        <w:left w:val="none" w:sz="0" w:space="0" w:color="auto"/>
                        <w:bottom w:val="none" w:sz="0" w:space="0" w:color="auto"/>
                        <w:right w:val="none" w:sz="0" w:space="0" w:color="auto"/>
                      </w:divBdr>
                    </w:div>
                  </w:divsChild>
                </w:div>
                <w:div w:id="1520122227">
                  <w:marLeft w:val="0"/>
                  <w:marRight w:val="0"/>
                  <w:marTop w:val="0"/>
                  <w:marBottom w:val="0"/>
                  <w:divBdr>
                    <w:top w:val="none" w:sz="0" w:space="0" w:color="auto"/>
                    <w:left w:val="none" w:sz="0" w:space="0" w:color="auto"/>
                    <w:bottom w:val="none" w:sz="0" w:space="0" w:color="auto"/>
                    <w:right w:val="none" w:sz="0" w:space="0" w:color="auto"/>
                  </w:divBdr>
                  <w:divsChild>
                    <w:div w:id="749277261">
                      <w:marLeft w:val="0"/>
                      <w:marRight w:val="0"/>
                      <w:marTop w:val="0"/>
                      <w:marBottom w:val="0"/>
                      <w:divBdr>
                        <w:top w:val="none" w:sz="0" w:space="0" w:color="auto"/>
                        <w:left w:val="none" w:sz="0" w:space="0" w:color="auto"/>
                        <w:bottom w:val="none" w:sz="0" w:space="0" w:color="auto"/>
                        <w:right w:val="none" w:sz="0" w:space="0" w:color="auto"/>
                      </w:divBdr>
                    </w:div>
                  </w:divsChild>
                </w:div>
                <w:div w:id="1889804567">
                  <w:marLeft w:val="0"/>
                  <w:marRight w:val="0"/>
                  <w:marTop w:val="0"/>
                  <w:marBottom w:val="0"/>
                  <w:divBdr>
                    <w:top w:val="none" w:sz="0" w:space="0" w:color="auto"/>
                    <w:left w:val="none" w:sz="0" w:space="0" w:color="auto"/>
                    <w:bottom w:val="none" w:sz="0" w:space="0" w:color="auto"/>
                    <w:right w:val="none" w:sz="0" w:space="0" w:color="auto"/>
                  </w:divBdr>
                  <w:divsChild>
                    <w:div w:id="9047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082680">
      <w:bodyDiv w:val="1"/>
      <w:marLeft w:val="0"/>
      <w:marRight w:val="0"/>
      <w:marTop w:val="0"/>
      <w:marBottom w:val="0"/>
      <w:divBdr>
        <w:top w:val="none" w:sz="0" w:space="0" w:color="auto"/>
        <w:left w:val="none" w:sz="0" w:space="0" w:color="auto"/>
        <w:bottom w:val="none" w:sz="0" w:space="0" w:color="auto"/>
        <w:right w:val="none" w:sz="0" w:space="0" w:color="auto"/>
      </w:divBdr>
      <w:divsChild>
        <w:div w:id="1335452946">
          <w:marLeft w:val="0"/>
          <w:marRight w:val="0"/>
          <w:marTop w:val="0"/>
          <w:marBottom w:val="0"/>
          <w:divBdr>
            <w:top w:val="none" w:sz="0" w:space="0" w:color="auto"/>
            <w:left w:val="none" w:sz="0" w:space="0" w:color="auto"/>
            <w:bottom w:val="none" w:sz="0" w:space="0" w:color="auto"/>
            <w:right w:val="none" w:sz="0" w:space="0" w:color="auto"/>
          </w:divBdr>
          <w:divsChild>
            <w:div w:id="1349599682">
              <w:marLeft w:val="0"/>
              <w:marRight w:val="0"/>
              <w:marTop w:val="0"/>
              <w:marBottom w:val="0"/>
              <w:divBdr>
                <w:top w:val="none" w:sz="0" w:space="0" w:color="auto"/>
                <w:left w:val="none" w:sz="0" w:space="0" w:color="auto"/>
                <w:bottom w:val="none" w:sz="0" w:space="0" w:color="auto"/>
                <w:right w:val="none" w:sz="0" w:space="0" w:color="auto"/>
              </w:divBdr>
              <w:divsChild>
                <w:div w:id="12274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4958">
      <w:bodyDiv w:val="1"/>
      <w:marLeft w:val="0"/>
      <w:marRight w:val="0"/>
      <w:marTop w:val="0"/>
      <w:marBottom w:val="0"/>
      <w:divBdr>
        <w:top w:val="none" w:sz="0" w:space="0" w:color="auto"/>
        <w:left w:val="none" w:sz="0" w:space="0" w:color="auto"/>
        <w:bottom w:val="none" w:sz="0" w:space="0" w:color="auto"/>
        <w:right w:val="none" w:sz="0" w:space="0" w:color="auto"/>
      </w:divBdr>
      <w:divsChild>
        <w:div w:id="2138529622">
          <w:marLeft w:val="0"/>
          <w:marRight w:val="0"/>
          <w:marTop w:val="0"/>
          <w:marBottom w:val="0"/>
          <w:divBdr>
            <w:top w:val="none" w:sz="0" w:space="0" w:color="auto"/>
            <w:left w:val="none" w:sz="0" w:space="0" w:color="auto"/>
            <w:bottom w:val="none" w:sz="0" w:space="0" w:color="auto"/>
            <w:right w:val="none" w:sz="0" w:space="0" w:color="auto"/>
          </w:divBdr>
          <w:divsChild>
            <w:div w:id="657614001">
              <w:marLeft w:val="0"/>
              <w:marRight w:val="0"/>
              <w:marTop w:val="0"/>
              <w:marBottom w:val="0"/>
              <w:divBdr>
                <w:top w:val="none" w:sz="0" w:space="0" w:color="auto"/>
                <w:left w:val="none" w:sz="0" w:space="0" w:color="auto"/>
                <w:bottom w:val="none" w:sz="0" w:space="0" w:color="auto"/>
                <w:right w:val="none" w:sz="0" w:space="0" w:color="auto"/>
              </w:divBdr>
              <w:divsChild>
                <w:div w:id="16108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s://www.oas.org/es/cidh/docs/anual/2023/capitulos/IA2023_Cap_5_Mexico_SPA.PDF" TargetMode="External"/><Relationship Id="rId21" Type="http://schemas.openxmlformats.org/officeDocument/2006/relationships/hyperlink" Target="https://www.oas.org/es/cidh/docs/anual/2023/capitulos/IA2023_Cap_5_Mexico_SPA.PDF" TargetMode="External"/><Relationship Id="rId42" Type="http://schemas.openxmlformats.org/officeDocument/2006/relationships/hyperlink" Target="https://animalpolitico.com/politica/despidos-comision-nacional-busqueda" TargetMode="External"/><Relationship Id="rId63" Type="http://schemas.openxmlformats.org/officeDocument/2006/relationships/hyperlink" Target="https://elpais.com/mexico/2023-07-25/el-giei-se-despide-%20%20del-caso-ayotzinapa-apuntando-nuevamente-al-ejercito.html" TargetMode="External"/><Relationship Id="rId84" Type="http://schemas.openxmlformats.org/officeDocument/2006/relationships/hyperlink" Target="https://www.oas.org/ext/es/derechos-humanos/simore/Recomendaciones/Detalles/rid/368" TargetMode="External"/><Relationship Id="rId138" Type="http://schemas.openxmlformats.org/officeDocument/2006/relationships/hyperlink" Target="https://www.oas.org/ext/es/derechos-humanos/simore/Recomendaciones/Detalles/rid/394" TargetMode="External"/><Relationship Id="rId159" Type="http://schemas.openxmlformats.org/officeDocument/2006/relationships/hyperlink" Target="https://www.oas.org/ext/es/derechos-humanos/simore/Recomendaciones/Detalles/rid/406" TargetMode="External"/><Relationship Id="rId170" Type="http://schemas.openxmlformats.org/officeDocument/2006/relationships/hyperlink" Target="https://centroprodh.org.mx/sididh4_0/2024/06/04/suman-92-asesinatos-de-defensores-de-derechos-humanos-red-tdt/" TargetMode="External"/><Relationship Id="rId191" Type="http://schemas.openxmlformats.org/officeDocument/2006/relationships/hyperlink" Target="https://www.oas.org/ext/es/derechos-humanos/simore/Recomendaciones/Detalles/rid/412" TargetMode="External"/><Relationship Id="rId205" Type="http://schemas.openxmlformats.org/officeDocument/2006/relationships/hyperlink" Target="https://www.oas.org/es/cidh/docs/anual/2023/capitulos/IA2023_Cap_5_Mexico_SPA.PDF" TargetMode="External"/><Relationship Id="rId226" Type="http://schemas.openxmlformats.org/officeDocument/2006/relationships/hyperlink" Target="https://www.oas.org/es/cidh/docs/anual/2023/capitulos/IA2023_Cap_5_Mexico_SPA.PDF" TargetMode="External"/><Relationship Id="rId107" Type="http://schemas.openxmlformats.org/officeDocument/2006/relationships/hyperlink" Target="https://www.oas.org/es/cidh/docs/anual/2023/capitulos/IA2023_Cap_5_Mexico_SPA.PDF" TargetMode="External"/><Relationship Id="rId11" Type="http://schemas.openxmlformats.org/officeDocument/2006/relationships/hyperlink" Target="https://www.oas.org/es/cidh/docs/anual/2023/capitulos/IA2023_Cap_5_Mexico_SPA.PDF" TargetMode="External"/><Relationship Id="rId32" Type="http://schemas.openxmlformats.org/officeDocument/2006/relationships/hyperlink" Target="https://www.oas.org/ext/es/derechos-humanos/simore/Recomendaciones/Detalles/rid/358" TargetMode="External"/><Relationship Id="rId53" Type="http://schemas.openxmlformats.org/officeDocument/2006/relationships/hyperlink" Target="https://www.proceso.com.mx/nacional/2024/1/22/tiene-censo-de-amlo-otros-datos-%20%20equivocados-322494.html" TargetMode="External"/><Relationship Id="rId74" Type="http://schemas.openxmlformats.org/officeDocument/2006/relationships/hyperlink" Target="http://dof.gob.mx/nota_detalle.php?codigo=5488016&amp;fecha=26/06/2017" TargetMode="External"/><Relationship Id="rId128" Type="http://schemas.openxmlformats.org/officeDocument/2006/relationships/hyperlink" Target="https://www.oas.org/ext/es/derechos-humanos/simore/Recomendaciones/Detalles/rid/388" TargetMode="External"/><Relationship Id="rId149" Type="http://schemas.openxmlformats.org/officeDocument/2006/relationships/hyperlink" Target="https://www.oas.org/ext/es/derechos-humanos/simore/Recomendaciones/Detalles/rid/400" TargetMode="External"/><Relationship Id="rId5" Type="http://schemas.openxmlformats.org/officeDocument/2006/relationships/hyperlink" Target="https://www.oas.org/ext/es/derechos-humanos/simore/Recomendaciones/Detalles/rid/350" TargetMode="External"/><Relationship Id="rId95" Type="http://schemas.openxmlformats.org/officeDocument/2006/relationships/hyperlink" Target="https://www.oas.org/ext/es/derechos-humanos/simore/Recomendaciones/Detalles/rid/372" TargetMode="External"/><Relationship Id="rId160" Type="http://schemas.openxmlformats.org/officeDocument/2006/relationships/hyperlink" Target="https://www.oas.org/es/cidh/docs/anual/2023/capitulos/IA2023_Cap_5_Mexico_SPA.PDF" TargetMode="External"/><Relationship Id="rId181" Type="http://schemas.openxmlformats.org/officeDocument/2006/relationships/hyperlink" Target="https://www.oas.org/es/CIDH/jsForm/?File=/es/cidh/expresion/prensa/comunicados/2024/046.asp&amp;utm_content=country-mex" TargetMode="External"/><Relationship Id="rId216" Type="http://schemas.openxmlformats.org/officeDocument/2006/relationships/hyperlink" Target="https://www.oas.org/es/cidh/docs/anual/2023/capitulos/IA2023_Cap_5_Mexico_SPA.PDF" TargetMode="External"/><Relationship Id="rId237" Type="http://schemas.openxmlformats.org/officeDocument/2006/relationships/hyperlink" Target="https://www.oas.org/ext/es/derechos-humanos/simore/Recomendaciones/Detalles/rid/428" TargetMode="External"/><Relationship Id="rId22" Type="http://schemas.openxmlformats.org/officeDocument/2006/relationships/hyperlink" Target="https://www.oas.org/ext/es/derechos-humanos/simore/Recomendaciones/Detalles/rid/355" TargetMode="External"/><Relationship Id="rId43" Type="http://schemas.openxmlformats.org/officeDocument/2006/relationships/hyperlink" Target="https://www.youtube.com/watch?v=OdvjrB4DSGI" TargetMode="External"/><Relationship Id="rId64" Type="http://schemas.openxmlformats.org/officeDocument/2006/relationships/hyperlink" Target="https://centroprodh.org.mx/2023/09/03/poder-judicial-ordena-al-ejercito-no-destruir-documentos-del-caso-ayotzinapa/" TargetMode="External"/><Relationship Id="rId118" Type="http://schemas.openxmlformats.org/officeDocument/2006/relationships/hyperlink" Target="https://www.oas.org/ext/es/derechos-humanos/simore/Recomendaciones/Detalles/rid/381" TargetMode="External"/><Relationship Id="rId139" Type="http://schemas.openxmlformats.org/officeDocument/2006/relationships/hyperlink" Target="https://www.oas.org/es/cidh/docs/anual/2023/capitulos/IA2023_Cap_5_Mexico_SPA.PDF" TargetMode="External"/><Relationship Id="rId85" Type="http://schemas.openxmlformats.org/officeDocument/2006/relationships/hyperlink" Target="https://www.oas.org/es/cidh/docs/anual/2023/capitulos/IA2023_Cap_5_Mexico_SPA.PDF" TargetMode="External"/><Relationship Id="rId150" Type="http://schemas.openxmlformats.org/officeDocument/2006/relationships/hyperlink" Target="https://www.oas.org/es/cidh/docs/anual/2023/capitulos/IA2023_Cap_5_Mexico_SPA.PDF" TargetMode="External"/><Relationship Id="rId171" Type="http://schemas.openxmlformats.org/officeDocument/2006/relationships/hyperlink" Target="https://news.un.org/es/story/2023/11/1525902" TargetMode="External"/><Relationship Id="rId192" Type="http://schemas.openxmlformats.org/officeDocument/2006/relationships/hyperlink" Target="https://www.oas.org/es/cidh/docs/anual/2023/capitulos/IA2023_Cap_5_Mexico_SPA.PDF" TargetMode="External"/><Relationship Id="rId206" Type="http://schemas.openxmlformats.org/officeDocument/2006/relationships/hyperlink" Target="https://www.oas.org/ext/es/derechos-humanos/simore/Recomendaciones/Detalles/rid/418" TargetMode="External"/><Relationship Id="rId227" Type="http://schemas.openxmlformats.org/officeDocument/2006/relationships/hyperlink" Target="https://www.oas.org/es/cidh/docs/anual/2023/capitulos/IA2023_Cap_5_Mexico_SPA.PDF" TargetMode="External"/><Relationship Id="rId12" Type="http://schemas.openxmlformats.org/officeDocument/2006/relationships/hyperlink" Target="https://www.oas.org/ext/es/derechos-humanos/simore/Recomendaciones/Detalles/rid/351" TargetMode="External"/><Relationship Id="rId33" Type="http://schemas.openxmlformats.org/officeDocument/2006/relationships/hyperlink" Target="https://www.gob.mx/segob/prensa/publica-gobernacion-convocatoria-para-nombrar-a-la-nueva-persona-titular-de-la-cnb" TargetMode="External"/><Relationship Id="rId108" Type="http://schemas.openxmlformats.org/officeDocument/2006/relationships/hyperlink" Target="https://www.oas.org/ext/es/derechos-humanos/simore/Recomendaciones/Detalles/rid/375" TargetMode="External"/><Relationship Id="rId129" Type="http://schemas.openxmlformats.org/officeDocument/2006/relationships/hyperlink" Target="https://www.oas.org/ext/es/derechos-humanos/simore/Recomendaciones/Detalles/rid/389" TargetMode="External"/><Relationship Id="rId54" Type="http://schemas.openxmlformats.org/officeDocument/2006/relationships/hyperlink" Target="https://aristeguinoticias.com/2903/mexico/hija-de-rafael-ramirez-duarte-explica-como-autoridades-se-disculparon-tras-informar-falsos-indicios-de-localizarlo/" TargetMode="External"/><Relationship Id="rId75" Type="http://schemas.openxmlformats.org/officeDocument/2006/relationships/hyperlink" Target="https://www.gob.mx/cms/uploads/attachment/file/834930/Estrategia_Nacional_contra_la_Tortura_2023_lectura_compressed.pdf" TargetMode="External"/><Relationship Id="rId96" Type="http://schemas.openxmlformats.org/officeDocument/2006/relationships/hyperlink" Target="https://www.oas.org/es/cidh/docs/anual/2023/capitulos/IA2023_Cap_5_Mexico_SPA.PDF" TargetMode="External"/><Relationship Id="rId140" Type="http://schemas.openxmlformats.org/officeDocument/2006/relationships/hyperlink" Target="https://www.oas.org/ext/es/derechos-humanos/simore/Recomendaciones/Detalles/rid/395" TargetMode="External"/><Relationship Id="rId161" Type="http://schemas.openxmlformats.org/officeDocument/2006/relationships/hyperlink" Target="https://www.oas.org/ext/es/derechos-humanos/simore/Recomendaciones/Detalles/rid/407" TargetMode="External"/><Relationship Id="rId182" Type="http://schemas.openxmlformats.org/officeDocument/2006/relationships/hyperlink" Target="https://www.france24.com/es/am%C3%A9rica-latina/20241009-sheinbaum-retoma-posturas-de-amlo-con-la-prensa-y-lanza-un-detector-de-noticias-falsas" TargetMode="External"/><Relationship Id="rId217" Type="http://schemas.openxmlformats.org/officeDocument/2006/relationships/hyperlink" Target="https://www.oas.org/es/cidh/docs/anual/2023/capitulos/IA2023_Cap_5_Mexico_SPA.PDF" TargetMode="External"/><Relationship Id="rId6" Type="http://schemas.openxmlformats.org/officeDocument/2006/relationships/hyperlink" Target="https://www.proceso.com.mx/nacional/2024/9/17/onu-expreso-su-profunda-preocupacion-por-la-militarizacion-de-la-seguridad-publica-en-mexico-336888.html?utm_source=chatgpt.com" TargetMode="External"/><Relationship Id="rId238" Type="http://schemas.openxmlformats.org/officeDocument/2006/relationships/hyperlink" Target="https://www.oas.org/es/cidh/docs/anual/2023/capitulos/IA2023_Cap_5_Mexico_SPA.PDF" TargetMode="External"/><Relationship Id="rId23" Type="http://schemas.openxmlformats.org/officeDocument/2006/relationships/hyperlink" Target="https://www.oas.org/ext/es/derechos-humanos/simore/Recomendaciones/Detalles/rid/355" TargetMode="External"/><Relationship Id="rId119" Type="http://schemas.openxmlformats.org/officeDocument/2006/relationships/hyperlink" Target="https://www.oas.org/es/cidh/docs/anual/2023/capitulos/IA2023_Cap_5_Mexico_SPA.PDF" TargetMode="External"/><Relationship Id="rId44" Type="http://schemas.openxmlformats.org/officeDocument/2006/relationships/hyperlink" Target="https://www.youtube.com/watch?v=gp1KOWFLZhU" TargetMode="External"/><Relationship Id="rId65" Type="http://schemas.openxmlformats.org/officeDocument/2006/relationships/hyperlink" Target="https://centroprodh.org.mx/2024/06/27/familiares-de-ayotzinapa-y-organizaciones-acompanantes-precisan-informacion-difundida-recientemente-sobre-el-caso-ciudad/" TargetMode="External"/><Relationship Id="rId86" Type="http://schemas.openxmlformats.org/officeDocument/2006/relationships/hyperlink" Target="https://www.oas.org/ext/es/derechos-humanos/simore/Recomendaciones/Detalles/rid/369" TargetMode="External"/><Relationship Id="rId130" Type="http://schemas.openxmlformats.org/officeDocument/2006/relationships/hyperlink" Target="https://www.oas.org/es/cidh/docs/anual/2023/capitulos/IA2023_Cap_5_Mexico_SPA.PDF" TargetMode="External"/><Relationship Id="rId151" Type="http://schemas.openxmlformats.org/officeDocument/2006/relationships/hyperlink" Target="https://www.oas.org/ext/es/derechos-humanos/simore/Recomendaciones/Detalles/rid/401" TargetMode="External"/><Relationship Id="rId172" Type="http://schemas.openxmlformats.org/officeDocument/2006/relationships/hyperlink" Target="https://hchr.org.mx/wp/wp-content/uploads/2024/10/20241020-Comunicado-asesinato-Padre-Marcelo-Perez-Perez.pdf" TargetMode="External"/><Relationship Id="rId193" Type="http://schemas.openxmlformats.org/officeDocument/2006/relationships/hyperlink" Target="https://www.oas.org/ext/es/derechos-humanos/simore/Recomendaciones/Detalles/rid/413" TargetMode="External"/><Relationship Id="rId207" Type="http://schemas.openxmlformats.org/officeDocument/2006/relationships/hyperlink" Target="https://home.inai.org.mx/wp-content/documentos/SalaDePrensa/Comunicados/Comunicado%20INAI-222-24.pdf" TargetMode="External"/><Relationship Id="rId228" Type="http://schemas.openxmlformats.org/officeDocument/2006/relationships/hyperlink" Target="https://www.oas.org/ext/es/derechos-humanos/simore/Recomendaciones/Detalles/rid/424" TargetMode="External"/><Relationship Id="rId13" Type="http://schemas.openxmlformats.org/officeDocument/2006/relationships/hyperlink" Target="https://www.oas.org/ext/es/derechos-humanos/simore/Recomendaciones/Detalles/rid/351" TargetMode="External"/><Relationship Id="rId109" Type="http://schemas.openxmlformats.org/officeDocument/2006/relationships/hyperlink" Target="https://www.oas.org/ext/es/derechos-humanos/simore/Recomendaciones/Detalles/rid/377" TargetMode="External"/><Relationship Id="rId34" Type="http://schemas.openxmlformats.org/officeDocument/2006/relationships/hyperlink" Target="https://gob.mx/segob/prensa/gobierno-de-mexico-designa-%20%20a-teresa-guadalupe-reyes-sahagun-como-nueva-titular-de-la-cnb" TargetMode="External"/><Relationship Id="rId55" Type="http://schemas.openxmlformats.org/officeDocument/2006/relationships/hyperlink" Target="https://www.youtube.com/live/kYmQzlxen_s?feature=shared&amp;t=564" TargetMode="External"/><Relationship Id="rId76" Type="http://schemas.openxmlformats.org/officeDocument/2006/relationships/hyperlink" Target="https://www.oas.org/es/cidh/docs/anual/2023/capitulos/IA2023_Cap_5_Mexico_SPA.PDF" TargetMode="External"/><Relationship Id="rId97" Type="http://schemas.openxmlformats.org/officeDocument/2006/relationships/hyperlink" Target="https://www.oas.org/es/cidh/docs/anual/2023/capitulos/IA2023_Cap_5_Mexico_SPA.PDF" TargetMode="External"/><Relationship Id="rId120" Type="http://schemas.openxmlformats.org/officeDocument/2006/relationships/hyperlink" Target="https://www.oas.org/ext/es/derechos-humanos/simore/Recomendaciones/Detalles/rid/382" TargetMode="External"/><Relationship Id="rId141" Type="http://schemas.openxmlformats.org/officeDocument/2006/relationships/hyperlink" Target="https://www.oas.org/es/cidh/docs/anual/2023/capitulos/IA2023_Cap_5_Mexico_SPA.PDF" TargetMode="External"/><Relationship Id="rId7" Type="http://schemas.openxmlformats.org/officeDocument/2006/relationships/hyperlink" Target="https://hchr.org.mx/comunicados/mexico-expertos-y-expertas-de-la-onu-expresan-preocupacion-por-propuesta-de-reforma-constitucional-que-implicaria-un-mayor-rol-de-las-fuerzas-armadas-en-materia-de-seguridad-publica/" TargetMode="External"/><Relationship Id="rId162" Type="http://schemas.openxmlformats.org/officeDocument/2006/relationships/hyperlink" Target="https://www.oas.org/es/cidh/docs/anual/2023/capitulos/IA2023_Cap_5_Mexico_SPA.PDF" TargetMode="External"/><Relationship Id="rId183" Type="http://schemas.openxmlformats.org/officeDocument/2006/relationships/hyperlink" Target="https://www.oas.org/es/cidh/docs/anual/2022/capitulos/14-IA2022_Cap_5_MX_ES.pdf" TargetMode="External"/><Relationship Id="rId218" Type="http://schemas.openxmlformats.org/officeDocument/2006/relationships/hyperlink" Target="https://www.oas.org/ext/es/derechos-humanos/simore/Recomendaciones/Detalles/rid/421" TargetMode="External"/><Relationship Id="rId239" Type="http://schemas.openxmlformats.org/officeDocument/2006/relationships/hyperlink" Target="https://www.oas.org/ext/es/derechos-humanos/simore/Recomendaciones/Detalles/rid/429" TargetMode="External"/><Relationship Id="rId24" Type="http://schemas.openxmlformats.org/officeDocument/2006/relationships/hyperlink" Target="https://www.oas.org/es/cidh/docs/anual/2023/capitulos/IA2023_Cap_5_Mexico_SPA.PDF" TargetMode="External"/><Relationship Id="rId45" Type="http://schemas.openxmlformats.org/officeDocument/2006/relationships/hyperlink" Target="https://www.diputados.gob.mx/LeyesBiblio/pdf/LGMDFP.pdf" TargetMode="External"/><Relationship Id="rId66" Type="http://schemas.openxmlformats.org/officeDocument/2006/relationships/hyperlink" Target="https://www.lapoliticaonline.com/mexico/politica-mx/las-familias-de-ayotzinapa-se-reunieron-por-primera-vez-con-sheinbaum-fue-un-buen-inicio/" TargetMode="External"/><Relationship Id="rId87" Type="http://schemas.openxmlformats.org/officeDocument/2006/relationships/hyperlink" Target="https://www.oas.org/es/cidh/docs/anual/2023/capitulos/IA2023_Cap_5_Mexico_SPA.PDF" TargetMode="External"/><Relationship Id="rId110" Type="http://schemas.openxmlformats.org/officeDocument/2006/relationships/hyperlink" Target="https://www.oas.org/es/cidh/docs/anual/2023/capitulos/IA2023_Cap_5_Mexico_SPA.PDF" TargetMode="External"/><Relationship Id="rId131" Type="http://schemas.openxmlformats.org/officeDocument/2006/relationships/hyperlink" Target="https://www.oas.org/ext/es/derechos-humanos/simore/Recomendaciones/Detalles/rid/390" TargetMode="External"/><Relationship Id="rId152" Type="http://schemas.openxmlformats.org/officeDocument/2006/relationships/hyperlink" Target="https://www.oas.org/es/cidh/docs/anual/2023/capitulos/IA2023_Cap_5_Mexico_SPA.PDF" TargetMode="External"/><Relationship Id="rId173" Type="http://schemas.openxmlformats.org/officeDocument/2006/relationships/hyperlink" Target="https://www.youtube.com/watch?v=AHKxcGlBomw" TargetMode="External"/><Relationship Id="rId194" Type="http://schemas.openxmlformats.org/officeDocument/2006/relationships/hyperlink" Target="https://www.gob.mx/cms/uploads/attachment/file/707604/Presupuesto_FEADLE_2022.pdf" TargetMode="External"/><Relationship Id="rId208" Type="http://schemas.openxmlformats.org/officeDocument/2006/relationships/hyperlink" Target="https://home.inai.org.mx/wp-content/documentos/SalaDePrensa/Comunicados/Comunicado%20INAI-259-24.pdf" TargetMode="External"/><Relationship Id="rId229" Type="http://schemas.openxmlformats.org/officeDocument/2006/relationships/hyperlink" Target="https://www.oas.org/ext/es/derechos-humanos/simore/Recomendaciones/Detalles/rid/424" TargetMode="External"/><Relationship Id="rId14" Type="http://schemas.openxmlformats.org/officeDocument/2006/relationships/hyperlink" Target="https://www.oas.org/es/cidh/docs/anual/2023/capitulos/IA2023_Cap_5_Mexico_SPA.PDF" TargetMode="External"/><Relationship Id="rId35" Type="http://schemas.openxmlformats.org/officeDocument/2006/relationships/hyperlink" Target="https://x.com/onudhmexico/status/1716623953366769803?s=46&amp;t=YS_BjYNOdj3lfRbpWE8LTA" TargetMode="External"/><Relationship Id="rId56" Type="http://schemas.openxmlformats.org/officeDocument/2006/relationships/hyperlink" Target="https://www.gob.mx/presidencia/articulos/version-estenografica-conferencia-de-prensa-del-presidente-andres-manuel-lopez-obrador-del-18-de-marzo-de-2024" TargetMode="External"/><Relationship Id="rId77" Type="http://schemas.openxmlformats.org/officeDocument/2006/relationships/hyperlink" Target="https://www.oas.org/ext/es/derechos-humanos/simore/Recomendaciones/Detalles/rid/366" TargetMode="External"/><Relationship Id="rId100" Type="http://schemas.openxmlformats.org/officeDocument/2006/relationships/hyperlink" Target="https://www.youtube.com/watch?v=ElXnuVPoRKo" TargetMode="External"/><Relationship Id="rId8" Type="http://schemas.openxmlformats.org/officeDocument/2006/relationships/hyperlink" Target="https://repositorio-digital.cide.edu/handle/11651/5181" TargetMode="External"/><Relationship Id="rId98" Type="http://schemas.openxmlformats.org/officeDocument/2006/relationships/hyperlink" Target="https://www.oas.org/ext/es/derechos-humanos/simore/Recomendaciones/Detalles/rid/373" TargetMode="External"/><Relationship Id="rId121" Type="http://schemas.openxmlformats.org/officeDocument/2006/relationships/hyperlink" Target="https://www.oas.org/ext/es/derechos-humanos/simore/Recomendaciones/Detalles/rid/383" TargetMode="External"/><Relationship Id="rId142" Type="http://schemas.openxmlformats.org/officeDocument/2006/relationships/hyperlink" Target="https://www.oas.org/ext/es/derechos-humanos/simore/Recomendaciones/Detalles/rid/396" TargetMode="External"/><Relationship Id="rId163" Type="http://schemas.openxmlformats.org/officeDocument/2006/relationships/hyperlink" Target="https://www.oas.org/ext/es/derechos-humanos/simore/Recomendaciones/Detalles/rid/408" TargetMode="External"/><Relationship Id="rId184" Type="http://schemas.openxmlformats.org/officeDocument/2006/relationships/hyperlink" Target="https://www.oas.org/es/cidh/docs/anual/2023/capitulos/IA2023_Cap_5_Mexico_SPA.PDF" TargetMode="External"/><Relationship Id="rId219" Type="http://schemas.openxmlformats.org/officeDocument/2006/relationships/hyperlink" Target="https://www.oas.org/es/cidh/docs/anual/2023/capitulos/IA2023_Cap_5_Mexico_SPA.PDF" TargetMode="External"/><Relationship Id="rId230" Type="http://schemas.openxmlformats.org/officeDocument/2006/relationships/hyperlink" Target="https://www.oas.org/es/cidh/docs/anual/2023/capitulos/IA2023_Cap_5_Mexico_SPA.PDF" TargetMode="External"/><Relationship Id="rId25" Type="http://schemas.openxmlformats.org/officeDocument/2006/relationships/hyperlink" Target="https://www.oas.org/ext/es/derechos-humanos/simore/Recomendaciones/Detalles/rid/356" TargetMode="External"/><Relationship Id="rId46" Type="http://schemas.openxmlformats.org/officeDocument/2006/relationships/hyperlink" Target="https://www.oas.org/es/cidh/docs/anual/2023/capitulos/IA2023_Cap_5_Mexico_SPA.PDF" TargetMode="External"/><Relationship Id="rId67" Type="http://schemas.openxmlformats.org/officeDocument/2006/relationships/hyperlink" Target="https://animalpolitico.com/sociedad/giei-ayotzinapa-obstaculos-militares-informe" TargetMode="External"/><Relationship Id="rId88" Type="http://schemas.openxmlformats.org/officeDocument/2006/relationships/hyperlink" Target="https://www.oas.org/es/cidh/docs/anual/2023/capitulos/IA2023_Cap_5_Mexico_SPA.PDF" TargetMode="External"/><Relationship Id="rId111" Type="http://schemas.openxmlformats.org/officeDocument/2006/relationships/hyperlink" Target="https://www.oas.org/ext/es/derechos-humanos/simore/Recomendaciones/Detalles/rid/378" TargetMode="External"/><Relationship Id="rId132" Type="http://schemas.openxmlformats.org/officeDocument/2006/relationships/hyperlink" Target="https://www.oas.org/es/cidh/docs/anual/2023/capitulos/IA2023_Cap_5_Mexico_SPA.PDF" TargetMode="External"/><Relationship Id="rId153" Type="http://schemas.openxmlformats.org/officeDocument/2006/relationships/hyperlink" Target="https://www.oas.org/ext/es/derechos-humanos/simore/Recomendaciones/Detalles/rid/402" TargetMode="External"/><Relationship Id="rId174" Type="http://schemas.openxmlformats.org/officeDocument/2006/relationships/hyperlink" Target="https://www.oas.org/es/cidh/docs/anual/2023/capitulos/IA2023_Cap_5_Mexico_SPA.PDF" TargetMode="External"/><Relationship Id="rId195" Type="http://schemas.openxmlformats.org/officeDocument/2006/relationships/hyperlink" Target="https://www.pef.hacienda.gob.mx/work/models/btrnZkyc/PEF2024/rpdngkxq/docs/49/r49_afpe.pdf" TargetMode="External"/><Relationship Id="rId209" Type="http://schemas.openxmlformats.org/officeDocument/2006/relationships/hyperlink" Target="https://www.swissinfo.ch/spa/relatoras-de-la-onu-piden-a-m%C3%A9xico-reconsiderar-eliminaci%C3%B3n-del-instituto-de-transparencia/87480562" TargetMode="External"/><Relationship Id="rId190" Type="http://schemas.openxmlformats.org/officeDocument/2006/relationships/hyperlink" Target="https://www.oas.org/es/cidh/docs/anual/2023/capitulos/IA2023_Cap_5_Mexico_SPA.PDF" TargetMode="External"/><Relationship Id="rId204" Type="http://schemas.openxmlformats.org/officeDocument/2006/relationships/hyperlink" Target="https://www.oas.org/es/cidh/expresion/showarticle.asp?artID=158&amp;lID=2" TargetMode="External"/><Relationship Id="rId220" Type="http://schemas.openxmlformats.org/officeDocument/2006/relationships/hyperlink" Target="https://www.oas.org/ext/es/derechos-humanos/simore/Recomendaciones/Detalles/rid/422" TargetMode="External"/><Relationship Id="rId225" Type="http://schemas.openxmlformats.org/officeDocument/2006/relationships/hyperlink" Target="https://www.oas.org/ext/es/derechos-humanos/simore/Recomendaciones/Detalles/rid/423" TargetMode="External"/><Relationship Id="rId15" Type="http://schemas.openxmlformats.org/officeDocument/2006/relationships/hyperlink" Target="https://www.oas.org/ext/es/derechos-humanos/simore/Recomendaciones/Detalles/rid/353" TargetMode="External"/><Relationship Id="rId36" Type="http://schemas.openxmlformats.org/officeDocument/2006/relationships/hyperlink" Target="https://www.entornopolitico.com/nota/223364/nacional/centro-nacional-de-identificacion-humana-en-situacion-critica/" TargetMode="External"/><Relationship Id="rId57" Type="http://schemas.openxmlformats.org/officeDocument/2006/relationships/hyperlink" Target="https://www.oas.org/es/cidh/docs/anual/2023/capitulos/IA2023_Cap_5_Mexico_SPA.PDF" TargetMode="External"/><Relationship Id="rId106" Type="http://schemas.openxmlformats.org/officeDocument/2006/relationships/hyperlink" Target="https://www.oas.org/ext/es/derechos-humanos/simore/Recomendaciones/Detalles/rid/374" TargetMode="External"/><Relationship Id="rId127" Type="http://schemas.openxmlformats.org/officeDocument/2006/relationships/hyperlink" Target="https://www.oas.org/es/cidh/docs/anual/2023/capitulos/IA2023_Cap_5_Mexico_SPA.PDF" TargetMode="External"/><Relationship Id="rId10" Type="http://schemas.openxmlformats.org/officeDocument/2006/relationships/hyperlink" Target="https://www.oas.org/es/cidh/actividades/seguimiento/pdf/Directrices-es.pdf" TargetMode="External"/><Relationship Id="rId31" Type="http://schemas.openxmlformats.org/officeDocument/2006/relationships/hyperlink" Target="https://www.oas.org/ext/es/derechos-humanos/simore/Recomendaciones/Detalles/rid/358" TargetMode="External"/><Relationship Id="rId52" Type="http://schemas.openxmlformats.org/officeDocument/2006/relationships/hyperlink" Target="https://quintoelab.org/project/mexico-rebasa-cinco-mil-fosas-clandestinas" TargetMode="External"/><Relationship Id="rId73" Type="http://schemas.openxmlformats.org/officeDocument/2006/relationships/hyperlink" Target="https://www.oas.org/es/cidh/docs/anual/2023/capitulos/IA2023_Cap_5_Mexico_SPA.PDF" TargetMode="External"/><Relationship Id="rId78" Type="http://schemas.openxmlformats.org/officeDocument/2006/relationships/hyperlink" Target="https://www.oas.org/es/cidh/docs/anual/2023/capitulos/IA2023_Cap_5_Mexico_SPA.PDF" TargetMode="External"/><Relationship Id="rId94" Type="http://schemas.openxmlformats.org/officeDocument/2006/relationships/hyperlink" Target="https://www.oas.org/es/cidh/docs/anual/2023/capitulos/IA2023_Cap_5_Mexico_SPA.PDF" TargetMode="External"/><Relationship Id="rId99" Type="http://schemas.openxmlformats.org/officeDocument/2006/relationships/hyperlink" Target="https://www.gob.mx/segob/prensa/centro-nacional-de-identificacion-humana-institucion-unica-al-servicio-de-la-sociedad?idiom=es" TargetMode="External"/><Relationship Id="rId101" Type="http://schemas.openxmlformats.org/officeDocument/2006/relationships/hyperlink" Target="https://www.milenio.com/politica/comunidad/salen-de-comision-nacional-de-busqueda-mas-de-100-funcionarios" TargetMode="External"/><Relationship Id="rId122" Type="http://schemas.openxmlformats.org/officeDocument/2006/relationships/hyperlink" Target="https://www.oas.org/ext/es/derechos-humanos/simore/Recomendaciones/Detalles/rid/383" TargetMode="External"/><Relationship Id="rId143" Type="http://schemas.openxmlformats.org/officeDocument/2006/relationships/hyperlink" Target="https://www.oas.org/es/cidh/docs/anual/2023/capitulos/IA2023_Cap_5_Mexico_SPA.PDF" TargetMode="External"/><Relationship Id="rId148" Type="http://schemas.openxmlformats.org/officeDocument/2006/relationships/hyperlink" Target="https://www.oas.org/es/cidh/docs/anual/2023/capitulos/IA2023_Cap_5_Mexico_SPA.PDF" TargetMode="External"/><Relationship Id="rId164" Type="http://schemas.openxmlformats.org/officeDocument/2006/relationships/hyperlink" Target="https://www.oas.org/es/cidh/docs/anual/2023/capitulos/IA2023_Cap_5_Mexico_SPA.PDF" TargetMode="External"/><Relationship Id="rId169" Type="http://schemas.openxmlformats.org/officeDocument/2006/relationships/hyperlink" Target="https://www.oas.org/es/cidh/docs/anual/2023/capitulos/IA2023_Cap_5_Mexico_SPA.PDF" TargetMode="External"/><Relationship Id="rId185" Type="http://schemas.openxmlformats.org/officeDocument/2006/relationships/hyperlink" Target="https://www.oas.org/es/cidh/docs/anual/2022/capitulos/14-IA2022_Cap_5_MX_ES.pdf" TargetMode="External"/><Relationship Id="rId4" Type="http://schemas.openxmlformats.org/officeDocument/2006/relationships/hyperlink" Target="https://www.oas.org/es/cidh/docs/anual/2023/capitulos/IA2023_Cap_5_Mexico_SPA.PDF" TargetMode="External"/><Relationship Id="rId9" Type="http://schemas.openxmlformats.org/officeDocument/2006/relationships/hyperlink" Target="https://www.inegi.org.mx/contenidos/programas/cnspe/2024/doc/cnspe_2024_resultados.pdf" TargetMode="External"/><Relationship Id="rId180" Type="http://schemas.openxmlformats.org/officeDocument/2006/relationships/hyperlink" Target="https://www.proceso.com.mx/nacional/2024/2/6/corte-ordena-la-shcp-transparentar-contratos-para-la-compra-del-software-espia-pegasus-323519.html" TargetMode="External"/><Relationship Id="rId210" Type="http://schemas.openxmlformats.org/officeDocument/2006/relationships/hyperlink" Target="https://www.hrw.org/es/news/2023/05/24/mexico-la-transparencia-y-la-privacidad-bajo-amenaza" TargetMode="External"/><Relationship Id="rId215" Type="http://schemas.openxmlformats.org/officeDocument/2006/relationships/hyperlink" Target="https://www.oas.org/ext/es/derechos-humanos/simore/Recomendaciones/Detalles/rid/420" TargetMode="External"/><Relationship Id="rId236" Type="http://schemas.openxmlformats.org/officeDocument/2006/relationships/hyperlink" Target="https://www.oas.org/es/cidh/docs/anual/2023/capitulos/IA2023_Cap_5_Mexico_SPA.PDF" TargetMode="External"/><Relationship Id="rId26" Type="http://schemas.openxmlformats.org/officeDocument/2006/relationships/hyperlink" Target="https://www.oas.org/es/cidh/docs/anual/2023/capitulos/IA2023_Cap_5_Mexico_SPA.PDF" TargetMode="External"/><Relationship Id="rId231" Type="http://schemas.openxmlformats.org/officeDocument/2006/relationships/hyperlink" Target="https://www.oas.org/es/cidh/docs/anual/2022/capitulos/14-IA2022_Cap_5_MX_ES.pdf" TargetMode="External"/><Relationship Id="rId47" Type="http://schemas.openxmlformats.org/officeDocument/2006/relationships/hyperlink" Target="https://www.oas.org/ext/es/derechos-humanos/simore/Recomendaciones/Detalles/rid/359" TargetMode="External"/><Relationship Id="rId68" Type="http://schemas.openxmlformats.org/officeDocument/2006/relationships/hyperlink" Target="https://www.oas.org/es/cidh/docs/anual/2023/capitulos/IA2023_Cap_5_Mexico_SPA.PDF" TargetMode="External"/><Relationship Id="rId89" Type="http://schemas.openxmlformats.org/officeDocument/2006/relationships/hyperlink" Target="https://www.oas.org/ext/es/derechos-humanos/simore/Recomendaciones/Detalles/rid/370" TargetMode="External"/><Relationship Id="rId112" Type="http://schemas.openxmlformats.org/officeDocument/2006/relationships/hyperlink" Target="https://www.oas.org/es/cidh/docs/anual/2023/capitulos/IA2023_Cap_5_Mexico_SPA.PDF" TargetMode="External"/><Relationship Id="rId133" Type="http://schemas.openxmlformats.org/officeDocument/2006/relationships/hyperlink" Target="https://www.oas.org/ext/es/derechos-humanos/simore/Recomendaciones/Detalles/rid/392" TargetMode="External"/><Relationship Id="rId154" Type="http://schemas.openxmlformats.org/officeDocument/2006/relationships/hyperlink" Target="https://www.oas.org/es/cidh/sesiones/audiencia.asp?Hearing=3769" TargetMode="External"/><Relationship Id="rId175" Type="http://schemas.openxmlformats.org/officeDocument/2006/relationships/hyperlink" Target="https://www.oas.org/ext/es/derechos-humanos/simore/Recomendaciones/Detalles/rid/410" TargetMode="External"/><Relationship Id="rId196" Type="http://schemas.openxmlformats.org/officeDocument/2006/relationships/hyperlink" Target="https://www.oas.org/es/cidh/docs/anual/2023/capitulos/IA2023_Cap_5_Mexico_SPA.PDF" TargetMode="External"/><Relationship Id="rId200" Type="http://schemas.openxmlformats.org/officeDocument/2006/relationships/hyperlink" Target="https://www.oas.org/es/cidh/docs/anual/2023/capitulos/IA2023_Cap_5_Mexico_SPA.PDFhttps://www.oas.org/es/cidh/docs/anual/2023/capitulos/IA2023_Cap_5_Mexico_SPA.PDF" TargetMode="External"/><Relationship Id="rId16" Type="http://schemas.openxmlformats.org/officeDocument/2006/relationships/hyperlink" Target="https://www.gob.mx/sedena/prensa/sedena-informa-sobre-%20%20hechos-ocurridos-en-chiapas" TargetMode="External"/><Relationship Id="rId221" Type="http://schemas.openxmlformats.org/officeDocument/2006/relationships/hyperlink" Target="https://www.oas.org/es/cidh/docs/anual/2023/capitulos/IA2023_Cap_5_Mexico_SPA.PDF" TargetMode="External"/><Relationship Id="rId37" Type="http://schemas.openxmlformats.org/officeDocument/2006/relationships/hyperlink" Target="https://www.elfinanciero.com.mx/opinion/salvador-camarena/2023/11/10/la-cnb-emplea-a-investigado-por-corrupcion/" TargetMode="External"/><Relationship Id="rId58" Type="http://schemas.openxmlformats.org/officeDocument/2006/relationships/hyperlink" Target="https://www.oas.org/ext/es/derechos-humanos/simore/Recomendaciones/Detalles/rid/361" TargetMode="External"/><Relationship Id="rId79" Type="http://schemas.openxmlformats.org/officeDocument/2006/relationships/hyperlink" Target="https://www.oas.org/es/cidh/docs/anual/2023/capitulos/IA2023_Cap_5_Mexico_SPA.PDF" TargetMode="External"/><Relationship Id="rId102" Type="http://schemas.openxmlformats.org/officeDocument/2006/relationships/hyperlink" Target="https://animalpolitico.com/politica/despidos-comision-nacional-busqueda" TargetMode="External"/><Relationship Id="rId123" Type="http://schemas.openxmlformats.org/officeDocument/2006/relationships/hyperlink" Target="https://www.oas.org/es/cidh/docs/anual/2023/capitulos/IA2023_Cap_5_Mexico_SPA.PDF" TargetMode="External"/><Relationship Id="rId144" Type="http://schemas.openxmlformats.org/officeDocument/2006/relationships/hyperlink" Target="https://www.oas.org/ext/es/derechos-humanos/simore/Recomendaciones/Detalles/rid/398" TargetMode="External"/><Relationship Id="rId90" Type="http://schemas.openxmlformats.org/officeDocument/2006/relationships/hyperlink" Target="https://www.oas.org/es/cidh/docs/anual/2023/capitulos/IA2023_Cap_5_Mexico_SPA.PDF" TargetMode="External"/><Relationship Id="rId165" Type="http://schemas.openxmlformats.org/officeDocument/2006/relationships/hyperlink" Target="https://www.oas.org/es/cidh/docs/anual/2023/capitulos/IA2023_Cap_5_Mexico_SPA.PDF" TargetMode="External"/><Relationship Id="rId186" Type="http://schemas.openxmlformats.org/officeDocument/2006/relationships/hyperlink" Target="https://www.oas.org/es/cidh/docs/anual/2023/capitulos/IA2023_Cap_5_Mexico_SPA.PDF" TargetMode="External"/><Relationship Id="rId211" Type="http://schemas.openxmlformats.org/officeDocument/2006/relationships/hyperlink" Target="https://www.oas.org/es/cidh/docs/anual/2023/capitulos/IA2023_Cap_5_Mexico_SPA.PDF" TargetMode="External"/><Relationship Id="rId232" Type="http://schemas.openxmlformats.org/officeDocument/2006/relationships/hyperlink" Target="https://www.oas.org/es/cidh/docs/anual/2023/capitulos/IA2023_Cap_5_Mexico_SPA.PDF" TargetMode="External"/><Relationship Id="rId27" Type="http://schemas.openxmlformats.org/officeDocument/2006/relationships/hyperlink" Target="https://www.oas.org/ext/es/derechos-humanos/simore/Recomendaciones/Detalles/rid/357" TargetMode="External"/><Relationship Id="rId48" Type="http://schemas.openxmlformats.org/officeDocument/2006/relationships/hyperlink" Target="https://www.youtube.com/watch?v=OdvjrB4DSGI" TargetMode="External"/><Relationship Id="rId69" Type="http://schemas.openxmlformats.org/officeDocument/2006/relationships/hyperlink" Target="https://www.oas.org/ext/es/derechos-humanos/simore/Recomendaciones/Detalles/rid/363" TargetMode="External"/><Relationship Id="rId113" Type="http://schemas.openxmlformats.org/officeDocument/2006/relationships/hyperlink" Target="https://www.oas.org/ext/es/derechos-humanos/simore/Recomendaciones/Detalles/rid/379" TargetMode="External"/><Relationship Id="rId134" Type="http://schemas.openxmlformats.org/officeDocument/2006/relationships/hyperlink" Target="https://www.oas.org/ext/es/derechos-humanos/simore/Recomendaciones/Detalles/rid/392" TargetMode="External"/><Relationship Id="rId80" Type="http://schemas.openxmlformats.org/officeDocument/2006/relationships/hyperlink" Target="https://www.oas.org/ext/es/derechos-humanos/simore/Recomendaciones/Detalles/rid/366" TargetMode="External"/><Relationship Id="rId155" Type="http://schemas.openxmlformats.org/officeDocument/2006/relationships/hyperlink" Target="https://www.oas.org/es/cidh/sesiones/audiencia.asp?Hearing=3750" TargetMode="External"/><Relationship Id="rId176" Type="http://schemas.openxmlformats.org/officeDocument/2006/relationships/hyperlink" Target="https://apnews.com/world-news/general-news-79fc70845d964f1248a348c73aa42361?utm_campaign=SocialFlow&amp;utm_source=Twitter&amp;utm_medium=AP_Noticias" TargetMode="External"/><Relationship Id="rId197" Type="http://schemas.openxmlformats.org/officeDocument/2006/relationships/hyperlink" Target="https://www.oas.org/ext/es/derechos-humanos/simore/Recomendaciones/Detalles/rid/414" TargetMode="External"/><Relationship Id="rId201" Type="http://schemas.openxmlformats.org/officeDocument/2006/relationships/hyperlink" Target="https://www.oas.org/es/cidh/docs/anual/2023/capitulos/IA2023_Cap_5_Mexico_SPA.PDFhttps://www.oas.org/es/cidh/docs/anual/2023/capitulos/IA2023_Cap_5_Mexico_SPA.PDF" TargetMode="External"/><Relationship Id="rId222" Type="http://schemas.openxmlformats.org/officeDocument/2006/relationships/hyperlink" Target="https://www.oas.org/es/cidh/docs/anual/2023/capitulos/IA2023_Cap_5_Mexico_SPA.PDF" TargetMode="External"/><Relationship Id="rId17" Type="http://schemas.openxmlformats.org/officeDocument/2006/relationships/hyperlink" Target="https://elpais.com/mexico/2024-10-03/el-ejercito-mexicano-mata-a-seis-migrantes-de-un-grupo-de-asiaticos-africanos-y-latinos-en-chiapas.html" TargetMode="External"/><Relationship Id="rId38" Type="http://schemas.openxmlformats.org/officeDocument/2006/relationships/hyperlink" Target="https://adondevanlosdesaparecidos.org/2024/01/11/acometen-despidos-masivos-en-la-cnb-y-dan-direcciones-a-funcionarios-sin-experiencia/" TargetMode="External"/><Relationship Id="rId59" Type="http://schemas.openxmlformats.org/officeDocument/2006/relationships/hyperlink" Target="https://www.oas.org/ext/es/derechos-humanos/simore/Recomendaciones/Detalles/rid/361" TargetMode="External"/><Relationship Id="rId103" Type="http://schemas.openxmlformats.org/officeDocument/2006/relationships/hyperlink" Target="https://aristeguinoticias.com/0502/mexico/desmantelamiento-%20%20del-cnih-abona-a-incertidumbre-en-busqueda-de-personas-desaparecidas-en-mexico/" TargetMode="External"/><Relationship Id="rId124" Type="http://schemas.openxmlformats.org/officeDocument/2006/relationships/hyperlink" Target="https://www.oas.org/ext/es/derechos-humanos/simore/Recomendaciones/Detalles/rid/384" TargetMode="External"/><Relationship Id="rId70" Type="http://schemas.openxmlformats.org/officeDocument/2006/relationships/hyperlink" Target="https://www.oas.org/ext/es/derechos-humanos/simore/Recomendaciones/Detalles/rid/363" TargetMode="External"/><Relationship Id="rId91" Type="http://schemas.openxmlformats.org/officeDocument/2006/relationships/hyperlink" Target="https://www.oas.org/es/cidh/docs/anual/2023/capitulos/IA2023_Cap_5_Mexico_SPA.PDF" TargetMode="External"/><Relationship Id="rId145" Type="http://schemas.openxmlformats.org/officeDocument/2006/relationships/hyperlink" Target="https://www.oas.org/es/cidh/docs/anual/2023/capitulos/IA2023_Cap_5_Mexico_SPA.PDF" TargetMode="External"/><Relationship Id="rId166" Type="http://schemas.openxmlformats.org/officeDocument/2006/relationships/hyperlink" Target="https://www.oas.org/ext/es/derechos-humanos/simore/Recomendaciones/Detalles/rid/409" TargetMode="External"/><Relationship Id="rId187" Type="http://schemas.openxmlformats.org/officeDocument/2006/relationships/hyperlink" Target="https://www.oas.org/ext/es/derechos-humanos/simore/Recomendaciones/Detalles/rid/411" TargetMode="External"/><Relationship Id="rId1" Type="http://schemas.openxmlformats.org/officeDocument/2006/relationships/hyperlink" Target="https://www.oas.org/es/cidh/docs/anual/2024/notas/Cap5_MEX_Observaciones_Feb_2025.pdf" TargetMode="External"/><Relationship Id="rId212" Type="http://schemas.openxmlformats.org/officeDocument/2006/relationships/hyperlink" Target="https://www.oas.org/ext/es/derechos-humanos/simore/Recomendaciones/Detalles/rid/419" TargetMode="External"/><Relationship Id="rId233" Type="http://schemas.openxmlformats.org/officeDocument/2006/relationships/hyperlink" Target="https://www.oas.org/ext/es/derechos-humanos/simore/Recomendaciones/Detalles/rid/425" TargetMode="External"/><Relationship Id="rId28" Type="http://schemas.openxmlformats.org/officeDocument/2006/relationships/hyperlink" Target="https://www.oas.org/ext/es/derechos-humanos/simore/Recomendaciones/Detalles/rid/357" TargetMode="External"/><Relationship Id="rId49" Type="http://schemas.openxmlformats.org/officeDocument/2006/relationships/hyperlink" Target="https://www.youtube.com/watch?v=OdvjrB4DSGI" TargetMode="External"/><Relationship Id="rId114" Type="http://schemas.openxmlformats.org/officeDocument/2006/relationships/hyperlink" Target="https://www.oas.org/ext/es/derechos-humanos/simore/Recomendaciones/Detalles/rid/379" TargetMode="External"/><Relationship Id="rId60" Type="http://schemas.openxmlformats.org/officeDocument/2006/relationships/hyperlink" Target="https://www.oas.org/ext/es/derechos-humanos/simore/Recomendaciones/Detalles/rid/361" TargetMode="External"/><Relationship Id="rId81" Type="http://schemas.openxmlformats.org/officeDocument/2006/relationships/hyperlink" Target="https://www.oas.org/es/cidh/docs/anual/2023/capitulos/IA2023_Cap_5_Mexico_SPA.PDF" TargetMode="External"/><Relationship Id="rId135" Type="http://schemas.openxmlformats.org/officeDocument/2006/relationships/hyperlink" Target="https://www.oas.org/es/cidh/docs/anual/2023/capitulos/IA2023_Cap_5_Mexico_SPA.PDF" TargetMode="External"/><Relationship Id="rId156" Type="http://schemas.openxmlformats.org/officeDocument/2006/relationships/hyperlink" Target="https://www.oas.org/es/cidh/docs/anual/2023/capitulos/IA2023_Cap_5_Mexico_SPA.PDF" TargetMode="External"/><Relationship Id="rId177" Type="http://schemas.openxmlformats.org/officeDocument/2006/relationships/hyperlink" Target="https://aristeguinoticias.com/1201/mexico/fgr-reconoce-espionaje-con-pegasus-a-carmen-aristegui-juez-dictara-sentencia-a-primer-acusado/" TargetMode="External"/><Relationship Id="rId198" Type="http://schemas.openxmlformats.org/officeDocument/2006/relationships/hyperlink" Target="https://www.oas.org/es/cidh/docs/anual/2023/capitulos/IA2023_Cap_5_Mexico_SPA.PDF" TargetMode="External"/><Relationship Id="rId202" Type="http://schemas.openxmlformats.org/officeDocument/2006/relationships/hyperlink" Target="https://www.oas.org/ext/es/derechos-humanos/simore/Recomendaciones/Detalles/rid/416" TargetMode="External"/><Relationship Id="rId223" Type="http://schemas.openxmlformats.org/officeDocument/2006/relationships/hyperlink" Target="https://www.oas.org/ext/es/derechos-humanos/simore/Recomendaciones/Detalles/rid/423" TargetMode="External"/><Relationship Id="rId18" Type="http://schemas.openxmlformats.org/officeDocument/2006/relationships/hyperlink" Target="https://www.cndh.org.mx/sites/default/files/documentos/2024-09/PRON_2024_029.pdf" TargetMode="External"/><Relationship Id="rId39" Type="http://schemas.openxmlformats.org/officeDocument/2006/relationships/hyperlink" Target="https://la-lista.com/derechos-humanos/comision-nacional-de-busqueda-funcionarios-sin-%20%20experiencia" TargetMode="External"/><Relationship Id="rId50" Type="http://schemas.openxmlformats.org/officeDocument/2006/relationships/hyperlink" Target="https://www.oas.org/es/cidh/docs/anual/2023/capitulos/IA2023_Cap_5_Mexico_SPA.PDF" TargetMode="External"/><Relationship Id="rId104" Type="http://schemas.openxmlformats.org/officeDocument/2006/relationships/hyperlink" Target="https://www.oas.org/es/cidh/docs/anual/2023/capitulos/IA2023_Cap_5_Mexico_SPA.PDF" TargetMode="External"/><Relationship Id="rId125" Type="http://schemas.openxmlformats.org/officeDocument/2006/relationships/hyperlink" Target="https://www.oas.org/es/cidh/docs/anual/2023/capitulos/IA2023_Cap_5_Mexico_SPA.PDF" TargetMode="External"/><Relationship Id="rId146" Type="http://schemas.openxmlformats.org/officeDocument/2006/relationships/hyperlink" Target="https://www.oas.org/ext/es/derechos-humanos/simore/Recomendaciones/Detalles/rid/399" TargetMode="External"/><Relationship Id="rId167" Type="http://schemas.openxmlformats.org/officeDocument/2006/relationships/hyperlink" Target="https://www.oas.org/ext/es/derechos-humanos/simore/Recomendaciones/Detalles/rid/409" TargetMode="External"/><Relationship Id="rId188" Type="http://schemas.openxmlformats.org/officeDocument/2006/relationships/hyperlink" Target="https://www.oas.org/es/cidh/docs/anual/2022/capitulos/14-IA2022_Cap_5_MX_ES.pdf" TargetMode="External"/><Relationship Id="rId71" Type="http://schemas.openxmlformats.org/officeDocument/2006/relationships/hyperlink" Target="https://www.gob.mx/cms/uploads/attachment/file/923586/Versi_n_final-INFORME_MTS_-12-06-24-V5-AFG-ARR-24-06-24.pdf" TargetMode="External"/><Relationship Id="rId92" Type="http://schemas.openxmlformats.org/officeDocument/2006/relationships/hyperlink" Target="https://www.oas.org/ext/es/derechos-humanos/simore/Recomendaciones/Detalles/rid/371" TargetMode="External"/><Relationship Id="rId213" Type="http://schemas.openxmlformats.org/officeDocument/2006/relationships/hyperlink" Target="https://www.oas.org/es/cidh/expresion/docs/publicaciones/ACCESO%20A%20LA%20INFORMACION%20FINAL%20CON%20PORTADA.pdf" TargetMode="External"/><Relationship Id="rId234" Type="http://schemas.openxmlformats.org/officeDocument/2006/relationships/hyperlink" Target="https://www.oas.org/ext/es/derechos-humanos/simore/Recomendaciones/Detalles/rid/426" TargetMode="External"/><Relationship Id="rId2" Type="http://schemas.openxmlformats.org/officeDocument/2006/relationships/hyperlink" Target="https://www.oas.org/es/cidh/docs/anual/2024/notas/Cap5_MEX_Observaciones_Feb_2025.pdf" TargetMode="External"/><Relationship Id="rId29" Type="http://schemas.openxmlformats.org/officeDocument/2006/relationships/hyperlink" Target="https://www.oas.org/es/cidh/docs/anual/2023/capitulos/IA2023_Cap_5_Mexico_SPA.PDF" TargetMode="External"/><Relationship Id="rId40" Type="http://schemas.openxmlformats.org/officeDocument/2006/relationships/hyperlink" Target="https://la-lista.com/derechos-humanos/comision-%20%20nacional-de-busqueda-reporta-88-por-ciento-menos-empleados" TargetMode="External"/><Relationship Id="rId115" Type="http://schemas.openxmlformats.org/officeDocument/2006/relationships/hyperlink" Target="https://www.oas.org/es/cidh/docs/anual/2023/capitulos/IA2023_Cap_5_Mexico_SPA.PDF" TargetMode="External"/><Relationship Id="rId136" Type="http://schemas.openxmlformats.org/officeDocument/2006/relationships/hyperlink" Target="https://www.oas.org/ext/es/derechos-humanos/simore/Recomendaciones/Detalles/rid/350" TargetMode="External"/><Relationship Id="rId157" Type="http://schemas.openxmlformats.org/officeDocument/2006/relationships/hyperlink" Target="https://www.oas.org/ext/es/derechos-humanos/simore/Recomendaciones/Detalles/rid/403" TargetMode="External"/><Relationship Id="rId178" Type="http://schemas.openxmlformats.org/officeDocument/2006/relationships/hyperlink" Target="https://animalpolitico.com/seguridad/unico-enjuiciado-espionaje-aristegui-contrato-software-pegasus-pgr" TargetMode="External"/><Relationship Id="rId61" Type="http://schemas.openxmlformats.org/officeDocument/2006/relationships/hyperlink" Target="https://www.oas.org/es/cidh/docs/anual/2023/capitulos/IA2023_Cap_5_Mexico_SPA.PDF" TargetMode="External"/><Relationship Id="rId82" Type="http://schemas.openxmlformats.org/officeDocument/2006/relationships/hyperlink" Target="https://www.oas.org/es/cidh/docs/anual/2023/capitulos/IA2023_Cap_5_Mexico_SPA.PDF" TargetMode="External"/><Relationship Id="rId199" Type="http://schemas.openxmlformats.org/officeDocument/2006/relationships/hyperlink" Target="https://www.oas.org/ext/es/derechos-humanos/simore/Recomendaciones/Detalles/rid/415" TargetMode="External"/><Relationship Id="rId203" Type="http://schemas.openxmlformats.org/officeDocument/2006/relationships/hyperlink" Target="https://www.oas.org/es/cidh/docs/anual/2023/capitulos/IA2023_Cap_5_Mexico_SPA.PDF" TargetMode="External"/><Relationship Id="rId19" Type="http://schemas.openxmlformats.org/officeDocument/2006/relationships/hyperlink" Target="https://www.oas.org/es/cidh/docs/anual/2023/capitulos/IA2023_Cap_5_Mexico_SPA.PDF" TargetMode="External"/><Relationship Id="rId224" Type="http://schemas.openxmlformats.org/officeDocument/2006/relationships/hyperlink" Target="https://www.oas.org/es/cidh/docs/anual/2023/capitulos/IA2023_Cap_5_Mexico_SPA.PDF" TargetMode="External"/><Relationship Id="rId30" Type="http://schemas.openxmlformats.org/officeDocument/2006/relationships/hyperlink" Target="https://www.oas.org/ext/es/derechos-humanos/simore/Recomendaciones/Detalles/rid/358" TargetMode="External"/><Relationship Id="rId105" Type="http://schemas.openxmlformats.org/officeDocument/2006/relationships/hyperlink" Target="https://www.oas.org/es/cidh/docs/anual/2023/capitulos/IA2023_Cap_5_Mexico_SPA.PDF" TargetMode="External"/><Relationship Id="rId126" Type="http://schemas.openxmlformats.org/officeDocument/2006/relationships/hyperlink" Target="https://www.oas.org/ext/es/derechos-humanos/simore/Recomendaciones/Detalles/rid/387" TargetMode="External"/><Relationship Id="rId147" Type="http://schemas.openxmlformats.org/officeDocument/2006/relationships/hyperlink" Target="https://www.ohchr.org/es/press-releases/2024/11/mexico-un-human-rights-chief-concerned-about-expansion-mandatory-pretrial" TargetMode="External"/><Relationship Id="rId168" Type="http://schemas.openxmlformats.org/officeDocument/2006/relationships/hyperlink" Target="https://ymlp.com/zKxPKV" TargetMode="External"/><Relationship Id="rId51" Type="http://schemas.openxmlformats.org/officeDocument/2006/relationships/hyperlink" Target="https://www.oas.org/ext/es/derechos-humanos/simore/Recomendaciones/Detalles/rid/360" TargetMode="External"/><Relationship Id="rId72" Type="http://schemas.openxmlformats.org/officeDocument/2006/relationships/hyperlink" Target="https://www.youtube.com/watch?v=D8SnsfzyVCc&amp;list=PL5QlapyOGhXvVD5A18pPO_z15cAK-QCNc" TargetMode="External"/><Relationship Id="rId93" Type="http://schemas.openxmlformats.org/officeDocument/2006/relationships/hyperlink" Target="https://www.oas.org/es/cidh/docs/anual/2023/capitulos/IA2023_Cap_5_Mexico_SPA.PDF" TargetMode="External"/><Relationship Id="rId189" Type="http://schemas.openxmlformats.org/officeDocument/2006/relationships/hyperlink" Target="https://www.oas.org/es/cidh/docs/anual/2023/capitulos/IA2023_Cap_5_Mexico_SPA.PDF" TargetMode="External"/><Relationship Id="rId3" Type="http://schemas.openxmlformats.org/officeDocument/2006/relationships/hyperlink" Target="https://www.oas.org/es/cidh/actividades/seguimiento/pdf/Directrices-es.pdf" TargetMode="External"/><Relationship Id="rId214" Type="http://schemas.openxmlformats.org/officeDocument/2006/relationships/hyperlink" Target="https://www.oas.org/es/cidh/docs/anual/2023/capitulos/IA2023_Cap_5_Mexico_SPA.PDF" TargetMode="External"/><Relationship Id="rId235" Type="http://schemas.openxmlformats.org/officeDocument/2006/relationships/hyperlink" Target="https://www.oas.org/es/cidh/docs/anual/2023/capitulos/IA2023_Cap_5_Mexico_SPA.PDF" TargetMode="External"/><Relationship Id="rId116" Type="http://schemas.openxmlformats.org/officeDocument/2006/relationships/hyperlink" Target="https://www.oas.org/ext/es/derechos-humanos/simore/Recomendaciones/Detalles/rid/380" TargetMode="External"/><Relationship Id="rId137" Type="http://schemas.openxmlformats.org/officeDocument/2006/relationships/hyperlink" Target="https://www.oas.org/es/cidh/docs/anual/2023/capitulos/IA2023_Cap_5_Mexico_SPA.PDF" TargetMode="External"/><Relationship Id="rId158" Type="http://schemas.openxmlformats.org/officeDocument/2006/relationships/hyperlink" Target="https://www.oas.org/es/cidh/docs/anual/2023/capitulos/IA2023_Cap_5_Mexico_SPA.PDF" TargetMode="External"/><Relationship Id="rId20" Type="http://schemas.openxmlformats.org/officeDocument/2006/relationships/hyperlink" Target="https://www.oas.org/ext/es/derechos-humanos/simore/Recomendaciones/Detalles/rid/354" TargetMode="External"/><Relationship Id="rId41" Type="http://schemas.openxmlformats.org/officeDocument/2006/relationships/hyperlink" Target="https://www.milenio.com/politica/comunidad/salen-de-comision-nacional-de-busqueda-mas-de-100-funcionarios" TargetMode="External"/><Relationship Id="rId62" Type="http://schemas.openxmlformats.org/officeDocument/2006/relationships/hyperlink" Target="https://www.oas.org/ext/es/derechos-humanos/simore/Recomendaciones/Detalles/rid/362" TargetMode="External"/><Relationship Id="rId83" Type="http://schemas.openxmlformats.org/officeDocument/2006/relationships/hyperlink" Target="https://www.oas.org/es/cidh/docs/anual/2023/capitulos/IA2023_Cap_5_Mexico_SPA.PDF" TargetMode="External"/><Relationship Id="rId179" Type="http://schemas.openxmlformats.org/officeDocument/2006/relationships/hyperlink" Target="https://www.milenio.com/policia/piden-a-hacienda-hacer-publicos-contratos-del-software-pegas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56997</Words>
  <Characters>317478</Characters>
  <Application>Microsoft Office Word</Application>
  <DocSecurity>0</DocSecurity>
  <Lines>4535</Lines>
  <Paragraphs>1094</Paragraphs>
  <ScaleCrop>false</ScaleCrop>
  <Company/>
  <LinksUpToDate>false</LinksUpToDate>
  <CharactersWithSpaces>373381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2024</dc:title>
  <dc:subject>Capítulo V: México</dc:subject>
  <dc:creator/>
  <cp:keywords/>
  <dc:description/>
  <cp:lastModifiedBy/>
  <cp:revision>1</cp:revision>
  <dcterms:created xsi:type="dcterms:W3CDTF">2025-04-16T20:24:00Z</dcterms:created>
  <dcterms:modified xsi:type="dcterms:W3CDTF">2025-04-18T18:36:00Z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5</vt:lpwstr>
  </property>
  <property fmtid="{D5CDD505-2E9C-101B-9397-08002B2CF9AE}" pid="4" name="Country">
    <vt:lpwstr>MEX</vt:lpwstr>
  </property>
  <property fmtid="{D5CDD505-2E9C-101B-9397-08002B2CF9AE}" pid="5" name="Language">
    <vt:lpwstr>ES</vt:lpwstr>
  </property>
  <property fmtid="{D5CDD505-2E9C-101B-9397-08002B2CF9AE}" pid="6" name="IA_Cover">
    <vt:bool>false</vt:bool>
  </property>
  <property fmtid="{D5CDD505-2E9C-101B-9397-08002B2CF9AE}" pid="7" name="IA_Header">
    <vt:bool>false</vt:bool>
  </property>
</Properties>
</file>