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ECD7" w14:textId="77777777" w:rsidR="00F4709D" w:rsidRDefault="00F4709D" w:rsidP="00F4709D">
      <w:pPr>
        <w:rPr>
          <w:lang w:val="es-CO"/>
        </w:rPr>
      </w:pPr>
    </w:p>
    <w:p w14:paraId="4F988334" w14:textId="4EE5F637" w:rsidR="00F4709D" w:rsidRDefault="00F4709D" w:rsidP="00F4709D">
      <w:pPr>
        <w:rPr>
          <w:lang w:val="es-CO"/>
        </w:rPr>
      </w:pPr>
      <w:r>
        <w:rPr>
          <w:noProof/>
          <w:lang w:val="es-CO"/>
        </w:rPr>
        <w:drawing>
          <wp:anchor distT="0" distB="0" distL="114300" distR="114300" simplePos="0" relativeHeight="251658240" behindDoc="0" locked="0" layoutInCell="1" allowOverlap="1" wp14:anchorId="67238135" wp14:editId="35C7A8D6">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103484279"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84279"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678C7B2E" w14:textId="785AD489" w:rsidR="00F4709D" w:rsidRDefault="00F4709D" w:rsidP="00F4709D">
      <w:pPr>
        <w:rPr>
          <w:lang w:val="es-CO"/>
        </w:rPr>
        <w:sectPr w:rsidR="00F4709D" w:rsidSect="009C6A99">
          <w:headerReference w:type="default" r:id="rId9"/>
          <w:footerReference w:type="default" r:id="rId10"/>
          <w:headerReference w:type="first" r:id="rId11"/>
          <w:pgSz w:w="12240" w:h="15840"/>
          <w:pgMar w:top="1440" w:right="1440" w:bottom="1440" w:left="1440" w:header="720" w:footer="720" w:gutter="0"/>
          <w:pgNumType w:start="1201"/>
          <w:cols w:space="720"/>
          <w:titlePg/>
          <w:docGrid w:linePitch="360"/>
        </w:sectPr>
      </w:pPr>
      <w:bookmarkStart w:id="0" w:name="IA_Cover"/>
      <w:bookmarkEnd w:id="0"/>
    </w:p>
    <w:p w14:paraId="0FFED6CC" w14:textId="29424EF1" w:rsidR="008F6F4A" w:rsidRDefault="008F6F4A" w:rsidP="008F6F4A">
      <w:pPr>
        <w:pStyle w:val="TOCCaptulo"/>
        <w:rPr>
          <w:lang w:val="es-CO"/>
        </w:rPr>
      </w:pPr>
      <w:bookmarkStart w:id="1" w:name="Capítulo_V_Perú"/>
      <w:bookmarkEnd w:id="1"/>
      <w:r>
        <w:rPr>
          <w:lang w:val="es-CO"/>
        </w:rPr>
        <w:lastRenderedPageBreak/>
        <w:t>CAPÍTULO V:</w:t>
      </w:r>
      <w:r>
        <w:rPr>
          <w:lang w:val="es-CO"/>
        </w:rPr>
        <w:tab/>
        <w:t>PERÚ</w:t>
      </w:r>
    </w:p>
    <w:bookmarkStart w:id="2" w:name="IA_TOC"/>
    <w:bookmarkEnd w:id="2"/>
    <w:p w14:paraId="41BA7F3A" w14:textId="1FAA2860" w:rsidR="008F6F4A" w:rsidRDefault="008F6F4A">
      <w:pPr>
        <w:pStyle w:val="TOC1"/>
        <w:tabs>
          <w:tab w:val="right" w:leader="dot" w:pos="9350"/>
        </w:tabs>
        <w:rPr>
          <w:rFonts w:asciiTheme="minorHAnsi" w:eastAsiaTheme="minorEastAsia" w:hAnsiTheme="minorHAnsi"/>
          <w:b w:val="0"/>
          <w:caps w:val="0"/>
          <w:noProof/>
          <w:kern w:val="2"/>
          <w:sz w:val="24"/>
          <w:szCs w:val="24"/>
          <w14:ligatures w14:val="standardContextual"/>
        </w:rPr>
      </w:pPr>
      <w:r>
        <w:rPr>
          <w:lang w:val="es-CO"/>
        </w:rPr>
        <w:fldChar w:fldCharType="begin"/>
      </w:r>
      <w:r>
        <w:rPr>
          <w:lang w:val="es-CO"/>
        </w:rPr>
        <w:instrText xml:space="preserve"> TOC \o "1-9" \h \z \t "IA   Título,1,IA  Subtítulo 2,2" </w:instrText>
      </w:r>
      <w:r>
        <w:rPr>
          <w:lang w:val="es-CO"/>
        </w:rPr>
        <w:fldChar w:fldCharType="separate"/>
      </w:r>
      <w:hyperlink w:anchor="_Toc195618271" w:history="1">
        <w:r w:rsidRPr="00CA601B">
          <w:rPr>
            <w:rStyle w:val="Hyperlink"/>
            <w:noProof/>
          </w:rPr>
          <w:t>I.</w:t>
        </w:r>
        <w:r>
          <w:rPr>
            <w:rFonts w:asciiTheme="minorHAnsi" w:eastAsiaTheme="minorEastAsia" w:hAnsiTheme="minorHAnsi"/>
            <w:b w:val="0"/>
            <w:caps w:val="0"/>
            <w:noProof/>
            <w:kern w:val="2"/>
            <w:sz w:val="24"/>
            <w:szCs w:val="24"/>
            <w14:ligatures w14:val="standardContextual"/>
          </w:rPr>
          <w:tab/>
        </w:r>
        <w:r w:rsidRPr="00CA601B">
          <w:rPr>
            <w:rStyle w:val="Hyperlink"/>
            <w:noProof/>
          </w:rPr>
          <w:t>INTRODUCCIÓN</w:t>
        </w:r>
        <w:r>
          <w:rPr>
            <w:noProof/>
            <w:webHidden/>
          </w:rPr>
          <w:tab/>
        </w:r>
        <w:r>
          <w:rPr>
            <w:noProof/>
            <w:webHidden/>
          </w:rPr>
          <w:fldChar w:fldCharType="begin"/>
        </w:r>
        <w:r>
          <w:rPr>
            <w:noProof/>
            <w:webHidden/>
          </w:rPr>
          <w:instrText xml:space="preserve"> PAGEREF _Toc195618271 \h </w:instrText>
        </w:r>
        <w:r>
          <w:rPr>
            <w:noProof/>
            <w:webHidden/>
          </w:rPr>
        </w:r>
        <w:r>
          <w:rPr>
            <w:noProof/>
            <w:webHidden/>
          </w:rPr>
          <w:fldChar w:fldCharType="separate"/>
        </w:r>
        <w:r w:rsidR="00F51AED">
          <w:rPr>
            <w:noProof/>
            <w:webHidden/>
          </w:rPr>
          <w:t>1201</w:t>
        </w:r>
        <w:r>
          <w:rPr>
            <w:noProof/>
            <w:webHidden/>
          </w:rPr>
          <w:fldChar w:fldCharType="end"/>
        </w:r>
      </w:hyperlink>
    </w:p>
    <w:p w14:paraId="2AAFB99A" w14:textId="41DEA76F" w:rsidR="008F6F4A" w:rsidRDefault="00000000">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8272" w:history="1">
        <w:r w:rsidR="008F6F4A" w:rsidRPr="00CA601B">
          <w:rPr>
            <w:rStyle w:val="Hyperlink"/>
            <w:noProof/>
            <w:lang w:val="es-CO"/>
          </w:rPr>
          <w:t>II.</w:t>
        </w:r>
        <w:r w:rsidR="008F6F4A">
          <w:rPr>
            <w:rFonts w:asciiTheme="minorHAnsi" w:eastAsiaTheme="minorEastAsia" w:hAnsiTheme="minorHAnsi"/>
            <w:b w:val="0"/>
            <w:caps w:val="0"/>
            <w:noProof/>
            <w:kern w:val="2"/>
            <w:sz w:val="24"/>
            <w:szCs w:val="24"/>
            <w14:ligatures w14:val="standardContextual"/>
          </w:rPr>
          <w:tab/>
        </w:r>
        <w:r w:rsidR="008F6F4A" w:rsidRPr="00CA601B">
          <w:rPr>
            <w:rStyle w:val="Hyperlink"/>
            <w:noProof/>
            <w:lang w:val="es-CO"/>
          </w:rPr>
          <w:t>SEGUIMIENTO DE LAS RECOMENDACIONES</w:t>
        </w:r>
        <w:r w:rsidR="008F6F4A">
          <w:rPr>
            <w:noProof/>
            <w:webHidden/>
          </w:rPr>
          <w:tab/>
        </w:r>
        <w:r w:rsidR="008F6F4A">
          <w:rPr>
            <w:noProof/>
            <w:webHidden/>
          </w:rPr>
          <w:fldChar w:fldCharType="begin"/>
        </w:r>
        <w:r w:rsidR="008F6F4A">
          <w:rPr>
            <w:noProof/>
            <w:webHidden/>
          </w:rPr>
          <w:instrText xml:space="preserve"> PAGEREF _Toc195618272 \h </w:instrText>
        </w:r>
        <w:r w:rsidR="008F6F4A">
          <w:rPr>
            <w:noProof/>
            <w:webHidden/>
          </w:rPr>
        </w:r>
        <w:r w:rsidR="008F6F4A">
          <w:rPr>
            <w:noProof/>
            <w:webHidden/>
          </w:rPr>
          <w:fldChar w:fldCharType="separate"/>
        </w:r>
        <w:r w:rsidR="00F51AED">
          <w:rPr>
            <w:noProof/>
            <w:webHidden/>
          </w:rPr>
          <w:t>1203</w:t>
        </w:r>
        <w:r w:rsidR="008F6F4A">
          <w:rPr>
            <w:noProof/>
            <w:webHidden/>
          </w:rPr>
          <w:fldChar w:fldCharType="end"/>
        </w:r>
      </w:hyperlink>
    </w:p>
    <w:p w14:paraId="32700125" w14:textId="70E1D02C" w:rsidR="008F6F4A"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273" w:history="1">
        <w:r w:rsidR="008F6F4A" w:rsidRPr="00CA601B">
          <w:rPr>
            <w:rStyle w:val="Hyperlink"/>
            <w:rFonts w:eastAsia="Cambria" w:cs="Cambria"/>
            <w:noProof/>
            <w:lang w:val="es-419" w:eastAsia="es-US"/>
          </w:rPr>
          <w:t>A.</w:t>
        </w:r>
        <w:r w:rsidR="008F6F4A">
          <w:rPr>
            <w:rFonts w:asciiTheme="minorHAnsi" w:eastAsiaTheme="minorEastAsia" w:hAnsiTheme="minorHAnsi"/>
            <w:noProof/>
            <w:kern w:val="2"/>
            <w:sz w:val="24"/>
            <w:szCs w:val="24"/>
            <w14:ligatures w14:val="standardContextual"/>
          </w:rPr>
          <w:tab/>
        </w:r>
        <w:r w:rsidR="008F6F4A" w:rsidRPr="00CA601B">
          <w:rPr>
            <w:rStyle w:val="Hyperlink"/>
            <w:noProof/>
            <w:lang w:val="es-CO"/>
          </w:rPr>
          <w:t>Diálogo y superación de la crisis</w:t>
        </w:r>
        <w:r w:rsidR="008F6F4A">
          <w:rPr>
            <w:noProof/>
            <w:webHidden/>
          </w:rPr>
          <w:tab/>
        </w:r>
        <w:r w:rsidR="008F6F4A">
          <w:rPr>
            <w:noProof/>
            <w:webHidden/>
          </w:rPr>
          <w:fldChar w:fldCharType="begin"/>
        </w:r>
        <w:r w:rsidR="008F6F4A">
          <w:rPr>
            <w:noProof/>
            <w:webHidden/>
          </w:rPr>
          <w:instrText xml:space="preserve"> PAGEREF _Toc195618273 \h </w:instrText>
        </w:r>
        <w:r w:rsidR="008F6F4A">
          <w:rPr>
            <w:noProof/>
            <w:webHidden/>
          </w:rPr>
        </w:r>
        <w:r w:rsidR="008F6F4A">
          <w:rPr>
            <w:noProof/>
            <w:webHidden/>
          </w:rPr>
          <w:fldChar w:fldCharType="separate"/>
        </w:r>
        <w:r w:rsidR="00F51AED">
          <w:rPr>
            <w:noProof/>
            <w:webHidden/>
          </w:rPr>
          <w:t>1203</w:t>
        </w:r>
        <w:r w:rsidR="008F6F4A">
          <w:rPr>
            <w:noProof/>
            <w:webHidden/>
          </w:rPr>
          <w:fldChar w:fldCharType="end"/>
        </w:r>
      </w:hyperlink>
    </w:p>
    <w:p w14:paraId="0DE8A4C3" w14:textId="5FE3CA8C" w:rsidR="008F6F4A"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274" w:history="1">
        <w:r w:rsidR="008F6F4A" w:rsidRPr="00CA601B">
          <w:rPr>
            <w:rStyle w:val="Hyperlink"/>
            <w:noProof/>
            <w:lang w:val="es-419"/>
          </w:rPr>
          <w:t>B.</w:t>
        </w:r>
        <w:r w:rsidR="008F6F4A">
          <w:rPr>
            <w:rFonts w:asciiTheme="minorHAnsi" w:eastAsiaTheme="minorEastAsia" w:hAnsiTheme="minorHAnsi"/>
            <w:noProof/>
            <w:kern w:val="2"/>
            <w:sz w:val="24"/>
            <w:szCs w:val="24"/>
            <w14:ligatures w14:val="standardContextual"/>
          </w:rPr>
          <w:tab/>
        </w:r>
        <w:r w:rsidR="008F6F4A" w:rsidRPr="00CA601B">
          <w:rPr>
            <w:rStyle w:val="Hyperlink"/>
            <w:noProof/>
            <w:lang w:val="es-419"/>
          </w:rPr>
          <w:t>Seguridad ciudadana</w:t>
        </w:r>
        <w:r w:rsidR="008F6F4A">
          <w:rPr>
            <w:noProof/>
            <w:webHidden/>
          </w:rPr>
          <w:tab/>
        </w:r>
        <w:r w:rsidR="008F6F4A">
          <w:rPr>
            <w:noProof/>
            <w:webHidden/>
          </w:rPr>
          <w:fldChar w:fldCharType="begin"/>
        </w:r>
        <w:r w:rsidR="008F6F4A">
          <w:rPr>
            <w:noProof/>
            <w:webHidden/>
          </w:rPr>
          <w:instrText xml:space="preserve"> PAGEREF _Toc195618274 \h </w:instrText>
        </w:r>
        <w:r w:rsidR="008F6F4A">
          <w:rPr>
            <w:noProof/>
            <w:webHidden/>
          </w:rPr>
        </w:r>
        <w:r w:rsidR="008F6F4A">
          <w:rPr>
            <w:noProof/>
            <w:webHidden/>
          </w:rPr>
          <w:fldChar w:fldCharType="separate"/>
        </w:r>
        <w:r w:rsidR="00F51AED">
          <w:rPr>
            <w:noProof/>
            <w:webHidden/>
          </w:rPr>
          <w:t>1209</w:t>
        </w:r>
        <w:r w:rsidR="008F6F4A">
          <w:rPr>
            <w:noProof/>
            <w:webHidden/>
          </w:rPr>
          <w:fldChar w:fldCharType="end"/>
        </w:r>
      </w:hyperlink>
    </w:p>
    <w:p w14:paraId="310588C9" w14:textId="6BDC37CE" w:rsidR="008F6F4A"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275" w:history="1">
        <w:r w:rsidR="008F6F4A" w:rsidRPr="00CA601B">
          <w:rPr>
            <w:rStyle w:val="Hyperlink"/>
            <w:rFonts w:eastAsia="Cambria" w:cs="Cambria"/>
            <w:noProof/>
            <w:lang w:val="es-419" w:eastAsia="es-US"/>
          </w:rPr>
          <w:t>C.</w:t>
        </w:r>
        <w:r w:rsidR="008F6F4A">
          <w:rPr>
            <w:rFonts w:asciiTheme="minorHAnsi" w:eastAsiaTheme="minorEastAsia" w:hAnsiTheme="minorHAnsi"/>
            <w:noProof/>
            <w:kern w:val="2"/>
            <w:sz w:val="24"/>
            <w:szCs w:val="24"/>
            <w14:ligatures w14:val="standardContextual"/>
          </w:rPr>
          <w:tab/>
        </w:r>
        <w:r w:rsidR="008F6F4A" w:rsidRPr="00CA601B">
          <w:rPr>
            <w:rStyle w:val="Hyperlink"/>
            <w:noProof/>
            <w:lang w:val="es-CO"/>
          </w:rPr>
          <w:t>Reparación y atención a víctimas de violaciones de derechos humanos</w:t>
        </w:r>
        <w:r w:rsidR="008F6F4A">
          <w:rPr>
            <w:noProof/>
            <w:webHidden/>
          </w:rPr>
          <w:tab/>
        </w:r>
        <w:r w:rsidR="008F6F4A">
          <w:rPr>
            <w:noProof/>
            <w:webHidden/>
          </w:rPr>
          <w:fldChar w:fldCharType="begin"/>
        </w:r>
        <w:r w:rsidR="008F6F4A">
          <w:rPr>
            <w:noProof/>
            <w:webHidden/>
          </w:rPr>
          <w:instrText xml:space="preserve"> PAGEREF _Toc195618275 \h </w:instrText>
        </w:r>
        <w:r w:rsidR="008F6F4A">
          <w:rPr>
            <w:noProof/>
            <w:webHidden/>
          </w:rPr>
        </w:r>
        <w:r w:rsidR="008F6F4A">
          <w:rPr>
            <w:noProof/>
            <w:webHidden/>
          </w:rPr>
          <w:fldChar w:fldCharType="separate"/>
        </w:r>
        <w:r w:rsidR="00F51AED">
          <w:rPr>
            <w:noProof/>
            <w:webHidden/>
          </w:rPr>
          <w:t>1216</w:t>
        </w:r>
        <w:r w:rsidR="008F6F4A">
          <w:rPr>
            <w:noProof/>
            <w:webHidden/>
          </w:rPr>
          <w:fldChar w:fldCharType="end"/>
        </w:r>
      </w:hyperlink>
    </w:p>
    <w:p w14:paraId="06E0C46D" w14:textId="3AB402A9" w:rsidR="008F6F4A"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280" w:history="1">
        <w:r w:rsidR="008F6F4A" w:rsidRPr="00CA601B">
          <w:rPr>
            <w:rStyle w:val="Hyperlink"/>
            <w:noProof/>
            <w:lang w:val="es-419"/>
          </w:rPr>
          <w:t xml:space="preserve">D. </w:t>
        </w:r>
        <w:r w:rsidR="008F6F4A">
          <w:rPr>
            <w:rFonts w:asciiTheme="minorHAnsi" w:eastAsiaTheme="minorEastAsia" w:hAnsiTheme="minorHAnsi"/>
            <w:noProof/>
            <w:kern w:val="2"/>
            <w:sz w:val="24"/>
            <w:szCs w:val="24"/>
            <w14:ligatures w14:val="standardContextual"/>
          </w:rPr>
          <w:tab/>
        </w:r>
        <w:r w:rsidR="008F6F4A" w:rsidRPr="00CA601B">
          <w:rPr>
            <w:rStyle w:val="Hyperlink"/>
            <w:noProof/>
            <w:lang w:val="es-419"/>
          </w:rPr>
          <w:t>Lucha contra la impunidad</w:t>
        </w:r>
        <w:r w:rsidR="008F6F4A">
          <w:rPr>
            <w:noProof/>
            <w:webHidden/>
          </w:rPr>
          <w:tab/>
        </w:r>
        <w:r w:rsidR="008F6F4A">
          <w:rPr>
            <w:noProof/>
            <w:webHidden/>
          </w:rPr>
          <w:fldChar w:fldCharType="begin"/>
        </w:r>
        <w:r w:rsidR="008F6F4A">
          <w:rPr>
            <w:noProof/>
            <w:webHidden/>
          </w:rPr>
          <w:instrText xml:space="preserve"> PAGEREF _Toc195618280 \h </w:instrText>
        </w:r>
        <w:r w:rsidR="008F6F4A">
          <w:rPr>
            <w:noProof/>
            <w:webHidden/>
          </w:rPr>
        </w:r>
        <w:r w:rsidR="008F6F4A">
          <w:rPr>
            <w:noProof/>
            <w:webHidden/>
          </w:rPr>
          <w:fldChar w:fldCharType="separate"/>
        </w:r>
        <w:r w:rsidR="00F51AED">
          <w:rPr>
            <w:noProof/>
            <w:webHidden/>
          </w:rPr>
          <w:t>1225</w:t>
        </w:r>
        <w:r w:rsidR="008F6F4A">
          <w:rPr>
            <w:noProof/>
            <w:webHidden/>
          </w:rPr>
          <w:fldChar w:fldCharType="end"/>
        </w:r>
      </w:hyperlink>
    </w:p>
    <w:p w14:paraId="14A86088" w14:textId="75D8D882" w:rsidR="008F6F4A"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288" w:history="1">
        <w:r w:rsidR="008F6F4A" w:rsidRPr="00CA601B">
          <w:rPr>
            <w:rStyle w:val="Hyperlink"/>
            <w:noProof/>
            <w:lang w:val="es-CO" w:eastAsia="es-US"/>
          </w:rPr>
          <w:t>E.</w:t>
        </w:r>
        <w:r w:rsidR="008F6F4A">
          <w:rPr>
            <w:rFonts w:asciiTheme="minorHAnsi" w:eastAsiaTheme="minorEastAsia" w:hAnsiTheme="minorHAnsi"/>
            <w:noProof/>
            <w:kern w:val="2"/>
            <w:sz w:val="24"/>
            <w:szCs w:val="24"/>
            <w14:ligatures w14:val="standardContextual"/>
          </w:rPr>
          <w:tab/>
        </w:r>
        <w:r w:rsidR="008F6F4A" w:rsidRPr="00CA601B">
          <w:rPr>
            <w:rStyle w:val="Hyperlink"/>
            <w:noProof/>
            <w:lang w:val="es-CO" w:eastAsia="es-US"/>
          </w:rPr>
          <w:t>Institucionalidad democrática</w:t>
        </w:r>
        <w:r w:rsidR="008F6F4A">
          <w:rPr>
            <w:noProof/>
            <w:webHidden/>
          </w:rPr>
          <w:tab/>
        </w:r>
        <w:r w:rsidR="008F6F4A">
          <w:rPr>
            <w:noProof/>
            <w:webHidden/>
          </w:rPr>
          <w:fldChar w:fldCharType="begin"/>
        </w:r>
        <w:r w:rsidR="008F6F4A">
          <w:rPr>
            <w:noProof/>
            <w:webHidden/>
          </w:rPr>
          <w:instrText xml:space="preserve"> PAGEREF _Toc195618288 \h </w:instrText>
        </w:r>
        <w:r w:rsidR="008F6F4A">
          <w:rPr>
            <w:noProof/>
            <w:webHidden/>
          </w:rPr>
        </w:r>
        <w:r w:rsidR="008F6F4A">
          <w:rPr>
            <w:noProof/>
            <w:webHidden/>
          </w:rPr>
          <w:fldChar w:fldCharType="separate"/>
        </w:r>
        <w:r w:rsidR="00F51AED">
          <w:rPr>
            <w:noProof/>
            <w:webHidden/>
          </w:rPr>
          <w:t>1234</w:t>
        </w:r>
        <w:r w:rsidR="008F6F4A">
          <w:rPr>
            <w:noProof/>
            <w:webHidden/>
          </w:rPr>
          <w:fldChar w:fldCharType="end"/>
        </w:r>
      </w:hyperlink>
    </w:p>
    <w:p w14:paraId="04E7F155" w14:textId="48AB7BD6" w:rsidR="008F6F4A"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296" w:history="1">
        <w:r w:rsidR="008F6F4A" w:rsidRPr="00CA601B">
          <w:rPr>
            <w:rStyle w:val="Hyperlink"/>
            <w:noProof/>
            <w:lang w:val="es-CO" w:eastAsia="es-US"/>
          </w:rPr>
          <w:t>F.</w:t>
        </w:r>
        <w:r w:rsidR="008F6F4A">
          <w:rPr>
            <w:rFonts w:asciiTheme="minorHAnsi" w:eastAsiaTheme="minorEastAsia" w:hAnsiTheme="minorHAnsi"/>
            <w:noProof/>
            <w:kern w:val="2"/>
            <w:sz w:val="24"/>
            <w:szCs w:val="24"/>
            <w14:ligatures w14:val="standardContextual"/>
          </w:rPr>
          <w:tab/>
        </w:r>
        <w:r w:rsidR="008F6F4A" w:rsidRPr="00CA601B">
          <w:rPr>
            <w:rStyle w:val="Hyperlink"/>
            <w:noProof/>
            <w:lang w:val="es-CO" w:eastAsia="es-US"/>
          </w:rPr>
          <w:t>Libertad de expresión, reunión y asociación</w:t>
        </w:r>
        <w:r w:rsidR="008F6F4A">
          <w:rPr>
            <w:noProof/>
            <w:webHidden/>
          </w:rPr>
          <w:tab/>
        </w:r>
        <w:r w:rsidR="008F6F4A">
          <w:rPr>
            <w:noProof/>
            <w:webHidden/>
          </w:rPr>
          <w:fldChar w:fldCharType="begin"/>
        </w:r>
        <w:r w:rsidR="008F6F4A">
          <w:rPr>
            <w:noProof/>
            <w:webHidden/>
          </w:rPr>
          <w:instrText xml:space="preserve"> PAGEREF _Toc195618296 \h </w:instrText>
        </w:r>
        <w:r w:rsidR="008F6F4A">
          <w:rPr>
            <w:noProof/>
            <w:webHidden/>
          </w:rPr>
        </w:r>
        <w:r w:rsidR="008F6F4A">
          <w:rPr>
            <w:noProof/>
            <w:webHidden/>
          </w:rPr>
          <w:fldChar w:fldCharType="separate"/>
        </w:r>
        <w:r w:rsidR="00F51AED">
          <w:rPr>
            <w:noProof/>
            <w:webHidden/>
          </w:rPr>
          <w:t>1241</w:t>
        </w:r>
        <w:r w:rsidR="008F6F4A">
          <w:rPr>
            <w:noProof/>
            <w:webHidden/>
          </w:rPr>
          <w:fldChar w:fldCharType="end"/>
        </w:r>
      </w:hyperlink>
    </w:p>
    <w:p w14:paraId="2EE1C0AF" w14:textId="0DA6D3C2" w:rsidR="008F6F4A"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8300" w:history="1">
        <w:r w:rsidR="008F6F4A" w:rsidRPr="00CA601B">
          <w:rPr>
            <w:rStyle w:val="Hyperlink"/>
            <w:noProof/>
            <w:lang w:val="es-CO"/>
          </w:rPr>
          <w:t>G.</w:t>
        </w:r>
        <w:r w:rsidR="008F6F4A">
          <w:rPr>
            <w:rFonts w:asciiTheme="minorHAnsi" w:eastAsiaTheme="minorEastAsia" w:hAnsiTheme="minorHAnsi"/>
            <w:noProof/>
            <w:kern w:val="2"/>
            <w:sz w:val="24"/>
            <w:szCs w:val="24"/>
            <w14:ligatures w14:val="standardContextual"/>
          </w:rPr>
          <w:tab/>
        </w:r>
        <w:r w:rsidR="008F6F4A" w:rsidRPr="00CA601B">
          <w:rPr>
            <w:rStyle w:val="Hyperlink"/>
            <w:noProof/>
            <w:lang w:val="es-CO"/>
          </w:rPr>
          <w:t>Otras</w:t>
        </w:r>
        <w:r w:rsidR="008F6F4A">
          <w:rPr>
            <w:noProof/>
            <w:webHidden/>
          </w:rPr>
          <w:tab/>
        </w:r>
        <w:r w:rsidR="008F6F4A">
          <w:rPr>
            <w:noProof/>
            <w:webHidden/>
          </w:rPr>
          <w:fldChar w:fldCharType="begin"/>
        </w:r>
        <w:r w:rsidR="008F6F4A">
          <w:rPr>
            <w:noProof/>
            <w:webHidden/>
          </w:rPr>
          <w:instrText xml:space="preserve"> PAGEREF _Toc195618300 \h </w:instrText>
        </w:r>
        <w:r w:rsidR="008F6F4A">
          <w:rPr>
            <w:noProof/>
            <w:webHidden/>
          </w:rPr>
        </w:r>
        <w:r w:rsidR="008F6F4A">
          <w:rPr>
            <w:noProof/>
            <w:webHidden/>
          </w:rPr>
          <w:fldChar w:fldCharType="separate"/>
        </w:r>
        <w:r w:rsidR="00F51AED">
          <w:rPr>
            <w:noProof/>
            <w:webHidden/>
          </w:rPr>
          <w:t>1251</w:t>
        </w:r>
        <w:r w:rsidR="008F6F4A">
          <w:rPr>
            <w:noProof/>
            <w:webHidden/>
          </w:rPr>
          <w:fldChar w:fldCharType="end"/>
        </w:r>
      </w:hyperlink>
    </w:p>
    <w:p w14:paraId="25A9BE83" w14:textId="1D1D4A3B" w:rsidR="008F6F4A" w:rsidRDefault="00000000">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8301" w:history="1">
        <w:r w:rsidR="008F6F4A" w:rsidRPr="00CA601B">
          <w:rPr>
            <w:rStyle w:val="Hyperlink"/>
            <w:noProof/>
            <w:lang w:val="es-CO"/>
          </w:rPr>
          <w:t>III.</w:t>
        </w:r>
        <w:r w:rsidR="008F6F4A">
          <w:rPr>
            <w:rFonts w:asciiTheme="minorHAnsi" w:eastAsiaTheme="minorEastAsia" w:hAnsiTheme="minorHAnsi"/>
            <w:b w:val="0"/>
            <w:caps w:val="0"/>
            <w:noProof/>
            <w:kern w:val="2"/>
            <w:sz w:val="24"/>
            <w:szCs w:val="24"/>
            <w14:ligatures w14:val="standardContextual"/>
          </w:rPr>
          <w:tab/>
        </w:r>
        <w:r w:rsidR="008F6F4A" w:rsidRPr="00CA601B">
          <w:rPr>
            <w:rStyle w:val="Hyperlink"/>
            <w:noProof/>
            <w:lang w:val="es-CO"/>
          </w:rPr>
          <w:t>CUADRO RESUMEN DE NIVEL DE CUMPLIMIENTO DE LAS RECOMENDACIONES</w:t>
        </w:r>
        <w:r w:rsidR="008F6F4A">
          <w:rPr>
            <w:noProof/>
            <w:webHidden/>
          </w:rPr>
          <w:tab/>
        </w:r>
        <w:r w:rsidR="008F6F4A">
          <w:rPr>
            <w:noProof/>
            <w:webHidden/>
          </w:rPr>
          <w:fldChar w:fldCharType="begin"/>
        </w:r>
        <w:r w:rsidR="008F6F4A">
          <w:rPr>
            <w:noProof/>
            <w:webHidden/>
          </w:rPr>
          <w:instrText xml:space="preserve"> PAGEREF _Toc195618301 \h </w:instrText>
        </w:r>
        <w:r w:rsidR="008F6F4A">
          <w:rPr>
            <w:noProof/>
            <w:webHidden/>
          </w:rPr>
        </w:r>
        <w:r w:rsidR="008F6F4A">
          <w:rPr>
            <w:noProof/>
            <w:webHidden/>
          </w:rPr>
          <w:fldChar w:fldCharType="separate"/>
        </w:r>
        <w:r w:rsidR="00F51AED">
          <w:rPr>
            <w:noProof/>
            <w:webHidden/>
          </w:rPr>
          <w:t>1253</w:t>
        </w:r>
        <w:r w:rsidR="008F6F4A">
          <w:rPr>
            <w:noProof/>
            <w:webHidden/>
          </w:rPr>
          <w:fldChar w:fldCharType="end"/>
        </w:r>
      </w:hyperlink>
    </w:p>
    <w:p w14:paraId="7BFE5F42" w14:textId="30312F90" w:rsidR="008F6F4A" w:rsidRDefault="00000000">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8302" w:history="1">
        <w:r w:rsidR="008F6F4A" w:rsidRPr="00CA601B">
          <w:rPr>
            <w:rStyle w:val="Hyperlink"/>
            <w:noProof/>
            <w:lang w:val="es-CO"/>
          </w:rPr>
          <w:t>IV.</w:t>
        </w:r>
        <w:r w:rsidR="008F6F4A">
          <w:rPr>
            <w:rFonts w:asciiTheme="minorHAnsi" w:eastAsiaTheme="minorEastAsia" w:hAnsiTheme="minorHAnsi"/>
            <w:b w:val="0"/>
            <w:caps w:val="0"/>
            <w:noProof/>
            <w:kern w:val="2"/>
            <w:sz w:val="24"/>
            <w:szCs w:val="24"/>
            <w14:ligatures w14:val="standardContextual"/>
          </w:rPr>
          <w:tab/>
        </w:r>
        <w:r w:rsidR="008F6F4A" w:rsidRPr="00CA601B">
          <w:rPr>
            <w:rStyle w:val="Hyperlink"/>
            <w:noProof/>
            <w:lang w:val="es-CO"/>
          </w:rPr>
          <w:t>CONCLUSIONES</w:t>
        </w:r>
        <w:r w:rsidR="008F6F4A">
          <w:rPr>
            <w:noProof/>
            <w:webHidden/>
          </w:rPr>
          <w:tab/>
        </w:r>
        <w:r w:rsidR="008F6F4A">
          <w:rPr>
            <w:noProof/>
            <w:webHidden/>
          </w:rPr>
          <w:fldChar w:fldCharType="begin"/>
        </w:r>
        <w:r w:rsidR="008F6F4A">
          <w:rPr>
            <w:noProof/>
            <w:webHidden/>
          </w:rPr>
          <w:instrText xml:space="preserve"> PAGEREF _Toc195618302 \h </w:instrText>
        </w:r>
        <w:r w:rsidR="008F6F4A">
          <w:rPr>
            <w:noProof/>
            <w:webHidden/>
          </w:rPr>
        </w:r>
        <w:r w:rsidR="008F6F4A">
          <w:rPr>
            <w:noProof/>
            <w:webHidden/>
          </w:rPr>
          <w:fldChar w:fldCharType="separate"/>
        </w:r>
        <w:r w:rsidR="00F51AED">
          <w:rPr>
            <w:noProof/>
            <w:webHidden/>
          </w:rPr>
          <w:t>1254</w:t>
        </w:r>
        <w:r w:rsidR="008F6F4A">
          <w:rPr>
            <w:noProof/>
            <w:webHidden/>
          </w:rPr>
          <w:fldChar w:fldCharType="end"/>
        </w:r>
      </w:hyperlink>
    </w:p>
    <w:p w14:paraId="441A4033" w14:textId="5FDBC43F" w:rsidR="008F6F4A" w:rsidRDefault="008F6F4A" w:rsidP="008F6F4A">
      <w:pPr>
        <w:rPr>
          <w:lang w:val="es-CO"/>
        </w:rPr>
        <w:sectPr w:rsidR="008F6F4A" w:rsidSect="00F4709D">
          <w:type w:val="oddPage"/>
          <w:pgSz w:w="12240" w:h="15840"/>
          <w:pgMar w:top="1440" w:right="1440" w:bottom="1440" w:left="1440" w:header="720" w:footer="720" w:gutter="0"/>
          <w:pgNumType w:start="1201"/>
          <w:cols w:space="720"/>
          <w:titlePg/>
          <w:docGrid w:linePitch="360"/>
        </w:sectPr>
      </w:pPr>
      <w:r>
        <w:rPr>
          <w:lang w:val="es-CO"/>
        </w:rPr>
        <w:fldChar w:fldCharType="end"/>
      </w:r>
    </w:p>
    <w:p w14:paraId="3AFFB2CD" w14:textId="2241C266" w:rsidR="003B41C5" w:rsidRPr="00936191" w:rsidRDefault="003B5BF1" w:rsidP="003B41C5">
      <w:pPr>
        <w:pStyle w:val="IACaptulo"/>
        <w:rPr>
          <w:lang w:val="es-CO"/>
        </w:rPr>
      </w:pPr>
      <w:r w:rsidRPr="00936191">
        <w:rPr>
          <w:lang w:val="es-CO"/>
        </w:rPr>
        <w:t>C</w:t>
      </w:r>
      <w:r w:rsidR="00864C83" w:rsidRPr="00936191">
        <w:rPr>
          <w:lang w:val="es-CO"/>
        </w:rPr>
        <w:t>APÍTULO V</w:t>
      </w:r>
    </w:p>
    <w:p w14:paraId="5BE57414" w14:textId="637B4236" w:rsidR="00864C83" w:rsidRPr="00936191" w:rsidRDefault="00864C83" w:rsidP="003B41C5">
      <w:pPr>
        <w:pStyle w:val="IACaptulo"/>
        <w:rPr>
          <w:lang w:val="es-CO"/>
        </w:rPr>
      </w:pPr>
      <w:r w:rsidRPr="00936191">
        <w:rPr>
          <w:lang w:val="es-CO"/>
        </w:rPr>
        <w:t>SEGUIMIENTO DE RECOMENDACIONES FORMULADAS POR LA CIDH EN SUS INFORMES DE PAÍS O TEMÁTICOS</w:t>
      </w:r>
    </w:p>
    <w:p w14:paraId="1FF74A82" w14:textId="1878915C" w:rsidR="00864C83" w:rsidRPr="00936191" w:rsidRDefault="004E2C4C" w:rsidP="00210DFF">
      <w:pPr>
        <w:pStyle w:val="IACaptulo"/>
        <w:rPr>
          <w:sz w:val="22"/>
          <w:lang w:val="es-419"/>
        </w:rPr>
      </w:pPr>
      <w:r w:rsidRPr="00936191">
        <w:rPr>
          <w:sz w:val="22"/>
          <w:lang w:val="es-419"/>
        </w:rPr>
        <w:t>PRIMER</w:t>
      </w:r>
      <w:r w:rsidR="384E75D7" w:rsidRPr="00936191">
        <w:rPr>
          <w:sz w:val="22"/>
          <w:lang w:val="es-419"/>
        </w:rPr>
        <w:t xml:space="preserve"> </w:t>
      </w:r>
      <w:r w:rsidR="6CF3D0C1" w:rsidRPr="00936191">
        <w:rPr>
          <w:sz w:val="22"/>
          <w:lang w:val="es-419"/>
        </w:rPr>
        <w:t xml:space="preserve">INFORME DE SEGUIMIENTO DE LAS RECOMENDACIONES FORMULADAS POR LA CIDH EN EL INFORME </w:t>
      </w:r>
      <w:r w:rsidR="001F4A73">
        <w:rPr>
          <w:sz w:val="22"/>
          <w:lang w:val="es-419"/>
        </w:rPr>
        <w:t xml:space="preserve">de 2023 </w:t>
      </w:r>
      <w:r w:rsidR="00FA70E0" w:rsidRPr="00936191">
        <w:rPr>
          <w:sz w:val="22"/>
          <w:lang w:val="es-419"/>
        </w:rPr>
        <w:t>SOBRE LA Situación de Derechos Humanos en Perú en el contexto de las protestas sociales</w:t>
      </w:r>
    </w:p>
    <w:p w14:paraId="351254FA" w14:textId="231B9736" w:rsidR="005B081B" w:rsidRPr="00936191" w:rsidRDefault="0178BBC0" w:rsidP="005B081B">
      <w:pPr>
        <w:pStyle w:val="IATtulo"/>
      </w:pPr>
      <w:bookmarkStart w:id="3" w:name="_Toc195618271"/>
      <w:r w:rsidRPr="00936191">
        <w:t>I</w:t>
      </w:r>
      <w:r w:rsidR="005B081B" w:rsidRPr="00936191">
        <w:t>NTRODUCCIÓN</w:t>
      </w:r>
      <w:bookmarkEnd w:id="3"/>
    </w:p>
    <w:p w14:paraId="51EEFD80" w14:textId="22FAA70E" w:rsidR="005B081B" w:rsidRPr="00E83710" w:rsidRDefault="005B081B" w:rsidP="00E83710">
      <w:pPr>
        <w:pStyle w:val="IAPrrafo"/>
      </w:pPr>
      <w:r w:rsidRPr="00E83710">
        <w:t>El presente capítulo tiene como objetivo realizar el seguimiento a las recomendaciones emitidas en el Informe sobre la Situación de Derechos Humanos en Perú en el contexto de las protestas sociales, el cual fue aprobado el 23 de abril de 2023 por la Comisión Interamericana de Derechos Humanos (en adelante “Comisión”, “Comisión Interamericana” o “CIDH”), en cumplimiento del inciso 9 del artículo 59 de su Reglamento. Conforme a esta disposición, la Comisión dará seguimiento, a través del Capítulo V de su Informe Anual, a las medidas adoptadas por los Estados miembros de la Organización de los Estados Americanos (en adelante “OEA”) para cumplir las recomendaciones formuladas en los informes de país o temáticos de la CIDH.</w:t>
      </w:r>
    </w:p>
    <w:p w14:paraId="3F20EADD" w14:textId="21F555A3" w:rsidR="005B081B" w:rsidRPr="00E83710" w:rsidRDefault="005B081B" w:rsidP="005B081B">
      <w:pPr>
        <w:pStyle w:val="IAPrrafo"/>
      </w:pPr>
      <w:r w:rsidRPr="00E83710">
        <w:t>Respecto a los antecedentes de este informe de seguimiento, en el contexto de la crisis de institucionalidad democrática y social del Perú</w:t>
      </w:r>
      <w:r w:rsidR="00126065" w:rsidRPr="00E83710">
        <w:t xml:space="preserve"> de 2022</w:t>
      </w:r>
      <w:r w:rsidRPr="00E83710">
        <w:t>, la CIDH realizó una visita de trabajo al país entre el 11 al 13 de enero de 2023, la cual fue precedida por una misión técnica preparatoria de la Secretaría Ejecutiva, que se llevó a cabo del 20 al 22 de diciembre de 2022.</w:t>
      </w:r>
    </w:p>
    <w:p w14:paraId="41F7A63F" w14:textId="66DE60AA" w:rsidR="005B081B" w:rsidRPr="00E83710" w:rsidRDefault="005B081B" w:rsidP="005B081B">
      <w:pPr>
        <w:pStyle w:val="IAPrrafo"/>
        <w:rPr>
          <w:szCs w:val="20"/>
          <w:lang w:val="es-MX"/>
        </w:rPr>
      </w:pPr>
      <w:r w:rsidRPr="00936191">
        <w:rPr>
          <w:szCs w:val="20"/>
          <w:lang w:val="es-MX"/>
        </w:rPr>
        <w:t xml:space="preserve">En el 2023, la CIDH emitió el Informe sobre la </w:t>
      </w:r>
      <w:r w:rsidRPr="00936191">
        <w:rPr>
          <w:rFonts w:eastAsia="Calibri" w:cs="Times New Roman"/>
          <w:bCs/>
          <w:szCs w:val="20"/>
          <w:lang w:val="es-ES"/>
        </w:rPr>
        <w:t>Situación de Derechos Humanos en Perú en el contexto de las protestas sociales</w:t>
      </w:r>
      <w:r w:rsidRPr="00936191">
        <w:rPr>
          <w:szCs w:val="20"/>
          <w:lang w:val="es-MX"/>
        </w:rPr>
        <w:t xml:space="preserve"> (en adelante “Informe de País”)</w:t>
      </w:r>
      <w:r w:rsidR="00F36B41">
        <w:rPr>
          <w:rFonts w:ascii="ZWAdobeF" w:hAnsi="ZWAdobeF" w:cs="ZWAdobeF"/>
          <w:color w:val="auto"/>
          <w:sz w:val="2"/>
          <w:szCs w:val="2"/>
          <w:lang w:val="es-MX"/>
        </w:rPr>
        <w:t>0F</w:t>
      </w:r>
      <w:r w:rsidRPr="00936191">
        <w:rPr>
          <w:rStyle w:val="FootnoteReference"/>
          <w:szCs w:val="20"/>
          <w:lang w:val="es-MX"/>
        </w:rPr>
        <w:footnoteReference w:id="2"/>
      </w:r>
      <w:r w:rsidRPr="00936191">
        <w:rPr>
          <w:szCs w:val="20"/>
          <w:lang w:val="es-MX"/>
        </w:rPr>
        <w:t xml:space="preserve">. </w:t>
      </w:r>
      <w:r w:rsidR="008A515A" w:rsidRPr="00936191">
        <w:rPr>
          <w:szCs w:val="20"/>
          <w:lang w:val="es-MX"/>
        </w:rPr>
        <w:t>Conforme a lo establecido por el artículo 59 inciso 5 de su Reglamento, p</w:t>
      </w:r>
      <w:r w:rsidRPr="00936191">
        <w:rPr>
          <w:szCs w:val="20"/>
          <w:lang w:val="es-MX"/>
        </w:rPr>
        <w:t>ara la elaboración de este informe, la Comisión se valió de los hallazgos e información obtenida antes, durante y con posterioridad a la visita previamente mencionada y, en las investigaciones realizadas de oficio, información proporcionada por el Estado, insumos provenientes de los diferentes mecanismos a través de los cuales la CIDH ha dado seguimiento a la situación en el país, así como</w:t>
      </w:r>
      <w:r w:rsidR="00FD7A41">
        <w:rPr>
          <w:szCs w:val="20"/>
          <w:lang w:val="es-MX"/>
        </w:rPr>
        <w:t xml:space="preserve"> de</w:t>
      </w:r>
      <w:r w:rsidRPr="00936191">
        <w:rPr>
          <w:szCs w:val="20"/>
          <w:lang w:val="es-MX"/>
        </w:rPr>
        <w:t xml:space="preserve"> notas periodísticas, decisiones y recomendaciones de organismos internacionales especializados, entre otros. </w:t>
      </w:r>
    </w:p>
    <w:p w14:paraId="392F0C6B" w14:textId="7C2F48B9" w:rsidR="005B081B" w:rsidRPr="00346F2A" w:rsidRDefault="008A515A" w:rsidP="005B081B">
      <w:pPr>
        <w:pStyle w:val="IAPrrafo"/>
        <w:rPr>
          <w:szCs w:val="20"/>
          <w:lang w:val="es-MX"/>
        </w:rPr>
      </w:pPr>
      <w:r w:rsidRPr="00936191">
        <w:rPr>
          <w:szCs w:val="20"/>
          <w:lang w:val="es-MX"/>
        </w:rPr>
        <w:t>E</w:t>
      </w:r>
      <w:r w:rsidR="005B081B" w:rsidRPr="00936191">
        <w:rPr>
          <w:szCs w:val="20"/>
          <w:lang w:val="es-MX"/>
        </w:rPr>
        <w:t xml:space="preserve">n el Informe de País, que incluye hechos ocurridos entre el 7 de diciembre de 2022 y el 23 de enero de 2023, la Comisión abordó la situación de los derechos humanos en el Perú, en el contexto de numerosas y masivas manifestaciones pacíficas, así como de hechos de violencia registrados por fuera del derecho a la protesta. </w:t>
      </w:r>
      <w:r w:rsidRPr="00936191">
        <w:rPr>
          <w:szCs w:val="20"/>
          <w:lang w:val="es-MX"/>
        </w:rPr>
        <w:t>L</w:t>
      </w:r>
      <w:r w:rsidR="005B081B" w:rsidRPr="00936191">
        <w:rPr>
          <w:szCs w:val="20"/>
          <w:lang w:val="es-MX"/>
        </w:rPr>
        <w:t>a Comisión registró complejas situaciones de conflictividad social que terminaron con un saldo de decenas de personas fallecidas y cientos de heridas, dando cuenta de hechos de uso desproporcionado de la fuerza, ataques a periodistas, así como de detenciones masivas de personas manifestantes. Los anteriores hallazgos fueron registrados por la CIDH en el marco de problemas estructurales del país, como la desigualdad o la discriminación histórica contra ciertos grupos</w:t>
      </w:r>
      <w:r w:rsidR="00F36B41">
        <w:rPr>
          <w:rFonts w:ascii="ZWAdobeF" w:hAnsi="ZWAdobeF" w:cs="ZWAdobeF"/>
          <w:color w:val="auto"/>
          <w:sz w:val="2"/>
          <w:szCs w:val="2"/>
          <w:lang w:val="es-MX"/>
        </w:rPr>
        <w:t>1F</w:t>
      </w:r>
      <w:r w:rsidR="005B081B" w:rsidRPr="00936191">
        <w:rPr>
          <w:rStyle w:val="FootnoteReference"/>
          <w:szCs w:val="20"/>
          <w:lang w:val="es-MX"/>
        </w:rPr>
        <w:footnoteReference w:id="3"/>
      </w:r>
      <w:r w:rsidR="005B081B" w:rsidRPr="00936191">
        <w:rPr>
          <w:szCs w:val="20"/>
          <w:lang w:val="es-MX"/>
        </w:rPr>
        <w:t>.</w:t>
      </w:r>
    </w:p>
    <w:p w14:paraId="5CFC46A7" w14:textId="77777777" w:rsidR="005B081B" w:rsidRPr="003B6C8E" w:rsidRDefault="005B081B" w:rsidP="003B6C8E">
      <w:pPr>
        <w:pStyle w:val="IAPrrafo"/>
      </w:pPr>
      <w:r w:rsidRPr="003B6C8E">
        <w:t>Con base en los hallazgos de la CIDH, el Informe de País emitió 36 recomendaciones dirigidas al Estado, de acuerdo con los siguientes seis ejes temáticos: (i) Diálogo y superación de la crisis, (</w:t>
      </w:r>
      <w:proofErr w:type="spellStart"/>
      <w:r w:rsidRPr="003B6C8E">
        <w:t>ii</w:t>
      </w:r>
      <w:proofErr w:type="spellEnd"/>
      <w:r w:rsidRPr="003B6C8E">
        <w:t>) seguridad ciudadana, (</w:t>
      </w:r>
      <w:proofErr w:type="spellStart"/>
      <w:r w:rsidRPr="003B6C8E">
        <w:t>iii</w:t>
      </w:r>
      <w:proofErr w:type="spellEnd"/>
      <w:r w:rsidRPr="003B6C8E">
        <w:t>) reparación y atención a víctimas de derechos humanos, (</w:t>
      </w:r>
      <w:proofErr w:type="spellStart"/>
      <w:r w:rsidRPr="003B6C8E">
        <w:t>iv</w:t>
      </w:r>
      <w:proofErr w:type="spellEnd"/>
      <w:r w:rsidRPr="003B6C8E">
        <w:t xml:space="preserve">) lucha contra la impunidad, (v) institucionalidad democrática y (vi) libertad de expresión, reunión y asociación. </w:t>
      </w:r>
    </w:p>
    <w:p w14:paraId="552F5014" w14:textId="6FD7183E" w:rsidR="005B081B" w:rsidRPr="00936191" w:rsidRDefault="005B081B" w:rsidP="00E83710">
      <w:pPr>
        <w:pStyle w:val="IAPrrafo"/>
        <w:rPr>
          <w:szCs w:val="20"/>
          <w:lang w:val="es-CO"/>
        </w:rPr>
      </w:pPr>
      <w:r w:rsidRPr="00936191">
        <w:rPr>
          <w:szCs w:val="20"/>
          <w:lang w:val="es-CO"/>
        </w:rPr>
        <w:t>Este es el primer informe de la CIDH que da seguimiento al cumplimiento de las recomendaciones del</w:t>
      </w:r>
      <w:r w:rsidR="006B14F8">
        <w:rPr>
          <w:szCs w:val="20"/>
          <w:lang w:val="es-CO"/>
        </w:rPr>
        <w:t xml:space="preserve"> último</w:t>
      </w:r>
      <w:r w:rsidRPr="00936191">
        <w:rPr>
          <w:szCs w:val="20"/>
          <w:lang w:val="es-CO"/>
        </w:rPr>
        <w:t xml:space="preserve"> Informe de País del Perú. Particularmente, identifica las medidas estatales adoptadas para dar cumplimiento a las recomendaciones de la Comisión, así como los desafíos pendientes en materia de implementación, con base en la información proporcionada por el Estado</w:t>
      </w:r>
      <w:r w:rsidR="008A515A" w:rsidRPr="00936191">
        <w:rPr>
          <w:szCs w:val="20"/>
          <w:lang w:val="es-CO"/>
        </w:rPr>
        <w:t>, las</w:t>
      </w:r>
      <w:r w:rsidRPr="00936191">
        <w:rPr>
          <w:szCs w:val="20"/>
          <w:lang w:val="es-CO"/>
        </w:rPr>
        <w:t xml:space="preserve"> organizaciones de la sociedad civil, </w:t>
      </w:r>
      <w:r w:rsidR="008A515A" w:rsidRPr="00936191">
        <w:rPr>
          <w:szCs w:val="20"/>
          <w:lang w:val="es-CO"/>
        </w:rPr>
        <w:t>e</w:t>
      </w:r>
      <w:r w:rsidRPr="00936191">
        <w:rPr>
          <w:szCs w:val="20"/>
          <w:lang w:val="es-CO"/>
        </w:rPr>
        <w:t xml:space="preserve"> información de acceso público.</w:t>
      </w:r>
    </w:p>
    <w:p w14:paraId="4DB3DAA6" w14:textId="25B3AA2C" w:rsidR="005B081B" w:rsidRDefault="005B081B" w:rsidP="005B081B">
      <w:pPr>
        <w:pStyle w:val="IAPrrafo"/>
        <w:rPr>
          <w:szCs w:val="20"/>
          <w:lang w:val="es-MX"/>
        </w:rPr>
      </w:pPr>
      <w:r w:rsidRPr="00936191">
        <w:rPr>
          <w:szCs w:val="20"/>
          <w:lang w:val="es-CO"/>
        </w:rPr>
        <w:t xml:space="preserve">En </w:t>
      </w:r>
      <w:r w:rsidR="00147D9B">
        <w:rPr>
          <w:szCs w:val="20"/>
          <w:lang w:val="es-CO"/>
        </w:rPr>
        <w:t xml:space="preserve">el proceso de </w:t>
      </w:r>
      <w:r w:rsidRPr="00936191">
        <w:rPr>
          <w:szCs w:val="20"/>
          <w:lang w:val="es-CO"/>
        </w:rPr>
        <w:t>seguimiento de las recomendaciones del Informe de País, el 3 de mayo del 2023, la CIDH solicitó al Estado del Perú información sobre su cumplimiento</w:t>
      </w:r>
      <w:r w:rsidR="008A515A" w:rsidRPr="00936191">
        <w:rPr>
          <w:szCs w:val="20"/>
          <w:lang w:val="es-CO"/>
        </w:rPr>
        <w:t>, que recibió por parte</w:t>
      </w:r>
      <w:r w:rsidR="00A35D33" w:rsidRPr="00936191">
        <w:rPr>
          <w:szCs w:val="20"/>
          <w:lang w:val="es-CO"/>
        </w:rPr>
        <w:t xml:space="preserve"> </w:t>
      </w:r>
      <w:r w:rsidR="008A515A" w:rsidRPr="00936191">
        <w:rPr>
          <w:szCs w:val="20"/>
          <w:lang w:val="es-MX"/>
        </w:rPr>
        <w:t>d</w:t>
      </w:r>
      <w:r w:rsidRPr="00936191">
        <w:rPr>
          <w:szCs w:val="20"/>
          <w:lang w:val="es-MX"/>
        </w:rPr>
        <w:t>el Estado el 8 de enero del 2024 y</w:t>
      </w:r>
      <w:r w:rsidR="008A515A" w:rsidRPr="00936191">
        <w:rPr>
          <w:szCs w:val="20"/>
          <w:lang w:val="es-MX"/>
        </w:rPr>
        <w:t xml:space="preserve"> que</w:t>
      </w:r>
      <w:r w:rsidRPr="00936191">
        <w:rPr>
          <w:szCs w:val="20"/>
          <w:lang w:val="es-MX"/>
        </w:rPr>
        <w:t xml:space="preserve"> publicó a través del SIMORE Interamericano. Asimismo, con motivo de la elaboración del presente informe de seguimiento, el 8 de noviembre de 2024, la CIDH solicitó nuevamente al Estado presentar, en el plazo de 30 días, la información sobre el cumplimiento de las recomendaciones contenidas en el Informe de País. En consecuencia, el Estado aportó la información solicitada el 11 de diciembre de 2024</w:t>
      </w:r>
      <w:r w:rsidR="00F36B41">
        <w:rPr>
          <w:rFonts w:ascii="ZWAdobeF" w:hAnsi="ZWAdobeF" w:cs="ZWAdobeF"/>
          <w:color w:val="auto"/>
          <w:sz w:val="2"/>
          <w:szCs w:val="2"/>
          <w:lang w:val="es-MX"/>
        </w:rPr>
        <w:t>2F</w:t>
      </w:r>
      <w:r w:rsidRPr="00936191">
        <w:rPr>
          <w:rStyle w:val="FootnoteReference"/>
          <w:szCs w:val="20"/>
          <w:lang w:val="es-MX"/>
        </w:rPr>
        <w:footnoteReference w:id="4"/>
      </w:r>
      <w:r w:rsidR="00BC1919">
        <w:rPr>
          <w:szCs w:val="20"/>
          <w:lang w:val="es-MX"/>
        </w:rPr>
        <w:t xml:space="preserve">, que la </w:t>
      </w:r>
      <w:r w:rsidRPr="00936191">
        <w:rPr>
          <w:szCs w:val="20"/>
          <w:lang w:val="es-MX"/>
        </w:rPr>
        <w:t xml:space="preserve">publicó </w:t>
      </w:r>
      <w:r w:rsidR="00BC1919">
        <w:rPr>
          <w:szCs w:val="20"/>
          <w:lang w:val="es-MX"/>
        </w:rPr>
        <w:t xml:space="preserve">además </w:t>
      </w:r>
      <w:r w:rsidRPr="00936191">
        <w:rPr>
          <w:szCs w:val="20"/>
          <w:lang w:val="es-MX"/>
        </w:rPr>
        <w:t>a través del SIMORE Interamericano, por lo que puede ser consultada por cualquier persona a través de esta herramienta informática</w:t>
      </w:r>
      <w:r w:rsidR="00F36B41">
        <w:rPr>
          <w:rFonts w:ascii="ZWAdobeF" w:hAnsi="ZWAdobeF" w:cs="ZWAdobeF"/>
          <w:color w:val="auto"/>
          <w:sz w:val="2"/>
          <w:szCs w:val="2"/>
          <w:lang w:val="es-MX"/>
        </w:rPr>
        <w:t>3F</w:t>
      </w:r>
      <w:r w:rsidRPr="00936191">
        <w:rPr>
          <w:rStyle w:val="FootnoteReference"/>
          <w:szCs w:val="20"/>
          <w:lang w:val="es-MX"/>
        </w:rPr>
        <w:footnoteReference w:id="5"/>
      </w:r>
      <w:r w:rsidRPr="00936191">
        <w:rPr>
          <w:szCs w:val="20"/>
          <w:lang w:val="es-MX"/>
        </w:rPr>
        <w:t>. La Comisión valora y agradece la información recibida que</w:t>
      </w:r>
      <w:r w:rsidR="00BC1919">
        <w:rPr>
          <w:szCs w:val="20"/>
          <w:lang w:val="es-MX"/>
        </w:rPr>
        <w:t>,</w:t>
      </w:r>
      <w:r w:rsidRPr="00936191">
        <w:rPr>
          <w:szCs w:val="20"/>
          <w:lang w:val="es-MX"/>
        </w:rPr>
        <w:t xml:space="preserve"> en lo pertinente</w:t>
      </w:r>
      <w:r w:rsidR="0056204C">
        <w:rPr>
          <w:szCs w:val="20"/>
          <w:lang w:val="es-MX"/>
        </w:rPr>
        <w:t>,</w:t>
      </w:r>
      <w:r w:rsidRPr="00936191">
        <w:rPr>
          <w:szCs w:val="20"/>
          <w:lang w:val="es-MX"/>
        </w:rPr>
        <w:t xml:space="preserve"> fue incluida en el presente informe. </w:t>
      </w:r>
    </w:p>
    <w:p w14:paraId="7B40D26B" w14:textId="0B155FE8" w:rsidR="00B4104E" w:rsidRPr="00B4104E" w:rsidRDefault="00B4104E" w:rsidP="00B4104E">
      <w:pPr>
        <w:pStyle w:val="IAPrrafo"/>
        <w:rPr>
          <w:szCs w:val="20"/>
          <w:lang w:val="es-MX"/>
        </w:rPr>
      </w:pPr>
      <w:r w:rsidRPr="00AB000C">
        <w:rPr>
          <w:szCs w:val="20"/>
          <w:lang w:val="es-MX"/>
        </w:rPr>
        <w:t>Además, la CIDH realizó una visita de Alto Nivel al Estado peruano el 12 y 13 de agosto del 2024 para sostener reuniones con el Poder Ejecutivo, el Congreso de la República, el Poder Judicial, la Defensoría del Pueblo, el Ministerio Público, los órganos electorales, y el Tribunal Constitucional. Estas reuniones le permitieron a la CIDH recoger información sobre los avances y retos en el cumplimiento de las recomendaciones.</w:t>
      </w:r>
    </w:p>
    <w:p w14:paraId="00FB5F95" w14:textId="656D3BAA" w:rsidR="005B081B" w:rsidRPr="003B6C8E" w:rsidRDefault="005B081B" w:rsidP="003B6C8E">
      <w:pPr>
        <w:pStyle w:val="IAPrrafo"/>
        <w:rPr>
          <w:szCs w:val="20"/>
          <w:lang w:val="es-MX"/>
        </w:rPr>
      </w:pPr>
      <w:r w:rsidRPr="00936191">
        <w:rPr>
          <w:szCs w:val="20"/>
          <w:lang w:val="es-MX"/>
        </w:rPr>
        <w:t>Por su parte, la CIDH también remitió un cuestionario a las organizaciones de la sociedad civil con la finalidad de proporcionar información relevante al seguimiento de las recomendaciones. Parte de estas respuestas fueron publicadas a través del SIMORE Interamericano, por lo que también pueden ser consultadas mediante esta herramienta informática</w:t>
      </w:r>
      <w:r w:rsidR="00F36B41">
        <w:rPr>
          <w:rFonts w:ascii="ZWAdobeF" w:hAnsi="ZWAdobeF" w:cs="ZWAdobeF"/>
          <w:color w:val="auto"/>
          <w:sz w:val="2"/>
          <w:szCs w:val="2"/>
          <w:lang w:val="es-MX"/>
        </w:rPr>
        <w:t>4F</w:t>
      </w:r>
      <w:r w:rsidRPr="00936191">
        <w:rPr>
          <w:rStyle w:val="FootnoteReference"/>
          <w:szCs w:val="20"/>
          <w:lang w:val="es-MX"/>
        </w:rPr>
        <w:footnoteReference w:id="6"/>
      </w:r>
      <w:r w:rsidRPr="00936191">
        <w:rPr>
          <w:szCs w:val="20"/>
          <w:lang w:val="es-MX"/>
        </w:rPr>
        <w:t xml:space="preserve">. La CIDH agradece la información proporcionada, la cual fue tenida en cuenta </w:t>
      </w:r>
      <w:r w:rsidR="008A515A" w:rsidRPr="00936191">
        <w:rPr>
          <w:szCs w:val="20"/>
          <w:lang w:val="es-MX"/>
        </w:rPr>
        <w:t xml:space="preserve">en lo pertinente </w:t>
      </w:r>
      <w:r w:rsidRPr="00936191">
        <w:rPr>
          <w:szCs w:val="20"/>
          <w:lang w:val="es-MX"/>
        </w:rPr>
        <w:t>para el seguimiento de las recomendaciones del Informe de País</w:t>
      </w:r>
      <w:r w:rsidR="00F36B41">
        <w:rPr>
          <w:rFonts w:ascii="ZWAdobeF" w:hAnsi="ZWAdobeF" w:cs="ZWAdobeF"/>
          <w:color w:val="auto"/>
          <w:sz w:val="2"/>
          <w:szCs w:val="2"/>
          <w:lang w:val="es-MX"/>
        </w:rPr>
        <w:t>5F</w:t>
      </w:r>
      <w:r w:rsidR="00996AC4" w:rsidRPr="00936191">
        <w:rPr>
          <w:rStyle w:val="FootnoteReference"/>
          <w:szCs w:val="20"/>
          <w:lang w:val="es-MX"/>
        </w:rPr>
        <w:footnoteReference w:id="7"/>
      </w:r>
      <w:r w:rsidR="00996AC4" w:rsidRPr="00936191">
        <w:rPr>
          <w:szCs w:val="20"/>
          <w:lang w:val="es-MX"/>
        </w:rPr>
        <w:t>.</w:t>
      </w:r>
    </w:p>
    <w:p w14:paraId="6779162F" w14:textId="6CED4252" w:rsidR="005B081B" w:rsidRPr="003D7FC6" w:rsidRDefault="005B081B" w:rsidP="005B081B">
      <w:pPr>
        <w:pStyle w:val="IAPrrafo"/>
        <w:rPr>
          <w:szCs w:val="20"/>
          <w:lang w:val="es-MX"/>
        </w:rPr>
      </w:pPr>
      <w:r w:rsidRPr="00DD4FEE">
        <w:rPr>
          <w:szCs w:val="20"/>
          <w:lang w:val="es-MX"/>
        </w:rPr>
        <w:t xml:space="preserve">El </w:t>
      </w:r>
      <w:r w:rsidR="000B2AFE" w:rsidRPr="00DD4FEE">
        <w:rPr>
          <w:szCs w:val="20"/>
          <w:lang w:val="es-MX"/>
        </w:rPr>
        <w:t>1</w:t>
      </w:r>
      <w:r w:rsidR="00C02413" w:rsidRPr="00DD4FEE">
        <w:rPr>
          <w:szCs w:val="20"/>
          <w:lang w:val="es-MX"/>
        </w:rPr>
        <w:t>4</w:t>
      </w:r>
      <w:r w:rsidRPr="00DD4FEE">
        <w:rPr>
          <w:szCs w:val="20"/>
          <w:lang w:val="es-MX"/>
        </w:rPr>
        <w:t xml:space="preserve"> de </w:t>
      </w:r>
      <w:r w:rsidR="000B2AFE" w:rsidRPr="00DD4FEE">
        <w:rPr>
          <w:szCs w:val="20"/>
          <w:lang w:val="es-MX"/>
        </w:rPr>
        <w:t>febrero</w:t>
      </w:r>
      <w:r w:rsidRPr="00DD4FEE">
        <w:rPr>
          <w:szCs w:val="20"/>
          <w:lang w:val="es-MX"/>
        </w:rPr>
        <w:t xml:space="preserve"> de 2025, la Comisión transmitió al Estado una copia del borrador preliminar de este informe, de acuerdo con el artículo 59 inciso 10 de su Reglamento, y solicitó remitir sus observaciones. El </w:t>
      </w:r>
      <w:r w:rsidR="00BD6DAE" w:rsidRPr="00DD4FEE">
        <w:rPr>
          <w:szCs w:val="20"/>
          <w:lang w:val="es-MX"/>
        </w:rPr>
        <w:t>14</w:t>
      </w:r>
      <w:r w:rsidRPr="00DD4FEE">
        <w:rPr>
          <w:szCs w:val="20"/>
          <w:lang w:val="es-MX"/>
        </w:rPr>
        <w:t xml:space="preserve"> de </w:t>
      </w:r>
      <w:r w:rsidR="00BD6DAE" w:rsidRPr="00DD4FEE">
        <w:rPr>
          <w:szCs w:val="20"/>
          <w:lang w:val="es-MX"/>
        </w:rPr>
        <w:t>marzo</w:t>
      </w:r>
      <w:r w:rsidRPr="00DD4FEE">
        <w:rPr>
          <w:szCs w:val="20"/>
          <w:lang w:val="es-MX"/>
        </w:rPr>
        <w:t xml:space="preserve"> de 2025, la Comisión recibió los comentarios del Estado</w:t>
      </w:r>
      <w:r w:rsidR="00BA4EF7" w:rsidRPr="00DD4FEE">
        <w:rPr>
          <w:szCs w:val="20"/>
          <w:lang w:val="es-MX"/>
        </w:rPr>
        <w:t>;</w:t>
      </w:r>
      <w:r w:rsidRPr="00DD4FEE">
        <w:rPr>
          <w:szCs w:val="20"/>
          <w:lang w:val="es-MX"/>
        </w:rPr>
        <w:t xml:space="preserve"> los cuales, en lo pertinente, fueron incorporados en esta versión y cuyo documento se anexa al presente Informe. La versión final de este Informe fue aprobada por la Comisión el </w:t>
      </w:r>
      <w:r w:rsidR="00DD4FEE" w:rsidRPr="00DD4FEE">
        <w:rPr>
          <w:szCs w:val="20"/>
          <w:lang w:val="es-MX"/>
        </w:rPr>
        <w:t>26</w:t>
      </w:r>
      <w:r w:rsidRPr="00DD4FEE">
        <w:rPr>
          <w:szCs w:val="20"/>
          <w:lang w:val="es-MX"/>
        </w:rPr>
        <w:t xml:space="preserve"> de </w:t>
      </w:r>
      <w:r w:rsidR="00DD4FEE" w:rsidRPr="00DD4FEE">
        <w:rPr>
          <w:szCs w:val="20"/>
          <w:lang w:val="es-MX"/>
        </w:rPr>
        <w:t>marzo</w:t>
      </w:r>
      <w:r w:rsidRPr="00DD4FEE">
        <w:rPr>
          <w:szCs w:val="20"/>
          <w:lang w:val="es-MX"/>
        </w:rPr>
        <w:t xml:space="preserve"> de 2025. </w:t>
      </w:r>
    </w:p>
    <w:p w14:paraId="75917A26" w14:textId="2A96C958" w:rsidR="005B081B" w:rsidRPr="003D7FC6" w:rsidRDefault="005B081B" w:rsidP="003D7FC6">
      <w:pPr>
        <w:pStyle w:val="IAPrrafo"/>
        <w:rPr>
          <w:szCs w:val="20"/>
          <w:lang w:val="es-MX"/>
        </w:rPr>
      </w:pPr>
      <w:r w:rsidRPr="00672AC2">
        <w:rPr>
          <w:szCs w:val="20"/>
          <w:lang w:val="es-MX"/>
        </w:rPr>
        <w:t xml:space="preserve">Este informe de seguimiento hace un análisis de las medidas adoptadas por el Estado para cumplir las recomendaciones de la Comisión y los desafíos pendientes </w:t>
      </w:r>
      <w:r w:rsidR="00884991" w:rsidRPr="00672AC2">
        <w:rPr>
          <w:szCs w:val="20"/>
          <w:lang w:val="es-MX"/>
        </w:rPr>
        <w:t>para su</w:t>
      </w:r>
      <w:r w:rsidRPr="00672AC2">
        <w:rPr>
          <w:szCs w:val="20"/>
          <w:lang w:val="es-MX"/>
        </w:rPr>
        <w:t xml:space="preserve"> implementación. El nivel de cumplimiento de las recomendaciones es evaluado </w:t>
      </w:r>
      <w:r w:rsidR="000B2AFE" w:rsidRPr="00672AC2">
        <w:rPr>
          <w:szCs w:val="20"/>
          <w:lang w:val="es-MX"/>
        </w:rPr>
        <w:t>acorde</w:t>
      </w:r>
      <w:r w:rsidRPr="00672AC2">
        <w:rPr>
          <w:szCs w:val="20"/>
          <w:lang w:val="es-MX"/>
        </w:rPr>
        <w:t xml:space="preserve"> con las Directrices Generales de Seguimiento de Recomendaciones y Decisiones de la CIDH</w:t>
      </w:r>
      <w:r w:rsidR="00F36B41">
        <w:rPr>
          <w:rFonts w:ascii="ZWAdobeF" w:hAnsi="ZWAdobeF" w:cs="ZWAdobeF"/>
          <w:color w:val="auto"/>
          <w:sz w:val="2"/>
          <w:szCs w:val="2"/>
          <w:lang w:val="es-MX"/>
        </w:rPr>
        <w:t>6F</w:t>
      </w:r>
      <w:r w:rsidRPr="00672AC2">
        <w:rPr>
          <w:rStyle w:val="FootnoteReference"/>
          <w:szCs w:val="20"/>
          <w:lang w:val="es-MX"/>
        </w:rPr>
        <w:footnoteReference w:id="8"/>
      </w:r>
      <w:r w:rsidRPr="00672AC2">
        <w:rPr>
          <w:szCs w:val="20"/>
          <w:lang w:val="es-MX"/>
        </w:rPr>
        <w:t xml:space="preserve">, siguiendo la estructura temática incorporada al Informe de País. </w:t>
      </w:r>
      <w:r w:rsidRPr="00672AC2">
        <w:rPr>
          <w:szCs w:val="20"/>
          <w:lang w:val="es-CO"/>
        </w:rPr>
        <w:t>La elaboración de este documento constituye una medida consistente con la práctica de la CIDH en materia de seguimiento de recomendaciones.</w:t>
      </w:r>
    </w:p>
    <w:p w14:paraId="6F92204E" w14:textId="75B6ED9D" w:rsidR="005B081B" w:rsidRPr="00C67BC5" w:rsidRDefault="005B081B" w:rsidP="00C67BC5">
      <w:pPr>
        <w:pStyle w:val="IAPrrafo"/>
        <w:rPr>
          <w:szCs w:val="20"/>
          <w:lang w:val="es-MX"/>
        </w:rPr>
      </w:pPr>
      <w:r w:rsidRPr="00672AC2">
        <w:rPr>
          <w:szCs w:val="20"/>
          <w:lang w:val="es-ES"/>
        </w:rPr>
        <w:t>Este informe está dividido en cuatro se</w:t>
      </w:r>
      <w:r w:rsidR="008A515A" w:rsidRPr="00672AC2">
        <w:rPr>
          <w:szCs w:val="20"/>
          <w:lang w:val="es-ES"/>
        </w:rPr>
        <w:t>cc</w:t>
      </w:r>
      <w:r w:rsidRPr="00672AC2">
        <w:rPr>
          <w:szCs w:val="20"/>
          <w:lang w:val="es-ES"/>
        </w:rPr>
        <w:t xml:space="preserve">iones de </w:t>
      </w:r>
      <w:r w:rsidR="009D6BCF" w:rsidRPr="00672AC2">
        <w:rPr>
          <w:szCs w:val="20"/>
          <w:lang w:val="es-ES"/>
        </w:rPr>
        <w:t xml:space="preserve">conformidad </w:t>
      </w:r>
      <w:r w:rsidRPr="00672AC2">
        <w:rPr>
          <w:szCs w:val="20"/>
          <w:lang w:val="es-ES"/>
        </w:rPr>
        <w:t xml:space="preserve">con los ejes temáticos de las recomendaciones a las que se hace seguimiento. Respecto de cada </w:t>
      </w:r>
      <w:r w:rsidR="008A515A" w:rsidRPr="00672AC2">
        <w:rPr>
          <w:szCs w:val="20"/>
          <w:lang w:val="es-ES"/>
        </w:rPr>
        <w:t xml:space="preserve">recomendación </w:t>
      </w:r>
      <w:r w:rsidRPr="00672AC2">
        <w:rPr>
          <w:szCs w:val="20"/>
          <w:lang w:val="es-ES"/>
        </w:rPr>
        <w:t>bajo seguimiento, el informe presenta</w:t>
      </w:r>
      <w:r w:rsidR="008A515A" w:rsidRPr="00672AC2">
        <w:rPr>
          <w:szCs w:val="20"/>
          <w:lang w:val="es-ES"/>
        </w:rPr>
        <w:t xml:space="preserve">: </w:t>
      </w:r>
      <w:r w:rsidR="003D7FC6">
        <w:rPr>
          <w:szCs w:val="20"/>
          <w:lang w:val="es-ES"/>
        </w:rPr>
        <w:t>(</w:t>
      </w:r>
      <w:r w:rsidR="008A515A" w:rsidRPr="00672AC2">
        <w:rPr>
          <w:szCs w:val="20"/>
          <w:lang w:val="es-ES"/>
        </w:rPr>
        <w:t>i)</w:t>
      </w:r>
      <w:r w:rsidRPr="00672AC2">
        <w:rPr>
          <w:szCs w:val="20"/>
          <w:lang w:val="es-ES"/>
        </w:rPr>
        <w:t xml:space="preserve"> la información que ha sido conocida por la CIDH desde la publicación del Informe de País reportada por el Estado y las organizaciones de la sociedad civil, así como </w:t>
      </w:r>
      <w:r w:rsidR="008A515A" w:rsidRPr="00672AC2">
        <w:rPr>
          <w:szCs w:val="20"/>
          <w:lang w:val="es-ES"/>
        </w:rPr>
        <w:t>aquella</w:t>
      </w:r>
      <w:r w:rsidRPr="00672AC2">
        <w:rPr>
          <w:szCs w:val="20"/>
          <w:lang w:val="es-ES"/>
        </w:rPr>
        <w:t xml:space="preserve"> recabada en el monitoreo de la situación general de derechos humanos en el país</w:t>
      </w:r>
      <w:r w:rsidR="00F36B41">
        <w:rPr>
          <w:rFonts w:ascii="ZWAdobeF" w:hAnsi="ZWAdobeF" w:cs="ZWAdobeF"/>
          <w:color w:val="auto"/>
          <w:sz w:val="2"/>
          <w:szCs w:val="2"/>
          <w:lang w:val="es-ES"/>
        </w:rPr>
        <w:t>7F</w:t>
      </w:r>
      <w:r w:rsidRPr="00672AC2">
        <w:rPr>
          <w:rStyle w:val="FootnoteReference"/>
          <w:szCs w:val="20"/>
          <w:lang w:val="es-ES"/>
        </w:rPr>
        <w:footnoteReference w:id="9"/>
      </w:r>
      <w:r w:rsidR="008A515A" w:rsidRPr="00672AC2">
        <w:rPr>
          <w:szCs w:val="20"/>
          <w:lang w:val="es-ES"/>
        </w:rPr>
        <w:t xml:space="preserve">; </w:t>
      </w:r>
      <w:r w:rsidR="003D7FC6">
        <w:rPr>
          <w:szCs w:val="20"/>
          <w:lang w:val="es-ES"/>
        </w:rPr>
        <w:t>(</w:t>
      </w:r>
      <w:proofErr w:type="spellStart"/>
      <w:r w:rsidR="00A35D33" w:rsidRPr="00672AC2">
        <w:rPr>
          <w:szCs w:val="20"/>
          <w:lang w:val="es-ES"/>
        </w:rPr>
        <w:t>i</w:t>
      </w:r>
      <w:r w:rsidR="008A515A" w:rsidRPr="00672AC2">
        <w:rPr>
          <w:szCs w:val="20"/>
          <w:lang w:val="es-ES"/>
        </w:rPr>
        <w:t>i</w:t>
      </w:r>
      <w:proofErr w:type="spellEnd"/>
      <w:r w:rsidR="008A515A" w:rsidRPr="00672AC2">
        <w:rPr>
          <w:szCs w:val="20"/>
          <w:lang w:val="es-ES"/>
        </w:rPr>
        <w:t>)</w:t>
      </w:r>
      <w:r w:rsidR="00A35D33" w:rsidRPr="00672AC2">
        <w:rPr>
          <w:szCs w:val="20"/>
          <w:lang w:val="es-ES"/>
        </w:rPr>
        <w:t xml:space="preserve"> </w:t>
      </w:r>
      <w:r w:rsidR="008A515A" w:rsidRPr="00672AC2">
        <w:rPr>
          <w:szCs w:val="20"/>
          <w:lang w:val="es-ES"/>
        </w:rPr>
        <w:t>el</w:t>
      </w:r>
      <w:r w:rsidRPr="00672AC2">
        <w:rPr>
          <w:szCs w:val="20"/>
          <w:lang w:val="es-ES"/>
        </w:rPr>
        <w:t xml:space="preserve"> análisis del nivel de cumplimiento y se refiere a los principales avances y desafíos de implementación identificados por la Comisión, </w:t>
      </w:r>
      <w:r w:rsidR="00730DF0" w:rsidRPr="00672AC2">
        <w:rPr>
          <w:szCs w:val="20"/>
          <w:lang w:val="es-ES"/>
        </w:rPr>
        <w:t>según</w:t>
      </w:r>
      <w:r w:rsidRPr="00672AC2">
        <w:rPr>
          <w:szCs w:val="20"/>
          <w:lang w:val="es-ES"/>
        </w:rPr>
        <w:t xml:space="preserve"> la información conocida desde la publicación del Informe de País hasta el año 2024</w:t>
      </w:r>
      <w:r w:rsidR="008A515A" w:rsidRPr="00672AC2">
        <w:rPr>
          <w:szCs w:val="20"/>
          <w:lang w:val="es-ES"/>
        </w:rPr>
        <w:t xml:space="preserve">; </w:t>
      </w:r>
      <w:r w:rsidR="003D7FC6">
        <w:rPr>
          <w:szCs w:val="20"/>
          <w:lang w:val="es-ES"/>
        </w:rPr>
        <w:t>(</w:t>
      </w:r>
      <w:proofErr w:type="spellStart"/>
      <w:r w:rsidR="008A515A" w:rsidRPr="00672AC2">
        <w:rPr>
          <w:szCs w:val="20"/>
          <w:lang w:val="es-ES"/>
        </w:rPr>
        <w:t>ii</w:t>
      </w:r>
      <w:r w:rsidR="00A35D33" w:rsidRPr="00672AC2">
        <w:rPr>
          <w:szCs w:val="20"/>
          <w:lang w:val="es-ES"/>
        </w:rPr>
        <w:t>i</w:t>
      </w:r>
      <w:proofErr w:type="spellEnd"/>
      <w:r w:rsidR="008A515A" w:rsidRPr="00672AC2">
        <w:rPr>
          <w:szCs w:val="20"/>
          <w:lang w:val="es-ES"/>
        </w:rPr>
        <w:t>)</w:t>
      </w:r>
      <w:r w:rsidRPr="00672AC2">
        <w:rPr>
          <w:szCs w:val="20"/>
          <w:lang w:val="es-ES"/>
        </w:rPr>
        <w:t xml:space="preserve"> un diagnóstico de la CIDH sobre la información específica que el Estado no ha remitido o sobre las medidas que faltan por ser adoptadas para que se determine un avance en el nivel de cumplimiento de la recomendación</w:t>
      </w:r>
      <w:r w:rsidR="008A515A" w:rsidRPr="00672AC2">
        <w:rPr>
          <w:szCs w:val="20"/>
          <w:lang w:val="es-ES"/>
        </w:rPr>
        <w:t xml:space="preserve">; y </w:t>
      </w:r>
      <w:r w:rsidR="003D7FC6">
        <w:rPr>
          <w:szCs w:val="20"/>
          <w:lang w:val="es-ES"/>
        </w:rPr>
        <w:t>(</w:t>
      </w:r>
      <w:proofErr w:type="spellStart"/>
      <w:r w:rsidR="008A515A" w:rsidRPr="00672AC2">
        <w:rPr>
          <w:szCs w:val="20"/>
          <w:lang w:val="es-ES"/>
        </w:rPr>
        <w:t>iv</w:t>
      </w:r>
      <w:proofErr w:type="spellEnd"/>
      <w:r w:rsidR="008A515A" w:rsidRPr="00672AC2">
        <w:rPr>
          <w:szCs w:val="20"/>
          <w:lang w:val="es-ES"/>
        </w:rPr>
        <w:t>)</w:t>
      </w:r>
      <w:r w:rsidR="00A35D33" w:rsidRPr="00672AC2">
        <w:rPr>
          <w:szCs w:val="20"/>
          <w:lang w:val="es-ES"/>
        </w:rPr>
        <w:t xml:space="preserve"> </w:t>
      </w:r>
      <w:r w:rsidRPr="00672AC2">
        <w:rPr>
          <w:szCs w:val="20"/>
          <w:lang w:val="es-ES"/>
        </w:rPr>
        <w:t>sus conclusiones en torno a los avances y desafíos de cumplimiento del conjunto de las recomendaciones del Informe de País analizadas.</w:t>
      </w:r>
    </w:p>
    <w:p w14:paraId="7949A7A7" w14:textId="71204851" w:rsidR="005B081B" w:rsidRPr="00C67BC5" w:rsidRDefault="005B081B" w:rsidP="005B081B">
      <w:pPr>
        <w:pStyle w:val="IAPrrafo"/>
        <w:rPr>
          <w:szCs w:val="20"/>
          <w:lang w:val="es-MX"/>
        </w:rPr>
      </w:pPr>
      <w:r w:rsidRPr="00672AC2">
        <w:rPr>
          <w:szCs w:val="20"/>
          <w:lang w:val="es-CO"/>
        </w:rPr>
        <w:t>El cumplimiento integral de las recomendaciones de la CIDH es fundamental para asegurar la plena vigencia de los derechos humanos en los Estados miembros de la OEA y para fortalecer el Sistema Interamericano de Derechos Humanos (en adelante “SIDH”). El escenario internacional actual exige que los actores involucrados participen de manera activa reportando información sobre medidas para cumplir con las decisiones adoptadas por organismos internacionales</w:t>
      </w:r>
      <w:r w:rsidR="009F2F0A" w:rsidRPr="00672AC2">
        <w:rPr>
          <w:szCs w:val="20"/>
          <w:lang w:val="es-CO"/>
        </w:rPr>
        <w:t>.</w:t>
      </w:r>
    </w:p>
    <w:p w14:paraId="52465B12" w14:textId="5415C9DB" w:rsidR="005B081B" w:rsidRPr="00C67BC5" w:rsidRDefault="005B081B" w:rsidP="005B081B">
      <w:pPr>
        <w:pStyle w:val="IAPrrafo"/>
        <w:rPr>
          <w:szCs w:val="20"/>
          <w:lang w:val="es-MX"/>
        </w:rPr>
      </w:pPr>
      <w:r w:rsidRPr="00672AC2">
        <w:rPr>
          <w:szCs w:val="20"/>
          <w:lang w:val="es-MX"/>
        </w:rPr>
        <w:t>La CIDH reitera la importancia de</w:t>
      </w:r>
      <w:r w:rsidR="008A515A" w:rsidRPr="00672AC2">
        <w:rPr>
          <w:szCs w:val="20"/>
          <w:lang w:val="es-MX"/>
        </w:rPr>
        <w:t>l</w:t>
      </w:r>
      <w:r w:rsidRPr="00672AC2">
        <w:rPr>
          <w:szCs w:val="20"/>
          <w:lang w:val="es-MX"/>
        </w:rPr>
        <w:t xml:space="preserve"> cumplimiento total </w:t>
      </w:r>
      <w:r w:rsidR="008A515A" w:rsidRPr="00672AC2">
        <w:rPr>
          <w:szCs w:val="20"/>
          <w:lang w:val="es-MX"/>
        </w:rPr>
        <w:t>de</w:t>
      </w:r>
      <w:r w:rsidRPr="00672AC2">
        <w:rPr>
          <w:szCs w:val="20"/>
          <w:lang w:val="es-MX"/>
        </w:rPr>
        <w:t xml:space="preserve"> las recomendaciones formuladas en el informe </w:t>
      </w:r>
      <w:r w:rsidR="008A515A" w:rsidRPr="00672AC2">
        <w:rPr>
          <w:szCs w:val="20"/>
          <w:lang w:val="es-MX"/>
        </w:rPr>
        <w:t xml:space="preserve">y que el seguimiento </w:t>
      </w:r>
      <w:r w:rsidRPr="00672AC2">
        <w:rPr>
          <w:szCs w:val="20"/>
          <w:lang w:val="es-MX"/>
        </w:rPr>
        <w:t xml:space="preserve">permita establecer un proceso de diálogo </w:t>
      </w:r>
      <w:r w:rsidR="008A515A" w:rsidRPr="00672AC2">
        <w:rPr>
          <w:szCs w:val="20"/>
          <w:lang w:val="es-MX"/>
        </w:rPr>
        <w:t xml:space="preserve">con el Estado de Perú para lograr medidas </w:t>
      </w:r>
      <w:r w:rsidR="009F2F0A" w:rsidRPr="00672AC2">
        <w:rPr>
          <w:szCs w:val="20"/>
          <w:lang w:val="es-CO"/>
        </w:rPr>
        <w:t xml:space="preserve">idóneas, oportunas y efectivas que alcancen los objetivos de cada </w:t>
      </w:r>
      <w:r w:rsidRPr="00672AC2">
        <w:rPr>
          <w:szCs w:val="20"/>
          <w:lang w:val="es-MX"/>
        </w:rPr>
        <w:t>recomendaci</w:t>
      </w:r>
      <w:r w:rsidR="009F2F0A" w:rsidRPr="00672AC2">
        <w:rPr>
          <w:szCs w:val="20"/>
          <w:lang w:val="es-MX"/>
        </w:rPr>
        <w:t>ón</w:t>
      </w:r>
      <w:r w:rsidRPr="00672AC2">
        <w:rPr>
          <w:szCs w:val="20"/>
          <w:lang w:val="es-MX"/>
        </w:rPr>
        <w:t xml:space="preserve"> que la Comisión ha </w:t>
      </w:r>
      <w:r w:rsidR="009F2F0A" w:rsidRPr="00672AC2">
        <w:rPr>
          <w:szCs w:val="20"/>
          <w:lang w:val="es-MX"/>
        </w:rPr>
        <w:t>formulado</w:t>
      </w:r>
      <w:r w:rsidR="006E7088" w:rsidRPr="00672AC2">
        <w:rPr>
          <w:szCs w:val="20"/>
          <w:lang w:val="es-MX"/>
        </w:rPr>
        <w:t xml:space="preserve"> </w:t>
      </w:r>
      <w:r w:rsidR="009F2F0A" w:rsidRPr="00672AC2">
        <w:rPr>
          <w:szCs w:val="20"/>
          <w:lang w:val="es-MX"/>
        </w:rPr>
        <w:t xml:space="preserve">para la promoción y protección </w:t>
      </w:r>
      <w:r w:rsidRPr="00672AC2">
        <w:rPr>
          <w:szCs w:val="20"/>
          <w:lang w:val="es-MX"/>
        </w:rPr>
        <w:t xml:space="preserve">de </w:t>
      </w:r>
      <w:r w:rsidR="009F2F0A" w:rsidRPr="00672AC2">
        <w:rPr>
          <w:szCs w:val="20"/>
          <w:lang w:val="es-MX"/>
        </w:rPr>
        <w:t xml:space="preserve">los </w:t>
      </w:r>
      <w:r w:rsidRPr="00672AC2">
        <w:rPr>
          <w:szCs w:val="20"/>
          <w:lang w:val="es-MX"/>
        </w:rPr>
        <w:t>derechos humanos.</w:t>
      </w:r>
    </w:p>
    <w:p w14:paraId="7020959B" w14:textId="77777777" w:rsidR="005B081B" w:rsidRPr="00672AC2" w:rsidRDefault="005B081B" w:rsidP="005B081B">
      <w:pPr>
        <w:pStyle w:val="IATtulo"/>
        <w:rPr>
          <w:lang w:val="es-CO"/>
        </w:rPr>
      </w:pPr>
      <w:bookmarkStart w:id="4" w:name="_Toc195618272"/>
      <w:r w:rsidRPr="00672AC2">
        <w:rPr>
          <w:lang w:val="es-CO"/>
        </w:rPr>
        <w:t>SEGUIMIENTO DE LAS RECOMENDACIONES</w:t>
      </w:r>
      <w:bookmarkEnd w:id="4"/>
    </w:p>
    <w:p w14:paraId="2D1853DF" w14:textId="77777777" w:rsidR="005B081B" w:rsidRPr="00672AC2" w:rsidRDefault="005B081B" w:rsidP="005B081B">
      <w:pPr>
        <w:pStyle w:val="IASubttulo2"/>
        <w:rPr>
          <w:rFonts w:eastAsia="Cambria" w:cs="Cambria"/>
          <w:sz w:val="20"/>
          <w:szCs w:val="20"/>
          <w:lang w:val="es-419" w:eastAsia="es-US"/>
        </w:rPr>
      </w:pPr>
      <w:bookmarkStart w:id="5" w:name="_Toc195618273"/>
      <w:r w:rsidRPr="00672AC2">
        <w:rPr>
          <w:lang w:val="es-CO"/>
        </w:rPr>
        <w:t>Diálogo y superación de la crisis</w:t>
      </w:r>
      <w:bookmarkEnd w:id="5"/>
    </w:p>
    <w:tbl>
      <w:tblPr>
        <w:tblStyle w:val="TableGrid"/>
        <w:tblW w:w="0" w:type="auto"/>
        <w:tblLook w:val="04A0" w:firstRow="1" w:lastRow="0" w:firstColumn="1" w:lastColumn="0" w:noHBand="0" w:noVBand="1"/>
      </w:tblPr>
      <w:tblGrid>
        <w:gridCol w:w="9360"/>
      </w:tblGrid>
      <w:tr w:rsidR="005B081B" w:rsidRPr="00F51AED" w14:paraId="171F3A37" w14:textId="77777777">
        <w:tc>
          <w:tcPr>
            <w:tcW w:w="9360" w:type="dxa"/>
            <w:tcBorders>
              <w:top w:val="nil"/>
              <w:left w:val="nil"/>
              <w:bottom w:val="nil"/>
              <w:right w:val="nil"/>
            </w:tcBorders>
            <w:shd w:val="clear" w:color="auto" w:fill="D9D9D9" w:themeFill="background1" w:themeFillShade="D9"/>
          </w:tcPr>
          <w:p w14:paraId="6DFCD25D" w14:textId="1A2BD569" w:rsidR="005B081B" w:rsidRPr="00C67BC5" w:rsidRDefault="005B081B" w:rsidP="00C67BC5">
            <w:pPr>
              <w:jc w:val="both"/>
              <w:rPr>
                <w:sz w:val="20"/>
                <w:szCs w:val="20"/>
                <w:lang w:val="es-CO"/>
              </w:rPr>
            </w:pPr>
            <w:r w:rsidRPr="00672AC2">
              <w:rPr>
                <w:rFonts w:eastAsia="Calibri" w:cs="Times New Roman"/>
                <w:b/>
                <w:bCs/>
                <w:sz w:val="20"/>
                <w:szCs w:val="20"/>
                <w:lang w:val="es-419"/>
              </w:rPr>
              <w:t xml:space="preserve">Recomendación </w:t>
            </w:r>
            <w:proofErr w:type="spellStart"/>
            <w:r w:rsidR="005627F0" w:rsidRPr="00672AC2">
              <w:rPr>
                <w:rFonts w:eastAsia="Calibri" w:cs="Times New Roman"/>
                <w:b/>
                <w:bCs/>
                <w:sz w:val="20"/>
                <w:szCs w:val="20"/>
                <w:lang w:val="es-419"/>
              </w:rPr>
              <w:t>Nº</w:t>
            </w:r>
            <w:proofErr w:type="spellEnd"/>
            <w:r w:rsidRPr="00672AC2">
              <w:rPr>
                <w:rFonts w:eastAsia="Calibri" w:cs="Times New Roman"/>
                <w:b/>
                <w:bCs/>
                <w:sz w:val="20"/>
                <w:szCs w:val="20"/>
                <w:lang w:val="es-419"/>
              </w:rPr>
              <w:t xml:space="preserve"> 1. </w:t>
            </w:r>
            <w:r w:rsidRPr="00672AC2">
              <w:rPr>
                <w:sz w:val="20"/>
                <w:szCs w:val="20"/>
                <w:lang w:val="es-CO"/>
              </w:rPr>
              <w:t>Diseñar e implementar, desde el más alto nivel del Estado, una estrategia de diálogo genuino, con enfoque étnico y territorial, que permita la escucha de todos los sectores y niveles de la división política y administrativa, en especial de aquellos que han sido los más afectados por la discriminación histórica, social y estructural en el país.</w:t>
            </w:r>
          </w:p>
        </w:tc>
      </w:tr>
    </w:tbl>
    <w:p w14:paraId="24091032" w14:textId="77777777" w:rsidR="005B081B" w:rsidRPr="00672AC2" w:rsidRDefault="005B081B" w:rsidP="005B081B">
      <w:pPr>
        <w:shd w:val="clear" w:color="auto" w:fill="FFFFFF" w:themeFill="background1"/>
        <w:suppressAutoHyphens w:val="0"/>
        <w:jc w:val="both"/>
        <w:rPr>
          <w:rFonts w:eastAsia="Calibri" w:cs="Times New Roman"/>
          <w:sz w:val="20"/>
          <w:szCs w:val="20"/>
          <w:lang w:val="es-419"/>
        </w:rPr>
      </w:pPr>
    </w:p>
    <w:p w14:paraId="0ABF1B32" w14:textId="71A366C9" w:rsidR="005B081B" w:rsidRPr="00672AC2" w:rsidRDefault="005B081B" w:rsidP="00C67BC5">
      <w:pPr>
        <w:pBdr>
          <w:top w:val="nil"/>
          <w:left w:val="nil"/>
          <w:bottom w:val="nil"/>
          <w:right w:val="nil"/>
          <w:between w:val="nil"/>
        </w:pBdr>
        <w:ind w:firstLine="720"/>
        <w:jc w:val="both"/>
        <w:rPr>
          <w:sz w:val="20"/>
          <w:szCs w:val="20"/>
        </w:rPr>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6082F626" w14:textId="77777777" w:rsidR="005B081B" w:rsidRPr="00672AC2" w:rsidRDefault="005B081B" w:rsidP="005B081B">
      <w:pPr>
        <w:shd w:val="clear" w:color="auto" w:fill="FFFFFF" w:themeFill="background1"/>
        <w:suppressAutoHyphens w:val="0"/>
        <w:jc w:val="both"/>
        <w:rPr>
          <w:rFonts w:eastAsia="Calibri" w:cs="Times New Roman"/>
          <w:sz w:val="20"/>
          <w:szCs w:val="20"/>
          <w:lang w:val="es-419"/>
        </w:rPr>
      </w:pPr>
    </w:p>
    <w:p w14:paraId="5225DB6E" w14:textId="2C15C2EA" w:rsidR="00871702" w:rsidRPr="00530737" w:rsidRDefault="005B081B" w:rsidP="00530737">
      <w:pPr>
        <w:pStyle w:val="IAPrrafo"/>
        <w:rPr>
          <w:szCs w:val="20"/>
          <w:lang w:val="es-US"/>
        </w:rPr>
      </w:pPr>
      <w:r w:rsidRPr="00672AC2">
        <w:rPr>
          <w:szCs w:val="20"/>
          <w:lang w:val="es-US"/>
        </w:rPr>
        <w:t xml:space="preserve">En el año 2024, el Estado informó </w:t>
      </w:r>
      <w:r w:rsidR="00A35D33" w:rsidRPr="00672AC2">
        <w:rPr>
          <w:szCs w:val="20"/>
          <w:lang w:val="es-US"/>
        </w:rPr>
        <w:t xml:space="preserve">de </w:t>
      </w:r>
      <w:r w:rsidRPr="00672AC2">
        <w:rPr>
          <w:szCs w:val="20"/>
          <w:lang w:val="es-US"/>
        </w:rPr>
        <w:t>la implementación de la Estrategia Juntos por la Paz y la Gobernabilidad</w:t>
      </w:r>
      <w:r w:rsidR="00F36B41">
        <w:rPr>
          <w:rFonts w:ascii="ZWAdobeF" w:hAnsi="ZWAdobeF" w:cs="ZWAdobeF"/>
          <w:color w:val="auto"/>
          <w:sz w:val="2"/>
          <w:szCs w:val="2"/>
          <w:lang w:val="es-US"/>
        </w:rPr>
        <w:t>8F</w:t>
      </w:r>
      <w:r w:rsidRPr="00672AC2">
        <w:rPr>
          <w:rStyle w:val="FootnoteReference"/>
          <w:szCs w:val="20"/>
          <w:lang w:val="es-US"/>
        </w:rPr>
        <w:footnoteReference w:id="10"/>
      </w:r>
      <w:r w:rsidRPr="00672AC2">
        <w:rPr>
          <w:szCs w:val="20"/>
          <w:lang w:val="es-US"/>
        </w:rPr>
        <w:t xml:space="preserve">, </w:t>
      </w:r>
      <w:r w:rsidR="00A35D33" w:rsidRPr="00672AC2">
        <w:rPr>
          <w:szCs w:val="20"/>
          <w:lang w:val="es-US"/>
        </w:rPr>
        <w:t xml:space="preserve">al momento de la crisis política, </w:t>
      </w:r>
      <w:r w:rsidRPr="00672AC2">
        <w:rPr>
          <w:szCs w:val="20"/>
          <w:lang w:val="es-US"/>
        </w:rPr>
        <w:t>que incluy</w:t>
      </w:r>
      <w:r w:rsidR="00A35D33" w:rsidRPr="00672AC2">
        <w:rPr>
          <w:szCs w:val="20"/>
          <w:lang w:val="es-US"/>
        </w:rPr>
        <w:t>ó</w:t>
      </w:r>
      <w:r w:rsidRPr="00672AC2">
        <w:rPr>
          <w:szCs w:val="20"/>
          <w:lang w:val="es-US"/>
        </w:rPr>
        <w:t xml:space="preserve"> la elaboración de una </w:t>
      </w:r>
      <w:r w:rsidRPr="00672AC2">
        <w:rPr>
          <w:szCs w:val="20"/>
          <w:lang w:val="es-ES"/>
        </w:rPr>
        <w:t>Guía de intervenciones denominada “Mesas de Diálogo: juntos por la paz social y la gobernabilidad”</w:t>
      </w:r>
      <w:r w:rsidR="00F36B41">
        <w:rPr>
          <w:rFonts w:ascii="ZWAdobeF" w:hAnsi="ZWAdobeF" w:cs="ZWAdobeF"/>
          <w:color w:val="auto"/>
          <w:sz w:val="2"/>
          <w:szCs w:val="2"/>
          <w:lang w:val="es-ES"/>
        </w:rPr>
        <w:t>9F</w:t>
      </w:r>
      <w:r w:rsidRPr="00672AC2">
        <w:rPr>
          <w:rStyle w:val="FootnoteReference"/>
          <w:szCs w:val="20"/>
          <w:lang w:val="es-ES"/>
        </w:rPr>
        <w:footnoteReference w:id="11"/>
      </w:r>
      <w:r w:rsidRPr="00672AC2">
        <w:rPr>
          <w:szCs w:val="20"/>
          <w:lang w:val="es-ES"/>
        </w:rPr>
        <w:t>. Asimismo, afirmó que, entre enero y marzo del 2023, se instalaron espacios de Diálogos por la Paz y la Gobernabilidad en las regiones de Huancavelica</w:t>
      </w:r>
      <w:r w:rsidR="00D43BD1" w:rsidRPr="00672AC2">
        <w:rPr>
          <w:szCs w:val="20"/>
          <w:lang w:val="es-ES"/>
        </w:rPr>
        <w:t xml:space="preserve"> (10</w:t>
      </w:r>
      <w:r w:rsidR="00D605D1" w:rsidRPr="00672AC2">
        <w:rPr>
          <w:szCs w:val="20"/>
          <w:lang w:val="es-ES"/>
        </w:rPr>
        <w:t xml:space="preserve"> de febrero</w:t>
      </w:r>
      <w:r w:rsidR="00D43BD1" w:rsidRPr="00672AC2">
        <w:rPr>
          <w:szCs w:val="20"/>
          <w:lang w:val="es-ES"/>
        </w:rPr>
        <w:t>)</w:t>
      </w:r>
      <w:r w:rsidRPr="00672AC2">
        <w:rPr>
          <w:szCs w:val="20"/>
          <w:lang w:val="es-ES"/>
        </w:rPr>
        <w:t>, Pasco</w:t>
      </w:r>
      <w:r w:rsidR="00D43BD1" w:rsidRPr="00672AC2">
        <w:rPr>
          <w:szCs w:val="20"/>
          <w:lang w:val="es-ES"/>
        </w:rPr>
        <w:t xml:space="preserve"> (</w:t>
      </w:r>
      <w:r w:rsidR="00756E3B" w:rsidRPr="00672AC2">
        <w:rPr>
          <w:szCs w:val="20"/>
          <w:lang w:val="es-ES"/>
        </w:rPr>
        <w:t>9 de febrero</w:t>
      </w:r>
      <w:r w:rsidR="00080E33" w:rsidRPr="00672AC2">
        <w:rPr>
          <w:szCs w:val="20"/>
          <w:lang w:val="es-ES"/>
        </w:rPr>
        <w:t>)</w:t>
      </w:r>
      <w:r w:rsidRPr="00672AC2">
        <w:rPr>
          <w:szCs w:val="20"/>
          <w:lang w:val="es-ES"/>
        </w:rPr>
        <w:t>, Huánuco</w:t>
      </w:r>
      <w:r w:rsidR="00B92087" w:rsidRPr="00672AC2">
        <w:rPr>
          <w:szCs w:val="20"/>
          <w:lang w:val="es-ES"/>
        </w:rPr>
        <w:t xml:space="preserve"> (17</w:t>
      </w:r>
      <w:r w:rsidR="00756E3B" w:rsidRPr="00672AC2">
        <w:rPr>
          <w:szCs w:val="20"/>
          <w:lang w:val="es-ES"/>
        </w:rPr>
        <w:t xml:space="preserve"> de enero</w:t>
      </w:r>
      <w:r w:rsidR="00B92087" w:rsidRPr="00672AC2">
        <w:rPr>
          <w:szCs w:val="20"/>
          <w:lang w:val="es-ES"/>
        </w:rPr>
        <w:t>)</w:t>
      </w:r>
      <w:r w:rsidRPr="00672AC2">
        <w:rPr>
          <w:szCs w:val="20"/>
          <w:lang w:val="es-ES"/>
        </w:rPr>
        <w:t>, Junín</w:t>
      </w:r>
      <w:r w:rsidR="00B632D0" w:rsidRPr="00672AC2">
        <w:rPr>
          <w:szCs w:val="20"/>
          <w:lang w:val="es-ES"/>
        </w:rPr>
        <w:t xml:space="preserve"> (23</w:t>
      </w:r>
      <w:r w:rsidR="00756E3B" w:rsidRPr="00672AC2">
        <w:rPr>
          <w:szCs w:val="20"/>
          <w:lang w:val="es-ES"/>
        </w:rPr>
        <w:t xml:space="preserve"> de enero</w:t>
      </w:r>
      <w:r w:rsidR="00B632D0" w:rsidRPr="00672AC2">
        <w:rPr>
          <w:szCs w:val="20"/>
          <w:lang w:val="es-ES"/>
        </w:rPr>
        <w:t>)</w:t>
      </w:r>
      <w:r w:rsidRPr="00672AC2">
        <w:rPr>
          <w:szCs w:val="20"/>
          <w:lang w:val="es-ES"/>
        </w:rPr>
        <w:t>, Loreto, San Martín, Ucayali, Amazonas</w:t>
      </w:r>
      <w:r w:rsidR="0012127A" w:rsidRPr="00672AC2">
        <w:rPr>
          <w:szCs w:val="20"/>
          <w:lang w:val="es-ES"/>
        </w:rPr>
        <w:t xml:space="preserve"> (31</w:t>
      </w:r>
      <w:r w:rsidR="00756E3B" w:rsidRPr="00672AC2">
        <w:rPr>
          <w:szCs w:val="20"/>
          <w:lang w:val="es-ES"/>
        </w:rPr>
        <w:t xml:space="preserve"> de enero</w:t>
      </w:r>
      <w:r w:rsidR="0012127A" w:rsidRPr="00672AC2">
        <w:rPr>
          <w:szCs w:val="20"/>
          <w:lang w:val="es-ES"/>
        </w:rPr>
        <w:t>)</w:t>
      </w:r>
      <w:r w:rsidRPr="00672AC2">
        <w:rPr>
          <w:szCs w:val="20"/>
          <w:lang w:val="es-ES"/>
        </w:rPr>
        <w:t xml:space="preserve">, Ica </w:t>
      </w:r>
      <w:r w:rsidR="002D7A75" w:rsidRPr="00672AC2">
        <w:rPr>
          <w:szCs w:val="20"/>
          <w:lang w:val="es-ES"/>
        </w:rPr>
        <w:t>(</w:t>
      </w:r>
      <w:r w:rsidR="00756E3B" w:rsidRPr="00672AC2">
        <w:rPr>
          <w:szCs w:val="20"/>
          <w:lang w:val="es-ES"/>
        </w:rPr>
        <w:t>9 de febrero</w:t>
      </w:r>
      <w:r w:rsidR="002D7A75" w:rsidRPr="00672AC2">
        <w:rPr>
          <w:szCs w:val="20"/>
          <w:lang w:val="es-ES"/>
        </w:rPr>
        <w:t>)</w:t>
      </w:r>
      <w:r w:rsidR="00731825" w:rsidRPr="00672AC2">
        <w:rPr>
          <w:szCs w:val="20"/>
          <w:lang w:val="es-ES"/>
        </w:rPr>
        <w:t xml:space="preserve"> </w:t>
      </w:r>
      <w:r w:rsidRPr="00672AC2">
        <w:rPr>
          <w:szCs w:val="20"/>
          <w:lang w:val="es-ES"/>
        </w:rPr>
        <w:t>y Lambayeque</w:t>
      </w:r>
      <w:r w:rsidR="0010089C" w:rsidRPr="00672AC2">
        <w:rPr>
          <w:szCs w:val="20"/>
          <w:lang w:val="es-ES"/>
        </w:rPr>
        <w:t xml:space="preserve"> (24</w:t>
      </w:r>
      <w:r w:rsidR="00756E3B" w:rsidRPr="00672AC2">
        <w:rPr>
          <w:szCs w:val="20"/>
          <w:lang w:val="es-ES"/>
        </w:rPr>
        <w:t xml:space="preserve"> de febrero</w:t>
      </w:r>
      <w:r w:rsidR="0010089C" w:rsidRPr="00672AC2">
        <w:rPr>
          <w:szCs w:val="20"/>
          <w:lang w:val="es-ES"/>
        </w:rPr>
        <w:t>)</w:t>
      </w:r>
      <w:r w:rsidRPr="00672AC2">
        <w:rPr>
          <w:szCs w:val="20"/>
          <w:lang w:val="es-ES"/>
        </w:rPr>
        <w:t xml:space="preserve">. </w:t>
      </w:r>
      <w:r w:rsidR="009503D3" w:rsidRPr="00672AC2">
        <w:rPr>
          <w:szCs w:val="20"/>
          <w:lang w:val="es-ES"/>
        </w:rPr>
        <w:t xml:space="preserve">Estos espacios </w:t>
      </w:r>
      <w:r w:rsidR="00823A39" w:rsidRPr="00672AC2">
        <w:rPr>
          <w:szCs w:val="20"/>
          <w:lang w:val="es-ES"/>
        </w:rPr>
        <w:t xml:space="preserve">fueron convocados </w:t>
      </w:r>
      <w:r w:rsidR="00730DF0" w:rsidRPr="00672AC2">
        <w:rPr>
          <w:szCs w:val="20"/>
          <w:lang w:val="es-ES"/>
        </w:rPr>
        <w:t>atendiendo a</w:t>
      </w:r>
      <w:r w:rsidR="000B7505" w:rsidRPr="00672AC2">
        <w:rPr>
          <w:szCs w:val="20"/>
          <w:lang w:val="es-ES"/>
        </w:rPr>
        <w:t xml:space="preserve"> la necesidad de trabajar en conjunto para recuperar la estabilidad social e iniciar los esfuerzos para atender l</w:t>
      </w:r>
      <w:r w:rsidR="00D20F6F" w:rsidRPr="00672AC2">
        <w:rPr>
          <w:szCs w:val="20"/>
          <w:lang w:val="es-ES"/>
        </w:rPr>
        <w:t>o</w:t>
      </w:r>
      <w:r w:rsidR="000B7505" w:rsidRPr="00672AC2">
        <w:rPr>
          <w:szCs w:val="20"/>
          <w:lang w:val="es-ES"/>
        </w:rPr>
        <w:t xml:space="preserve">s principales </w:t>
      </w:r>
      <w:r w:rsidR="00D20F6F" w:rsidRPr="00672AC2">
        <w:rPr>
          <w:szCs w:val="20"/>
          <w:lang w:val="es-ES"/>
        </w:rPr>
        <w:t>desafíos</w:t>
      </w:r>
      <w:r w:rsidR="000B7505" w:rsidRPr="00672AC2">
        <w:rPr>
          <w:szCs w:val="20"/>
          <w:lang w:val="es-ES"/>
        </w:rPr>
        <w:t xml:space="preserve"> de los territorios</w:t>
      </w:r>
      <w:r w:rsidR="0086115B" w:rsidRPr="00672AC2">
        <w:rPr>
          <w:szCs w:val="20"/>
          <w:lang w:val="es-ES"/>
        </w:rPr>
        <w:t>.</w:t>
      </w:r>
      <w:r w:rsidR="00F258FF" w:rsidRPr="00672AC2">
        <w:rPr>
          <w:szCs w:val="20"/>
          <w:lang w:val="es-ES"/>
        </w:rPr>
        <w:t xml:space="preserve"> En un momento posterior, estos espacios de diálogo se enfocaron en abordar las prioridades del departamento sobre políticas públicas, inversiones públicas u otro tipo de intervenciones, a lo que </w:t>
      </w:r>
      <w:r w:rsidR="00871702" w:rsidRPr="00672AC2">
        <w:rPr>
          <w:szCs w:val="20"/>
          <w:lang w:val="es-ES"/>
        </w:rPr>
        <w:t>se denominó</w:t>
      </w:r>
      <w:r w:rsidR="00F258FF" w:rsidRPr="00672AC2">
        <w:rPr>
          <w:szCs w:val="20"/>
          <w:lang w:val="es-ES"/>
        </w:rPr>
        <w:t xml:space="preserve"> “agenda departamental”.</w:t>
      </w:r>
    </w:p>
    <w:p w14:paraId="340338F3" w14:textId="20BD374B" w:rsidR="005B081B" w:rsidRPr="00530737" w:rsidRDefault="00FF1328" w:rsidP="00530737">
      <w:pPr>
        <w:pStyle w:val="IAPrrafo"/>
        <w:rPr>
          <w:szCs w:val="20"/>
          <w:lang w:val="es-US"/>
        </w:rPr>
      </w:pPr>
      <w:r w:rsidRPr="00672AC2">
        <w:rPr>
          <w:szCs w:val="20"/>
          <w:lang w:val="es-ES"/>
        </w:rPr>
        <w:t>Perú señaló que, p</w:t>
      </w:r>
      <w:r w:rsidR="005B081B" w:rsidRPr="00672AC2">
        <w:rPr>
          <w:szCs w:val="20"/>
          <w:lang w:val="es-ES"/>
        </w:rPr>
        <w:t>ara estos diálogos, se utilizaron los “Lineamientos para la Promoción de la Participación Significativa de Mujeres en los Procesos de Diálogo para la Atención de Conflictos Sociales”</w:t>
      </w:r>
      <w:r w:rsidR="00A35D33" w:rsidRPr="00672AC2">
        <w:rPr>
          <w:szCs w:val="20"/>
          <w:lang w:val="es-ES"/>
        </w:rPr>
        <w:t xml:space="preserve"> (2021)</w:t>
      </w:r>
      <w:r w:rsidR="00F36B41">
        <w:rPr>
          <w:rFonts w:ascii="ZWAdobeF" w:hAnsi="ZWAdobeF" w:cs="ZWAdobeF"/>
          <w:color w:val="auto"/>
          <w:sz w:val="2"/>
          <w:szCs w:val="2"/>
          <w:lang w:val="es-ES"/>
        </w:rPr>
        <w:t>10F</w:t>
      </w:r>
      <w:r w:rsidR="005B081B" w:rsidRPr="00672AC2">
        <w:rPr>
          <w:rStyle w:val="FootnoteReference"/>
          <w:szCs w:val="20"/>
          <w:lang w:val="es-ES"/>
        </w:rPr>
        <w:footnoteReference w:id="12"/>
      </w:r>
      <w:r w:rsidR="005B081B" w:rsidRPr="00672AC2">
        <w:rPr>
          <w:szCs w:val="20"/>
          <w:lang w:val="es-ES"/>
        </w:rPr>
        <w:t>, y los “Lineamientos y protocolos para la intervención del Poder Ejecutivo, gobiernos regionales y locales en asuntos de gestión social y diálogo”</w:t>
      </w:r>
      <w:r w:rsidR="00A35D33" w:rsidRPr="00672AC2">
        <w:rPr>
          <w:szCs w:val="20"/>
          <w:lang w:val="es-ES"/>
        </w:rPr>
        <w:t xml:space="preserve"> (2021)</w:t>
      </w:r>
      <w:r w:rsidR="00F36B41">
        <w:rPr>
          <w:rFonts w:ascii="ZWAdobeF" w:hAnsi="ZWAdobeF" w:cs="ZWAdobeF"/>
          <w:color w:val="auto"/>
          <w:sz w:val="2"/>
          <w:szCs w:val="2"/>
          <w:lang w:val="es-ES"/>
        </w:rPr>
        <w:t>11F</w:t>
      </w:r>
      <w:r w:rsidR="005B081B" w:rsidRPr="00672AC2">
        <w:rPr>
          <w:rStyle w:val="FootnoteReference"/>
          <w:szCs w:val="20"/>
          <w:lang w:val="es-ES"/>
        </w:rPr>
        <w:footnoteReference w:id="13"/>
      </w:r>
      <w:r w:rsidR="005B081B" w:rsidRPr="00672AC2">
        <w:rPr>
          <w:szCs w:val="20"/>
          <w:lang w:val="es-ES"/>
        </w:rPr>
        <w:t xml:space="preserve">. </w:t>
      </w:r>
      <w:r w:rsidR="009F2F0A" w:rsidRPr="00672AC2">
        <w:rPr>
          <w:szCs w:val="20"/>
          <w:lang w:val="es-ES"/>
        </w:rPr>
        <w:t>E</w:t>
      </w:r>
      <w:r w:rsidR="005B081B" w:rsidRPr="00672AC2">
        <w:rPr>
          <w:szCs w:val="20"/>
          <w:lang w:val="es-ES"/>
        </w:rPr>
        <w:t>l Estado</w:t>
      </w:r>
      <w:r w:rsidR="009F2F0A" w:rsidRPr="00672AC2">
        <w:rPr>
          <w:szCs w:val="20"/>
          <w:lang w:val="es-ES"/>
        </w:rPr>
        <w:t xml:space="preserve"> ha informado que</w:t>
      </w:r>
      <w:r w:rsidR="005B081B" w:rsidRPr="00672AC2">
        <w:rPr>
          <w:szCs w:val="20"/>
          <w:lang w:val="es-ES"/>
        </w:rPr>
        <w:t xml:space="preserve"> estos últimos están en proceso de actualización a través de </w:t>
      </w:r>
      <w:r w:rsidR="00A35D33" w:rsidRPr="00672AC2">
        <w:rPr>
          <w:szCs w:val="20"/>
          <w:lang w:val="es-ES"/>
        </w:rPr>
        <w:t xml:space="preserve">la organización de </w:t>
      </w:r>
      <w:r w:rsidR="005B081B" w:rsidRPr="00672AC2">
        <w:rPr>
          <w:szCs w:val="20"/>
          <w:lang w:val="es-ES"/>
        </w:rPr>
        <w:t>un grupo de trabajo</w:t>
      </w:r>
      <w:r w:rsidR="005C2A3E" w:rsidRPr="00672AC2">
        <w:rPr>
          <w:szCs w:val="20"/>
          <w:lang w:val="es-ES"/>
        </w:rPr>
        <w:t xml:space="preserve"> </w:t>
      </w:r>
      <w:r w:rsidR="00A35D33" w:rsidRPr="00672AC2">
        <w:rPr>
          <w:szCs w:val="20"/>
          <w:lang w:val="es-ES"/>
        </w:rPr>
        <w:t>conformado por</w:t>
      </w:r>
      <w:r w:rsidR="005C2A3E" w:rsidRPr="00672AC2">
        <w:rPr>
          <w:szCs w:val="20"/>
          <w:lang w:val="es-ES"/>
        </w:rPr>
        <w:t xml:space="preserve"> entidades públicas</w:t>
      </w:r>
      <w:r w:rsidR="00F36B41">
        <w:rPr>
          <w:rFonts w:ascii="ZWAdobeF" w:hAnsi="ZWAdobeF" w:cs="ZWAdobeF"/>
          <w:color w:val="auto"/>
          <w:sz w:val="2"/>
          <w:szCs w:val="2"/>
          <w:lang w:val="es-ES"/>
        </w:rPr>
        <w:t>12F</w:t>
      </w:r>
      <w:r w:rsidR="005B081B" w:rsidRPr="00672AC2">
        <w:rPr>
          <w:rStyle w:val="FootnoteReference"/>
          <w:szCs w:val="20"/>
          <w:lang w:val="es-ES"/>
        </w:rPr>
        <w:footnoteReference w:id="14"/>
      </w:r>
      <w:r w:rsidR="005B081B" w:rsidRPr="00672AC2">
        <w:rPr>
          <w:szCs w:val="20"/>
          <w:lang w:val="es-ES"/>
        </w:rPr>
        <w:t>.</w:t>
      </w:r>
      <w:r w:rsidR="00AC28D0">
        <w:rPr>
          <w:szCs w:val="20"/>
          <w:lang w:val="es-ES"/>
        </w:rPr>
        <w:t xml:space="preserve"> Asimismo, el Estado reportó que se han aprobado una actualización del </w:t>
      </w:r>
      <w:r w:rsidR="00AC28D0" w:rsidRPr="00AC28D0">
        <w:rPr>
          <w:szCs w:val="20"/>
          <w:lang w:val="es-ES"/>
        </w:rPr>
        <w:t>“</w:t>
      </w:r>
      <w:r w:rsidR="00AC28D0" w:rsidRPr="00530737">
        <w:rPr>
          <w:i/>
          <w:iCs/>
          <w:szCs w:val="20"/>
          <w:lang w:val="es-ES"/>
        </w:rPr>
        <w:t>Protocolo de Seguimiento y Gestión de Compromisos de la Secretaría de Gestión Social y Diálogo</w:t>
      </w:r>
      <w:r w:rsidR="00AC28D0" w:rsidRPr="00AC28D0">
        <w:rPr>
          <w:szCs w:val="20"/>
          <w:lang w:val="es-ES"/>
        </w:rPr>
        <w:t>”.</w:t>
      </w:r>
    </w:p>
    <w:p w14:paraId="471408EE" w14:textId="6F9D091E" w:rsidR="005B081B" w:rsidRPr="00530737" w:rsidRDefault="5393D11F" w:rsidP="005B081B">
      <w:pPr>
        <w:pStyle w:val="IAPrrafo"/>
        <w:rPr>
          <w:szCs w:val="20"/>
          <w:lang w:val="es-US"/>
        </w:rPr>
      </w:pPr>
      <w:r w:rsidRPr="00672AC2">
        <w:rPr>
          <w:szCs w:val="20"/>
          <w:lang w:val="es-US"/>
        </w:rPr>
        <w:t xml:space="preserve">En relación con la implementación de una política de diálogo permanente, </w:t>
      </w:r>
      <w:r w:rsidR="3EE58C58" w:rsidRPr="00672AC2">
        <w:rPr>
          <w:szCs w:val="20"/>
          <w:lang w:val="es-US"/>
        </w:rPr>
        <w:t>e</w:t>
      </w:r>
      <w:r w:rsidR="04C947FA" w:rsidRPr="00672AC2">
        <w:rPr>
          <w:szCs w:val="20"/>
          <w:lang w:val="es-US"/>
        </w:rPr>
        <w:t xml:space="preserve">l Estado reportó </w:t>
      </w:r>
      <w:r w:rsidR="5EEFDC0C" w:rsidRPr="00672AC2">
        <w:rPr>
          <w:szCs w:val="20"/>
          <w:lang w:val="es-US"/>
        </w:rPr>
        <w:t xml:space="preserve">que en el 2024 se habían </w:t>
      </w:r>
      <w:r w:rsidR="00586952" w:rsidRPr="00672AC2">
        <w:rPr>
          <w:szCs w:val="20"/>
          <w:lang w:val="es-US"/>
        </w:rPr>
        <w:t xml:space="preserve">impulsado </w:t>
      </w:r>
      <w:r w:rsidR="00A35D33" w:rsidRPr="00672AC2">
        <w:rPr>
          <w:szCs w:val="20"/>
          <w:lang w:val="es-US"/>
        </w:rPr>
        <w:t xml:space="preserve">alrededor de </w:t>
      </w:r>
      <w:r w:rsidR="00AC28D0">
        <w:rPr>
          <w:szCs w:val="20"/>
          <w:lang w:val="es-US"/>
        </w:rPr>
        <w:t>1900</w:t>
      </w:r>
      <w:r w:rsidR="00AC28D0" w:rsidRPr="00672AC2">
        <w:rPr>
          <w:szCs w:val="20"/>
          <w:lang w:val="es-US"/>
        </w:rPr>
        <w:t xml:space="preserve"> </w:t>
      </w:r>
      <w:r w:rsidR="04C947FA" w:rsidRPr="00672AC2">
        <w:rPr>
          <w:szCs w:val="20"/>
          <w:lang w:val="es-US"/>
        </w:rPr>
        <w:t>reuniones</w:t>
      </w:r>
      <w:r w:rsidR="0067439B" w:rsidRPr="00672AC2">
        <w:rPr>
          <w:szCs w:val="20"/>
          <w:lang w:val="es-US"/>
        </w:rPr>
        <w:t>;</w:t>
      </w:r>
      <w:r w:rsidR="00A35D33" w:rsidRPr="00672AC2">
        <w:rPr>
          <w:szCs w:val="20"/>
          <w:lang w:val="es-US"/>
        </w:rPr>
        <w:t xml:space="preserve"> esto incluye aquellas de naturaleza</w:t>
      </w:r>
      <w:r w:rsidR="04C947FA" w:rsidRPr="00672AC2">
        <w:rPr>
          <w:szCs w:val="20"/>
          <w:lang w:val="es-US"/>
        </w:rPr>
        <w:t xml:space="preserve"> preventiva, de coordinación y de diálogo</w:t>
      </w:r>
      <w:r w:rsidR="04C947FA" w:rsidRPr="00672AC2">
        <w:rPr>
          <w:szCs w:val="20"/>
          <w:lang w:val="es-ES"/>
        </w:rPr>
        <w:t xml:space="preserve"> con</w:t>
      </w:r>
      <w:r w:rsidR="04C947FA" w:rsidRPr="00672AC2">
        <w:rPr>
          <w:szCs w:val="20"/>
          <w:lang w:val="es-US"/>
        </w:rPr>
        <w:t xml:space="preserve"> autoridades locales en Apurímac, Cusco, Puno, Arequipa y Lima. </w:t>
      </w:r>
      <w:r w:rsidR="00A35D33" w:rsidRPr="00672AC2">
        <w:rPr>
          <w:szCs w:val="20"/>
          <w:lang w:val="es-US"/>
        </w:rPr>
        <w:t xml:space="preserve">Además, </w:t>
      </w:r>
      <w:r w:rsidR="04C947FA" w:rsidRPr="00672AC2">
        <w:rPr>
          <w:szCs w:val="20"/>
          <w:lang w:val="es-US"/>
        </w:rPr>
        <w:t>las reuniones de Comités de Prevención y Gestión de Conflictos Sociales en Amazonas, Callao, Lima Provincias, Ayacucho, Pasco, Junín, Arequipa, Lambayeque, Piura</w:t>
      </w:r>
      <w:r w:rsidR="04C947FA" w:rsidRPr="00672AC2">
        <w:rPr>
          <w:szCs w:val="20"/>
          <w:lang w:val="es-ES"/>
        </w:rPr>
        <w:t xml:space="preserve"> y otras regiones</w:t>
      </w:r>
      <w:r w:rsidR="00A35D33" w:rsidRPr="00672AC2">
        <w:rPr>
          <w:szCs w:val="20"/>
          <w:lang w:val="es-ES"/>
        </w:rPr>
        <w:t>,</w:t>
      </w:r>
      <w:r w:rsidR="26E8A7B9" w:rsidRPr="00672AC2">
        <w:rPr>
          <w:szCs w:val="20"/>
          <w:lang w:val="es-ES"/>
        </w:rPr>
        <w:t xml:space="preserve"> que tienen como objetivo </w:t>
      </w:r>
      <w:r w:rsidR="00730DF0" w:rsidRPr="00672AC2">
        <w:rPr>
          <w:szCs w:val="20"/>
          <w:lang w:val="es-ES"/>
        </w:rPr>
        <w:t>elaborar</w:t>
      </w:r>
      <w:r w:rsidR="26E8A7B9" w:rsidRPr="00672AC2">
        <w:rPr>
          <w:szCs w:val="20"/>
          <w:lang w:val="es-ES"/>
        </w:rPr>
        <w:t xml:space="preserve"> un análisis articulado entre el Ejecutivo y autoridades locales de los escenarios de conflictividad en cada región, plantear acciones preventivas y atender de manera conjunta las problemáticas específicas de estas regiones</w:t>
      </w:r>
      <w:r w:rsidR="04C947FA" w:rsidRPr="00672AC2">
        <w:rPr>
          <w:szCs w:val="20"/>
          <w:lang w:val="es-ES"/>
        </w:rPr>
        <w:t>. En ese mismo sentido, fue informado a la Comisión que se busc</w:t>
      </w:r>
      <w:r w:rsidR="00586952" w:rsidRPr="00672AC2">
        <w:rPr>
          <w:szCs w:val="20"/>
          <w:lang w:val="es-ES"/>
        </w:rPr>
        <w:t>aron</w:t>
      </w:r>
      <w:r w:rsidR="04C947FA" w:rsidRPr="00672AC2">
        <w:rPr>
          <w:szCs w:val="20"/>
          <w:lang w:val="es-ES"/>
        </w:rPr>
        <w:t xml:space="preserve"> fortalecer y crear </w:t>
      </w:r>
      <w:r w:rsidR="04C947FA" w:rsidRPr="00672AC2">
        <w:rPr>
          <w:rFonts w:cs="Times New Roman"/>
          <w:szCs w:val="20"/>
          <w:shd w:val="clear" w:color="auto" w:fill="FFFFFF"/>
          <w:lang w:val="es-ES"/>
        </w:rPr>
        <w:t>Oficinas de Diálogo en los Gobiernos Regionales.</w:t>
      </w:r>
    </w:p>
    <w:p w14:paraId="3F012282" w14:textId="15FEFD69" w:rsidR="005B081B" w:rsidRPr="00530737" w:rsidRDefault="50B9D27E" w:rsidP="005B081B">
      <w:pPr>
        <w:pStyle w:val="IAPrrafo"/>
        <w:rPr>
          <w:szCs w:val="20"/>
          <w:lang w:val="es-ES"/>
        </w:rPr>
      </w:pPr>
      <w:r w:rsidRPr="00672AC2">
        <w:rPr>
          <w:szCs w:val="20"/>
          <w:lang w:val="es-US"/>
        </w:rPr>
        <w:t>E</w:t>
      </w:r>
      <w:r w:rsidR="04C947FA" w:rsidRPr="00672AC2">
        <w:rPr>
          <w:szCs w:val="20"/>
          <w:lang w:val="es-US"/>
        </w:rPr>
        <w:t xml:space="preserve">l Estado reportó a la CIDH que </w:t>
      </w:r>
      <w:r w:rsidR="04C947FA" w:rsidRPr="00672AC2">
        <w:rPr>
          <w:rFonts w:cs="Times New Roman"/>
          <w:szCs w:val="20"/>
          <w:shd w:val="clear" w:color="auto" w:fill="FFFFFF"/>
          <w:lang w:val="es-ES"/>
        </w:rPr>
        <w:t>se formalizó el inicio del proceso de formulación de la Política Nacional Multisectorial de Prevención y Gestión de Conflictos Sociales</w:t>
      </w:r>
      <w:r w:rsidR="00AC28D0">
        <w:rPr>
          <w:rFonts w:cs="Times New Roman"/>
          <w:szCs w:val="20"/>
          <w:shd w:val="clear" w:color="auto" w:fill="FFFFFF"/>
          <w:lang w:val="es-ES"/>
        </w:rPr>
        <w:t xml:space="preserve">, </w:t>
      </w:r>
      <w:r w:rsidR="00AC28D0" w:rsidRPr="00AC28D0">
        <w:rPr>
          <w:rFonts w:cs="Times New Roman"/>
          <w:szCs w:val="20"/>
          <w:shd w:val="clear" w:color="auto" w:fill="FFFFFF"/>
          <w:lang w:val="es-ES"/>
        </w:rPr>
        <w:t>que creó el Grupo de Trabajo Multisectorial (GTM) encargado de la elaboración de la propuesta de la política, el cual se instaló el 3 de diciembre del 2024</w:t>
      </w:r>
      <w:r w:rsidR="00F36B41">
        <w:rPr>
          <w:rFonts w:ascii="ZWAdobeF" w:hAnsi="ZWAdobeF" w:cs="ZWAdobeF"/>
          <w:color w:val="auto"/>
          <w:sz w:val="2"/>
          <w:szCs w:val="2"/>
          <w:shd w:val="clear" w:color="auto" w:fill="FFFFFF"/>
          <w:lang w:val="es-ES"/>
        </w:rPr>
        <w:t>13F</w:t>
      </w:r>
      <w:r w:rsidR="005B081B" w:rsidRPr="00672AC2">
        <w:rPr>
          <w:rStyle w:val="FootnoteReference"/>
          <w:rFonts w:cs="Times New Roman"/>
          <w:szCs w:val="20"/>
          <w:shd w:val="clear" w:color="auto" w:fill="FFFFFF"/>
          <w:lang w:val="es-ES"/>
        </w:rPr>
        <w:footnoteReference w:id="15"/>
      </w:r>
      <w:r w:rsidR="04C947FA" w:rsidRPr="00672AC2">
        <w:rPr>
          <w:rFonts w:cs="Times New Roman"/>
          <w:szCs w:val="20"/>
          <w:shd w:val="clear" w:color="auto" w:fill="FFFFFF"/>
          <w:lang w:val="es-ES"/>
        </w:rPr>
        <w:t>.</w:t>
      </w:r>
      <w:r w:rsidR="00731825" w:rsidRPr="00672AC2">
        <w:rPr>
          <w:rFonts w:cs="Times New Roman"/>
          <w:szCs w:val="20"/>
          <w:shd w:val="clear" w:color="auto" w:fill="FFFFFF"/>
          <w:lang w:val="es-ES"/>
        </w:rPr>
        <w:t xml:space="preserve"> </w:t>
      </w:r>
      <w:r w:rsidR="04C947FA" w:rsidRPr="00672AC2">
        <w:rPr>
          <w:rFonts w:cs="Times New Roman"/>
          <w:szCs w:val="20"/>
          <w:shd w:val="clear" w:color="auto" w:fill="FFFFFF"/>
          <w:lang w:val="es-ES"/>
        </w:rPr>
        <w:t>Igualmente, r</w:t>
      </w:r>
      <w:r w:rsidR="04C947FA" w:rsidRPr="00672AC2">
        <w:rPr>
          <w:szCs w:val="20"/>
          <w:shd w:val="clear" w:color="auto" w:fill="FFFFFF"/>
          <w:lang w:val="es-ES"/>
        </w:rPr>
        <w:t>especto al fortalecimiento de capacidades en prevención de conflictos y gestión social, señaló que se ha</w:t>
      </w:r>
      <w:r w:rsidR="008A57A3" w:rsidRPr="00672AC2">
        <w:rPr>
          <w:szCs w:val="20"/>
          <w:shd w:val="clear" w:color="auto" w:fill="FFFFFF"/>
          <w:lang w:val="es-ES"/>
        </w:rPr>
        <w:t>bía</w:t>
      </w:r>
      <w:r w:rsidR="04C947FA" w:rsidRPr="00672AC2">
        <w:rPr>
          <w:szCs w:val="20"/>
          <w:shd w:val="clear" w:color="auto" w:fill="FFFFFF"/>
          <w:lang w:val="es-ES"/>
        </w:rPr>
        <w:t xml:space="preserve"> iniciado el desarrollo de un programa de Diplomado en Diálogo, Prevención y Gestión de Conflictos Sociales dirigido a </w:t>
      </w:r>
      <w:r w:rsidR="29328293" w:rsidRPr="00672AC2">
        <w:rPr>
          <w:szCs w:val="20"/>
          <w:shd w:val="clear" w:color="auto" w:fill="FFFFFF"/>
          <w:lang w:val="es-ES"/>
        </w:rPr>
        <w:t xml:space="preserve">personas </w:t>
      </w:r>
      <w:r w:rsidR="04C947FA" w:rsidRPr="00672AC2">
        <w:rPr>
          <w:szCs w:val="20"/>
          <w:shd w:val="clear" w:color="auto" w:fill="FFFFFF"/>
          <w:lang w:val="es-ES"/>
        </w:rPr>
        <w:t>funcionarias públicas del gobierno central y de gobiernos regionales.</w:t>
      </w:r>
    </w:p>
    <w:p w14:paraId="6E7B3012" w14:textId="6441A827" w:rsidR="005B081B" w:rsidRPr="00530737" w:rsidRDefault="04C947FA" w:rsidP="00530737">
      <w:pPr>
        <w:pStyle w:val="IAPrrafo"/>
        <w:rPr>
          <w:szCs w:val="20"/>
          <w:lang w:val="es-ES"/>
        </w:rPr>
      </w:pPr>
      <w:r w:rsidRPr="00672AC2">
        <w:rPr>
          <w:szCs w:val="20"/>
          <w:lang w:val="es-ES"/>
        </w:rPr>
        <w:t xml:space="preserve">Por su parte, sociedad civil </w:t>
      </w:r>
      <w:r w:rsidR="50B9D27E" w:rsidRPr="00672AC2">
        <w:rPr>
          <w:szCs w:val="20"/>
          <w:lang w:val="es-ES"/>
        </w:rPr>
        <w:t xml:space="preserve">informó </w:t>
      </w:r>
      <w:r w:rsidRPr="00672AC2">
        <w:rPr>
          <w:szCs w:val="20"/>
          <w:lang w:val="es-ES"/>
        </w:rPr>
        <w:t xml:space="preserve">la </w:t>
      </w:r>
      <w:r w:rsidR="00AD5B13" w:rsidRPr="00672AC2">
        <w:rPr>
          <w:szCs w:val="20"/>
          <w:lang w:val="es-ES"/>
        </w:rPr>
        <w:t xml:space="preserve">importancia </w:t>
      </w:r>
      <w:r w:rsidRPr="00672AC2">
        <w:rPr>
          <w:szCs w:val="20"/>
          <w:lang w:val="es-ES"/>
        </w:rPr>
        <w:t xml:space="preserve">de </w:t>
      </w:r>
      <w:r w:rsidR="1666CB0F" w:rsidRPr="00672AC2">
        <w:rPr>
          <w:szCs w:val="20"/>
          <w:lang w:val="es-ES"/>
        </w:rPr>
        <w:t xml:space="preserve">diseñar </w:t>
      </w:r>
      <w:r w:rsidR="7251B442" w:rsidRPr="00672AC2">
        <w:rPr>
          <w:szCs w:val="20"/>
          <w:lang w:val="es-ES"/>
        </w:rPr>
        <w:t xml:space="preserve">espacios </w:t>
      </w:r>
      <w:r w:rsidRPr="00672AC2">
        <w:rPr>
          <w:szCs w:val="20"/>
          <w:lang w:val="es-ES"/>
        </w:rPr>
        <w:t xml:space="preserve">de diálogo </w:t>
      </w:r>
      <w:r w:rsidR="7251B442" w:rsidRPr="00672AC2">
        <w:rPr>
          <w:szCs w:val="20"/>
          <w:lang w:val="es-ES"/>
        </w:rPr>
        <w:t xml:space="preserve">que </w:t>
      </w:r>
      <w:r w:rsidR="0B730D9A" w:rsidRPr="00672AC2">
        <w:rPr>
          <w:szCs w:val="20"/>
          <w:lang w:val="es-ES"/>
        </w:rPr>
        <w:t>tengan</w:t>
      </w:r>
      <w:r w:rsidR="1F7DB94F" w:rsidRPr="00672AC2">
        <w:rPr>
          <w:szCs w:val="20"/>
          <w:lang w:val="es-ES"/>
        </w:rPr>
        <w:t xml:space="preserve"> la capacidad institucional para abordar las demandas i</w:t>
      </w:r>
      <w:r w:rsidR="0C97AC24" w:rsidRPr="00672AC2">
        <w:rPr>
          <w:szCs w:val="20"/>
          <w:lang w:val="es-ES"/>
        </w:rPr>
        <w:t>dentificadas en cada región</w:t>
      </w:r>
      <w:r w:rsidR="008A57A3" w:rsidRPr="00672AC2">
        <w:rPr>
          <w:szCs w:val="20"/>
          <w:lang w:val="es-ES"/>
        </w:rPr>
        <w:t>;</w:t>
      </w:r>
      <w:r w:rsidR="0C97AC24" w:rsidRPr="00672AC2">
        <w:rPr>
          <w:szCs w:val="20"/>
          <w:lang w:val="es-ES"/>
        </w:rPr>
        <w:t xml:space="preserve"> para ello </w:t>
      </w:r>
      <w:r w:rsidR="005A8A92" w:rsidRPr="00672AC2">
        <w:rPr>
          <w:szCs w:val="20"/>
          <w:lang w:val="es-ES"/>
        </w:rPr>
        <w:t xml:space="preserve">se deben </w:t>
      </w:r>
      <w:r w:rsidR="269501E0" w:rsidRPr="00672AC2">
        <w:rPr>
          <w:szCs w:val="20"/>
          <w:lang w:val="es-ES"/>
        </w:rPr>
        <w:t xml:space="preserve">buscar </w:t>
      </w:r>
      <w:r w:rsidR="2B127517" w:rsidRPr="00672AC2">
        <w:rPr>
          <w:szCs w:val="20"/>
          <w:lang w:val="es-ES"/>
        </w:rPr>
        <w:t>implementar los acuerdos a los que se alcanzan</w:t>
      </w:r>
      <w:r w:rsidR="1A89927E" w:rsidRPr="00672AC2">
        <w:rPr>
          <w:szCs w:val="20"/>
          <w:lang w:val="es-ES"/>
        </w:rPr>
        <w:t xml:space="preserve">, en particular </w:t>
      </w:r>
      <w:proofErr w:type="gramStart"/>
      <w:r w:rsidR="1A89927E" w:rsidRPr="00672AC2">
        <w:rPr>
          <w:szCs w:val="20"/>
          <w:lang w:val="es-ES"/>
        </w:rPr>
        <w:t>en relación a</w:t>
      </w:r>
      <w:proofErr w:type="gramEnd"/>
      <w:r w:rsidR="1A89927E" w:rsidRPr="00672AC2">
        <w:rPr>
          <w:szCs w:val="20"/>
          <w:lang w:val="es-ES"/>
        </w:rPr>
        <w:t xml:space="preserve"> </w:t>
      </w:r>
      <w:r w:rsidRPr="00672AC2">
        <w:rPr>
          <w:szCs w:val="20"/>
          <w:lang w:val="es-ES"/>
        </w:rPr>
        <w:t xml:space="preserve">servicios públicos </w:t>
      </w:r>
      <w:r w:rsidR="00AD5B13" w:rsidRPr="00672AC2">
        <w:rPr>
          <w:szCs w:val="20"/>
          <w:lang w:val="es-ES"/>
        </w:rPr>
        <w:t xml:space="preserve">indispensables </w:t>
      </w:r>
      <w:r w:rsidRPr="00672AC2">
        <w:rPr>
          <w:szCs w:val="20"/>
          <w:lang w:val="es-ES"/>
        </w:rPr>
        <w:t xml:space="preserve">para atender las demandas sociales, como salud, educación, justicia y desarrollo económico. Asimismo, se </w:t>
      </w:r>
      <w:r w:rsidR="00730DF0" w:rsidRPr="00672AC2">
        <w:rPr>
          <w:szCs w:val="20"/>
          <w:lang w:val="es-ES"/>
        </w:rPr>
        <w:t>incidió en</w:t>
      </w:r>
      <w:r w:rsidRPr="00672AC2">
        <w:rPr>
          <w:szCs w:val="20"/>
          <w:lang w:val="es-ES"/>
        </w:rPr>
        <w:t xml:space="preserve"> la falta de mecanismos de seguimiento </w:t>
      </w:r>
      <w:r w:rsidR="1C6E5FEE" w:rsidRPr="00672AC2">
        <w:rPr>
          <w:szCs w:val="20"/>
          <w:lang w:val="es-ES"/>
        </w:rPr>
        <w:t>participativos a los resultados que surjan de dichas mesas,</w:t>
      </w:r>
      <w:r w:rsidRPr="00672AC2">
        <w:rPr>
          <w:szCs w:val="20"/>
          <w:lang w:val="es-ES"/>
        </w:rPr>
        <w:t xml:space="preserve"> y </w:t>
      </w:r>
      <w:r w:rsidR="00F437E2" w:rsidRPr="00672AC2">
        <w:rPr>
          <w:szCs w:val="20"/>
          <w:lang w:val="es-ES"/>
        </w:rPr>
        <w:t xml:space="preserve">se destacó </w:t>
      </w:r>
      <w:r w:rsidR="00730DF0" w:rsidRPr="00672AC2">
        <w:rPr>
          <w:szCs w:val="20"/>
          <w:lang w:val="es-ES"/>
        </w:rPr>
        <w:t>el necesario</w:t>
      </w:r>
      <w:r w:rsidR="06460BC0" w:rsidRPr="00672AC2">
        <w:rPr>
          <w:szCs w:val="20"/>
          <w:lang w:val="es-ES"/>
        </w:rPr>
        <w:t xml:space="preserve"> </w:t>
      </w:r>
      <w:r w:rsidR="5B2D3E0E" w:rsidRPr="00672AC2">
        <w:rPr>
          <w:szCs w:val="20"/>
          <w:lang w:val="es-ES"/>
        </w:rPr>
        <w:t>fortalec</w:t>
      </w:r>
      <w:r w:rsidR="00730DF0" w:rsidRPr="00672AC2">
        <w:rPr>
          <w:szCs w:val="20"/>
          <w:lang w:val="es-ES"/>
        </w:rPr>
        <w:t>imiento de</w:t>
      </w:r>
      <w:r w:rsidR="5B2D3E0E" w:rsidRPr="00672AC2">
        <w:rPr>
          <w:szCs w:val="20"/>
          <w:lang w:val="es-ES"/>
        </w:rPr>
        <w:t xml:space="preserve"> </w:t>
      </w:r>
      <w:r w:rsidRPr="00672AC2">
        <w:rPr>
          <w:szCs w:val="20"/>
          <w:lang w:val="es-ES"/>
        </w:rPr>
        <w:t>la autonomía de gobiernos locales y regionales para liderar los diálogos en cada uno de sus territorios y contextos específicos.</w:t>
      </w:r>
    </w:p>
    <w:p w14:paraId="06F00992" w14:textId="77777777" w:rsidR="005B081B" w:rsidRPr="00672AC2" w:rsidRDefault="005B081B" w:rsidP="00530737">
      <w:pPr>
        <w:ind w:firstLine="720"/>
        <w:jc w:val="both"/>
        <w:rPr>
          <w:sz w:val="20"/>
          <w:szCs w:val="20"/>
          <w:lang w:val="es-CO"/>
        </w:rPr>
      </w:pPr>
      <w:r w:rsidRPr="00672AC2">
        <w:rPr>
          <w:rFonts w:eastAsia="Cambria" w:cs="Cambria"/>
          <w:i/>
          <w:iCs/>
          <w:color w:val="000000" w:themeColor="text1"/>
          <w:sz w:val="20"/>
          <w:szCs w:val="20"/>
          <w:lang w:val="es-ES"/>
        </w:rPr>
        <w:t>Análisis y nivel de cumplimiento de la recomendación</w:t>
      </w:r>
    </w:p>
    <w:p w14:paraId="41ABD039" w14:textId="77777777" w:rsidR="005B081B" w:rsidRPr="00672AC2" w:rsidRDefault="005B081B" w:rsidP="005B081B">
      <w:pPr>
        <w:ind w:firstLine="360"/>
        <w:jc w:val="both"/>
        <w:rPr>
          <w:rFonts w:eastAsia="Cambria" w:cs="Cambria"/>
          <w:i/>
          <w:iCs/>
          <w:color w:val="000000" w:themeColor="text1"/>
          <w:sz w:val="20"/>
          <w:szCs w:val="20"/>
          <w:lang w:val="es-ES"/>
        </w:rPr>
      </w:pPr>
    </w:p>
    <w:p w14:paraId="38B97F13" w14:textId="08745D9D" w:rsidR="005B081B" w:rsidRPr="00530737" w:rsidRDefault="005B081B" w:rsidP="005B081B">
      <w:pPr>
        <w:pStyle w:val="IAPrrafo"/>
        <w:rPr>
          <w:rFonts w:eastAsia="Calibri" w:cs="Times New Roman"/>
          <w:szCs w:val="20"/>
        </w:rPr>
      </w:pPr>
      <w:r w:rsidRPr="00672AC2">
        <w:rPr>
          <w:szCs w:val="20"/>
          <w:lang w:val="es-US"/>
        </w:rPr>
        <w:t xml:space="preserve">La CIDH agradece al Estado y a </w:t>
      </w:r>
      <w:r w:rsidR="00F437E2" w:rsidRPr="00672AC2">
        <w:rPr>
          <w:szCs w:val="20"/>
          <w:lang w:val="es-US"/>
        </w:rPr>
        <w:t xml:space="preserve">la </w:t>
      </w:r>
      <w:r w:rsidRPr="00672AC2">
        <w:rPr>
          <w:szCs w:val="20"/>
          <w:lang w:val="es-US"/>
        </w:rPr>
        <w:t>sociedad civil por la información proporcionada</w:t>
      </w:r>
      <w:r w:rsidR="005C2A3E" w:rsidRPr="00672AC2">
        <w:rPr>
          <w:szCs w:val="20"/>
          <w:lang w:val="es-US"/>
        </w:rPr>
        <w:t xml:space="preserve"> </w:t>
      </w:r>
      <w:r w:rsidR="009F2F0A" w:rsidRPr="00672AC2">
        <w:rPr>
          <w:szCs w:val="20"/>
          <w:lang w:val="es-US"/>
        </w:rPr>
        <w:t>y reconoce</w:t>
      </w:r>
      <w:r w:rsidRPr="00672AC2">
        <w:rPr>
          <w:szCs w:val="20"/>
          <w:lang w:val="es-US"/>
        </w:rPr>
        <w:t xml:space="preserve"> las medidas estatales adoptadas en el marco de la Estrategia Juntos por la Paz para generar canales de diálogo, </w:t>
      </w:r>
      <w:r w:rsidR="009F2F0A" w:rsidRPr="00672AC2">
        <w:rPr>
          <w:szCs w:val="20"/>
          <w:lang w:val="es-US"/>
        </w:rPr>
        <w:t>a partir de</w:t>
      </w:r>
      <w:r w:rsidRPr="00672AC2">
        <w:rPr>
          <w:szCs w:val="20"/>
          <w:lang w:val="es-US"/>
        </w:rPr>
        <w:t xml:space="preserve"> los instrumentos normativos aprobados</w:t>
      </w:r>
      <w:r w:rsidR="00AC28D0">
        <w:rPr>
          <w:szCs w:val="20"/>
          <w:lang w:val="es-US"/>
        </w:rPr>
        <w:t xml:space="preserve"> y actualizados</w:t>
      </w:r>
      <w:r w:rsidRPr="00672AC2">
        <w:rPr>
          <w:szCs w:val="20"/>
          <w:lang w:val="es-US"/>
        </w:rPr>
        <w:t xml:space="preserve"> (Guías y Lineamientos)</w:t>
      </w:r>
      <w:r w:rsidR="00AC28D0">
        <w:rPr>
          <w:szCs w:val="20"/>
          <w:lang w:val="es-US"/>
        </w:rPr>
        <w:t>,</w:t>
      </w:r>
      <w:r w:rsidRPr="00672AC2">
        <w:rPr>
          <w:szCs w:val="20"/>
          <w:lang w:val="es-US"/>
        </w:rPr>
        <w:t xml:space="preserve"> y los espacios de diálogo organizados. Al respecto, la CIDH identifica que las acciones </w:t>
      </w:r>
      <w:r w:rsidR="006C3D87" w:rsidRPr="00672AC2">
        <w:rPr>
          <w:szCs w:val="20"/>
          <w:lang w:val="es-US"/>
        </w:rPr>
        <w:t xml:space="preserve">implementadas </w:t>
      </w:r>
      <w:r w:rsidRPr="00672AC2">
        <w:rPr>
          <w:szCs w:val="20"/>
          <w:lang w:val="es-US"/>
        </w:rPr>
        <w:t xml:space="preserve">buscan el abordaje de temáticas como la paz social, la gobernabilidad, </w:t>
      </w:r>
      <w:r w:rsidR="009F2F0A" w:rsidRPr="00672AC2">
        <w:rPr>
          <w:szCs w:val="20"/>
          <w:lang w:val="es-US"/>
        </w:rPr>
        <w:t>la</w:t>
      </w:r>
      <w:r w:rsidRPr="00672AC2">
        <w:rPr>
          <w:szCs w:val="20"/>
          <w:lang w:val="es-US"/>
        </w:rPr>
        <w:t xml:space="preserve"> prevención de conflictos y la gestión social.</w:t>
      </w:r>
    </w:p>
    <w:p w14:paraId="7EBF8D93" w14:textId="75AD1078" w:rsidR="005B081B" w:rsidRPr="008F7A96" w:rsidRDefault="06C42E0C" w:rsidP="005B081B">
      <w:pPr>
        <w:pStyle w:val="IAPrrafo"/>
        <w:rPr>
          <w:rFonts w:eastAsia="Calibri" w:cs="Times New Roman"/>
          <w:szCs w:val="20"/>
        </w:rPr>
      </w:pPr>
      <w:r w:rsidRPr="00672AC2">
        <w:rPr>
          <w:szCs w:val="20"/>
          <w:lang w:val="es-US"/>
        </w:rPr>
        <w:t>L</w:t>
      </w:r>
      <w:r w:rsidR="63E6C77F" w:rsidRPr="00672AC2">
        <w:rPr>
          <w:szCs w:val="20"/>
          <w:lang w:val="es-US"/>
        </w:rPr>
        <w:t xml:space="preserve">a CIDH identifica la necesidad de </w:t>
      </w:r>
      <w:r w:rsidR="7C0EE064" w:rsidRPr="00672AC2">
        <w:rPr>
          <w:szCs w:val="20"/>
          <w:lang w:val="es-US"/>
        </w:rPr>
        <w:t>más información</w:t>
      </w:r>
      <w:r w:rsidRPr="00672AC2">
        <w:rPr>
          <w:szCs w:val="20"/>
          <w:lang w:val="es-US"/>
        </w:rPr>
        <w:t xml:space="preserve"> acerca de </w:t>
      </w:r>
      <w:r w:rsidR="1AA60595" w:rsidRPr="00672AC2">
        <w:rPr>
          <w:szCs w:val="20"/>
          <w:lang w:val="es-US"/>
        </w:rPr>
        <w:t>los</w:t>
      </w:r>
      <w:r w:rsidRPr="00672AC2">
        <w:rPr>
          <w:szCs w:val="20"/>
          <w:lang w:val="es-US"/>
        </w:rPr>
        <w:t xml:space="preserve"> </w:t>
      </w:r>
      <w:r w:rsidR="0D646877">
        <w:rPr>
          <w:szCs w:val="20"/>
          <w:lang w:val="es-US"/>
        </w:rPr>
        <w:t xml:space="preserve">contenidos de los </w:t>
      </w:r>
      <w:r w:rsidRPr="00672AC2">
        <w:rPr>
          <w:szCs w:val="20"/>
          <w:lang w:val="es-US"/>
        </w:rPr>
        <w:t xml:space="preserve">diálogos </w:t>
      </w:r>
      <w:r w:rsidR="1AA60595" w:rsidRPr="00672AC2">
        <w:rPr>
          <w:szCs w:val="20"/>
          <w:lang w:val="es-US"/>
        </w:rPr>
        <w:t xml:space="preserve">que </w:t>
      </w:r>
      <w:r w:rsidRPr="00672AC2">
        <w:rPr>
          <w:szCs w:val="20"/>
          <w:lang w:val="es-US"/>
        </w:rPr>
        <w:t>se han llevado a cabo desde 2023 en las diferentes regiones, los objetivos que han abordado, qué sectores han sido escuchados y si pertenecen a los grupos históricamente discriminados, cuáles han sido sus demandas y los acuerdos a los que se ha llegado, y si han tenido impacto en la formulación de políticas públicas</w:t>
      </w:r>
      <w:r w:rsidR="00F36B41">
        <w:rPr>
          <w:rFonts w:ascii="ZWAdobeF" w:hAnsi="ZWAdobeF" w:cs="ZWAdobeF"/>
          <w:color w:val="auto"/>
          <w:sz w:val="2"/>
          <w:szCs w:val="2"/>
          <w:lang w:val="es-US"/>
        </w:rPr>
        <w:t>14F</w:t>
      </w:r>
      <w:r w:rsidR="009F2F0A" w:rsidRPr="00672AC2">
        <w:rPr>
          <w:rStyle w:val="FootnoteReference"/>
          <w:szCs w:val="20"/>
          <w:lang w:val="es-US"/>
        </w:rPr>
        <w:footnoteReference w:id="16"/>
      </w:r>
      <w:r w:rsidRPr="00672AC2">
        <w:rPr>
          <w:szCs w:val="20"/>
          <w:lang w:val="es-US"/>
        </w:rPr>
        <w:t>.</w:t>
      </w:r>
      <w:r w:rsidR="63E6C77F" w:rsidRPr="00672AC2">
        <w:rPr>
          <w:szCs w:val="20"/>
          <w:lang w:val="es-US"/>
        </w:rPr>
        <w:t xml:space="preserve"> </w:t>
      </w:r>
      <w:r w:rsidRPr="00672AC2">
        <w:rPr>
          <w:szCs w:val="20"/>
          <w:lang w:val="es-US"/>
        </w:rPr>
        <w:t>E</w:t>
      </w:r>
      <w:r w:rsidR="63E6C77F" w:rsidRPr="00672AC2">
        <w:rPr>
          <w:szCs w:val="20"/>
          <w:lang w:val="es-US"/>
        </w:rPr>
        <w:t xml:space="preserve">s esencial que </w:t>
      </w:r>
      <w:r w:rsidRPr="00672AC2">
        <w:rPr>
          <w:szCs w:val="20"/>
          <w:lang w:val="es-US"/>
        </w:rPr>
        <w:t>l</w:t>
      </w:r>
      <w:r w:rsidR="63E6C77F" w:rsidRPr="00672AC2">
        <w:rPr>
          <w:szCs w:val="20"/>
          <w:lang w:val="es-US"/>
        </w:rPr>
        <w:t>os diálogos se realicen de manera descentralizada y que la estrategia incluya, no sólo la organización de espacios de intercambio, sino también acciones para que estos tengan un impacto tangible en los procesos de decisión y formulación de políticas públicas</w:t>
      </w:r>
      <w:r w:rsidR="00F36B41">
        <w:rPr>
          <w:rFonts w:ascii="ZWAdobeF" w:hAnsi="ZWAdobeF" w:cs="ZWAdobeF"/>
          <w:color w:val="auto"/>
          <w:sz w:val="2"/>
          <w:szCs w:val="2"/>
          <w:lang w:val="es-US"/>
        </w:rPr>
        <w:t>15F</w:t>
      </w:r>
      <w:r w:rsidR="005B081B" w:rsidRPr="00672AC2">
        <w:rPr>
          <w:rStyle w:val="FootnoteReference"/>
          <w:szCs w:val="20"/>
          <w:lang w:val="es-US"/>
        </w:rPr>
        <w:footnoteReference w:id="17"/>
      </w:r>
      <w:r w:rsidRPr="00672AC2">
        <w:rPr>
          <w:szCs w:val="20"/>
          <w:lang w:val="es-US"/>
        </w:rPr>
        <w:t>,</w:t>
      </w:r>
      <w:r w:rsidR="20C94F88" w:rsidRPr="00672AC2">
        <w:rPr>
          <w:szCs w:val="20"/>
          <w:lang w:val="es-US"/>
        </w:rPr>
        <w:t xml:space="preserve"> </w:t>
      </w:r>
      <w:r w:rsidRPr="00672AC2">
        <w:rPr>
          <w:szCs w:val="20"/>
          <w:lang w:val="es-US"/>
        </w:rPr>
        <w:t>con</w:t>
      </w:r>
      <w:r w:rsidR="63E6C77F" w:rsidRPr="00672AC2">
        <w:rPr>
          <w:szCs w:val="20"/>
          <w:lang w:val="es-US"/>
        </w:rPr>
        <w:t xml:space="preserve"> acuerdos concretos</w:t>
      </w:r>
      <w:r w:rsidRPr="00672AC2">
        <w:rPr>
          <w:szCs w:val="20"/>
          <w:lang w:val="es-US"/>
        </w:rPr>
        <w:t xml:space="preserve"> y</w:t>
      </w:r>
      <w:r w:rsidR="20C94F88" w:rsidRPr="00672AC2">
        <w:rPr>
          <w:szCs w:val="20"/>
          <w:lang w:val="es-US"/>
        </w:rPr>
        <w:t xml:space="preserve"> </w:t>
      </w:r>
      <w:r w:rsidR="63E6C77F" w:rsidRPr="00672AC2">
        <w:rPr>
          <w:szCs w:val="20"/>
          <w:lang w:val="es-US"/>
        </w:rPr>
        <w:t xml:space="preserve">mecanismos o instrumentos de seguimiento claros, transparentes y participativos. Asimismo, si bien la estrategia de diálogo </w:t>
      </w:r>
      <w:r w:rsidR="54A221FD" w:rsidRPr="00672AC2">
        <w:rPr>
          <w:szCs w:val="20"/>
          <w:lang w:val="es-US"/>
        </w:rPr>
        <w:t>es</w:t>
      </w:r>
      <w:r w:rsidR="63E6C77F" w:rsidRPr="00672AC2">
        <w:rPr>
          <w:szCs w:val="20"/>
          <w:lang w:val="es-US"/>
        </w:rPr>
        <w:t xml:space="preserve"> obligación de medios, y no de resultados, para la Comisión es esencial que esta tenga como motivación principal un abordaje adecuado para la prevención y resolución de los conflictos, así como canales genuinos de encuentro entre los actores y las instituciones.</w:t>
      </w:r>
    </w:p>
    <w:p w14:paraId="4D29C343" w14:textId="4E0D4456" w:rsidR="005B081B" w:rsidRPr="008F7A96" w:rsidRDefault="009F2F0A" w:rsidP="008F7A96">
      <w:pPr>
        <w:pStyle w:val="IAPrrafo"/>
        <w:rPr>
          <w:rFonts w:eastAsia="Calibri" w:cs="Times New Roman"/>
          <w:szCs w:val="20"/>
        </w:rPr>
      </w:pPr>
      <w:r w:rsidRPr="00672AC2">
        <w:rPr>
          <w:szCs w:val="20"/>
          <w:lang w:val="es-US"/>
        </w:rPr>
        <w:t>R</w:t>
      </w:r>
      <w:r w:rsidR="005B081B" w:rsidRPr="00672AC2">
        <w:rPr>
          <w:szCs w:val="20"/>
          <w:lang w:val="es-US"/>
        </w:rPr>
        <w:t xml:space="preserve">econociendo las acciones estatales realizadas y </w:t>
      </w:r>
      <w:r w:rsidR="00917178" w:rsidRPr="00672AC2">
        <w:rPr>
          <w:szCs w:val="20"/>
          <w:lang w:val="es-US"/>
        </w:rPr>
        <w:t xml:space="preserve">teniendo en cuenta </w:t>
      </w:r>
      <w:r w:rsidR="005B081B" w:rsidRPr="00672AC2">
        <w:rPr>
          <w:szCs w:val="20"/>
          <w:lang w:val="es-US"/>
        </w:rPr>
        <w:t>que la CIDH precisa de información adicional específica sobre el desarrollo de las cualidades requeridas para garantizar una estrategia de diálogo genuina</w:t>
      </w:r>
      <w:r w:rsidRPr="00672AC2">
        <w:rPr>
          <w:szCs w:val="20"/>
          <w:lang w:val="es-US"/>
        </w:rPr>
        <w:t xml:space="preserve"> y efectiva con resultados</w:t>
      </w:r>
      <w:r w:rsidR="005B081B" w:rsidRPr="00672AC2">
        <w:rPr>
          <w:szCs w:val="20"/>
          <w:lang w:val="es-US"/>
        </w:rPr>
        <w:t xml:space="preserve">, se hace un llamado a fortalecer los mecanismos de seguimiento de los acuerdos y el impacto de dichos canales en la toma efectiva de decisiones. En el entretanto, la Comisión identifica que la recomendación se encuentra </w:t>
      </w:r>
      <w:r w:rsidR="005B081B" w:rsidRPr="00672AC2">
        <w:rPr>
          <w:b/>
          <w:bCs/>
          <w:szCs w:val="20"/>
          <w:lang w:val="es-US"/>
        </w:rPr>
        <w:t>parcialmente cumplida</w:t>
      </w:r>
      <w:r w:rsidR="005B081B" w:rsidRPr="00672AC2">
        <w:rPr>
          <w:szCs w:val="20"/>
          <w:lang w:val="es-US"/>
        </w:rPr>
        <w:t>.</w:t>
      </w:r>
    </w:p>
    <w:p w14:paraId="5634B602" w14:textId="03FF7D93" w:rsidR="005B081B" w:rsidRPr="00672AC2" w:rsidRDefault="005B081B" w:rsidP="008F7A96">
      <w:pPr>
        <w:ind w:firstLine="720"/>
        <w:jc w:val="both"/>
        <w:rPr>
          <w:lang w:val="es-US"/>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3F374E4E" w14:textId="77777777" w:rsidR="005B081B" w:rsidRPr="00672AC2" w:rsidRDefault="005B081B" w:rsidP="005B081B">
      <w:pPr>
        <w:pStyle w:val="IASubttulo2"/>
        <w:numPr>
          <w:ilvl w:val="0"/>
          <w:numId w:val="0"/>
        </w:numPr>
        <w:spacing w:after="0"/>
        <w:rPr>
          <w:sz w:val="20"/>
          <w:szCs w:val="20"/>
          <w:lang w:val="es-CO"/>
        </w:rPr>
      </w:pPr>
    </w:p>
    <w:p w14:paraId="050CFA55" w14:textId="140411F6" w:rsidR="3E8EA542" w:rsidRPr="008F7A96" w:rsidRDefault="04C947FA" w:rsidP="008F7A96">
      <w:pPr>
        <w:pStyle w:val="IAPrrafo"/>
        <w:rPr>
          <w:b/>
          <w:bCs/>
          <w:szCs w:val="20"/>
          <w:lang w:val="es-CO"/>
        </w:rPr>
      </w:pPr>
      <w:r w:rsidRPr="00672AC2">
        <w:rPr>
          <w:szCs w:val="20"/>
          <w:lang w:val="es-US"/>
        </w:rPr>
        <w:t>La Comisión urge al Estado a seguir fortaleciendo los canales de diálogo descentralizados, enfocados en los grupos particularmente afectados por las protestas ocurridas entre 2022 y 2023</w:t>
      </w:r>
      <w:r w:rsidR="00667F21" w:rsidRPr="00672AC2">
        <w:rPr>
          <w:szCs w:val="20"/>
          <w:lang w:val="es-US"/>
        </w:rPr>
        <w:t xml:space="preserve">. </w:t>
      </w:r>
      <w:proofErr w:type="gramStart"/>
      <w:r w:rsidR="00667F21" w:rsidRPr="00672AC2">
        <w:rPr>
          <w:szCs w:val="20"/>
          <w:lang w:val="es-US"/>
        </w:rPr>
        <w:t>Asimismo</w:t>
      </w:r>
      <w:proofErr w:type="gramEnd"/>
      <w:r w:rsidR="44194187" w:rsidRPr="00672AC2">
        <w:rPr>
          <w:szCs w:val="20"/>
          <w:lang w:val="es-US"/>
        </w:rPr>
        <w:t xml:space="preserve"> resalta la necesidad de que estos espacios de diálogo </w:t>
      </w:r>
      <w:r w:rsidR="50B9D27E" w:rsidRPr="00672AC2">
        <w:rPr>
          <w:szCs w:val="20"/>
          <w:lang w:val="es-US"/>
        </w:rPr>
        <w:t>generen acuerdos que permitan un</w:t>
      </w:r>
      <w:r w:rsidRPr="00672AC2">
        <w:rPr>
          <w:szCs w:val="20"/>
          <w:lang w:val="es-US"/>
        </w:rPr>
        <w:t xml:space="preserve"> abordaje adecuado de los conflictos entre las instituciones públicas y la ciudadanía.</w:t>
      </w:r>
      <w:r w:rsidR="679E667E" w:rsidRPr="00672AC2">
        <w:rPr>
          <w:szCs w:val="20"/>
          <w:lang w:val="es-US"/>
        </w:rPr>
        <w:t xml:space="preserve"> Para avanzar con el cumplimiento de la recomendación se va a requerir contar con el texto de la Estrategia </w:t>
      </w:r>
      <w:r w:rsidR="33C9F63F" w:rsidRPr="00672AC2">
        <w:rPr>
          <w:szCs w:val="20"/>
          <w:lang w:val="es-US"/>
        </w:rPr>
        <w:t xml:space="preserve">Juntos por la Paz, así como sus instrumentos y el detalle de las acciones </w:t>
      </w:r>
      <w:r w:rsidR="00730DF0" w:rsidRPr="00672AC2">
        <w:rPr>
          <w:szCs w:val="20"/>
          <w:lang w:val="es-US"/>
        </w:rPr>
        <w:t>implementadas</w:t>
      </w:r>
      <w:r w:rsidR="0083225E" w:rsidRPr="00672AC2">
        <w:rPr>
          <w:szCs w:val="20"/>
          <w:lang w:val="es-US"/>
        </w:rPr>
        <w:t>;</w:t>
      </w:r>
      <w:r w:rsidR="33C9F63F" w:rsidRPr="00672AC2">
        <w:rPr>
          <w:szCs w:val="20"/>
          <w:lang w:val="es-US"/>
        </w:rPr>
        <w:t xml:space="preserve"> en particular conocer las autoridades regionales o loca</w:t>
      </w:r>
      <w:r w:rsidR="632CCD4A" w:rsidRPr="00672AC2">
        <w:rPr>
          <w:szCs w:val="20"/>
          <w:lang w:val="es-US"/>
        </w:rPr>
        <w:t>les</w:t>
      </w:r>
      <w:r w:rsidR="33C9F63F" w:rsidRPr="00672AC2">
        <w:rPr>
          <w:szCs w:val="20"/>
          <w:lang w:val="es-US"/>
        </w:rPr>
        <w:t xml:space="preserve"> con las que se han </w:t>
      </w:r>
      <w:r w:rsidR="0083225E" w:rsidRPr="00672AC2">
        <w:rPr>
          <w:szCs w:val="20"/>
          <w:lang w:val="es-US"/>
        </w:rPr>
        <w:t xml:space="preserve">concretado </w:t>
      </w:r>
      <w:r w:rsidR="33C9F63F" w:rsidRPr="00672AC2">
        <w:rPr>
          <w:szCs w:val="20"/>
          <w:lang w:val="es-US"/>
        </w:rPr>
        <w:t>dichos diálogos</w:t>
      </w:r>
      <w:r w:rsidR="6707E84B" w:rsidRPr="00672AC2">
        <w:rPr>
          <w:szCs w:val="20"/>
          <w:lang w:val="es-US"/>
        </w:rPr>
        <w:t xml:space="preserve">, y cómo se ha asegurado la presencia de </w:t>
      </w:r>
      <w:r w:rsidR="6707E84B" w:rsidRPr="00672AC2">
        <w:rPr>
          <w:szCs w:val="20"/>
          <w:lang w:val="es-CO"/>
        </w:rPr>
        <w:t>aquellos que han sido los más afectados por la discriminación histórica, social y estructural en el país.</w:t>
      </w:r>
    </w:p>
    <w:tbl>
      <w:tblPr>
        <w:tblStyle w:val="TableGrid"/>
        <w:tblW w:w="0" w:type="auto"/>
        <w:tblLook w:val="04A0" w:firstRow="1" w:lastRow="0" w:firstColumn="1" w:lastColumn="0" w:noHBand="0" w:noVBand="1"/>
      </w:tblPr>
      <w:tblGrid>
        <w:gridCol w:w="9360"/>
      </w:tblGrid>
      <w:tr w:rsidR="005B081B" w:rsidRPr="00F51AED" w14:paraId="6BCD1E7C" w14:textId="77777777">
        <w:tc>
          <w:tcPr>
            <w:tcW w:w="9360" w:type="dxa"/>
            <w:tcBorders>
              <w:top w:val="nil"/>
              <w:left w:val="nil"/>
              <w:bottom w:val="nil"/>
              <w:right w:val="nil"/>
            </w:tcBorders>
            <w:shd w:val="clear" w:color="auto" w:fill="D9D9D9" w:themeFill="background1" w:themeFillShade="D9"/>
          </w:tcPr>
          <w:p w14:paraId="295CE515" w14:textId="222002CC" w:rsidR="005B081B" w:rsidRPr="00672AC2" w:rsidRDefault="005B081B" w:rsidP="008F7A96">
            <w:pPr>
              <w:shd w:val="clear" w:color="auto" w:fill="D9D9D9" w:themeFill="background1" w:themeFillShade="D9"/>
              <w:jc w:val="both"/>
              <w:rPr>
                <w:rFonts w:eastAsia="Calibri" w:cs="Times New Roman"/>
                <w:sz w:val="20"/>
                <w:szCs w:val="20"/>
                <w:lang w:val="es-CO"/>
              </w:rPr>
            </w:pPr>
            <w:r w:rsidRPr="00672AC2">
              <w:rPr>
                <w:rFonts w:eastAsia="Calibri" w:cs="Times New Roman"/>
                <w:b/>
                <w:bCs/>
                <w:sz w:val="20"/>
                <w:szCs w:val="20"/>
                <w:lang w:val="es-419"/>
              </w:rPr>
              <w:t xml:space="preserve">Recomendación </w:t>
            </w:r>
            <w:proofErr w:type="spellStart"/>
            <w:r w:rsidR="00226E60" w:rsidRPr="00672AC2">
              <w:rPr>
                <w:rFonts w:eastAsia="Calibri" w:cs="Times New Roman"/>
                <w:b/>
                <w:bCs/>
                <w:sz w:val="20"/>
                <w:szCs w:val="20"/>
                <w:lang w:val="es-419"/>
              </w:rPr>
              <w:t>Nº</w:t>
            </w:r>
            <w:proofErr w:type="spellEnd"/>
            <w:r w:rsidRPr="00672AC2">
              <w:rPr>
                <w:rFonts w:eastAsia="Calibri" w:cs="Times New Roman"/>
                <w:b/>
                <w:bCs/>
                <w:sz w:val="20"/>
                <w:szCs w:val="20"/>
                <w:lang w:val="es-419"/>
              </w:rPr>
              <w:t xml:space="preserve"> 2. </w:t>
            </w:r>
            <w:r w:rsidRPr="00672AC2">
              <w:rPr>
                <w:rFonts w:eastAsia="Calibri" w:cs="Times New Roman"/>
                <w:sz w:val="20"/>
                <w:szCs w:val="20"/>
                <w:lang w:val="es-CO"/>
              </w:rPr>
              <w:t>Garantizar la participación de pueblos indígenas y comunidades campesinas en los espacios de toma de decisión sobre políticas, programas y otras medidas relacionadas con asuntos de interés nacional, incluyendo las relacionadas con el desarrollo.</w:t>
            </w:r>
          </w:p>
        </w:tc>
      </w:tr>
    </w:tbl>
    <w:p w14:paraId="37175C4E" w14:textId="77777777" w:rsidR="005B081B" w:rsidRPr="00672AC2" w:rsidRDefault="005B081B" w:rsidP="005B081B">
      <w:pPr>
        <w:shd w:val="clear" w:color="auto" w:fill="FFFFFF" w:themeFill="background1"/>
        <w:suppressAutoHyphens w:val="0"/>
        <w:jc w:val="both"/>
        <w:rPr>
          <w:rFonts w:eastAsia="Cambria" w:cs="Cambria"/>
          <w:sz w:val="20"/>
          <w:szCs w:val="20"/>
          <w:lang w:val="es-US" w:eastAsia="es-US"/>
        </w:rPr>
      </w:pPr>
    </w:p>
    <w:p w14:paraId="163CED56" w14:textId="782A5404" w:rsidR="005B081B" w:rsidRPr="00672AC2" w:rsidRDefault="005B081B" w:rsidP="008F7A96">
      <w:pPr>
        <w:pBdr>
          <w:top w:val="nil"/>
          <w:left w:val="nil"/>
          <w:bottom w:val="nil"/>
          <w:right w:val="nil"/>
          <w:between w:val="nil"/>
        </w:pBdr>
        <w:ind w:firstLine="720"/>
        <w:jc w:val="both"/>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3A69BD48" w14:textId="77777777" w:rsidR="005B081B" w:rsidRPr="00672AC2" w:rsidRDefault="005B081B" w:rsidP="005B081B">
      <w:pPr>
        <w:shd w:val="clear" w:color="auto" w:fill="FFFFFF" w:themeFill="background1"/>
        <w:suppressAutoHyphens w:val="0"/>
        <w:jc w:val="both"/>
        <w:rPr>
          <w:rFonts w:eastAsia="Cambria" w:cs="Cambria"/>
          <w:sz w:val="20"/>
          <w:szCs w:val="20"/>
          <w:lang w:val="es-419" w:eastAsia="es-US"/>
        </w:rPr>
      </w:pPr>
    </w:p>
    <w:p w14:paraId="639B3A8D" w14:textId="0B5DCC66" w:rsidR="005B081B" w:rsidRPr="008F7A96" w:rsidRDefault="005B081B" w:rsidP="008F7A96">
      <w:pPr>
        <w:pStyle w:val="IAPrrafo"/>
        <w:rPr>
          <w:szCs w:val="20"/>
          <w:lang w:val="es-ES"/>
        </w:rPr>
      </w:pPr>
      <w:r w:rsidRPr="00672AC2">
        <w:rPr>
          <w:rFonts w:eastAsia="Cambria" w:cs="Cambria"/>
          <w:szCs w:val="20"/>
          <w:lang w:eastAsia="es-US"/>
        </w:rPr>
        <w:t xml:space="preserve">En el 2024, el Estado informó que, </w:t>
      </w:r>
      <w:r w:rsidRPr="00672AC2">
        <w:rPr>
          <w:szCs w:val="20"/>
          <w:lang w:val="es-ES"/>
        </w:rPr>
        <w:t>desde el 2023,</w:t>
      </w:r>
      <w:r w:rsidRPr="00672AC2">
        <w:rPr>
          <w:rFonts w:eastAsia="Cambria" w:cs="Cambria"/>
          <w:szCs w:val="20"/>
          <w:lang w:eastAsia="es-US"/>
        </w:rPr>
        <w:t xml:space="preserve"> se </w:t>
      </w:r>
      <w:r w:rsidR="00E06A2E" w:rsidRPr="00672AC2">
        <w:rPr>
          <w:rFonts w:eastAsia="Cambria" w:cs="Cambria"/>
          <w:szCs w:val="20"/>
          <w:lang w:eastAsia="es-US"/>
        </w:rPr>
        <w:t xml:space="preserve">organizaron </w:t>
      </w:r>
      <w:r w:rsidRPr="00672AC2">
        <w:rPr>
          <w:rFonts w:eastAsia="Cambria" w:cs="Cambria"/>
          <w:szCs w:val="20"/>
          <w:lang w:eastAsia="es-US"/>
        </w:rPr>
        <w:t>tres reuniones de trabajo en el marco de la “</w:t>
      </w:r>
      <w:r w:rsidRPr="00672AC2">
        <w:rPr>
          <w:szCs w:val="20"/>
          <w:lang w:val="es-ES"/>
        </w:rPr>
        <w:t>Comisión Multisectorial de naturaleza permanente encargada de proponer, realizar el seguimiento y fiscalizar la implementación de las medidas y acciones estratégicas para el desarrollo integral de los pueblos indígenas u originarios en el país”</w:t>
      </w:r>
      <w:r w:rsidR="00F36B41">
        <w:rPr>
          <w:rFonts w:ascii="ZWAdobeF" w:hAnsi="ZWAdobeF" w:cs="ZWAdobeF"/>
          <w:color w:val="auto"/>
          <w:sz w:val="2"/>
          <w:szCs w:val="2"/>
          <w:lang w:val="es-ES"/>
        </w:rPr>
        <w:t>16F</w:t>
      </w:r>
      <w:r w:rsidRPr="00672AC2">
        <w:rPr>
          <w:rStyle w:val="FootnoteReference"/>
          <w:szCs w:val="20"/>
          <w:lang w:val="es-ES"/>
        </w:rPr>
        <w:footnoteReference w:id="18"/>
      </w:r>
      <w:r w:rsidRPr="00672AC2">
        <w:rPr>
          <w:szCs w:val="20"/>
          <w:lang w:val="es-ES"/>
        </w:rPr>
        <w:t xml:space="preserve">. La Comisión </w:t>
      </w:r>
      <w:r w:rsidR="009F2F0A" w:rsidRPr="00672AC2">
        <w:rPr>
          <w:szCs w:val="20"/>
          <w:lang w:val="es-ES"/>
        </w:rPr>
        <w:t xml:space="preserve">Multisectorial </w:t>
      </w:r>
      <w:r w:rsidRPr="00672AC2">
        <w:rPr>
          <w:szCs w:val="20"/>
          <w:lang w:val="es-ES"/>
        </w:rPr>
        <w:t xml:space="preserve">está conformada por 12 sectores del Poder Ejecutivo y siete organizaciones indígenas de alcance nacional, </w:t>
      </w:r>
      <w:r w:rsidR="009F2F0A" w:rsidRPr="00672AC2">
        <w:rPr>
          <w:szCs w:val="20"/>
          <w:lang w:val="es-ES"/>
        </w:rPr>
        <w:t>que</w:t>
      </w:r>
      <w:r w:rsidRPr="00672AC2">
        <w:rPr>
          <w:szCs w:val="20"/>
          <w:lang w:val="es-ES"/>
        </w:rPr>
        <w:t xml:space="preserve"> busca articular y desarrollar propuestas de acciones entre organizaciones indígenas y entidades públicas.</w:t>
      </w:r>
    </w:p>
    <w:p w14:paraId="190811B5" w14:textId="7D595B0A" w:rsidR="005B081B" w:rsidRPr="008F7A96" w:rsidRDefault="009F2F0A" w:rsidP="005B081B">
      <w:pPr>
        <w:pStyle w:val="IAPrrafo"/>
        <w:rPr>
          <w:szCs w:val="20"/>
          <w:lang w:val="es-ES"/>
        </w:rPr>
      </w:pPr>
      <w:r w:rsidRPr="00672AC2">
        <w:rPr>
          <w:szCs w:val="20"/>
          <w:lang w:val="es-ES"/>
        </w:rPr>
        <w:t>E</w:t>
      </w:r>
      <w:r w:rsidR="005B081B" w:rsidRPr="00672AC2">
        <w:rPr>
          <w:szCs w:val="20"/>
          <w:lang w:val="es-ES"/>
        </w:rPr>
        <w:t>l Estado reportó la creación de la Comisión Multisectorial encargada de proponer y fiscalizar la implementación de medidas y acciones estratégicas para el desarrollo sostenible e integral de los pueblos indígenas u originarios de la Selva Central</w:t>
      </w:r>
      <w:r w:rsidR="00F36B41">
        <w:rPr>
          <w:rFonts w:ascii="ZWAdobeF" w:hAnsi="ZWAdobeF" w:cs="ZWAdobeF"/>
          <w:color w:val="auto"/>
          <w:sz w:val="2"/>
          <w:szCs w:val="2"/>
          <w:lang w:val="es-ES"/>
        </w:rPr>
        <w:t>17F</w:t>
      </w:r>
      <w:r w:rsidR="005B081B" w:rsidRPr="00672AC2">
        <w:rPr>
          <w:rStyle w:val="FootnoteReference"/>
          <w:szCs w:val="20"/>
          <w:lang w:val="es-ES"/>
        </w:rPr>
        <w:footnoteReference w:id="19"/>
      </w:r>
      <w:r w:rsidR="005B081B" w:rsidRPr="00672AC2">
        <w:rPr>
          <w:szCs w:val="20"/>
          <w:lang w:val="es-ES"/>
        </w:rPr>
        <w:t>, en la que participan 13 sectores del Poder Ejecutivo, cuatro gobiernos regionales y dos organizaciones indígenas de alcance regional. Dicha comisión tuvo reuniones de coordinación interna y elaboró su Plan de Trabajo</w:t>
      </w:r>
      <w:r w:rsidR="00F36B41">
        <w:rPr>
          <w:rFonts w:ascii="ZWAdobeF" w:hAnsi="ZWAdobeF" w:cs="ZWAdobeF"/>
          <w:color w:val="auto"/>
          <w:sz w:val="2"/>
          <w:szCs w:val="2"/>
          <w:lang w:val="es-ES"/>
        </w:rPr>
        <w:t>18F</w:t>
      </w:r>
      <w:r w:rsidR="00307177">
        <w:rPr>
          <w:rStyle w:val="FootnoteReference"/>
          <w:szCs w:val="20"/>
          <w:lang w:val="es-ES"/>
        </w:rPr>
        <w:footnoteReference w:id="20"/>
      </w:r>
      <w:r w:rsidR="005B081B" w:rsidRPr="00672AC2">
        <w:rPr>
          <w:szCs w:val="20"/>
          <w:lang w:val="es-ES"/>
        </w:rPr>
        <w:t>.</w:t>
      </w:r>
    </w:p>
    <w:p w14:paraId="2F2E8D2C" w14:textId="6D22EAF5" w:rsidR="005B081B" w:rsidRPr="00D602E9" w:rsidRDefault="00B80BCD" w:rsidP="005B081B">
      <w:pPr>
        <w:pStyle w:val="IAPrrafo"/>
        <w:rPr>
          <w:szCs w:val="20"/>
          <w:lang w:val="es-US"/>
        </w:rPr>
      </w:pPr>
      <w:r w:rsidRPr="00672AC2">
        <w:rPr>
          <w:szCs w:val="20"/>
          <w:lang w:val="es-US"/>
        </w:rPr>
        <w:t>E</w:t>
      </w:r>
      <w:r w:rsidR="009F2F0A" w:rsidRPr="00672AC2">
        <w:rPr>
          <w:szCs w:val="20"/>
          <w:lang w:val="es-US"/>
        </w:rPr>
        <w:t>l Estado</w:t>
      </w:r>
      <w:r w:rsidR="005B081B" w:rsidRPr="00672AC2">
        <w:rPr>
          <w:szCs w:val="20"/>
          <w:lang w:val="es-US"/>
        </w:rPr>
        <w:t xml:space="preserve"> </w:t>
      </w:r>
      <w:r w:rsidR="008864A7" w:rsidRPr="00672AC2">
        <w:rPr>
          <w:szCs w:val="20"/>
          <w:lang w:val="es-US"/>
        </w:rPr>
        <w:t xml:space="preserve">asimismo </w:t>
      </w:r>
      <w:r w:rsidR="00B2712C" w:rsidRPr="00672AC2">
        <w:rPr>
          <w:szCs w:val="20"/>
          <w:lang w:val="es-US"/>
        </w:rPr>
        <w:t>resaltó</w:t>
      </w:r>
      <w:r w:rsidR="00263A17" w:rsidRPr="00672AC2">
        <w:rPr>
          <w:szCs w:val="20"/>
          <w:lang w:val="es-US"/>
        </w:rPr>
        <w:t xml:space="preserve"> </w:t>
      </w:r>
      <w:r w:rsidR="005B081B" w:rsidRPr="00672AC2">
        <w:rPr>
          <w:szCs w:val="20"/>
          <w:lang w:val="es-US"/>
        </w:rPr>
        <w:t xml:space="preserve">el pedido de incorporación de las organizaciones representativas de pueblos indígenas u originarios y del pueblo afroperuano al Foro del Acuerdo Nacional realizado por el Poder Ejecutivo. Dicho </w:t>
      </w:r>
      <w:r w:rsidR="00B2712C" w:rsidRPr="00672AC2">
        <w:rPr>
          <w:szCs w:val="20"/>
          <w:lang w:val="es-US"/>
        </w:rPr>
        <w:t>f</w:t>
      </w:r>
      <w:r w:rsidR="005B081B" w:rsidRPr="00672AC2">
        <w:rPr>
          <w:szCs w:val="20"/>
          <w:lang w:val="es-US"/>
        </w:rPr>
        <w:t xml:space="preserve">oro es un espacio de diálogo y de construcción de consensos, que busca representar los intereses de distintos sectores del país. Frente a este pedido, se </w:t>
      </w:r>
      <w:r w:rsidR="005B081B" w:rsidRPr="00672AC2">
        <w:rPr>
          <w:szCs w:val="20"/>
          <w:lang w:val="es-ES"/>
        </w:rPr>
        <w:t>invitó a organizaciones de pueblos indígenas al Segundo Encuentro Descentralizado del Acuerdo</w:t>
      </w:r>
      <w:r w:rsidR="00F36B41">
        <w:rPr>
          <w:rFonts w:ascii="ZWAdobeF" w:hAnsi="ZWAdobeF" w:cs="ZWAdobeF"/>
          <w:color w:val="auto"/>
          <w:sz w:val="2"/>
          <w:szCs w:val="2"/>
          <w:lang w:val="es-ES"/>
        </w:rPr>
        <w:t>19F</w:t>
      </w:r>
      <w:r w:rsidR="005B081B" w:rsidRPr="00672AC2">
        <w:rPr>
          <w:rStyle w:val="FootnoteReference"/>
          <w:szCs w:val="20"/>
          <w:lang w:val="es-ES"/>
        </w:rPr>
        <w:footnoteReference w:id="21"/>
      </w:r>
      <w:r w:rsidR="005B081B" w:rsidRPr="00672AC2">
        <w:rPr>
          <w:szCs w:val="20"/>
          <w:lang w:val="es-ES"/>
        </w:rPr>
        <w:t>.</w:t>
      </w:r>
    </w:p>
    <w:p w14:paraId="6F6C008C" w14:textId="236450E2" w:rsidR="005B081B" w:rsidRPr="00CF1B58" w:rsidRDefault="009F2F0A" w:rsidP="005B081B">
      <w:pPr>
        <w:pStyle w:val="IAPrrafo"/>
        <w:rPr>
          <w:szCs w:val="20"/>
          <w:lang w:val="es-US"/>
        </w:rPr>
      </w:pPr>
      <w:r w:rsidRPr="00672AC2">
        <w:rPr>
          <w:szCs w:val="20"/>
          <w:lang w:val="es-US"/>
        </w:rPr>
        <w:t>L</w:t>
      </w:r>
      <w:r w:rsidR="005B081B" w:rsidRPr="00672AC2">
        <w:rPr>
          <w:szCs w:val="20"/>
          <w:lang w:val="es-US"/>
        </w:rPr>
        <w:t xml:space="preserve">a Comisión recibió información de sociedad civil relacionada con la alegada falta de diálogo </w:t>
      </w:r>
      <w:r w:rsidR="00307177">
        <w:rPr>
          <w:szCs w:val="20"/>
          <w:lang w:val="es-US"/>
        </w:rPr>
        <w:t xml:space="preserve">o consulta </w:t>
      </w:r>
      <w:r w:rsidR="005B081B" w:rsidRPr="00672AC2">
        <w:rPr>
          <w:szCs w:val="20"/>
          <w:lang w:val="es-US"/>
        </w:rPr>
        <w:t xml:space="preserve">para la aprobación de la Ley </w:t>
      </w:r>
      <w:proofErr w:type="spellStart"/>
      <w:r w:rsidR="005B081B" w:rsidRPr="00672AC2">
        <w:rPr>
          <w:szCs w:val="20"/>
          <w:lang w:val="es-US"/>
        </w:rPr>
        <w:t>N</w:t>
      </w:r>
      <w:r w:rsidR="009436D1" w:rsidRPr="00672AC2">
        <w:rPr>
          <w:szCs w:val="20"/>
          <w:lang w:val="es-US"/>
        </w:rPr>
        <w:t>º</w:t>
      </w:r>
      <w:proofErr w:type="spellEnd"/>
      <w:r w:rsidR="005B081B" w:rsidRPr="00672AC2">
        <w:rPr>
          <w:szCs w:val="20"/>
          <w:lang w:val="es-US"/>
        </w:rPr>
        <w:t xml:space="preserve"> 31973</w:t>
      </w:r>
      <w:r w:rsidR="00F36B41">
        <w:rPr>
          <w:rFonts w:ascii="ZWAdobeF" w:hAnsi="ZWAdobeF" w:cs="ZWAdobeF"/>
          <w:color w:val="auto"/>
          <w:sz w:val="2"/>
          <w:szCs w:val="2"/>
          <w:lang w:val="es-US"/>
        </w:rPr>
        <w:t>20F</w:t>
      </w:r>
      <w:r w:rsidR="005B081B" w:rsidRPr="00672AC2">
        <w:rPr>
          <w:rStyle w:val="FootnoteReference"/>
          <w:szCs w:val="20"/>
          <w:lang w:val="es-US"/>
        </w:rPr>
        <w:footnoteReference w:id="22"/>
      </w:r>
      <w:r w:rsidR="005B081B" w:rsidRPr="00672AC2">
        <w:rPr>
          <w:szCs w:val="20"/>
          <w:lang w:val="es-US"/>
        </w:rPr>
        <w:t xml:space="preserve">, que modifica la Ley Forestal y de Fauna Silvestre (Ley </w:t>
      </w:r>
      <w:proofErr w:type="spellStart"/>
      <w:r w:rsidR="005B081B" w:rsidRPr="00672AC2">
        <w:rPr>
          <w:szCs w:val="20"/>
          <w:lang w:val="es-US"/>
        </w:rPr>
        <w:t>N</w:t>
      </w:r>
      <w:r w:rsidR="009436D1" w:rsidRPr="00672AC2">
        <w:rPr>
          <w:szCs w:val="20"/>
          <w:lang w:val="es-US"/>
        </w:rPr>
        <w:t>º</w:t>
      </w:r>
      <w:proofErr w:type="spellEnd"/>
      <w:r w:rsidR="005B081B" w:rsidRPr="00672AC2">
        <w:rPr>
          <w:szCs w:val="20"/>
          <w:lang w:val="es-US"/>
        </w:rPr>
        <w:t xml:space="preserve"> 29763)</w:t>
      </w:r>
      <w:r w:rsidR="00902D28">
        <w:rPr>
          <w:szCs w:val="20"/>
          <w:lang w:val="es-US"/>
        </w:rPr>
        <w:t>.</w:t>
      </w:r>
      <w:r w:rsidR="005B081B" w:rsidRPr="00672AC2">
        <w:rPr>
          <w:szCs w:val="20"/>
          <w:lang w:val="es-US"/>
        </w:rPr>
        <w:t xml:space="preserve"> </w:t>
      </w:r>
      <w:r w:rsidR="00902D28">
        <w:rPr>
          <w:szCs w:val="20"/>
          <w:lang w:val="es-US"/>
        </w:rPr>
        <w:t>D</w:t>
      </w:r>
      <w:r w:rsidR="00902D28" w:rsidRPr="00672AC2">
        <w:rPr>
          <w:szCs w:val="20"/>
          <w:lang w:val="es-US"/>
        </w:rPr>
        <w:t xml:space="preserve">e acuerdo con </w:t>
      </w:r>
      <w:r w:rsidR="00902D28">
        <w:rPr>
          <w:szCs w:val="20"/>
          <w:lang w:val="es-US"/>
        </w:rPr>
        <w:t xml:space="preserve">la información proporcionada por </w:t>
      </w:r>
      <w:r w:rsidR="00902D28" w:rsidRPr="00672AC2">
        <w:rPr>
          <w:szCs w:val="20"/>
          <w:lang w:val="es-US"/>
        </w:rPr>
        <w:t>organizaciones</w:t>
      </w:r>
      <w:r w:rsidR="00902D28">
        <w:rPr>
          <w:szCs w:val="20"/>
          <w:lang w:val="es-US"/>
        </w:rPr>
        <w:t xml:space="preserve"> de sociedad civil</w:t>
      </w:r>
      <w:r w:rsidR="00902D28" w:rsidRPr="00672AC2">
        <w:rPr>
          <w:szCs w:val="20"/>
          <w:lang w:val="es-US"/>
        </w:rPr>
        <w:t xml:space="preserve">, </w:t>
      </w:r>
      <w:r w:rsidR="00902D28">
        <w:rPr>
          <w:szCs w:val="20"/>
          <w:lang w:val="es-US"/>
        </w:rPr>
        <w:t xml:space="preserve">dicha ley </w:t>
      </w:r>
      <w:r w:rsidR="00902D28" w:rsidRPr="00672AC2">
        <w:rPr>
          <w:szCs w:val="20"/>
          <w:lang w:val="es-US"/>
        </w:rPr>
        <w:t>reduciría los mecanismos de control y fiscalización sobre actividades ilegales, y posibilitaría la legalización del territorio de quienes explotan los bosques sin permiso, afectando los derechos colectivos de los pueblos indígenas, así como la biodiversidad en la Amazonía.</w:t>
      </w:r>
      <w:r w:rsidR="00902D28">
        <w:rPr>
          <w:szCs w:val="20"/>
          <w:lang w:val="es-US"/>
        </w:rPr>
        <w:t xml:space="preserve"> </w:t>
      </w:r>
      <w:r w:rsidR="005B2364">
        <w:rPr>
          <w:szCs w:val="20"/>
          <w:lang w:val="es-US"/>
        </w:rPr>
        <w:t>Asimismo, el Relator Especial sobre los derechos de los pueblos indígenas</w:t>
      </w:r>
      <w:r w:rsidR="00F34857">
        <w:rPr>
          <w:szCs w:val="20"/>
          <w:lang w:val="es-US"/>
        </w:rPr>
        <w:t xml:space="preserve"> de la ONU</w:t>
      </w:r>
      <w:r w:rsidR="00A0564B">
        <w:rPr>
          <w:szCs w:val="20"/>
          <w:lang w:val="es-US"/>
        </w:rPr>
        <w:t xml:space="preserve"> </w:t>
      </w:r>
      <w:r w:rsidR="005B2364">
        <w:rPr>
          <w:szCs w:val="20"/>
          <w:lang w:val="es-US"/>
        </w:rPr>
        <w:t>señaló</w:t>
      </w:r>
      <w:r w:rsidR="00E36697">
        <w:rPr>
          <w:szCs w:val="20"/>
          <w:lang w:val="es-US"/>
        </w:rPr>
        <w:t>,</w:t>
      </w:r>
      <w:r w:rsidR="005B2364">
        <w:rPr>
          <w:szCs w:val="20"/>
          <w:lang w:val="es-US"/>
        </w:rPr>
        <w:t xml:space="preserve"> mediante comunicado de prensa del 31 de enero del 2024</w:t>
      </w:r>
      <w:r w:rsidR="00E36697">
        <w:rPr>
          <w:szCs w:val="20"/>
          <w:lang w:val="es-US"/>
        </w:rPr>
        <w:t>,</w:t>
      </w:r>
      <w:r w:rsidR="005B2364">
        <w:rPr>
          <w:szCs w:val="20"/>
          <w:lang w:val="es-US"/>
        </w:rPr>
        <w:t xml:space="preserve"> que esta ley </w:t>
      </w:r>
      <w:r w:rsidR="00A0564B">
        <w:rPr>
          <w:szCs w:val="20"/>
          <w:lang w:val="es-US"/>
        </w:rPr>
        <w:t>“</w:t>
      </w:r>
      <w:r w:rsidR="00A0564B" w:rsidRPr="00A0564B">
        <w:rPr>
          <w:szCs w:val="20"/>
          <w:lang w:val="es-US"/>
        </w:rPr>
        <w:t>podría</w:t>
      </w:r>
      <w:r w:rsidR="005B2364">
        <w:rPr>
          <w:szCs w:val="20"/>
          <w:lang w:val="es-US"/>
        </w:rPr>
        <w:t>(</w:t>
      </w:r>
      <w:r w:rsidR="00A0564B" w:rsidRPr="00A0564B">
        <w:rPr>
          <w:szCs w:val="20"/>
          <w:lang w:val="es-US"/>
        </w:rPr>
        <w:t>n</w:t>
      </w:r>
      <w:r w:rsidR="005B2364">
        <w:rPr>
          <w:szCs w:val="20"/>
          <w:lang w:val="es-US"/>
        </w:rPr>
        <w:t>)</w:t>
      </w:r>
      <w:r w:rsidR="00A0564B" w:rsidRPr="00A0564B">
        <w:rPr>
          <w:szCs w:val="20"/>
          <w:lang w:val="es-US"/>
        </w:rPr>
        <w:t xml:space="preserve"> legalizar e incentivar el despojo de tierras de los pueblos indígenas e, incluso, amenazar su supervivencia física y cultural</w:t>
      </w:r>
      <w:r w:rsidR="00A0564B">
        <w:rPr>
          <w:szCs w:val="20"/>
          <w:lang w:val="es-US"/>
        </w:rPr>
        <w:t>”</w:t>
      </w:r>
      <w:r w:rsidR="00F36B41">
        <w:rPr>
          <w:rFonts w:ascii="ZWAdobeF" w:hAnsi="ZWAdobeF" w:cs="ZWAdobeF"/>
          <w:color w:val="auto"/>
          <w:sz w:val="2"/>
          <w:szCs w:val="2"/>
          <w:lang w:val="es-US"/>
        </w:rPr>
        <w:t>21F</w:t>
      </w:r>
      <w:r w:rsidR="00A0564B">
        <w:rPr>
          <w:rStyle w:val="FootnoteReference"/>
          <w:szCs w:val="20"/>
          <w:lang w:val="es-US"/>
        </w:rPr>
        <w:footnoteReference w:id="23"/>
      </w:r>
      <w:r w:rsidR="00902D28">
        <w:rPr>
          <w:szCs w:val="20"/>
          <w:lang w:val="es-US"/>
        </w:rPr>
        <w:t>.</w:t>
      </w:r>
      <w:r w:rsidR="005B081B" w:rsidRPr="00672AC2">
        <w:rPr>
          <w:szCs w:val="20"/>
          <w:lang w:val="es-US"/>
        </w:rPr>
        <w:t xml:space="preserve"> En ese mismo sentido, fue señalado a la CIDH que se habría aprobado</w:t>
      </w:r>
      <w:r w:rsidR="00A35D33" w:rsidRPr="00672AC2">
        <w:rPr>
          <w:szCs w:val="20"/>
          <w:lang w:val="es-US"/>
        </w:rPr>
        <w:t>,</w:t>
      </w:r>
      <w:r w:rsidR="005B081B" w:rsidRPr="00672AC2">
        <w:rPr>
          <w:szCs w:val="20"/>
          <w:lang w:val="es-US"/>
        </w:rPr>
        <w:t xml:space="preserve"> sin consulta o participación de las organizaciones indígenas</w:t>
      </w:r>
      <w:r w:rsidR="00A35D33" w:rsidRPr="00672AC2">
        <w:rPr>
          <w:szCs w:val="20"/>
          <w:lang w:val="es-US"/>
        </w:rPr>
        <w:t>,</w:t>
      </w:r>
      <w:r w:rsidR="005B081B" w:rsidRPr="00672AC2">
        <w:rPr>
          <w:szCs w:val="20"/>
          <w:lang w:val="es-US"/>
        </w:rPr>
        <w:t xml:space="preserve"> el Decreto Supremo </w:t>
      </w:r>
      <w:proofErr w:type="spellStart"/>
      <w:r w:rsidR="005B081B" w:rsidRPr="00672AC2">
        <w:rPr>
          <w:szCs w:val="20"/>
          <w:lang w:val="es-US"/>
        </w:rPr>
        <w:t>N</w:t>
      </w:r>
      <w:r w:rsidR="009436D1" w:rsidRPr="00672AC2">
        <w:rPr>
          <w:szCs w:val="20"/>
          <w:lang w:val="es-US"/>
        </w:rPr>
        <w:t>º</w:t>
      </w:r>
      <w:proofErr w:type="spellEnd"/>
      <w:r w:rsidR="005B081B" w:rsidRPr="00672AC2">
        <w:rPr>
          <w:szCs w:val="20"/>
          <w:lang w:val="es-US"/>
        </w:rPr>
        <w:t xml:space="preserve"> 005-2024-MINAM</w:t>
      </w:r>
      <w:r w:rsidR="00F36B41">
        <w:rPr>
          <w:rFonts w:ascii="ZWAdobeF" w:hAnsi="ZWAdobeF" w:cs="ZWAdobeF"/>
          <w:color w:val="auto"/>
          <w:sz w:val="2"/>
          <w:szCs w:val="2"/>
          <w:lang w:val="es-US"/>
        </w:rPr>
        <w:t>22F</w:t>
      </w:r>
      <w:r w:rsidR="005B081B" w:rsidRPr="00672AC2">
        <w:rPr>
          <w:rStyle w:val="FootnoteReference"/>
          <w:szCs w:val="20"/>
          <w:lang w:val="es-US"/>
        </w:rPr>
        <w:footnoteReference w:id="24"/>
      </w:r>
      <w:r w:rsidR="005B081B" w:rsidRPr="00672AC2">
        <w:rPr>
          <w:szCs w:val="20"/>
          <w:lang w:val="es-US"/>
        </w:rPr>
        <w:t>, que limitaría el trabajo del Servicio Nacional de Certificación Ambiental (SENACE)</w:t>
      </w:r>
      <w:r w:rsidR="00F36B41">
        <w:rPr>
          <w:rFonts w:ascii="ZWAdobeF" w:hAnsi="ZWAdobeF" w:cs="ZWAdobeF"/>
          <w:color w:val="auto"/>
          <w:sz w:val="2"/>
          <w:szCs w:val="2"/>
          <w:lang w:val="es-US"/>
        </w:rPr>
        <w:t>23F</w:t>
      </w:r>
      <w:r w:rsidR="005B081B" w:rsidRPr="00672AC2">
        <w:rPr>
          <w:rStyle w:val="FootnoteReference"/>
          <w:szCs w:val="20"/>
          <w:lang w:val="es-US"/>
        </w:rPr>
        <w:footnoteReference w:id="25"/>
      </w:r>
      <w:r w:rsidR="005B081B" w:rsidRPr="00672AC2">
        <w:rPr>
          <w:szCs w:val="20"/>
          <w:lang w:val="es-US"/>
        </w:rPr>
        <w:t xml:space="preserve"> frente a la aprobación de proyectos de inversión.</w:t>
      </w:r>
    </w:p>
    <w:p w14:paraId="3855F37E" w14:textId="5A7FC28B" w:rsidR="005B081B" w:rsidRPr="007A0079" w:rsidRDefault="06C42E0C" w:rsidP="007A0079">
      <w:pPr>
        <w:pStyle w:val="IAPrrafo"/>
        <w:rPr>
          <w:szCs w:val="20"/>
          <w:lang w:val="es-US"/>
        </w:rPr>
      </w:pPr>
      <w:r w:rsidRPr="00672AC2">
        <w:rPr>
          <w:szCs w:val="20"/>
          <w:lang w:val="es-US"/>
        </w:rPr>
        <w:t>E</w:t>
      </w:r>
      <w:r w:rsidR="63E6C77F" w:rsidRPr="00672AC2">
        <w:rPr>
          <w:szCs w:val="20"/>
          <w:lang w:val="es-US"/>
        </w:rPr>
        <w:t>n relación con la calidad de la participación de las organizaciones de pueblos indígenas, la sociedad civil mostró su preocupación por los cuestionamientos que existen sobre el momento de la consulta previa, los interlocutores a quienes se convoca, o el alcance de lo que se discute</w:t>
      </w:r>
      <w:r w:rsidR="4DB6CEA4" w:rsidRPr="00672AC2">
        <w:rPr>
          <w:szCs w:val="20"/>
          <w:lang w:val="es-US"/>
        </w:rPr>
        <w:t>;</w:t>
      </w:r>
      <w:r w:rsidR="63E6C77F" w:rsidRPr="00672AC2">
        <w:rPr>
          <w:szCs w:val="20"/>
          <w:lang w:val="es-US"/>
        </w:rPr>
        <w:t xml:space="preserve"> sobre todo en relación con las actividades extractivas y </w:t>
      </w:r>
      <w:r w:rsidR="4DB6CEA4" w:rsidRPr="00672AC2">
        <w:rPr>
          <w:szCs w:val="20"/>
          <w:lang w:val="es-US"/>
        </w:rPr>
        <w:t xml:space="preserve">su </w:t>
      </w:r>
      <w:r w:rsidR="63E6C77F" w:rsidRPr="00672AC2">
        <w:rPr>
          <w:szCs w:val="20"/>
          <w:lang w:val="es-US"/>
        </w:rPr>
        <w:t>impacto sobre el ejercicio de los derechos de los pueblos indígenas. De esa manera, se manifestó a la CIDH que, si bien se ha reconocido el derecho a la consulta y a la participación de los pueblos indígenas en distintos proyectos públicos que involucran a sus comunidades</w:t>
      </w:r>
      <w:r w:rsidR="00F36B41">
        <w:rPr>
          <w:rFonts w:ascii="ZWAdobeF" w:hAnsi="ZWAdobeF" w:cs="ZWAdobeF"/>
          <w:color w:val="auto"/>
          <w:sz w:val="2"/>
          <w:szCs w:val="2"/>
          <w:lang w:val="es-US"/>
        </w:rPr>
        <w:t>24F</w:t>
      </w:r>
      <w:r w:rsidR="005B081B" w:rsidRPr="00672AC2">
        <w:rPr>
          <w:rStyle w:val="FootnoteReference"/>
          <w:szCs w:val="20"/>
          <w:lang w:val="es-US"/>
        </w:rPr>
        <w:footnoteReference w:id="26"/>
      </w:r>
      <w:r w:rsidR="63E6C77F" w:rsidRPr="00672AC2">
        <w:rPr>
          <w:szCs w:val="20"/>
          <w:lang w:val="es-US"/>
        </w:rPr>
        <w:t>, dichos mecanismos de participación indígena se perciben como un proceso formal o simbólico, más que como un pilar central en la gobernanza del país</w:t>
      </w:r>
      <w:r w:rsidR="4DB6CEA4" w:rsidRPr="00672AC2">
        <w:rPr>
          <w:szCs w:val="20"/>
          <w:lang w:val="es-US"/>
        </w:rPr>
        <w:t>. Ello</w:t>
      </w:r>
      <w:r w:rsidR="63E6C77F" w:rsidRPr="00672AC2">
        <w:rPr>
          <w:szCs w:val="20"/>
          <w:lang w:val="es-US"/>
        </w:rPr>
        <w:t>, en la medida en que no garantizaría</w:t>
      </w:r>
      <w:r w:rsidR="7F4F0F7E" w:rsidRPr="00672AC2">
        <w:rPr>
          <w:szCs w:val="20"/>
          <w:lang w:val="es-US"/>
        </w:rPr>
        <w:t>n</w:t>
      </w:r>
      <w:r w:rsidR="63E6C77F" w:rsidRPr="00672AC2">
        <w:rPr>
          <w:szCs w:val="20"/>
          <w:lang w:val="es-US"/>
        </w:rPr>
        <w:t xml:space="preserve"> la inclusión de la protección de los derechos colectivos de pueblos indígenas en las normas o en la adopción de políticas públicas. </w:t>
      </w:r>
    </w:p>
    <w:p w14:paraId="546AFF3D" w14:textId="77777777" w:rsidR="005B081B" w:rsidRPr="00672AC2" w:rsidRDefault="005B081B" w:rsidP="007A0079">
      <w:pPr>
        <w:ind w:firstLine="720"/>
        <w:jc w:val="both"/>
        <w:rPr>
          <w:lang w:val="es-CO"/>
        </w:rPr>
      </w:pPr>
      <w:r w:rsidRPr="00672AC2">
        <w:rPr>
          <w:rFonts w:eastAsia="Cambria" w:cs="Cambria"/>
          <w:i/>
          <w:iCs/>
          <w:color w:val="000000" w:themeColor="text1"/>
          <w:sz w:val="20"/>
          <w:szCs w:val="20"/>
          <w:lang w:val="es-ES"/>
        </w:rPr>
        <w:t>Análisis y nivel de cumplimiento de la recomendación</w:t>
      </w:r>
    </w:p>
    <w:p w14:paraId="27CEB887" w14:textId="77777777" w:rsidR="005B081B" w:rsidRPr="00672AC2" w:rsidRDefault="005B081B" w:rsidP="005B081B">
      <w:pPr>
        <w:ind w:firstLine="360"/>
        <w:jc w:val="both"/>
        <w:rPr>
          <w:rFonts w:eastAsia="Cambria" w:cs="Cambria"/>
          <w:i/>
          <w:iCs/>
          <w:color w:val="000000" w:themeColor="text1"/>
          <w:sz w:val="20"/>
          <w:szCs w:val="20"/>
          <w:lang w:val="es-ES"/>
        </w:rPr>
      </w:pPr>
    </w:p>
    <w:p w14:paraId="054BD78C" w14:textId="7139544A" w:rsidR="005B081B" w:rsidRPr="007A0079" w:rsidRDefault="005B081B" w:rsidP="005B081B">
      <w:pPr>
        <w:pStyle w:val="IAPrrafo"/>
        <w:rPr>
          <w:szCs w:val="20"/>
          <w:lang w:val="es-US"/>
        </w:rPr>
      </w:pPr>
      <w:r w:rsidRPr="00672AC2">
        <w:rPr>
          <w:rFonts w:eastAsia="Cambria" w:cs="Cambria"/>
          <w:szCs w:val="20"/>
          <w:lang w:eastAsia="es-US"/>
        </w:rPr>
        <w:t>La CIDH ha tomado nota de los espacios de diálogo con organizaciones de pueblos indígenas registradas, y de los pedidos realizados para la incorporación de las organizaciones en el Acuerdo Nacional</w:t>
      </w:r>
      <w:r w:rsidR="009F2F0A" w:rsidRPr="00672AC2">
        <w:rPr>
          <w:rFonts w:eastAsia="Cambria" w:cs="Cambria"/>
          <w:szCs w:val="20"/>
          <w:lang w:eastAsia="es-US"/>
        </w:rPr>
        <w:t xml:space="preserve"> y </w:t>
      </w:r>
      <w:r w:rsidRPr="00672AC2">
        <w:rPr>
          <w:rFonts w:eastAsia="Cambria" w:cs="Cambria"/>
          <w:szCs w:val="20"/>
          <w:lang w:eastAsia="es-US"/>
        </w:rPr>
        <w:t>agradece al Estado la información reportada. Asimismo, la Comisión ha</w:t>
      </w:r>
      <w:r w:rsidR="0048052F" w:rsidRPr="00672AC2">
        <w:rPr>
          <w:rFonts w:eastAsia="Cambria" w:cs="Cambria"/>
          <w:szCs w:val="20"/>
          <w:lang w:eastAsia="es-US"/>
        </w:rPr>
        <w:t xml:space="preserve"> recibido</w:t>
      </w:r>
      <w:r w:rsidRPr="00672AC2">
        <w:rPr>
          <w:rFonts w:eastAsia="Cambria" w:cs="Cambria"/>
          <w:szCs w:val="20"/>
          <w:lang w:eastAsia="es-US"/>
        </w:rPr>
        <w:t xml:space="preserve"> la información proporcionada por sociedad civil sobre las normas que habrían sido aprobadas y que afectan los derechos colectivos de los pueblos indígenas, sin que presuntamente se hubiesen implementado los mecanismos de consulta o diálogo adecuados </w:t>
      </w:r>
      <w:r w:rsidR="009F2F0A" w:rsidRPr="00672AC2">
        <w:rPr>
          <w:rFonts w:eastAsia="Cambria" w:cs="Cambria"/>
          <w:szCs w:val="20"/>
          <w:lang w:eastAsia="es-US"/>
        </w:rPr>
        <w:t>y</w:t>
      </w:r>
      <w:r w:rsidRPr="00672AC2">
        <w:rPr>
          <w:rFonts w:eastAsia="Cambria" w:cs="Cambria"/>
          <w:szCs w:val="20"/>
          <w:lang w:eastAsia="es-US"/>
        </w:rPr>
        <w:t xml:space="preserve"> oportunos con pueblos indígenas.</w:t>
      </w:r>
    </w:p>
    <w:p w14:paraId="0414E991" w14:textId="190CDCC9" w:rsidR="005B081B" w:rsidRPr="009B73A8" w:rsidRDefault="000D296B" w:rsidP="009B73A8">
      <w:pPr>
        <w:pStyle w:val="IAPrrafo"/>
        <w:rPr>
          <w:szCs w:val="20"/>
          <w:lang w:val="es-US"/>
        </w:rPr>
      </w:pPr>
      <w:r>
        <w:rPr>
          <w:szCs w:val="20"/>
          <w:lang w:val="es-US"/>
        </w:rPr>
        <w:t xml:space="preserve">A efectos de analizar las garantías de participación de pueblos indígenas en los procesos de toma de decisiones </w:t>
      </w:r>
      <w:r w:rsidRPr="00672AC2">
        <w:rPr>
          <w:rFonts w:eastAsia="Calibri" w:cs="Times New Roman"/>
          <w:szCs w:val="20"/>
          <w:lang w:val="es-CO"/>
        </w:rPr>
        <w:t>sobre medidas de interés nacional</w:t>
      </w:r>
      <w:r>
        <w:rPr>
          <w:rFonts w:eastAsia="Calibri" w:cs="Times New Roman"/>
          <w:szCs w:val="20"/>
          <w:lang w:val="es-CO"/>
        </w:rPr>
        <w:t xml:space="preserve"> que establece la recomendación</w:t>
      </w:r>
      <w:r w:rsidRPr="00672AC2">
        <w:rPr>
          <w:rFonts w:eastAsia="Calibri" w:cs="Times New Roman"/>
          <w:szCs w:val="20"/>
          <w:lang w:val="es-CO"/>
        </w:rPr>
        <w:t xml:space="preserve">, </w:t>
      </w:r>
      <w:r>
        <w:rPr>
          <w:rFonts w:eastAsia="Calibri" w:cs="Times New Roman"/>
          <w:szCs w:val="20"/>
          <w:lang w:val="es-CO"/>
        </w:rPr>
        <w:t xml:space="preserve">es relevante señalar que </w:t>
      </w:r>
      <w:r>
        <w:rPr>
          <w:szCs w:val="20"/>
          <w:lang w:val="es-US"/>
        </w:rPr>
        <w:t xml:space="preserve">la jurisprudencia del SIDH ha establecido, </w:t>
      </w:r>
      <w:r w:rsidR="005B081B" w:rsidRPr="00672AC2">
        <w:rPr>
          <w:szCs w:val="20"/>
          <w:lang w:val="es-US"/>
        </w:rPr>
        <w:t xml:space="preserve">como parte de las obligaciones de los Estados, la </w:t>
      </w:r>
      <w:r w:rsidR="00814A08" w:rsidRPr="00672AC2">
        <w:rPr>
          <w:szCs w:val="20"/>
          <w:lang w:val="es-US"/>
        </w:rPr>
        <w:t xml:space="preserve">importancia </w:t>
      </w:r>
      <w:r w:rsidR="005B081B" w:rsidRPr="00672AC2">
        <w:rPr>
          <w:szCs w:val="20"/>
          <w:lang w:val="es-US"/>
        </w:rPr>
        <w:t>de implementar mecanismos de consulta y de participación con los pueblos indígenas, cada vez que se tom</w:t>
      </w:r>
      <w:r w:rsidR="009F2F0A" w:rsidRPr="00672AC2">
        <w:rPr>
          <w:szCs w:val="20"/>
          <w:lang w:val="es-US"/>
        </w:rPr>
        <w:t>en</w:t>
      </w:r>
      <w:r w:rsidR="005B081B" w:rsidRPr="00672AC2">
        <w:rPr>
          <w:szCs w:val="20"/>
          <w:lang w:val="es-US"/>
        </w:rPr>
        <w:t xml:space="preserve"> medidas que afecten sus derechos colectivos</w:t>
      </w:r>
      <w:r w:rsidR="00F36B41">
        <w:rPr>
          <w:rFonts w:ascii="ZWAdobeF" w:hAnsi="ZWAdobeF" w:cs="ZWAdobeF"/>
          <w:color w:val="auto"/>
          <w:sz w:val="2"/>
          <w:szCs w:val="2"/>
          <w:lang w:val="es-US"/>
        </w:rPr>
        <w:t>25F</w:t>
      </w:r>
      <w:r w:rsidR="005B081B" w:rsidRPr="00672AC2">
        <w:rPr>
          <w:rStyle w:val="FootnoteReference"/>
          <w:szCs w:val="20"/>
          <w:lang w:val="es-US"/>
        </w:rPr>
        <w:footnoteReference w:id="27"/>
      </w:r>
      <w:r w:rsidR="005B081B" w:rsidRPr="00672AC2">
        <w:rPr>
          <w:szCs w:val="20"/>
          <w:lang w:val="es-US"/>
        </w:rPr>
        <w:t xml:space="preserve">. La función principal de estos mecanismos es la adecuada protección de los derechos afectados, y su inclusión en la construcción de los modelos de desarrollo nacional. Por ello, estos deben contar con algunas características </w:t>
      </w:r>
      <w:r w:rsidR="00814A08" w:rsidRPr="00672AC2">
        <w:rPr>
          <w:szCs w:val="20"/>
          <w:lang w:val="es-US"/>
        </w:rPr>
        <w:t>indispensables</w:t>
      </w:r>
      <w:r w:rsidR="005B081B" w:rsidRPr="00672AC2">
        <w:rPr>
          <w:szCs w:val="20"/>
          <w:lang w:val="es-US"/>
        </w:rPr>
        <w:t xml:space="preserve">: </w:t>
      </w:r>
      <w:r w:rsidR="00D55315">
        <w:rPr>
          <w:szCs w:val="20"/>
          <w:lang w:val="es-US"/>
        </w:rPr>
        <w:t>(</w:t>
      </w:r>
      <w:r w:rsidR="005B081B" w:rsidRPr="00672AC2">
        <w:rPr>
          <w:szCs w:val="20"/>
          <w:lang w:val="es-US"/>
        </w:rPr>
        <w:t xml:space="preserve">i) que sean previos a la decisión, </w:t>
      </w:r>
      <w:r w:rsidR="00D55315">
        <w:rPr>
          <w:szCs w:val="20"/>
          <w:lang w:val="es-US"/>
        </w:rPr>
        <w:t>(</w:t>
      </w:r>
      <w:proofErr w:type="spellStart"/>
      <w:r w:rsidR="005B081B" w:rsidRPr="00672AC2">
        <w:rPr>
          <w:szCs w:val="20"/>
          <w:lang w:val="es-US"/>
        </w:rPr>
        <w:t>ii</w:t>
      </w:r>
      <w:proofErr w:type="spellEnd"/>
      <w:r w:rsidR="005B081B" w:rsidRPr="00672AC2">
        <w:rPr>
          <w:szCs w:val="20"/>
          <w:lang w:val="es-US"/>
        </w:rPr>
        <w:t>) libre</w:t>
      </w:r>
      <w:r w:rsidR="00CC4C6D" w:rsidRPr="00672AC2">
        <w:rPr>
          <w:szCs w:val="20"/>
          <w:lang w:val="es-US"/>
        </w:rPr>
        <w:t>s</w:t>
      </w:r>
      <w:r w:rsidR="005B081B" w:rsidRPr="00672AC2">
        <w:rPr>
          <w:szCs w:val="20"/>
          <w:lang w:val="es-US"/>
        </w:rPr>
        <w:t xml:space="preserve"> de presiones, </w:t>
      </w:r>
      <w:r w:rsidR="00D55315">
        <w:rPr>
          <w:szCs w:val="20"/>
          <w:lang w:val="es-US"/>
        </w:rPr>
        <w:t>(</w:t>
      </w:r>
      <w:proofErr w:type="spellStart"/>
      <w:r w:rsidR="005B081B" w:rsidRPr="00672AC2">
        <w:rPr>
          <w:szCs w:val="20"/>
          <w:lang w:val="es-US"/>
        </w:rPr>
        <w:t>iii</w:t>
      </w:r>
      <w:proofErr w:type="spellEnd"/>
      <w:r w:rsidR="005B081B" w:rsidRPr="00672AC2">
        <w:rPr>
          <w:szCs w:val="20"/>
          <w:lang w:val="es-US"/>
        </w:rPr>
        <w:t xml:space="preserve">) </w:t>
      </w:r>
      <w:r w:rsidR="00847BE3" w:rsidRPr="00672AC2">
        <w:rPr>
          <w:szCs w:val="20"/>
          <w:lang w:val="es-US"/>
        </w:rPr>
        <w:t xml:space="preserve">con </w:t>
      </w:r>
      <w:r w:rsidR="005B081B" w:rsidRPr="00672AC2">
        <w:rPr>
          <w:szCs w:val="20"/>
          <w:lang w:val="es-US"/>
        </w:rPr>
        <w:t>información adecuada de la medida a adoptarse. Asimismo, los mecanismos de participación deben ser realizados de buena fe</w:t>
      </w:r>
      <w:r w:rsidR="00CC4C6D" w:rsidRPr="00672AC2">
        <w:rPr>
          <w:szCs w:val="20"/>
          <w:lang w:val="es-US"/>
        </w:rPr>
        <w:t>;</w:t>
      </w:r>
      <w:r w:rsidR="005B081B" w:rsidRPr="00672AC2">
        <w:rPr>
          <w:szCs w:val="20"/>
          <w:lang w:val="es-US"/>
        </w:rPr>
        <w:t xml:space="preserve"> es decir, estar dirigidos a alcanzar acuerdos u obtener el consentimiento de los miembros de pueblos indígenas</w:t>
      </w:r>
      <w:r w:rsidR="00F36B41">
        <w:rPr>
          <w:rFonts w:ascii="ZWAdobeF" w:hAnsi="ZWAdobeF" w:cs="ZWAdobeF"/>
          <w:color w:val="auto"/>
          <w:sz w:val="2"/>
          <w:szCs w:val="2"/>
          <w:lang w:val="es-US"/>
        </w:rPr>
        <w:t>26F</w:t>
      </w:r>
      <w:r w:rsidR="005B081B" w:rsidRPr="00672AC2">
        <w:rPr>
          <w:rStyle w:val="FootnoteReference"/>
          <w:szCs w:val="20"/>
          <w:lang w:val="es-US"/>
        </w:rPr>
        <w:footnoteReference w:id="28"/>
      </w:r>
      <w:r w:rsidR="005B081B" w:rsidRPr="00672AC2">
        <w:rPr>
          <w:szCs w:val="20"/>
          <w:lang w:val="es-US"/>
        </w:rPr>
        <w:t>. Esta obligación no sería solo una obligación de resultado</w:t>
      </w:r>
      <w:r w:rsidR="00B92F88" w:rsidRPr="00672AC2">
        <w:rPr>
          <w:szCs w:val="20"/>
          <w:lang w:val="es-US"/>
        </w:rPr>
        <w:t>;</w:t>
      </w:r>
      <w:r w:rsidR="005B081B" w:rsidRPr="00672AC2">
        <w:rPr>
          <w:szCs w:val="20"/>
          <w:lang w:val="es-US"/>
        </w:rPr>
        <w:t xml:space="preserve"> sino que</w:t>
      </w:r>
      <w:r w:rsidR="00B92F88" w:rsidRPr="00672AC2">
        <w:rPr>
          <w:szCs w:val="20"/>
          <w:lang w:val="es-US"/>
        </w:rPr>
        <w:t>,</w:t>
      </w:r>
      <w:r w:rsidR="005B081B" w:rsidRPr="00672AC2">
        <w:rPr>
          <w:szCs w:val="20"/>
          <w:lang w:val="es-US"/>
        </w:rPr>
        <w:t xml:space="preserve"> para ser alcanzada</w:t>
      </w:r>
      <w:r w:rsidR="00B92F88" w:rsidRPr="00672AC2">
        <w:rPr>
          <w:szCs w:val="20"/>
          <w:lang w:val="es-US"/>
        </w:rPr>
        <w:t>,</w:t>
      </w:r>
      <w:r w:rsidR="005B081B" w:rsidRPr="00672AC2">
        <w:rPr>
          <w:szCs w:val="20"/>
          <w:lang w:val="es-US"/>
        </w:rPr>
        <w:t xml:space="preserve"> debe contar con medidas que demuestren que las necesidades e intereses de los pueblos indígenas han sido valorados e incorporados al momento de adoptar dichas medidas</w:t>
      </w:r>
      <w:r w:rsidR="00F36B41">
        <w:rPr>
          <w:rFonts w:ascii="ZWAdobeF" w:hAnsi="ZWAdobeF" w:cs="ZWAdobeF"/>
          <w:color w:val="auto"/>
          <w:sz w:val="2"/>
          <w:szCs w:val="2"/>
          <w:lang w:val="es-US"/>
        </w:rPr>
        <w:t>27F</w:t>
      </w:r>
      <w:r w:rsidR="005B081B" w:rsidRPr="00672AC2">
        <w:rPr>
          <w:rStyle w:val="FootnoteReference"/>
          <w:szCs w:val="20"/>
          <w:lang w:val="es-US"/>
        </w:rPr>
        <w:footnoteReference w:id="29"/>
      </w:r>
      <w:r w:rsidR="005B081B" w:rsidRPr="00672AC2">
        <w:rPr>
          <w:szCs w:val="20"/>
          <w:lang w:val="es-US"/>
        </w:rPr>
        <w:t>.</w:t>
      </w:r>
    </w:p>
    <w:p w14:paraId="0E4471C0" w14:textId="296BA88A" w:rsidR="005B081B" w:rsidRPr="009B73A8" w:rsidRDefault="005B081B" w:rsidP="005B081B">
      <w:pPr>
        <w:pStyle w:val="IAPrrafo"/>
        <w:rPr>
          <w:szCs w:val="20"/>
          <w:lang w:val="es-US"/>
        </w:rPr>
      </w:pPr>
      <w:r w:rsidRPr="00672AC2">
        <w:rPr>
          <w:szCs w:val="20"/>
          <w:lang w:val="es-US"/>
        </w:rPr>
        <w:t xml:space="preserve">A pesar de que la CIDH reconoce la información proporcionada por el Estado, no </w:t>
      </w:r>
      <w:r w:rsidR="008A395A" w:rsidRPr="00672AC2">
        <w:rPr>
          <w:szCs w:val="20"/>
          <w:lang w:val="es-US"/>
        </w:rPr>
        <w:t>cuenta con</w:t>
      </w:r>
      <w:r w:rsidR="00B92F88" w:rsidRPr="00672AC2">
        <w:rPr>
          <w:szCs w:val="20"/>
          <w:lang w:val="es-US"/>
        </w:rPr>
        <w:t xml:space="preserve"> </w:t>
      </w:r>
      <w:r w:rsidRPr="00672AC2">
        <w:rPr>
          <w:szCs w:val="20"/>
          <w:lang w:val="es-US"/>
        </w:rPr>
        <w:t xml:space="preserve">datos específicos posteriores a las protestas ocurridas entre el 2022 y el 2023 que permitan </w:t>
      </w:r>
      <w:r w:rsidR="00AA2DCC" w:rsidRPr="00672AC2">
        <w:rPr>
          <w:szCs w:val="20"/>
          <w:lang w:val="es-US"/>
        </w:rPr>
        <w:t xml:space="preserve">corroborar </w:t>
      </w:r>
      <w:r w:rsidRPr="00672AC2">
        <w:rPr>
          <w:szCs w:val="20"/>
          <w:lang w:val="es-US"/>
        </w:rPr>
        <w:t xml:space="preserve">la adopción de estrategias, o el fortalecimiento de las existentes, dirigidas a garantizar la participación de pueblos indígenas y de las comunidades. Por ello, a la espera de información que indique un avance en la garantía de la participación de los pueblos indígenas, considera que la recomendación se encuentra </w:t>
      </w:r>
      <w:r w:rsidRPr="00672AC2">
        <w:rPr>
          <w:b/>
          <w:bCs/>
          <w:szCs w:val="20"/>
          <w:lang w:val="es-US"/>
        </w:rPr>
        <w:t>pendiente de cumplimiento</w:t>
      </w:r>
      <w:r w:rsidRPr="00672AC2">
        <w:rPr>
          <w:szCs w:val="20"/>
          <w:lang w:val="es-US"/>
        </w:rPr>
        <w:t>.</w:t>
      </w:r>
    </w:p>
    <w:p w14:paraId="72CC7C42" w14:textId="69A0C5DB" w:rsidR="005B081B" w:rsidRPr="00672AC2" w:rsidRDefault="005B081B" w:rsidP="009B73A8">
      <w:pPr>
        <w:spacing w:after="240"/>
        <w:ind w:left="360" w:firstLine="360"/>
        <w:jc w:val="both"/>
        <w:rPr>
          <w:sz w:val="20"/>
          <w:szCs w:val="20"/>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7433BF07" w14:textId="4D0145FE" w:rsidR="005B081B" w:rsidRPr="009B73A8" w:rsidRDefault="005B081B" w:rsidP="009B73A8">
      <w:pPr>
        <w:pStyle w:val="IAPrrafo"/>
        <w:rPr>
          <w:rFonts w:eastAsia="Calibri" w:cs="Times New Roman"/>
          <w:szCs w:val="20"/>
        </w:rPr>
      </w:pPr>
      <w:r w:rsidRPr="00672AC2">
        <w:rPr>
          <w:szCs w:val="20"/>
          <w:lang w:val="es-US"/>
        </w:rPr>
        <w:t xml:space="preserve">La Comisión </w:t>
      </w:r>
      <w:r w:rsidR="009F2F0A" w:rsidRPr="00672AC2">
        <w:rPr>
          <w:szCs w:val="20"/>
          <w:lang w:val="es-US"/>
        </w:rPr>
        <w:t>recuerda</w:t>
      </w:r>
      <w:r w:rsidRPr="00672AC2">
        <w:rPr>
          <w:szCs w:val="20"/>
          <w:lang w:val="es-US"/>
        </w:rPr>
        <w:t xml:space="preserve"> la importancia de garantizar los mecanismos de participación </w:t>
      </w:r>
      <w:r w:rsidR="000E567F">
        <w:rPr>
          <w:szCs w:val="20"/>
          <w:lang w:val="es-US"/>
        </w:rPr>
        <w:t xml:space="preserve">y consulta previa </w:t>
      </w:r>
      <w:r w:rsidRPr="00672AC2">
        <w:rPr>
          <w:szCs w:val="20"/>
          <w:lang w:val="es-US"/>
        </w:rPr>
        <w:t xml:space="preserve">de los pueblos indígenas y comunidades en los espacios de toma de decisiones, </w:t>
      </w:r>
      <w:r w:rsidR="001439E1" w:rsidRPr="00672AC2">
        <w:rPr>
          <w:szCs w:val="20"/>
          <w:lang w:val="es-US"/>
        </w:rPr>
        <w:t xml:space="preserve">cuya omisión </w:t>
      </w:r>
      <w:r w:rsidRPr="00672AC2">
        <w:rPr>
          <w:szCs w:val="20"/>
          <w:lang w:val="es-US"/>
        </w:rPr>
        <w:t xml:space="preserve">fue uno de los factores que favoreció el escalamiento de los conflictos sociales que condujeron a las protestas entre el 2022 y el 2023. </w:t>
      </w:r>
      <w:r w:rsidR="001439E1" w:rsidRPr="00672AC2">
        <w:rPr>
          <w:szCs w:val="20"/>
          <w:lang w:val="es-US"/>
        </w:rPr>
        <w:t>L</w:t>
      </w:r>
      <w:r w:rsidRPr="00672AC2">
        <w:rPr>
          <w:szCs w:val="20"/>
          <w:lang w:val="es-US"/>
        </w:rPr>
        <w:t>a Comisión urge al Estado a mejorar los canales de diálogo existentes</w:t>
      </w:r>
      <w:r w:rsidR="00731825" w:rsidRPr="00672AC2">
        <w:rPr>
          <w:szCs w:val="20"/>
          <w:lang w:val="es-US"/>
        </w:rPr>
        <w:t xml:space="preserve"> </w:t>
      </w:r>
      <w:r w:rsidR="001439E1" w:rsidRPr="00672AC2">
        <w:rPr>
          <w:szCs w:val="20"/>
          <w:lang w:val="es-US"/>
        </w:rPr>
        <w:t>y</w:t>
      </w:r>
      <w:r w:rsidRPr="00672AC2">
        <w:rPr>
          <w:szCs w:val="20"/>
          <w:lang w:val="es-US"/>
        </w:rPr>
        <w:t xml:space="preserve"> generar nuevos, que permitan incluir, de manera efectiva, las necesidades e intereses de los pueblos indígenas en los procesos de toma de decisiones, y que cumplan con las características determinadas en las sentencias de la Corte IDH y en el marco del Convenio </w:t>
      </w:r>
      <w:proofErr w:type="spellStart"/>
      <w:r w:rsidRPr="00672AC2">
        <w:rPr>
          <w:szCs w:val="20"/>
          <w:lang w:val="es-US"/>
        </w:rPr>
        <w:t>N</w:t>
      </w:r>
      <w:r w:rsidR="00974A23" w:rsidRPr="00672AC2">
        <w:rPr>
          <w:szCs w:val="20"/>
          <w:lang w:val="es-US"/>
        </w:rPr>
        <w:t>º</w:t>
      </w:r>
      <w:proofErr w:type="spellEnd"/>
      <w:r w:rsidRPr="00672AC2">
        <w:rPr>
          <w:szCs w:val="20"/>
          <w:lang w:val="es-US"/>
        </w:rPr>
        <w:t xml:space="preserve"> 169 de la Organización Internacional del Trabajo.</w:t>
      </w:r>
    </w:p>
    <w:tbl>
      <w:tblPr>
        <w:tblStyle w:val="TableGrid"/>
        <w:tblW w:w="0" w:type="auto"/>
        <w:tblLook w:val="04A0" w:firstRow="1" w:lastRow="0" w:firstColumn="1" w:lastColumn="0" w:noHBand="0" w:noVBand="1"/>
      </w:tblPr>
      <w:tblGrid>
        <w:gridCol w:w="9350"/>
      </w:tblGrid>
      <w:tr w:rsidR="005B081B" w:rsidRPr="00F51AED" w14:paraId="17D65520" w14:textId="77777777">
        <w:tc>
          <w:tcPr>
            <w:tcW w:w="9350" w:type="dxa"/>
            <w:tcBorders>
              <w:top w:val="nil"/>
              <w:left w:val="nil"/>
              <w:bottom w:val="nil"/>
              <w:right w:val="nil"/>
            </w:tcBorders>
            <w:shd w:val="clear" w:color="auto" w:fill="D9D9D9" w:themeFill="background1" w:themeFillShade="D9"/>
          </w:tcPr>
          <w:p w14:paraId="32DE5E59" w14:textId="41117A51" w:rsidR="007F34A1" w:rsidRPr="00672AC2" w:rsidRDefault="005B081B" w:rsidP="007F34A1">
            <w:pPr>
              <w:suppressAutoHyphens w:val="0"/>
              <w:jc w:val="both"/>
              <w:rPr>
                <w:rFonts w:eastAsia="Cambria" w:cs="Cambria"/>
                <w:sz w:val="20"/>
                <w:szCs w:val="20"/>
                <w:lang w:val="es-CO" w:eastAsia="es-US"/>
              </w:rPr>
            </w:pPr>
            <w:r w:rsidRPr="00672AC2">
              <w:rPr>
                <w:rFonts w:eastAsia="Cambria" w:cs="Cambria"/>
                <w:b/>
                <w:bCs/>
                <w:sz w:val="20"/>
                <w:szCs w:val="20"/>
                <w:lang w:val="es-419" w:eastAsia="es-US"/>
              </w:rPr>
              <w:t xml:space="preserve">Recomendación </w:t>
            </w:r>
            <w:proofErr w:type="spellStart"/>
            <w:r w:rsidR="00C11DAC" w:rsidRPr="00672AC2">
              <w:rPr>
                <w:rFonts w:eastAsia="Cambria" w:cs="Cambria"/>
                <w:b/>
                <w:bCs/>
                <w:sz w:val="20"/>
                <w:szCs w:val="20"/>
                <w:lang w:val="es-419" w:eastAsia="es-US"/>
              </w:rPr>
              <w:t>Nº</w:t>
            </w:r>
            <w:proofErr w:type="spellEnd"/>
            <w:r w:rsidRPr="00672AC2">
              <w:rPr>
                <w:rFonts w:eastAsia="Cambria" w:cs="Cambria"/>
                <w:b/>
                <w:bCs/>
                <w:sz w:val="20"/>
                <w:szCs w:val="20"/>
                <w:lang w:val="es-419" w:eastAsia="es-US"/>
              </w:rPr>
              <w:t xml:space="preserve"> 3.</w:t>
            </w:r>
            <w:r w:rsidR="007F34A1" w:rsidRPr="00672AC2">
              <w:rPr>
                <w:rFonts w:eastAsia="Cambria" w:cs="Cambria"/>
                <w:b/>
                <w:bCs/>
                <w:sz w:val="20"/>
                <w:szCs w:val="20"/>
                <w:lang w:val="es-419" w:eastAsia="es-US"/>
              </w:rPr>
              <w:t xml:space="preserve"> </w:t>
            </w:r>
            <w:r w:rsidR="007F34A1" w:rsidRPr="00672AC2">
              <w:rPr>
                <w:rFonts w:eastAsia="Cambria" w:cs="Cambria"/>
                <w:sz w:val="20"/>
                <w:szCs w:val="20"/>
                <w:lang w:val="es-419" w:eastAsia="es-US"/>
              </w:rPr>
              <w:t>Diseñar</w:t>
            </w:r>
            <w:r w:rsidR="007F34A1" w:rsidRPr="00672AC2">
              <w:rPr>
                <w:rFonts w:eastAsia="Cambria" w:cs="Cambria"/>
                <w:b/>
                <w:bCs/>
                <w:sz w:val="20"/>
                <w:szCs w:val="20"/>
                <w:lang w:val="es-419" w:eastAsia="es-US"/>
              </w:rPr>
              <w:t xml:space="preserve"> </w:t>
            </w:r>
            <w:r w:rsidR="007F34A1" w:rsidRPr="00672AC2">
              <w:rPr>
                <w:rFonts w:eastAsia="Cambria" w:cs="Cambria"/>
                <w:sz w:val="20"/>
                <w:szCs w:val="20"/>
                <w:lang w:val="es-CO" w:eastAsia="es-US"/>
              </w:rPr>
              <w:t xml:space="preserve">una política pública con alcance nacional y con perspectiva de derechos humanos, que esté dirigida a la eliminación y prevención de la discriminación y estigmatización de personas con base en su origen étnico-racial o condición socioeconómica. Esta política pública deberá comprender, entre otros, el diseño e implementación de un plan pedagógico que sea integrado a la política de educación permanente del país. </w:t>
            </w:r>
          </w:p>
        </w:tc>
      </w:tr>
    </w:tbl>
    <w:p w14:paraId="148C6978" w14:textId="77777777" w:rsidR="005B081B" w:rsidRPr="00672AC2" w:rsidRDefault="005B081B" w:rsidP="005B081B">
      <w:pPr>
        <w:shd w:val="clear" w:color="auto" w:fill="FFFFFF" w:themeFill="background1"/>
        <w:suppressAutoHyphens w:val="0"/>
        <w:jc w:val="both"/>
        <w:rPr>
          <w:rFonts w:eastAsia="Cambria" w:cs="Cambria"/>
          <w:sz w:val="20"/>
          <w:szCs w:val="20"/>
          <w:lang w:val="es-419" w:eastAsia="es-US"/>
        </w:rPr>
      </w:pPr>
    </w:p>
    <w:p w14:paraId="69B6E6F3" w14:textId="19884717" w:rsidR="005B081B" w:rsidRPr="00672AC2" w:rsidRDefault="005B081B" w:rsidP="009B73A8">
      <w:pPr>
        <w:pBdr>
          <w:top w:val="nil"/>
          <w:left w:val="nil"/>
          <w:bottom w:val="nil"/>
          <w:right w:val="nil"/>
          <w:between w:val="nil"/>
        </w:pBdr>
        <w:ind w:firstLine="810"/>
        <w:jc w:val="both"/>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28C6E79F" w14:textId="77777777" w:rsidR="005B081B" w:rsidRPr="00672AC2" w:rsidRDefault="005B081B" w:rsidP="005B081B">
      <w:pPr>
        <w:shd w:val="clear" w:color="auto" w:fill="FFFFFF" w:themeFill="background1"/>
        <w:suppressAutoHyphens w:val="0"/>
        <w:jc w:val="both"/>
        <w:rPr>
          <w:rFonts w:eastAsia="Cambria" w:cs="Cambria"/>
          <w:sz w:val="20"/>
          <w:szCs w:val="20"/>
          <w:lang w:val="es-419" w:eastAsia="es-US"/>
        </w:rPr>
      </w:pPr>
    </w:p>
    <w:p w14:paraId="1E62630D" w14:textId="24CEA3BF" w:rsidR="005B081B" w:rsidRPr="00992D54" w:rsidRDefault="005B081B" w:rsidP="00992D54">
      <w:pPr>
        <w:pStyle w:val="IAPrrafo"/>
        <w:rPr>
          <w:rFonts w:eastAsia="Cambria" w:cs="Cambria"/>
          <w:szCs w:val="20"/>
          <w:lang w:eastAsia="es-US"/>
        </w:rPr>
      </w:pPr>
      <w:r w:rsidRPr="00672AC2">
        <w:rPr>
          <w:szCs w:val="20"/>
          <w:lang w:val="es-US"/>
        </w:rPr>
        <w:t xml:space="preserve">En el 2024, el Estado informó de la aprobación de la </w:t>
      </w:r>
      <w:r w:rsidRPr="00672AC2">
        <w:rPr>
          <w:szCs w:val="20"/>
          <w:lang w:val="es-ES"/>
        </w:rPr>
        <w:t>Estrategia “Perú sin Racismo” del 2023</w:t>
      </w:r>
      <w:r w:rsidR="00F36B41">
        <w:rPr>
          <w:rFonts w:ascii="ZWAdobeF" w:hAnsi="ZWAdobeF" w:cs="ZWAdobeF"/>
          <w:color w:val="auto"/>
          <w:sz w:val="2"/>
          <w:szCs w:val="2"/>
          <w:lang w:val="es-ES"/>
        </w:rPr>
        <w:t>28F</w:t>
      </w:r>
      <w:r w:rsidRPr="00672AC2">
        <w:rPr>
          <w:rStyle w:val="FootnoteReference"/>
          <w:szCs w:val="20"/>
          <w:lang w:val="es-ES"/>
        </w:rPr>
        <w:footnoteReference w:id="30"/>
      </w:r>
      <w:r w:rsidR="001D4242" w:rsidRPr="00672AC2">
        <w:rPr>
          <w:szCs w:val="20"/>
          <w:lang w:val="es-ES"/>
        </w:rPr>
        <w:t>;</w:t>
      </w:r>
      <w:r w:rsidRPr="00672AC2">
        <w:rPr>
          <w:szCs w:val="20"/>
          <w:lang w:val="es-ES"/>
        </w:rPr>
        <w:t xml:space="preserve"> la cual contó con un Plan de actividades que incluyó: </w:t>
      </w:r>
      <w:r w:rsidR="001538A8">
        <w:rPr>
          <w:szCs w:val="20"/>
          <w:lang w:val="es-ES"/>
        </w:rPr>
        <w:t>(</w:t>
      </w:r>
      <w:r w:rsidRPr="00672AC2">
        <w:rPr>
          <w:szCs w:val="20"/>
          <w:lang w:val="es-ES"/>
        </w:rPr>
        <w:t xml:space="preserve">i) asistencia técnica para la elaboración de ordenanzas; </w:t>
      </w:r>
      <w:r w:rsidR="001538A8">
        <w:rPr>
          <w:szCs w:val="20"/>
          <w:lang w:val="es-ES"/>
        </w:rPr>
        <w:t>(</w:t>
      </w:r>
      <w:proofErr w:type="spellStart"/>
      <w:r w:rsidRPr="00672AC2">
        <w:rPr>
          <w:szCs w:val="20"/>
          <w:lang w:val="es-ES"/>
        </w:rPr>
        <w:t>ii</w:t>
      </w:r>
      <w:proofErr w:type="spellEnd"/>
      <w:r w:rsidRPr="00672AC2">
        <w:rPr>
          <w:szCs w:val="20"/>
          <w:lang w:val="es-ES"/>
        </w:rPr>
        <w:t xml:space="preserve">) desarrollo de </w:t>
      </w:r>
      <w:r w:rsidR="002D65FE" w:rsidRPr="00672AC2">
        <w:rPr>
          <w:szCs w:val="20"/>
          <w:lang w:val="es-ES"/>
        </w:rPr>
        <w:t>f</w:t>
      </w:r>
      <w:r w:rsidRPr="00672AC2">
        <w:rPr>
          <w:szCs w:val="20"/>
          <w:lang w:val="es-ES"/>
        </w:rPr>
        <w:t xml:space="preserve">erias “Perú sin racismo”; </w:t>
      </w:r>
      <w:r w:rsidR="001538A8">
        <w:rPr>
          <w:szCs w:val="20"/>
          <w:lang w:val="es-ES"/>
        </w:rPr>
        <w:t>(</w:t>
      </w:r>
      <w:proofErr w:type="spellStart"/>
      <w:r w:rsidRPr="00672AC2">
        <w:rPr>
          <w:szCs w:val="20"/>
          <w:lang w:val="es-ES"/>
        </w:rPr>
        <w:t>iii</w:t>
      </w:r>
      <w:proofErr w:type="spellEnd"/>
      <w:r w:rsidRPr="00672AC2">
        <w:rPr>
          <w:szCs w:val="20"/>
          <w:lang w:val="es-ES"/>
        </w:rPr>
        <w:t xml:space="preserve">) desarrollo de acciones para el fortalecimiento de capacidades interculturales; </w:t>
      </w:r>
      <w:r w:rsidR="001538A8">
        <w:rPr>
          <w:szCs w:val="20"/>
          <w:lang w:val="es-ES"/>
        </w:rPr>
        <w:t>(</w:t>
      </w:r>
      <w:proofErr w:type="spellStart"/>
      <w:r w:rsidRPr="00672AC2">
        <w:rPr>
          <w:szCs w:val="20"/>
          <w:lang w:val="es-ES"/>
        </w:rPr>
        <w:t>iv</w:t>
      </w:r>
      <w:proofErr w:type="spellEnd"/>
      <w:r w:rsidRPr="00672AC2">
        <w:rPr>
          <w:szCs w:val="20"/>
          <w:lang w:val="es-ES"/>
        </w:rPr>
        <w:t xml:space="preserve">) asistencia técnica a </w:t>
      </w:r>
      <w:r w:rsidR="002D65FE" w:rsidRPr="00672AC2">
        <w:rPr>
          <w:szCs w:val="20"/>
          <w:lang w:val="es-ES"/>
        </w:rPr>
        <w:t>c</w:t>
      </w:r>
      <w:r w:rsidRPr="00672AC2">
        <w:rPr>
          <w:szCs w:val="20"/>
          <w:lang w:val="es-ES"/>
        </w:rPr>
        <w:t xml:space="preserve">omisarías para la atención de casos de discriminación étnico racial; </w:t>
      </w:r>
      <w:r w:rsidR="001538A8">
        <w:rPr>
          <w:szCs w:val="20"/>
          <w:lang w:val="es-ES"/>
        </w:rPr>
        <w:t>(</w:t>
      </w:r>
      <w:r w:rsidRPr="00672AC2">
        <w:rPr>
          <w:szCs w:val="20"/>
          <w:lang w:val="es-ES"/>
        </w:rPr>
        <w:t xml:space="preserve">v) reconocimiento de “Buenas Prácticas Interculturales en la Gestión Pública”; </w:t>
      </w:r>
      <w:r w:rsidR="001538A8">
        <w:rPr>
          <w:szCs w:val="20"/>
          <w:lang w:val="es-ES"/>
        </w:rPr>
        <w:t>(</w:t>
      </w:r>
      <w:r w:rsidRPr="00672AC2">
        <w:rPr>
          <w:szCs w:val="20"/>
          <w:lang w:val="es-ES"/>
        </w:rPr>
        <w:t>vi) estrategia de comunicación “Perú sin racismo”</w:t>
      </w:r>
      <w:r w:rsidR="002D65FE" w:rsidRPr="00672AC2">
        <w:rPr>
          <w:szCs w:val="20"/>
          <w:lang w:val="es-ES"/>
        </w:rPr>
        <w:t>;</w:t>
      </w:r>
      <w:r w:rsidRPr="00672AC2">
        <w:rPr>
          <w:szCs w:val="20"/>
          <w:lang w:val="es-ES"/>
        </w:rPr>
        <w:t xml:space="preserve"> y </w:t>
      </w:r>
      <w:r w:rsidR="001538A8">
        <w:rPr>
          <w:szCs w:val="20"/>
          <w:lang w:val="es-ES"/>
        </w:rPr>
        <w:t>(</w:t>
      </w:r>
      <w:proofErr w:type="spellStart"/>
      <w:r w:rsidRPr="00672AC2">
        <w:rPr>
          <w:szCs w:val="20"/>
          <w:lang w:val="es-ES"/>
        </w:rPr>
        <w:t>vii</w:t>
      </w:r>
      <w:proofErr w:type="spellEnd"/>
      <w:r w:rsidRPr="00672AC2">
        <w:rPr>
          <w:szCs w:val="20"/>
          <w:lang w:val="es-ES"/>
        </w:rPr>
        <w:t>) fortalecimiento del Servicio de Orientación frente a la Discriminación Étnico-Racial - “ORIENTA”</w:t>
      </w:r>
      <w:r w:rsidR="00F36B41">
        <w:rPr>
          <w:rFonts w:ascii="ZWAdobeF" w:hAnsi="ZWAdobeF" w:cs="ZWAdobeF"/>
          <w:color w:val="auto"/>
          <w:sz w:val="2"/>
          <w:szCs w:val="2"/>
          <w:lang w:val="es-ES"/>
        </w:rPr>
        <w:t>29F</w:t>
      </w:r>
      <w:r w:rsidRPr="00672AC2">
        <w:rPr>
          <w:rStyle w:val="FootnoteReference"/>
          <w:szCs w:val="20"/>
          <w:lang w:val="es-ES"/>
        </w:rPr>
        <w:footnoteReference w:id="31"/>
      </w:r>
      <w:r w:rsidRPr="00672AC2">
        <w:rPr>
          <w:szCs w:val="20"/>
          <w:lang w:val="es-ES"/>
        </w:rPr>
        <w:t xml:space="preserve">. En ese mismo sentido, el Estado </w:t>
      </w:r>
      <w:r w:rsidR="00730DF0" w:rsidRPr="00672AC2">
        <w:rPr>
          <w:szCs w:val="20"/>
          <w:lang w:val="es-ES"/>
        </w:rPr>
        <w:t>informó</w:t>
      </w:r>
      <w:r w:rsidRPr="00672AC2">
        <w:rPr>
          <w:szCs w:val="20"/>
          <w:lang w:val="es-ES"/>
        </w:rPr>
        <w:t xml:space="preserve"> que, para el 2024, formuló una propuesta de Estrategia Multisectorial “Perú sin Racismo” al 2030, </w:t>
      </w:r>
      <w:r w:rsidR="006A0CA0" w:rsidRPr="00672AC2">
        <w:rPr>
          <w:szCs w:val="20"/>
          <w:lang w:val="es-ES"/>
        </w:rPr>
        <w:t xml:space="preserve">que </w:t>
      </w:r>
      <w:r w:rsidR="001439E1" w:rsidRPr="00672AC2">
        <w:rPr>
          <w:szCs w:val="20"/>
          <w:lang w:val="es-ES"/>
        </w:rPr>
        <w:t>está</w:t>
      </w:r>
      <w:r w:rsidRPr="00672AC2">
        <w:rPr>
          <w:szCs w:val="20"/>
          <w:lang w:val="es-ES"/>
        </w:rPr>
        <w:t xml:space="preserve"> siendo evaluada por los distintos sectores del Poder Ejecutivo antes de su aprobación.</w:t>
      </w:r>
    </w:p>
    <w:p w14:paraId="7A415E17" w14:textId="266CA3DD" w:rsidR="005B081B" w:rsidRPr="00992D54" w:rsidRDefault="001439E1" w:rsidP="00992D54">
      <w:pPr>
        <w:pStyle w:val="IAPrrafo"/>
        <w:rPr>
          <w:b/>
          <w:bCs/>
          <w:color w:val="000000" w:themeColor="text1"/>
          <w:szCs w:val="20"/>
          <w:lang w:val="es-CO" w:eastAsia="es-US"/>
        </w:rPr>
      </w:pPr>
      <w:r w:rsidRPr="00672AC2">
        <w:rPr>
          <w:bCs/>
          <w:color w:val="000000" w:themeColor="text1"/>
          <w:szCs w:val="20"/>
          <w:lang w:val="es-CO"/>
        </w:rPr>
        <w:t>E</w:t>
      </w:r>
      <w:r w:rsidR="005B081B" w:rsidRPr="00672AC2">
        <w:rPr>
          <w:bCs/>
          <w:color w:val="000000" w:themeColor="text1"/>
          <w:szCs w:val="20"/>
          <w:lang w:val="es-CO"/>
        </w:rPr>
        <w:t xml:space="preserve">l Estado señaló que, desde el año 2013, ha implementado una Plataforma de Alerta contra el Racismo que tiene como objetivo generar información sobre los actos de discriminación étnico-racial y fomentar una ciudadanía activa que </w:t>
      </w:r>
      <w:r w:rsidR="006A0CA0" w:rsidRPr="00672AC2">
        <w:rPr>
          <w:bCs/>
          <w:color w:val="000000" w:themeColor="text1"/>
          <w:szCs w:val="20"/>
          <w:lang w:val="es-CO"/>
        </w:rPr>
        <w:t xml:space="preserve">denuncie </w:t>
      </w:r>
      <w:r w:rsidR="005B081B" w:rsidRPr="00672AC2">
        <w:rPr>
          <w:bCs/>
          <w:color w:val="000000" w:themeColor="text1"/>
          <w:szCs w:val="20"/>
          <w:lang w:val="es-CO"/>
        </w:rPr>
        <w:t xml:space="preserve">estos hechos. Asimismo, </w:t>
      </w:r>
      <w:r w:rsidR="006A0CA0" w:rsidRPr="00672AC2">
        <w:rPr>
          <w:bCs/>
          <w:color w:val="000000" w:themeColor="text1"/>
          <w:szCs w:val="20"/>
          <w:lang w:val="es-CO"/>
        </w:rPr>
        <w:t xml:space="preserve">resaltó </w:t>
      </w:r>
      <w:r w:rsidR="005B081B" w:rsidRPr="00672AC2">
        <w:rPr>
          <w:bCs/>
          <w:color w:val="000000" w:themeColor="text1"/>
          <w:szCs w:val="20"/>
          <w:lang w:val="es-CO"/>
        </w:rPr>
        <w:t>que se estableció el servicio ORIENTA</w:t>
      </w:r>
      <w:r w:rsidR="00F36B41">
        <w:rPr>
          <w:rFonts w:ascii="ZWAdobeF" w:hAnsi="ZWAdobeF" w:cs="ZWAdobeF"/>
          <w:bCs/>
          <w:color w:val="auto"/>
          <w:sz w:val="2"/>
          <w:szCs w:val="2"/>
          <w:lang w:val="es-CO"/>
        </w:rPr>
        <w:t>30F</w:t>
      </w:r>
      <w:r w:rsidR="005B081B" w:rsidRPr="00672AC2">
        <w:rPr>
          <w:rStyle w:val="FootnoteReference"/>
          <w:bCs/>
          <w:color w:val="000000" w:themeColor="text1"/>
          <w:szCs w:val="20"/>
          <w:lang w:val="es-CO"/>
        </w:rPr>
        <w:footnoteReference w:id="32"/>
      </w:r>
      <w:r w:rsidR="006277A5" w:rsidRPr="00672AC2">
        <w:rPr>
          <w:bCs/>
          <w:color w:val="000000" w:themeColor="text1"/>
          <w:szCs w:val="20"/>
          <w:lang w:val="es-CO"/>
        </w:rPr>
        <w:t>,</w:t>
      </w:r>
      <w:r w:rsidR="005B081B" w:rsidRPr="00672AC2">
        <w:rPr>
          <w:bCs/>
          <w:color w:val="000000" w:themeColor="text1"/>
          <w:szCs w:val="20"/>
          <w:lang w:val="es-CO"/>
        </w:rPr>
        <w:t xml:space="preserve"> para dar atención a las personas que reportan casos de discriminación.</w:t>
      </w:r>
      <w:r w:rsidR="00B80774">
        <w:rPr>
          <w:bCs/>
          <w:color w:val="000000" w:themeColor="text1"/>
          <w:szCs w:val="20"/>
          <w:lang w:val="es-CO"/>
        </w:rPr>
        <w:t xml:space="preserve"> </w:t>
      </w:r>
      <w:r w:rsidR="000D296B">
        <w:rPr>
          <w:bCs/>
          <w:color w:val="000000" w:themeColor="text1"/>
          <w:szCs w:val="20"/>
          <w:lang w:val="es-CO"/>
        </w:rPr>
        <w:t>Además</w:t>
      </w:r>
      <w:r w:rsidR="00B80774">
        <w:rPr>
          <w:bCs/>
          <w:color w:val="000000" w:themeColor="text1"/>
          <w:szCs w:val="20"/>
          <w:lang w:val="es-CO"/>
        </w:rPr>
        <w:t xml:space="preserve">, se informó de la implementación de acciones de fortalecimiento de capacidades del </w:t>
      </w:r>
      <w:r w:rsidR="00B80774" w:rsidRPr="00B80774">
        <w:rPr>
          <w:bCs/>
          <w:color w:val="000000" w:themeColor="text1"/>
          <w:szCs w:val="20"/>
          <w:lang w:val="es-CO"/>
        </w:rPr>
        <w:t>enfoque intercultural de las</w:t>
      </w:r>
      <w:r w:rsidR="00B80774">
        <w:rPr>
          <w:bCs/>
          <w:color w:val="000000" w:themeColor="text1"/>
          <w:szCs w:val="20"/>
          <w:lang w:val="es-CO"/>
        </w:rPr>
        <w:t xml:space="preserve"> y l</w:t>
      </w:r>
      <w:r w:rsidR="00B80774" w:rsidRPr="00B80774">
        <w:rPr>
          <w:bCs/>
          <w:color w:val="000000" w:themeColor="text1"/>
          <w:szCs w:val="20"/>
          <w:lang w:val="es-CO"/>
        </w:rPr>
        <w:t>os servidores públicos</w:t>
      </w:r>
      <w:r w:rsidR="00596474">
        <w:rPr>
          <w:bCs/>
          <w:color w:val="000000" w:themeColor="text1"/>
          <w:szCs w:val="20"/>
          <w:lang w:val="es-CO"/>
        </w:rPr>
        <w:t xml:space="preserve"> a través de cursos MOOC, y de público escolar, con actividades </w:t>
      </w:r>
      <w:proofErr w:type="gramStart"/>
      <w:r w:rsidR="00596474">
        <w:rPr>
          <w:bCs/>
          <w:color w:val="000000" w:themeColor="text1"/>
          <w:szCs w:val="20"/>
          <w:lang w:val="es-CO"/>
        </w:rPr>
        <w:t>lúdico educativas</w:t>
      </w:r>
      <w:proofErr w:type="gramEnd"/>
      <w:r w:rsidR="00596474">
        <w:rPr>
          <w:bCs/>
          <w:color w:val="000000" w:themeColor="text1"/>
          <w:szCs w:val="20"/>
          <w:lang w:val="es-CO"/>
        </w:rPr>
        <w:t>.</w:t>
      </w:r>
    </w:p>
    <w:p w14:paraId="3FCF5994" w14:textId="30D72815" w:rsidR="005B081B" w:rsidRPr="00992D54" w:rsidRDefault="005B081B" w:rsidP="005B081B">
      <w:pPr>
        <w:pStyle w:val="IAPrrafo"/>
        <w:rPr>
          <w:rFonts w:eastAsia="Cambria" w:cs="Cambria"/>
          <w:szCs w:val="20"/>
          <w:lang w:eastAsia="es-US"/>
        </w:rPr>
      </w:pPr>
      <w:r w:rsidRPr="00672AC2">
        <w:rPr>
          <w:rFonts w:eastAsia="Cambria" w:cs="Cambria"/>
          <w:szCs w:val="20"/>
          <w:lang w:eastAsia="es-US"/>
        </w:rPr>
        <w:t xml:space="preserve">Además, el Estado </w:t>
      </w:r>
      <w:r w:rsidR="003938A1" w:rsidRPr="00672AC2">
        <w:rPr>
          <w:rFonts w:eastAsia="Cambria" w:cs="Cambria"/>
          <w:szCs w:val="20"/>
          <w:lang w:eastAsia="es-US"/>
        </w:rPr>
        <w:t>destacó</w:t>
      </w:r>
      <w:r w:rsidRPr="00672AC2">
        <w:rPr>
          <w:rFonts w:eastAsia="Cambria" w:cs="Cambria"/>
          <w:szCs w:val="20"/>
          <w:lang w:eastAsia="es-US"/>
        </w:rPr>
        <w:t xml:space="preserve"> la </w:t>
      </w:r>
      <w:r w:rsidRPr="00672AC2">
        <w:rPr>
          <w:szCs w:val="20"/>
          <w:lang w:val="es-US"/>
        </w:rPr>
        <w:t>elaboración y remisión al Congreso del Proyecto de Ley de Promoción de la Diversidad Cultural para la Prevención, Erradicación y Sanción de la Discriminación Étnico Racial</w:t>
      </w:r>
      <w:r w:rsidRPr="00672AC2">
        <w:rPr>
          <w:szCs w:val="20"/>
          <w:lang w:val="es-ES"/>
        </w:rPr>
        <w:t>, promovido por el Poder Ejecutivo</w:t>
      </w:r>
      <w:r w:rsidR="003938A1" w:rsidRPr="00672AC2">
        <w:rPr>
          <w:szCs w:val="20"/>
          <w:lang w:val="es-ES"/>
        </w:rPr>
        <w:t>;</w:t>
      </w:r>
      <w:r w:rsidRPr="00672AC2">
        <w:rPr>
          <w:szCs w:val="20"/>
          <w:lang w:val="es-ES"/>
        </w:rPr>
        <w:t xml:space="preserve"> </w:t>
      </w:r>
      <w:r w:rsidR="00730DF0" w:rsidRPr="00672AC2">
        <w:rPr>
          <w:szCs w:val="20"/>
          <w:lang w:val="es-ES"/>
        </w:rPr>
        <w:t>que</w:t>
      </w:r>
      <w:r w:rsidRPr="00672AC2">
        <w:rPr>
          <w:szCs w:val="20"/>
          <w:lang w:val="es-ES"/>
        </w:rPr>
        <w:t xml:space="preserve"> busca fomentar el reconocimiento positivo de las identidades y aportes de los diferentes grupos étnico culturales, implementar mecanismos con pertinencia cultural y diferenciada, fomentar y difundir la cosmovisión, historia, cultura, tradiciones, conocimientos y saberes tradicionales; y garantizar la educación intercultural bilingüe</w:t>
      </w:r>
      <w:r w:rsidR="00F36B41">
        <w:rPr>
          <w:rFonts w:ascii="ZWAdobeF" w:hAnsi="ZWAdobeF" w:cs="ZWAdobeF"/>
          <w:color w:val="auto"/>
          <w:sz w:val="2"/>
          <w:szCs w:val="2"/>
          <w:lang w:val="es-ES"/>
        </w:rPr>
        <w:t>31F</w:t>
      </w:r>
      <w:r w:rsidRPr="00672AC2">
        <w:rPr>
          <w:rStyle w:val="FootnoteReference"/>
          <w:szCs w:val="20"/>
          <w:lang w:val="es-ES"/>
        </w:rPr>
        <w:footnoteReference w:id="33"/>
      </w:r>
      <w:r w:rsidRPr="00672AC2">
        <w:rPr>
          <w:szCs w:val="20"/>
          <w:lang w:val="es-ES"/>
        </w:rPr>
        <w:t xml:space="preserve">. El proyecto sigue siendo discutido, sin contar aún con un </w:t>
      </w:r>
      <w:proofErr w:type="spellStart"/>
      <w:r w:rsidRPr="00672AC2">
        <w:rPr>
          <w:szCs w:val="20"/>
          <w:lang w:val="es-ES"/>
        </w:rPr>
        <w:t>predictamen</w:t>
      </w:r>
      <w:proofErr w:type="spellEnd"/>
      <w:r w:rsidRPr="00672AC2">
        <w:rPr>
          <w:szCs w:val="20"/>
          <w:lang w:val="es-ES"/>
        </w:rPr>
        <w:t xml:space="preserve"> favorable por parte de las </w:t>
      </w:r>
      <w:r w:rsidR="00CA6870" w:rsidRPr="00672AC2">
        <w:rPr>
          <w:szCs w:val="20"/>
          <w:lang w:val="es-ES"/>
        </w:rPr>
        <w:t>c</w:t>
      </w:r>
      <w:r w:rsidRPr="00672AC2">
        <w:rPr>
          <w:szCs w:val="20"/>
          <w:lang w:val="es-ES"/>
        </w:rPr>
        <w:t>omisiones que lo revisan.</w:t>
      </w:r>
    </w:p>
    <w:p w14:paraId="41384329" w14:textId="49297C74" w:rsidR="005B081B" w:rsidRPr="00992D54" w:rsidRDefault="001439E1" w:rsidP="005B081B">
      <w:pPr>
        <w:pStyle w:val="IAPrrafo"/>
        <w:rPr>
          <w:rFonts w:eastAsia="Cambria" w:cs="Cambria"/>
          <w:szCs w:val="20"/>
          <w:lang w:eastAsia="es-US"/>
        </w:rPr>
      </w:pPr>
      <w:r w:rsidRPr="00672AC2">
        <w:rPr>
          <w:rFonts w:eastAsia="Cambria" w:cs="Cambria"/>
          <w:szCs w:val="20"/>
          <w:lang w:eastAsia="es-US"/>
        </w:rPr>
        <w:t>E</w:t>
      </w:r>
      <w:r w:rsidR="005B081B" w:rsidRPr="00672AC2">
        <w:rPr>
          <w:rFonts w:eastAsia="Cambria" w:cs="Cambria"/>
          <w:szCs w:val="20"/>
          <w:lang w:eastAsia="es-US"/>
        </w:rPr>
        <w:t xml:space="preserve">l Estado comunicó la elaboración de la Política Nacional de Pueblos Indígenas u Originarios (PNPI), </w:t>
      </w:r>
      <w:r w:rsidR="00AF6F2E" w:rsidRPr="00672AC2">
        <w:rPr>
          <w:rFonts w:eastAsia="Cambria" w:cs="Cambria"/>
          <w:szCs w:val="20"/>
          <w:lang w:eastAsia="es-US"/>
        </w:rPr>
        <w:t>que</w:t>
      </w:r>
      <w:r w:rsidR="005B081B" w:rsidRPr="00672AC2">
        <w:rPr>
          <w:rFonts w:eastAsia="Cambria" w:cs="Cambria"/>
          <w:szCs w:val="20"/>
          <w:lang w:eastAsia="es-US"/>
        </w:rPr>
        <w:t xml:space="preserve"> contiene servicios públicos interculturales. La </w:t>
      </w:r>
      <w:r w:rsidR="00AF6F2E" w:rsidRPr="00672AC2">
        <w:rPr>
          <w:rFonts w:eastAsia="Cambria" w:cs="Cambria"/>
          <w:szCs w:val="20"/>
          <w:lang w:eastAsia="es-US"/>
        </w:rPr>
        <w:t>p</w:t>
      </w:r>
      <w:r w:rsidR="005B081B" w:rsidRPr="00672AC2">
        <w:rPr>
          <w:rFonts w:eastAsia="Cambria" w:cs="Cambria"/>
          <w:szCs w:val="20"/>
          <w:lang w:eastAsia="es-US"/>
        </w:rPr>
        <w:t xml:space="preserve">olítica </w:t>
      </w:r>
      <w:r w:rsidRPr="00672AC2">
        <w:rPr>
          <w:rFonts w:eastAsia="Cambria" w:cs="Cambria"/>
          <w:szCs w:val="20"/>
          <w:lang w:eastAsia="es-US"/>
        </w:rPr>
        <w:t xml:space="preserve">está </w:t>
      </w:r>
      <w:r w:rsidR="005B081B" w:rsidRPr="00672AC2">
        <w:rPr>
          <w:rFonts w:eastAsia="Cambria" w:cs="Cambria"/>
          <w:szCs w:val="20"/>
          <w:lang w:eastAsia="es-US"/>
        </w:rPr>
        <w:t xml:space="preserve">siendo </w:t>
      </w:r>
      <w:r w:rsidR="001E1A78" w:rsidRPr="00672AC2">
        <w:rPr>
          <w:rFonts w:eastAsia="Cambria" w:cs="Cambria"/>
          <w:szCs w:val="20"/>
          <w:lang w:eastAsia="es-US"/>
        </w:rPr>
        <w:t xml:space="preserve">debatida </w:t>
      </w:r>
      <w:r w:rsidR="005B081B" w:rsidRPr="00672AC2">
        <w:rPr>
          <w:rFonts w:eastAsia="Cambria" w:cs="Cambria"/>
          <w:szCs w:val="20"/>
          <w:lang w:eastAsia="es-US"/>
        </w:rPr>
        <w:t>en reuniones de trabajo con organizaciones indígenas, previo a la elaboración de un proceso de consulta previa</w:t>
      </w:r>
      <w:r w:rsidR="00F36B41">
        <w:rPr>
          <w:rFonts w:ascii="ZWAdobeF" w:eastAsia="Cambria" w:hAnsi="ZWAdobeF" w:cs="ZWAdobeF"/>
          <w:color w:val="auto"/>
          <w:sz w:val="2"/>
          <w:szCs w:val="2"/>
          <w:lang w:eastAsia="es-US"/>
        </w:rPr>
        <w:t>32F</w:t>
      </w:r>
      <w:r w:rsidR="000E567F">
        <w:rPr>
          <w:rStyle w:val="FootnoteReference"/>
          <w:rFonts w:eastAsia="Cambria" w:cs="Cambria"/>
          <w:szCs w:val="20"/>
          <w:lang w:eastAsia="es-US"/>
        </w:rPr>
        <w:footnoteReference w:id="34"/>
      </w:r>
      <w:r w:rsidR="005B081B" w:rsidRPr="00672AC2">
        <w:rPr>
          <w:rFonts w:eastAsia="Cambria" w:cs="Cambria"/>
          <w:szCs w:val="20"/>
          <w:lang w:eastAsia="es-US"/>
        </w:rPr>
        <w:t xml:space="preserve">. </w:t>
      </w:r>
      <w:r w:rsidR="005B081B" w:rsidRPr="00672AC2">
        <w:rPr>
          <w:szCs w:val="20"/>
          <w:lang w:val="es-US"/>
        </w:rPr>
        <w:t xml:space="preserve">Asimismo, el Estado se refirió al proceso de actualización de la Política de Educación Intercultural Bilingüe (EIB), que incorpora en el sistema educativo la diversidad cultural y lingüística como una oportunidad de aprendizaje, y la construcción de una sociedad plural, libre de racismo. </w:t>
      </w:r>
    </w:p>
    <w:p w14:paraId="7CA39345" w14:textId="57984B46" w:rsidR="005B081B" w:rsidRPr="000539FD" w:rsidRDefault="005B081B" w:rsidP="005B081B">
      <w:pPr>
        <w:pStyle w:val="IAPrrafo"/>
        <w:rPr>
          <w:rFonts w:eastAsia="Cambria" w:cs="Cambria"/>
          <w:szCs w:val="20"/>
          <w:lang w:eastAsia="es-US"/>
        </w:rPr>
      </w:pPr>
      <w:r w:rsidRPr="00672AC2">
        <w:rPr>
          <w:rFonts w:eastAsia="Cambria" w:cs="Cambria"/>
          <w:szCs w:val="20"/>
          <w:lang w:eastAsia="es-US"/>
        </w:rPr>
        <w:t>Igualmente, el Estado manifestó que, el 4 de diciembre de 2024</w:t>
      </w:r>
      <w:r w:rsidR="00847BE3" w:rsidRPr="00672AC2">
        <w:rPr>
          <w:rFonts w:eastAsia="Cambria" w:cs="Cambria"/>
          <w:szCs w:val="20"/>
          <w:lang w:eastAsia="es-US"/>
        </w:rPr>
        <w:t>,</w:t>
      </w:r>
      <w:r w:rsidR="001439E1" w:rsidRPr="00672AC2">
        <w:rPr>
          <w:rFonts w:eastAsia="Cambria" w:cs="Cambria"/>
          <w:szCs w:val="20"/>
          <w:lang w:eastAsia="es-US"/>
        </w:rPr>
        <w:t xml:space="preserve"> </w:t>
      </w:r>
      <w:r w:rsidRPr="00672AC2">
        <w:rPr>
          <w:rFonts w:eastAsia="Cambria" w:cs="Cambria"/>
          <w:szCs w:val="20"/>
          <w:lang w:eastAsia="es-US"/>
        </w:rPr>
        <w:t>aprobó la Política Nacional Multisectorial de Derechos Humanos</w:t>
      </w:r>
      <w:r w:rsidR="00F36B41">
        <w:rPr>
          <w:rFonts w:ascii="ZWAdobeF" w:eastAsia="Cambria" w:hAnsi="ZWAdobeF" w:cs="ZWAdobeF"/>
          <w:color w:val="auto"/>
          <w:sz w:val="2"/>
          <w:szCs w:val="2"/>
          <w:lang w:eastAsia="es-US"/>
        </w:rPr>
        <w:t>33F</w:t>
      </w:r>
      <w:r w:rsidRPr="00672AC2">
        <w:rPr>
          <w:rStyle w:val="FootnoteReference"/>
          <w:rFonts w:eastAsia="Cambria" w:cs="Cambria"/>
          <w:szCs w:val="20"/>
          <w:lang w:eastAsia="es-US"/>
        </w:rPr>
        <w:footnoteReference w:id="35"/>
      </w:r>
      <w:r w:rsidR="001E1A78" w:rsidRPr="00672AC2">
        <w:rPr>
          <w:rFonts w:eastAsia="Cambria" w:cs="Cambria"/>
          <w:szCs w:val="20"/>
          <w:lang w:eastAsia="es-US"/>
        </w:rPr>
        <w:t>,</w:t>
      </w:r>
      <w:r w:rsidRPr="00672AC2">
        <w:rPr>
          <w:rFonts w:eastAsia="Cambria" w:cs="Cambria"/>
          <w:szCs w:val="20"/>
          <w:lang w:eastAsia="es-US"/>
        </w:rPr>
        <w:t xml:space="preserve"> que busca reducir la desigualdad y la discriminación estructural, garantizando el ejercicio pleno de los derechos de las personas. Su elaboración contó con un proceso participativo con entidades públicas, la Mesa de Concertación de Lucha contra la Pobreza, instituciones de sociedad civil y del sector privado, así como de la Oficina del Alto Comisionado de las Naciones Unidas para los Derechos Humanos (OACNUDH)</w:t>
      </w:r>
      <w:r w:rsidR="00B80774">
        <w:rPr>
          <w:rFonts w:eastAsia="Cambria" w:cs="Cambria"/>
          <w:szCs w:val="20"/>
          <w:lang w:eastAsia="es-US"/>
        </w:rPr>
        <w:t>, los cu</w:t>
      </w:r>
      <w:r w:rsidR="00C22C14">
        <w:rPr>
          <w:rFonts w:eastAsia="Cambria" w:cs="Cambria"/>
          <w:szCs w:val="20"/>
          <w:lang w:eastAsia="es-US"/>
        </w:rPr>
        <w:t>a</w:t>
      </w:r>
      <w:r w:rsidR="00B80774">
        <w:rPr>
          <w:rFonts w:eastAsia="Cambria" w:cs="Cambria"/>
          <w:szCs w:val="20"/>
          <w:lang w:eastAsia="es-US"/>
        </w:rPr>
        <w:t xml:space="preserve">les formaron parte del Grupo de Trabajo Multisectorial organizado para la aprobación de la Política. </w:t>
      </w:r>
      <w:r w:rsidR="003310CA">
        <w:rPr>
          <w:rFonts w:eastAsia="Cambria" w:cs="Cambria"/>
          <w:szCs w:val="20"/>
          <w:lang w:eastAsia="es-US"/>
        </w:rPr>
        <w:t>De acuerdo con la información recibida por el Estado, se habría solicitado la aportación de insumos a organizaciones de sociedad civil</w:t>
      </w:r>
      <w:r w:rsidR="008E32F3">
        <w:rPr>
          <w:rFonts w:eastAsia="Cambria" w:cs="Cambria"/>
          <w:szCs w:val="20"/>
          <w:lang w:eastAsia="es-US"/>
        </w:rPr>
        <w:t xml:space="preserve"> que forman parte del Grupo</w:t>
      </w:r>
      <w:r w:rsidR="003310CA">
        <w:rPr>
          <w:rFonts w:eastAsia="Cambria" w:cs="Cambria"/>
          <w:szCs w:val="20"/>
          <w:lang w:eastAsia="es-US"/>
        </w:rPr>
        <w:t>, sin que se hubiese recibido ninguna. Asimismo, en la última reunión del Plan en el Grupo de Trabajo, la entidad representante de sociedad civil votó en contra de su aprobación.</w:t>
      </w:r>
    </w:p>
    <w:p w14:paraId="35999870" w14:textId="29FD5B15" w:rsidR="005B081B" w:rsidRPr="000539FD" w:rsidRDefault="005B081B" w:rsidP="005B081B">
      <w:pPr>
        <w:pStyle w:val="IAPrrafo"/>
        <w:rPr>
          <w:rFonts w:eastAsia="Cambria" w:cs="Cambria"/>
          <w:szCs w:val="20"/>
          <w:lang w:eastAsia="es-US"/>
        </w:rPr>
      </w:pPr>
      <w:r w:rsidRPr="00672AC2">
        <w:rPr>
          <w:szCs w:val="20"/>
          <w:lang w:val="es-US"/>
        </w:rPr>
        <w:t xml:space="preserve">Por su parte, la CIDH tomó conocimiento de información remitida por sociedad civil sobre la estrategia </w:t>
      </w:r>
      <w:r w:rsidR="00893AD3" w:rsidRPr="00672AC2">
        <w:rPr>
          <w:szCs w:val="20"/>
          <w:lang w:val="es-ES"/>
        </w:rPr>
        <w:t>“</w:t>
      </w:r>
      <w:r w:rsidRPr="000B726A">
        <w:rPr>
          <w:i/>
          <w:iCs/>
          <w:szCs w:val="20"/>
          <w:lang w:val="es-US"/>
        </w:rPr>
        <w:t>Perú Sin Racismo</w:t>
      </w:r>
      <w:r w:rsidR="00893AD3" w:rsidRPr="00672AC2">
        <w:rPr>
          <w:szCs w:val="20"/>
          <w:lang w:val="es-US"/>
        </w:rPr>
        <w:t>”</w:t>
      </w:r>
      <w:r w:rsidRPr="00672AC2">
        <w:rPr>
          <w:szCs w:val="20"/>
          <w:lang w:val="es-US"/>
        </w:rPr>
        <w:t xml:space="preserve"> y el proceso de aprobación en el Poder Legislativo del </w:t>
      </w:r>
      <w:r w:rsidR="00893AD3" w:rsidRPr="00672AC2">
        <w:rPr>
          <w:szCs w:val="20"/>
          <w:lang w:val="es-US"/>
        </w:rPr>
        <w:t>p</w:t>
      </w:r>
      <w:r w:rsidRPr="00672AC2">
        <w:rPr>
          <w:szCs w:val="20"/>
          <w:lang w:val="es-US"/>
        </w:rPr>
        <w:t xml:space="preserve">royecto de </w:t>
      </w:r>
      <w:r w:rsidR="00893AD3" w:rsidRPr="00672AC2">
        <w:rPr>
          <w:szCs w:val="20"/>
          <w:lang w:val="es-US"/>
        </w:rPr>
        <w:t>l</w:t>
      </w:r>
      <w:r w:rsidRPr="00672AC2">
        <w:rPr>
          <w:szCs w:val="20"/>
          <w:lang w:val="es-US"/>
        </w:rPr>
        <w:t xml:space="preserve">ey sobre Promoción de la Diversidad Cultural. De acuerdo con la sociedad civil, tanto la implementación de la estrategia como la aprobación e implementación </w:t>
      </w:r>
      <w:r w:rsidR="00893AD3" w:rsidRPr="00672AC2">
        <w:rPr>
          <w:szCs w:val="20"/>
          <w:lang w:val="es-US"/>
        </w:rPr>
        <w:t>de ese p</w:t>
      </w:r>
      <w:r w:rsidRPr="00672AC2">
        <w:rPr>
          <w:szCs w:val="20"/>
          <w:lang w:val="es-US"/>
        </w:rPr>
        <w:t xml:space="preserve">royecto de </w:t>
      </w:r>
      <w:r w:rsidR="00492517" w:rsidRPr="00672AC2">
        <w:rPr>
          <w:szCs w:val="20"/>
          <w:lang w:val="es-US"/>
        </w:rPr>
        <w:t>l</w:t>
      </w:r>
      <w:r w:rsidRPr="00672AC2">
        <w:rPr>
          <w:szCs w:val="20"/>
          <w:lang w:val="es-US"/>
        </w:rPr>
        <w:t>ey requieren del fortalecimiento de mecanismos efectivos de monitoreo y evaluación para medir su impacto, y de los mecanismos de participación necesarios.</w:t>
      </w:r>
    </w:p>
    <w:p w14:paraId="3E035BBE" w14:textId="361B3D93" w:rsidR="005B081B" w:rsidRPr="000539FD" w:rsidRDefault="005B081B" w:rsidP="000539FD">
      <w:pPr>
        <w:pStyle w:val="IAPrrafo"/>
        <w:rPr>
          <w:rFonts w:eastAsia="Cambria" w:cs="Cambria"/>
          <w:szCs w:val="20"/>
          <w:lang w:eastAsia="es-US"/>
        </w:rPr>
      </w:pPr>
      <w:r w:rsidRPr="00672AC2">
        <w:rPr>
          <w:szCs w:val="20"/>
          <w:lang w:val="es-US"/>
        </w:rPr>
        <w:t xml:space="preserve">En relación con la Política Nacional de Pueblos Indígenas u Originarios (PNPI) y la aprobación de la </w:t>
      </w:r>
      <w:r w:rsidRPr="00672AC2">
        <w:rPr>
          <w:rFonts w:eastAsia="Cambria" w:cs="Cambria"/>
          <w:szCs w:val="20"/>
          <w:lang w:eastAsia="es-US"/>
        </w:rPr>
        <w:t xml:space="preserve">Política Nacional Multisectorial de Derechos Humanos (PNDH), la sociedad civil enfatizó la supuesta falta de diálogo real para su aprobación. Esto, en particular en el caso de la PNDH, </w:t>
      </w:r>
      <w:r w:rsidR="00492517" w:rsidRPr="00672AC2">
        <w:rPr>
          <w:rFonts w:eastAsia="Cambria" w:cs="Cambria"/>
          <w:szCs w:val="20"/>
          <w:lang w:eastAsia="es-US"/>
        </w:rPr>
        <w:t xml:space="preserve">ya que </w:t>
      </w:r>
      <w:r w:rsidRPr="00672AC2">
        <w:rPr>
          <w:rFonts w:eastAsia="Cambria" w:cs="Cambria"/>
          <w:szCs w:val="20"/>
          <w:lang w:eastAsia="es-US"/>
        </w:rPr>
        <w:t>se cuestion</w:t>
      </w:r>
      <w:r w:rsidR="00847BE3" w:rsidRPr="00672AC2">
        <w:rPr>
          <w:rFonts w:eastAsia="Cambria" w:cs="Cambria"/>
          <w:szCs w:val="20"/>
          <w:lang w:eastAsia="es-US"/>
        </w:rPr>
        <w:t>ó</w:t>
      </w:r>
      <w:r w:rsidRPr="00672AC2">
        <w:rPr>
          <w:rFonts w:eastAsia="Cambria" w:cs="Cambria"/>
          <w:szCs w:val="20"/>
          <w:lang w:eastAsia="es-US"/>
        </w:rPr>
        <w:t xml:space="preserve"> la falta de atención a las observaciones presentadas por sociedad civil, y su limitada participación en la Comisión Multisectorial a cargo de elaborarla. Además, sociedad civil </w:t>
      </w:r>
      <w:r w:rsidR="00E519E4" w:rsidRPr="00672AC2">
        <w:rPr>
          <w:rFonts w:eastAsia="Cambria" w:cs="Cambria"/>
          <w:szCs w:val="20"/>
          <w:lang w:eastAsia="es-US"/>
        </w:rPr>
        <w:t xml:space="preserve">criticó </w:t>
      </w:r>
      <w:r w:rsidRPr="00672AC2">
        <w:rPr>
          <w:rFonts w:eastAsia="Cambria" w:cs="Cambria"/>
          <w:szCs w:val="20"/>
          <w:lang w:eastAsia="es-US"/>
        </w:rPr>
        <w:t>que el proceso de elaboración de estas políticas hubiese estado marcado por los hechos de violencia recogidos en el Informe de País, así como en la aprobación de normas que van en contra de las obligaciones internacionales del Perú en materia de derechos humanos, como la liberación de Alberto Fujimori.</w:t>
      </w:r>
    </w:p>
    <w:p w14:paraId="21E34F5B" w14:textId="77777777" w:rsidR="005B081B" w:rsidRPr="00672AC2" w:rsidRDefault="005B081B" w:rsidP="000539FD">
      <w:pPr>
        <w:ind w:firstLine="720"/>
        <w:jc w:val="both"/>
        <w:rPr>
          <w:lang w:val="es-CO"/>
        </w:rPr>
      </w:pPr>
      <w:r w:rsidRPr="00672AC2">
        <w:rPr>
          <w:rFonts w:eastAsia="Cambria" w:cs="Cambria"/>
          <w:i/>
          <w:iCs/>
          <w:color w:val="000000" w:themeColor="text1"/>
          <w:sz w:val="20"/>
          <w:szCs w:val="20"/>
          <w:lang w:val="es-ES"/>
        </w:rPr>
        <w:t>Análisis y nivel de cumplimiento de la recomendación</w:t>
      </w:r>
    </w:p>
    <w:p w14:paraId="28682CE7" w14:textId="77777777" w:rsidR="005B081B" w:rsidRPr="00672AC2" w:rsidRDefault="005B081B" w:rsidP="005B081B">
      <w:pPr>
        <w:shd w:val="clear" w:color="auto" w:fill="FFFFFF" w:themeFill="background1"/>
        <w:jc w:val="both"/>
        <w:rPr>
          <w:rFonts w:eastAsia="Calibri" w:cs="Times New Roman"/>
          <w:sz w:val="20"/>
          <w:szCs w:val="20"/>
          <w:lang w:val="es-419"/>
        </w:rPr>
      </w:pPr>
    </w:p>
    <w:p w14:paraId="7A986AD4" w14:textId="088CB42B" w:rsidR="005B081B" w:rsidRPr="000539FD" w:rsidRDefault="63E6C77F" w:rsidP="005B081B">
      <w:pPr>
        <w:pStyle w:val="IAPrrafo"/>
        <w:rPr>
          <w:rFonts w:eastAsia="Calibri" w:cs="Times New Roman"/>
          <w:szCs w:val="20"/>
        </w:rPr>
      </w:pPr>
      <w:r w:rsidRPr="00672AC2">
        <w:rPr>
          <w:szCs w:val="20"/>
          <w:lang w:val="es-US"/>
        </w:rPr>
        <w:t>La CIDH ha insistido en que el principio de no discriminación es uno de los pilares de cualquier sistema democrático y una de las bases fundamentales del sistema de protección de derechos humanos, en particular en relación con los grupos históricamente discriminados</w:t>
      </w:r>
      <w:r w:rsidR="00F36B41">
        <w:rPr>
          <w:rFonts w:ascii="ZWAdobeF" w:hAnsi="ZWAdobeF" w:cs="ZWAdobeF"/>
          <w:color w:val="auto"/>
          <w:sz w:val="2"/>
          <w:szCs w:val="2"/>
          <w:lang w:val="es-US"/>
        </w:rPr>
        <w:t>34F</w:t>
      </w:r>
      <w:r w:rsidR="005B081B" w:rsidRPr="00672AC2">
        <w:rPr>
          <w:rStyle w:val="FootnoteReference"/>
          <w:szCs w:val="20"/>
          <w:lang w:val="es-US"/>
        </w:rPr>
        <w:footnoteReference w:id="36"/>
      </w:r>
      <w:r w:rsidRPr="00672AC2">
        <w:rPr>
          <w:szCs w:val="20"/>
          <w:lang w:val="es-US"/>
        </w:rPr>
        <w:t xml:space="preserve">. En ese sentido, la discriminación constituye una forma de perpetuar una situación de vulnerabilidad social en contra de un grupo con base en su origen étnico racial o condición socioeconómica. Por ello, una política </w:t>
      </w:r>
      <w:r w:rsidRPr="00672AC2">
        <w:rPr>
          <w:rFonts w:eastAsia="Cambria" w:cs="Cambria"/>
          <w:szCs w:val="20"/>
          <w:lang w:val="es-CO" w:eastAsia="es-US"/>
        </w:rPr>
        <w:t xml:space="preserve">dirigida a la eliminación y prevención de la discriminación y estigmatización debe contar con mecanismos de reporte y sanción de las situaciones específicas de violencia, y debe abordar las situaciones de racismo estructural a través de planes de sensibilización e información, en particular de su inclusión en las políticas educativas que se imparten en los sistemas educativos en general. </w:t>
      </w:r>
    </w:p>
    <w:p w14:paraId="7F474CB5" w14:textId="2EA96809" w:rsidR="005B081B" w:rsidRPr="000539FD" w:rsidRDefault="00730DF0" w:rsidP="005B081B">
      <w:pPr>
        <w:pStyle w:val="IAPrrafo"/>
        <w:rPr>
          <w:rFonts w:eastAsia="Calibri" w:cs="Times New Roman"/>
          <w:szCs w:val="20"/>
        </w:rPr>
      </w:pPr>
      <w:r w:rsidRPr="00672AC2">
        <w:rPr>
          <w:szCs w:val="20"/>
          <w:lang w:val="es-US"/>
        </w:rPr>
        <w:t>L</w:t>
      </w:r>
      <w:r w:rsidR="005B081B" w:rsidRPr="00672AC2">
        <w:rPr>
          <w:szCs w:val="20"/>
          <w:lang w:val="es-US"/>
        </w:rPr>
        <w:t xml:space="preserve">a Comisión valora positivamente la aprobación de la </w:t>
      </w:r>
      <w:r w:rsidR="005B081B" w:rsidRPr="00672AC2">
        <w:rPr>
          <w:rFonts w:eastAsia="Cambria" w:cs="Cambria"/>
          <w:szCs w:val="20"/>
          <w:lang w:eastAsia="es-US"/>
        </w:rPr>
        <w:t xml:space="preserve">Política Nacional Multisectorial de Derechos Humanos </w:t>
      </w:r>
      <w:r w:rsidR="000E567F">
        <w:rPr>
          <w:rFonts w:eastAsia="Cambria" w:cs="Cambria"/>
          <w:szCs w:val="20"/>
          <w:lang w:eastAsia="es-US"/>
        </w:rPr>
        <w:t xml:space="preserve">del 2024 </w:t>
      </w:r>
      <w:r w:rsidR="005B081B" w:rsidRPr="00672AC2">
        <w:rPr>
          <w:rFonts w:eastAsia="Cambria" w:cs="Cambria"/>
          <w:szCs w:val="20"/>
          <w:lang w:eastAsia="es-US"/>
        </w:rPr>
        <w:t xml:space="preserve">y la </w:t>
      </w:r>
      <w:r w:rsidR="005B081B" w:rsidRPr="00672AC2">
        <w:rPr>
          <w:szCs w:val="20"/>
          <w:lang w:val="es-US"/>
        </w:rPr>
        <w:t xml:space="preserve">aprobación de la </w:t>
      </w:r>
      <w:r w:rsidR="005B081B" w:rsidRPr="00672AC2">
        <w:rPr>
          <w:szCs w:val="20"/>
          <w:lang w:val="es-ES"/>
        </w:rPr>
        <w:t>Estrategia “</w:t>
      </w:r>
      <w:r w:rsidR="005B081B" w:rsidRPr="000B726A">
        <w:rPr>
          <w:i/>
          <w:iCs/>
          <w:szCs w:val="20"/>
          <w:lang w:val="es-ES"/>
        </w:rPr>
        <w:t>Perú sin Racismo</w:t>
      </w:r>
      <w:r w:rsidR="005B081B" w:rsidRPr="00672AC2">
        <w:rPr>
          <w:szCs w:val="20"/>
          <w:lang w:val="es-ES"/>
        </w:rPr>
        <w:t xml:space="preserve">” del 2023. En ese sentido, la Comisión observa la necesidad de contar con información que permita conocer el alcance de la implementación de estos documentos. Además, toma nota de la existencia del programa </w:t>
      </w:r>
      <w:r w:rsidR="006F262E" w:rsidRPr="00672AC2">
        <w:rPr>
          <w:szCs w:val="20"/>
          <w:lang w:val="es-ES"/>
        </w:rPr>
        <w:t>“</w:t>
      </w:r>
      <w:r w:rsidR="005B081B" w:rsidRPr="00672AC2">
        <w:rPr>
          <w:szCs w:val="20"/>
          <w:lang w:val="es-ES"/>
        </w:rPr>
        <w:t>Alerta Contra el Racismo</w:t>
      </w:r>
      <w:r w:rsidR="006F262E" w:rsidRPr="00672AC2">
        <w:rPr>
          <w:szCs w:val="20"/>
          <w:lang w:val="es-ES"/>
        </w:rPr>
        <w:t>”</w:t>
      </w:r>
      <w:r w:rsidR="005B081B" w:rsidRPr="00672AC2">
        <w:rPr>
          <w:szCs w:val="20"/>
          <w:lang w:val="es-ES"/>
        </w:rPr>
        <w:t xml:space="preserve"> y ORIENTA</w:t>
      </w:r>
      <w:r w:rsidR="006F262E" w:rsidRPr="00672AC2">
        <w:rPr>
          <w:szCs w:val="20"/>
          <w:lang w:val="es-ES"/>
        </w:rPr>
        <w:t>;</w:t>
      </w:r>
      <w:r w:rsidR="005B081B" w:rsidRPr="00672AC2">
        <w:rPr>
          <w:szCs w:val="20"/>
          <w:lang w:val="es-ES"/>
        </w:rPr>
        <w:t xml:space="preserve"> y </w:t>
      </w:r>
      <w:r w:rsidR="006F262E" w:rsidRPr="00672AC2">
        <w:rPr>
          <w:szCs w:val="20"/>
          <w:lang w:val="es-ES"/>
        </w:rPr>
        <w:t>advierte</w:t>
      </w:r>
      <w:r w:rsidR="005B081B" w:rsidRPr="00672AC2">
        <w:rPr>
          <w:szCs w:val="20"/>
          <w:lang w:val="es-ES"/>
        </w:rPr>
        <w:t xml:space="preserve"> los avances para la aprobación de las políticas nacionales de pueblos indígenas u originarios y la de educación intercultural bilingüe, además del proceso de aprobación del </w:t>
      </w:r>
      <w:r w:rsidR="00E37560" w:rsidRPr="00672AC2">
        <w:rPr>
          <w:szCs w:val="20"/>
          <w:lang w:val="es-ES"/>
        </w:rPr>
        <w:t>p</w:t>
      </w:r>
      <w:r w:rsidR="005B081B" w:rsidRPr="00672AC2">
        <w:rPr>
          <w:szCs w:val="20"/>
          <w:lang w:val="es-ES"/>
        </w:rPr>
        <w:t xml:space="preserve">royecto de </w:t>
      </w:r>
      <w:r w:rsidR="00E37560" w:rsidRPr="00672AC2">
        <w:rPr>
          <w:szCs w:val="20"/>
          <w:lang w:val="es-ES"/>
        </w:rPr>
        <w:t>l</w:t>
      </w:r>
      <w:r w:rsidR="005B081B" w:rsidRPr="00672AC2">
        <w:rPr>
          <w:szCs w:val="20"/>
          <w:lang w:val="es-ES"/>
        </w:rPr>
        <w:t xml:space="preserve">ey sobre Promoción de la Diversidad Cultural. </w:t>
      </w:r>
    </w:p>
    <w:p w14:paraId="342A8F87" w14:textId="3CD15FC7" w:rsidR="005B081B" w:rsidRPr="000539FD" w:rsidRDefault="001439E1" w:rsidP="000539FD">
      <w:pPr>
        <w:pStyle w:val="IAPrrafo"/>
        <w:rPr>
          <w:rFonts w:eastAsia="Calibri" w:cs="Times New Roman"/>
          <w:szCs w:val="20"/>
        </w:rPr>
      </w:pPr>
      <w:r w:rsidRPr="00672AC2">
        <w:rPr>
          <w:rFonts w:eastAsia="Cambria" w:cs="Cambria"/>
          <w:szCs w:val="20"/>
          <w:lang w:val="es-CO" w:eastAsia="es-US"/>
        </w:rPr>
        <w:t>L</w:t>
      </w:r>
      <w:r w:rsidR="005B081B" w:rsidRPr="00672AC2">
        <w:rPr>
          <w:rFonts w:eastAsia="Cambria" w:cs="Cambria"/>
          <w:szCs w:val="20"/>
          <w:lang w:val="es-CO" w:eastAsia="es-US"/>
        </w:rPr>
        <w:t xml:space="preserve">a Comisión identifica que, si bien se </w:t>
      </w:r>
      <w:r w:rsidRPr="00672AC2">
        <w:rPr>
          <w:rFonts w:eastAsia="Cambria" w:cs="Cambria"/>
          <w:szCs w:val="20"/>
          <w:lang w:val="es-CO" w:eastAsia="es-US"/>
        </w:rPr>
        <w:t xml:space="preserve">está </w:t>
      </w:r>
      <w:r w:rsidR="005B081B" w:rsidRPr="00672AC2">
        <w:rPr>
          <w:rFonts w:eastAsia="Cambria" w:cs="Cambria"/>
          <w:szCs w:val="20"/>
          <w:lang w:val="es-CO" w:eastAsia="es-US"/>
        </w:rPr>
        <w:t>trabajando en el fortalecimiento de la metodología de Educación Intercultural Bilingüe (EIB), esta política está específicamente dirigida a la población indígena que estudia en colegios EIB distribuidos en distintas regiones del país, pero no de manera general para todos los centros educativos a través de su currículo.</w:t>
      </w:r>
      <w:r w:rsidR="005B081B" w:rsidRPr="00672AC2">
        <w:rPr>
          <w:szCs w:val="20"/>
          <w:lang w:val="es-US"/>
        </w:rPr>
        <w:t xml:space="preserve"> </w:t>
      </w:r>
      <w:r w:rsidR="0028098A" w:rsidRPr="00672AC2">
        <w:rPr>
          <w:szCs w:val="20"/>
          <w:lang w:val="es-US"/>
        </w:rPr>
        <w:t xml:space="preserve">Ponderando </w:t>
      </w:r>
      <w:r w:rsidR="005B081B" w:rsidRPr="00672AC2">
        <w:rPr>
          <w:szCs w:val="20"/>
          <w:lang w:val="es-US"/>
        </w:rPr>
        <w:t xml:space="preserve">que la implementación de esta recomendación puede fortalecerse con medidas de alcance más general para la población, la Comisión </w:t>
      </w:r>
      <w:r w:rsidR="00730DF0" w:rsidRPr="00672AC2">
        <w:rPr>
          <w:szCs w:val="20"/>
          <w:lang w:val="es-US"/>
        </w:rPr>
        <w:t>califica</w:t>
      </w:r>
      <w:r w:rsidR="005B081B" w:rsidRPr="00672AC2">
        <w:rPr>
          <w:szCs w:val="20"/>
          <w:lang w:val="es-US"/>
        </w:rPr>
        <w:t xml:space="preserve"> esta recomendación </w:t>
      </w:r>
      <w:r w:rsidR="00730DF0" w:rsidRPr="00672AC2">
        <w:rPr>
          <w:szCs w:val="20"/>
          <w:lang w:val="es-US"/>
        </w:rPr>
        <w:t>como de</w:t>
      </w:r>
      <w:r w:rsidR="005B081B" w:rsidRPr="00672AC2">
        <w:rPr>
          <w:szCs w:val="20"/>
          <w:lang w:val="es-US"/>
        </w:rPr>
        <w:t xml:space="preserve"> </w:t>
      </w:r>
      <w:r w:rsidR="005B081B" w:rsidRPr="00672AC2">
        <w:rPr>
          <w:b/>
          <w:bCs/>
          <w:szCs w:val="20"/>
          <w:lang w:val="es-US"/>
        </w:rPr>
        <w:t>cumplimiento parcial</w:t>
      </w:r>
      <w:r w:rsidR="005B081B" w:rsidRPr="00672AC2">
        <w:rPr>
          <w:szCs w:val="20"/>
          <w:lang w:val="es-US"/>
        </w:rPr>
        <w:t>.</w:t>
      </w:r>
    </w:p>
    <w:p w14:paraId="5FD1106C" w14:textId="77777777" w:rsidR="005B081B" w:rsidRPr="00672AC2" w:rsidRDefault="005B081B" w:rsidP="000539FD">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Medidas e información para avanzar en el cumplimiento de la recomendación</w:t>
      </w:r>
    </w:p>
    <w:p w14:paraId="726FEC07" w14:textId="77777777" w:rsidR="005B081B" w:rsidRPr="00672AC2" w:rsidRDefault="005B081B" w:rsidP="005B081B">
      <w:pPr>
        <w:jc w:val="both"/>
        <w:rPr>
          <w:rFonts w:eastAsia="Cambria" w:cs="Cambria"/>
          <w:color w:val="000000" w:themeColor="text1"/>
          <w:sz w:val="20"/>
          <w:szCs w:val="20"/>
          <w:lang w:val="es-CO"/>
        </w:rPr>
      </w:pPr>
    </w:p>
    <w:p w14:paraId="12ACAA35" w14:textId="18E89324" w:rsidR="005B081B" w:rsidRPr="000539FD" w:rsidRDefault="63E6C77F" w:rsidP="000539FD">
      <w:pPr>
        <w:pStyle w:val="IAPrrafo"/>
        <w:rPr>
          <w:rFonts w:eastAsia="Calibri" w:cs="Times New Roman"/>
          <w:szCs w:val="20"/>
        </w:rPr>
      </w:pPr>
      <w:r w:rsidRPr="00672AC2">
        <w:rPr>
          <w:szCs w:val="20"/>
          <w:lang w:val="es-US"/>
        </w:rPr>
        <w:t xml:space="preserve">Para avanzar con el cumplimiento de esta recomendación, la CIDH enfatiza que el objetivo es diseñar una política pública con alcance nacional y con perspectiva de derechos humanos dirigida a la eliminación y prevención de la discriminación y estigmatización de personas con base en su origen étnico racial o condición socioeconómica. </w:t>
      </w:r>
      <w:r w:rsidR="76E96650" w:rsidRPr="00672AC2">
        <w:rPr>
          <w:szCs w:val="20"/>
          <w:lang w:val="es-US"/>
        </w:rPr>
        <w:t>En relación con</w:t>
      </w:r>
      <w:r w:rsidRPr="00672AC2">
        <w:rPr>
          <w:szCs w:val="20"/>
          <w:lang w:val="es-US"/>
        </w:rPr>
        <w:t xml:space="preserve"> ello, la CIDH espera conocer sobre la actualización de la estrategia implementada en el 2023, y de la </w:t>
      </w:r>
      <w:r w:rsidR="4ABA10AB" w:rsidRPr="00672AC2">
        <w:rPr>
          <w:szCs w:val="20"/>
          <w:lang w:val="es-US"/>
        </w:rPr>
        <w:t xml:space="preserve">adopción </w:t>
      </w:r>
      <w:r w:rsidRPr="00672AC2">
        <w:rPr>
          <w:szCs w:val="20"/>
          <w:lang w:val="es-US"/>
        </w:rPr>
        <w:t xml:space="preserve">de las medidas de la </w:t>
      </w:r>
      <w:r w:rsidRPr="00672AC2">
        <w:rPr>
          <w:rFonts w:eastAsia="Cambria" w:cs="Cambria"/>
          <w:szCs w:val="20"/>
          <w:lang w:eastAsia="es-US"/>
        </w:rPr>
        <w:t xml:space="preserve">Política Nacional Multisectorial de Derechos Humanos </w:t>
      </w:r>
      <w:r w:rsidR="4ABA10AB" w:rsidRPr="00672AC2">
        <w:rPr>
          <w:rFonts w:eastAsia="Cambria" w:cs="Cambria"/>
          <w:szCs w:val="20"/>
          <w:lang w:eastAsia="es-US"/>
        </w:rPr>
        <w:t xml:space="preserve">orientadas </w:t>
      </w:r>
      <w:r w:rsidRPr="00672AC2">
        <w:rPr>
          <w:rFonts w:eastAsia="Cambria" w:cs="Cambria"/>
          <w:szCs w:val="20"/>
          <w:lang w:eastAsia="es-US"/>
        </w:rPr>
        <w:t>a cumplir con ese objetivo acorde con los principios del enfoque en derechos humanos para políticas públicas</w:t>
      </w:r>
      <w:r w:rsidR="00F36B41">
        <w:rPr>
          <w:rFonts w:ascii="ZWAdobeF" w:eastAsia="Cambria" w:hAnsi="ZWAdobeF" w:cs="ZWAdobeF"/>
          <w:color w:val="auto"/>
          <w:sz w:val="2"/>
          <w:szCs w:val="2"/>
          <w:lang w:eastAsia="es-US"/>
        </w:rPr>
        <w:t>35F</w:t>
      </w:r>
      <w:r w:rsidR="005B081B" w:rsidRPr="00672AC2">
        <w:rPr>
          <w:rStyle w:val="FootnoteReference"/>
          <w:rFonts w:eastAsia="Cambria" w:cs="Cambria"/>
          <w:szCs w:val="20"/>
          <w:lang w:eastAsia="es-US"/>
        </w:rPr>
        <w:footnoteReference w:id="37"/>
      </w:r>
      <w:r w:rsidRPr="00672AC2">
        <w:rPr>
          <w:rFonts w:eastAsia="Cambria" w:cs="Cambria"/>
          <w:szCs w:val="20"/>
          <w:lang w:eastAsia="es-US"/>
        </w:rPr>
        <w:t>.</w:t>
      </w:r>
    </w:p>
    <w:p w14:paraId="7D166E74" w14:textId="1802748D" w:rsidR="005B081B" w:rsidRPr="000539FD" w:rsidRDefault="005B081B" w:rsidP="000539FD">
      <w:pPr>
        <w:pStyle w:val="IAPrrafo"/>
        <w:rPr>
          <w:rFonts w:eastAsia="Calibri" w:cs="Times New Roman"/>
          <w:szCs w:val="20"/>
        </w:rPr>
      </w:pPr>
      <w:r w:rsidRPr="00672AC2">
        <w:rPr>
          <w:szCs w:val="20"/>
          <w:lang w:val="es-US"/>
        </w:rPr>
        <w:t xml:space="preserve">Asimismo, la recomendación establece la necesidad de que la política pública comprenda el diseño e implementación de un plan pedagógico que sea integrado a la política de educación permanente del país. </w:t>
      </w:r>
      <w:r w:rsidR="00DC07C9" w:rsidRPr="00672AC2">
        <w:rPr>
          <w:szCs w:val="20"/>
          <w:lang w:val="es-US"/>
        </w:rPr>
        <w:t>En relación con</w:t>
      </w:r>
      <w:r w:rsidRPr="00672AC2">
        <w:rPr>
          <w:szCs w:val="20"/>
          <w:lang w:val="es-US"/>
        </w:rPr>
        <w:t xml:space="preserve"> ello, la CIDH insta al Estado a trabajar en su </w:t>
      </w:r>
      <w:r w:rsidR="00731825" w:rsidRPr="00672AC2">
        <w:rPr>
          <w:szCs w:val="20"/>
          <w:lang w:val="es-US"/>
        </w:rPr>
        <w:t>currículo</w:t>
      </w:r>
      <w:r w:rsidRPr="00672AC2">
        <w:rPr>
          <w:szCs w:val="20"/>
          <w:lang w:val="es-US"/>
        </w:rPr>
        <w:t xml:space="preserve"> educativ</w:t>
      </w:r>
      <w:r w:rsidR="00731825" w:rsidRPr="00672AC2">
        <w:rPr>
          <w:szCs w:val="20"/>
          <w:lang w:val="es-US"/>
        </w:rPr>
        <w:t>o</w:t>
      </w:r>
      <w:r w:rsidRPr="00672AC2">
        <w:rPr>
          <w:szCs w:val="20"/>
          <w:lang w:val="es-US"/>
        </w:rPr>
        <w:t xml:space="preserve"> lo referido a la discriminación étnico racial o condición socioeconómica. Asimismo, a mantener y ampliar las acciones pedagógicas para abordar los casos de discriminación, y para </w:t>
      </w:r>
      <w:r w:rsidR="007F5746" w:rsidRPr="00672AC2">
        <w:rPr>
          <w:szCs w:val="20"/>
          <w:lang w:val="es-US"/>
        </w:rPr>
        <w:t xml:space="preserve">hacer frente a </w:t>
      </w:r>
      <w:r w:rsidRPr="00672AC2">
        <w:rPr>
          <w:szCs w:val="20"/>
          <w:lang w:val="es-US"/>
        </w:rPr>
        <w:t>la discriminación estructural aún presente en la sociedad.</w:t>
      </w:r>
    </w:p>
    <w:p w14:paraId="60984F20" w14:textId="2F7E8C79" w:rsidR="005B081B" w:rsidRPr="00672AC2" w:rsidRDefault="005B081B" w:rsidP="005B081B">
      <w:pPr>
        <w:pStyle w:val="IASubttulo2"/>
        <w:rPr>
          <w:lang w:val="es-419"/>
        </w:rPr>
      </w:pPr>
      <w:bookmarkStart w:id="6" w:name="_Toc195618274"/>
      <w:r w:rsidRPr="00672AC2">
        <w:rPr>
          <w:lang w:val="es-419"/>
        </w:rPr>
        <w:t xml:space="preserve">Seguridad </w:t>
      </w:r>
      <w:r w:rsidR="005722AF" w:rsidRPr="00672AC2">
        <w:rPr>
          <w:lang w:val="es-419"/>
        </w:rPr>
        <w:t>c</w:t>
      </w:r>
      <w:r w:rsidRPr="00672AC2">
        <w:rPr>
          <w:lang w:val="es-419"/>
        </w:rPr>
        <w:t>iudadana</w:t>
      </w:r>
      <w:bookmarkEnd w:id="6"/>
    </w:p>
    <w:tbl>
      <w:tblPr>
        <w:tblStyle w:val="TableGrid"/>
        <w:tblW w:w="0" w:type="auto"/>
        <w:tblLook w:val="04A0" w:firstRow="1" w:lastRow="0" w:firstColumn="1" w:lastColumn="0" w:noHBand="0" w:noVBand="1"/>
      </w:tblPr>
      <w:tblGrid>
        <w:gridCol w:w="9360"/>
      </w:tblGrid>
      <w:tr w:rsidR="005B081B" w:rsidRPr="00F51AED" w14:paraId="0FF85C29" w14:textId="77777777">
        <w:tc>
          <w:tcPr>
            <w:tcW w:w="9360" w:type="dxa"/>
            <w:tcBorders>
              <w:top w:val="nil"/>
              <w:left w:val="nil"/>
              <w:bottom w:val="nil"/>
              <w:right w:val="nil"/>
            </w:tcBorders>
            <w:shd w:val="clear" w:color="auto" w:fill="D9D9D9" w:themeFill="background1" w:themeFillShade="D9"/>
          </w:tcPr>
          <w:p w14:paraId="19092C62" w14:textId="17C2EA14" w:rsidR="005B081B" w:rsidRPr="00232A69" w:rsidRDefault="005B081B" w:rsidP="00232A69">
            <w:pPr>
              <w:suppressAutoHyphens w:val="0"/>
              <w:jc w:val="both"/>
              <w:rPr>
                <w:sz w:val="20"/>
                <w:szCs w:val="20"/>
                <w:lang w:val="es-CO"/>
              </w:rPr>
            </w:pPr>
            <w:r w:rsidRPr="00672AC2">
              <w:rPr>
                <w:rFonts w:eastAsia="Cambria" w:cs="Cambria"/>
                <w:b/>
                <w:bCs/>
                <w:sz w:val="20"/>
                <w:szCs w:val="20"/>
                <w:lang w:val="es-419" w:eastAsia="es-US"/>
              </w:rPr>
              <w:t xml:space="preserve">Recomendación </w:t>
            </w:r>
            <w:proofErr w:type="spellStart"/>
            <w:r w:rsidR="00C11DAC" w:rsidRPr="00672AC2">
              <w:rPr>
                <w:rFonts w:eastAsia="Cambria" w:cs="Cambria"/>
                <w:b/>
                <w:bCs/>
                <w:sz w:val="20"/>
                <w:szCs w:val="20"/>
                <w:lang w:val="es-419" w:eastAsia="es-US"/>
              </w:rPr>
              <w:t>Nº</w:t>
            </w:r>
            <w:proofErr w:type="spellEnd"/>
            <w:r w:rsidRPr="00672AC2">
              <w:rPr>
                <w:rFonts w:eastAsia="Cambria" w:cs="Cambria"/>
                <w:b/>
                <w:bCs/>
                <w:sz w:val="20"/>
                <w:szCs w:val="20"/>
                <w:lang w:val="es-419" w:eastAsia="es-US"/>
              </w:rPr>
              <w:t xml:space="preserve"> 4.</w:t>
            </w:r>
            <w:r w:rsidR="001E5003" w:rsidRPr="00672AC2">
              <w:rPr>
                <w:rFonts w:eastAsia="Cambria" w:cs="Cambria"/>
                <w:b/>
                <w:bCs/>
                <w:sz w:val="20"/>
                <w:szCs w:val="20"/>
                <w:lang w:val="es-419" w:eastAsia="es-US"/>
              </w:rPr>
              <w:t xml:space="preserve"> </w:t>
            </w:r>
            <w:r w:rsidRPr="00672AC2">
              <w:rPr>
                <w:sz w:val="20"/>
                <w:szCs w:val="20"/>
                <w:lang w:val="es-CO"/>
              </w:rPr>
              <w:t xml:space="preserve">Adoptar un </w:t>
            </w:r>
            <w:bookmarkStart w:id="7" w:name="OLE_LINK3"/>
            <w:r w:rsidRPr="00672AC2">
              <w:rPr>
                <w:sz w:val="20"/>
                <w:szCs w:val="20"/>
                <w:lang w:val="es-CO"/>
              </w:rPr>
              <w:t>plan permanente y obligatorio de capacitación y evaluación para las fuerzas de seguridad que intervienen en el desarrollo de las manifestaciones y en el contexto de las protestas sociales</w:t>
            </w:r>
            <w:bookmarkEnd w:id="7"/>
            <w:r w:rsidRPr="00672AC2">
              <w:rPr>
                <w:sz w:val="20"/>
                <w:szCs w:val="20"/>
                <w:lang w:val="es-CO"/>
              </w:rPr>
              <w:t xml:space="preserve"> para que su actuación priorice la defensa de la vida y la integridad de todas las personas.</w:t>
            </w:r>
          </w:p>
        </w:tc>
      </w:tr>
    </w:tbl>
    <w:p w14:paraId="45F438FB" w14:textId="77777777" w:rsidR="005B081B" w:rsidRPr="00672AC2" w:rsidRDefault="005B081B" w:rsidP="005B081B">
      <w:pPr>
        <w:shd w:val="clear" w:color="auto" w:fill="FFFFFF" w:themeFill="background1"/>
        <w:suppressAutoHyphens w:val="0"/>
        <w:jc w:val="both"/>
        <w:rPr>
          <w:rFonts w:eastAsia="Cambria" w:cs="Cambria"/>
          <w:sz w:val="20"/>
          <w:szCs w:val="20"/>
          <w:lang w:val="es-419" w:eastAsia="es-US"/>
        </w:rPr>
      </w:pPr>
    </w:p>
    <w:p w14:paraId="453AD5D7" w14:textId="77777777" w:rsidR="005B081B" w:rsidRPr="00672AC2" w:rsidRDefault="005B081B" w:rsidP="00232A69">
      <w:pPr>
        <w:pBdr>
          <w:top w:val="nil"/>
          <w:left w:val="nil"/>
          <w:bottom w:val="nil"/>
          <w:right w:val="nil"/>
          <w:between w:val="nil"/>
        </w:pBdr>
        <w:ind w:firstLine="720"/>
        <w:jc w:val="both"/>
        <w:rPr>
          <w:sz w:val="20"/>
          <w:szCs w:val="20"/>
        </w:rPr>
      </w:pPr>
      <w:r w:rsidRPr="00672AC2">
        <w:rPr>
          <w:rFonts w:eastAsia="Cambria" w:cs="Cambria"/>
          <w:i/>
          <w:iCs/>
          <w:color w:val="000000" w:themeColor="text1"/>
          <w:sz w:val="20"/>
          <w:szCs w:val="20"/>
          <w:lang w:val="es-ES"/>
        </w:rPr>
        <w:t>Información sobre el cumplimiento</w:t>
      </w:r>
    </w:p>
    <w:p w14:paraId="7D2A7F14" w14:textId="77777777" w:rsidR="005B081B" w:rsidRPr="00672AC2" w:rsidRDefault="005B081B" w:rsidP="005B081B">
      <w:pPr>
        <w:shd w:val="clear" w:color="auto" w:fill="FFFFFF" w:themeFill="background1"/>
        <w:suppressAutoHyphens w:val="0"/>
        <w:jc w:val="both"/>
        <w:rPr>
          <w:rFonts w:eastAsia="Cambria" w:cs="Cambria"/>
          <w:sz w:val="20"/>
          <w:szCs w:val="20"/>
          <w:lang w:val="es-419" w:eastAsia="es-US"/>
        </w:rPr>
      </w:pPr>
    </w:p>
    <w:p w14:paraId="3822792B" w14:textId="2D61846D" w:rsidR="005B081B" w:rsidRPr="00C23579" w:rsidRDefault="005B081B" w:rsidP="00C23579">
      <w:pPr>
        <w:pStyle w:val="IAPrrafo"/>
        <w:rPr>
          <w:rFonts w:eastAsia="Cambria" w:cs="Cambria"/>
          <w:szCs w:val="20"/>
          <w:lang w:eastAsia="es-US"/>
        </w:rPr>
      </w:pPr>
      <w:r w:rsidRPr="00672AC2">
        <w:rPr>
          <w:rFonts w:eastAsia="Cambria" w:cs="Cambria"/>
          <w:szCs w:val="20"/>
          <w:lang w:eastAsia="es-US"/>
        </w:rPr>
        <w:t xml:space="preserve">En el 2024, el Estado comunicó sobre la aprobación de los </w:t>
      </w:r>
      <w:r w:rsidRPr="00672AC2">
        <w:rPr>
          <w:szCs w:val="20"/>
          <w:lang w:val="es-ES"/>
        </w:rPr>
        <w:t>“Lineamientos para el fortalecimiento de las capacidades del personal policial en el uso de la fuerza orientada al mejoramiento continuo con enfoque de derechos humanos”</w:t>
      </w:r>
      <w:r w:rsidR="00627C78" w:rsidRPr="00672AC2">
        <w:rPr>
          <w:szCs w:val="20"/>
          <w:lang w:val="es-ES"/>
        </w:rPr>
        <w:t xml:space="preserve"> (2023)</w:t>
      </w:r>
      <w:r w:rsidR="00F36B41">
        <w:rPr>
          <w:rFonts w:ascii="ZWAdobeF" w:hAnsi="ZWAdobeF" w:cs="ZWAdobeF"/>
          <w:color w:val="auto"/>
          <w:sz w:val="2"/>
          <w:szCs w:val="2"/>
          <w:lang w:val="es-ES"/>
        </w:rPr>
        <w:t>36F</w:t>
      </w:r>
      <w:r w:rsidRPr="00672AC2">
        <w:rPr>
          <w:rStyle w:val="FootnoteReference"/>
          <w:szCs w:val="20"/>
          <w:lang w:val="es-ES"/>
        </w:rPr>
        <w:footnoteReference w:id="38"/>
      </w:r>
      <w:r w:rsidR="006C18BE" w:rsidRPr="00672AC2">
        <w:rPr>
          <w:szCs w:val="20"/>
          <w:lang w:val="es-ES"/>
        </w:rPr>
        <w:t>. Esta iniciativa</w:t>
      </w:r>
      <w:r w:rsidRPr="00672AC2">
        <w:rPr>
          <w:szCs w:val="20"/>
          <w:lang w:val="es-MX"/>
        </w:rPr>
        <w:t xml:space="preserve"> incluye dos instrumentos para la capacitación del personal policial a cargo de instructores en derechos humanos aplicados a la función judicial: i) </w:t>
      </w:r>
      <w:r w:rsidR="001439E1" w:rsidRPr="00672AC2">
        <w:rPr>
          <w:szCs w:val="20"/>
          <w:lang w:val="es-MX"/>
        </w:rPr>
        <w:t>u</w:t>
      </w:r>
      <w:r w:rsidRPr="00672AC2">
        <w:rPr>
          <w:szCs w:val="20"/>
          <w:lang w:val="es-MX"/>
        </w:rPr>
        <w:t xml:space="preserve">n módulo virtual sobre derechos humanos y el uso de la fuerza en el ejercicio de la función policial; y </w:t>
      </w:r>
      <w:proofErr w:type="spellStart"/>
      <w:r w:rsidRPr="00672AC2">
        <w:rPr>
          <w:szCs w:val="20"/>
          <w:lang w:val="es-MX"/>
        </w:rPr>
        <w:t>ii</w:t>
      </w:r>
      <w:proofErr w:type="spellEnd"/>
      <w:r w:rsidRPr="00672AC2">
        <w:rPr>
          <w:szCs w:val="20"/>
          <w:lang w:val="es-MX"/>
        </w:rPr>
        <w:t xml:space="preserve">) </w:t>
      </w:r>
      <w:r w:rsidR="001439E1" w:rsidRPr="00672AC2">
        <w:rPr>
          <w:szCs w:val="20"/>
          <w:lang w:val="es-MX"/>
        </w:rPr>
        <w:t>u</w:t>
      </w:r>
      <w:r w:rsidRPr="00672AC2">
        <w:rPr>
          <w:szCs w:val="20"/>
          <w:lang w:val="es-MX"/>
        </w:rPr>
        <w:t>na guía metodológica para la instrucción en técnicas y procedimientos policiales con enfoque de derechos humanos.</w:t>
      </w:r>
      <w:r w:rsidR="002B4BAB">
        <w:rPr>
          <w:szCs w:val="20"/>
          <w:lang w:val="es-MX"/>
        </w:rPr>
        <w:t xml:space="preserve"> El primero de ellos se lleva de manera asincrónica y contiene videos interactivos, lecturas obligatorias y complementarias. Al finalizar el módulo se debe aprobar un examen escrito, para lo cual se tiene hasta dos oportunidades. De ser aprobado, otorga una acreditación durante un año. Asimismo, la guía metodológica se basa en que el desarrollo formativo </w:t>
      </w:r>
      <w:r w:rsidR="002B4BAB" w:rsidRPr="002B4BAB">
        <w:rPr>
          <w:szCs w:val="20"/>
          <w:lang w:val="es-MX"/>
        </w:rPr>
        <w:t xml:space="preserve">es una formación práctica con actividades </w:t>
      </w:r>
      <w:r w:rsidR="002B4BAB">
        <w:rPr>
          <w:szCs w:val="20"/>
          <w:lang w:val="es-MX"/>
        </w:rPr>
        <w:t>que recrean el servicio policial, y sirve de base para la aprobación de los programas de actualización por cada secretaría de formación territorial de la Policía.</w:t>
      </w:r>
    </w:p>
    <w:p w14:paraId="1D43CE0C" w14:textId="63606C42" w:rsidR="005B081B" w:rsidRPr="000C2D3A" w:rsidRDefault="001439E1" w:rsidP="005B081B">
      <w:pPr>
        <w:pStyle w:val="IAPrrafo"/>
        <w:rPr>
          <w:szCs w:val="20"/>
          <w:lang w:val="es-ES"/>
        </w:rPr>
      </w:pPr>
      <w:r w:rsidRPr="00672AC2">
        <w:rPr>
          <w:szCs w:val="20"/>
          <w:lang w:val="es-ES"/>
        </w:rPr>
        <w:t>E</w:t>
      </w:r>
      <w:r w:rsidR="005B081B" w:rsidRPr="00672AC2">
        <w:rPr>
          <w:szCs w:val="20"/>
          <w:lang w:val="es-ES"/>
        </w:rPr>
        <w:t>l Estado informó que la Comandancia General de la Policía Nacional del Perú designó al Coordinador Permanente en Temas Relacionados a Derechos Humanos y Uso de la Fuerza, a fin de que asuma el control para la elaboración, revisión, evaluación y ejecución de los cursos de formación para instructores en derechos humanos aplicados a la función policial y de mantenimiento del orden público</w:t>
      </w:r>
      <w:r w:rsidR="00F36B41">
        <w:rPr>
          <w:rFonts w:ascii="ZWAdobeF" w:hAnsi="ZWAdobeF" w:cs="ZWAdobeF"/>
          <w:color w:val="auto"/>
          <w:sz w:val="2"/>
          <w:szCs w:val="2"/>
          <w:lang w:val="es-ES"/>
        </w:rPr>
        <w:t>37F</w:t>
      </w:r>
      <w:r w:rsidR="005B081B" w:rsidRPr="00672AC2">
        <w:rPr>
          <w:rStyle w:val="FootnoteReference"/>
          <w:szCs w:val="20"/>
          <w:lang w:val="es-ES"/>
        </w:rPr>
        <w:footnoteReference w:id="39"/>
      </w:r>
      <w:r w:rsidR="005B081B" w:rsidRPr="00672AC2">
        <w:rPr>
          <w:szCs w:val="20"/>
          <w:lang w:val="es-ES"/>
        </w:rPr>
        <w:t>. Además, creó la Dirección de Derechos Humanos del Estado Mayor de la Policía Nacional del Perú</w:t>
      </w:r>
      <w:r w:rsidR="00F36B41">
        <w:rPr>
          <w:rFonts w:ascii="ZWAdobeF" w:hAnsi="ZWAdobeF" w:cs="ZWAdobeF"/>
          <w:color w:val="auto"/>
          <w:sz w:val="2"/>
          <w:szCs w:val="2"/>
          <w:lang w:val="es-ES"/>
        </w:rPr>
        <w:t>38F</w:t>
      </w:r>
      <w:r w:rsidR="005B081B" w:rsidRPr="00672AC2">
        <w:rPr>
          <w:rStyle w:val="FootnoteReference"/>
          <w:szCs w:val="20"/>
          <w:lang w:val="es-ES"/>
        </w:rPr>
        <w:footnoteReference w:id="40"/>
      </w:r>
      <w:r w:rsidR="005B081B" w:rsidRPr="00672AC2">
        <w:rPr>
          <w:szCs w:val="20"/>
          <w:lang w:val="es-ES"/>
        </w:rPr>
        <w:t>.</w:t>
      </w:r>
    </w:p>
    <w:p w14:paraId="55387AE6" w14:textId="1ED6429D" w:rsidR="005B081B" w:rsidRPr="000C2D3A" w:rsidRDefault="04C947FA" w:rsidP="000C2D3A">
      <w:pPr>
        <w:pStyle w:val="IAPrrafo"/>
        <w:rPr>
          <w:szCs w:val="20"/>
          <w:lang w:val="es-ES"/>
        </w:rPr>
      </w:pPr>
      <w:r w:rsidRPr="00672AC2">
        <w:rPr>
          <w:szCs w:val="20"/>
          <w:lang w:val="es-ES"/>
        </w:rPr>
        <w:t xml:space="preserve">En el mismo sentido, el Estado reportó la </w:t>
      </w:r>
      <w:r w:rsidR="00730DF0" w:rsidRPr="00672AC2">
        <w:rPr>
          <w:szCs w:val="20"/>
          <w:lang w:val="es-ES"/>
        </w:rPr>
        <w:t>implementación</w:t>
      </w:r>
      <w:r w:rsidRPr="00672AC2">
        <w:rPr>
          <w:szCs w:val="20"/>
          <w:lang w:val="es-ES"/>
        </w:rPr>
        <w:t xml:space="preserve"> del “Programa de actualización orientado al fortalecimiento de las capacidades en las intervenciones y operaciones policiales frente al accionar delictivo”, y otros cursos de formación y fortalecimiento de capacidades en la materia</w:t>
      </w:r>
      <w:r w:rsidR="00F36B41">
        <w:rPr>
          <w:rFonts w:ascii="ZWAdobeF" w:hAnsi="ZWAdobeF" w:cs="ZWAdobeF"/>
          <w:color w:val="auto"/>
          <w:sz w:val="2"/>
          <w:szCs w:val="2"/>
          <w:lang w:val="es-ES"/>
        </w:rPr>
        <w:t>39F</w:t>
      </w:r>
      <w:r w:rsidR="005B081B" w:rsidRPr="00672AC2">
        <w:rPr>
          <w:rStyle w:val="FootnoteReference"/>
          <w:szCs w:val="20"/>
          <w:lang w:val="es-ES"/>
        </w:rPr>
        <w:footnoteReference w:id="41"/>
      </w:r>
      <w:r w:rsidRPr="00672AC2">
        <w:rPr>
          <w:szCs w:val="20"/>
          <w:lang w:val="es-ES"/>
        </w:rPr>
        <w:t xml:space="preserve">, en colaboración con el Comité Internacional de la Cruz Roja. Además, informó </w:t>
      </w:r>
      <w:r w:rsidR="25D5A0C7" w:rsidRPr="00672AC2">
        <w:rPr>
          <w:szCs w:val="20"/>
          <w:lang w:val="es-ES"/>
        </w:rPr>
        <w:t>sobre la</w:t>
      </w:r>
      <w:r w:rsidRPr="00672AC2">
        <w:rPr>
          <w:szCs w:val="20"/>
          <w:lang w:val="es-ES"/>
        </w:rPr>
        <w:t xml:space="preserve"> implementa</w:t>
      </w:r>
      <w:r w:rsidR="25D5A0C7" w:rsidRPr="00672AC2">
        <w:rPr>
          <w:szCs w:val="20"/>
          <w:lang w:val="es-ES"/>
        </w:rPr>
        <w:t>ción</w:t>
      </w:r>
      <w:r w:rsidRPr="00672AC2">
        <w:rPr>
          <w:szCs w:val="20"/>
          <w:lang w:val="es-ES"/>
        </w:rPr>
        <w:t xml:space="preserve"> </w:t>
      </w:r>
      <w:r w:rsidR="25D5A0C7" w:rsidRPr="00672AC2">
        <w:rPr>
          <w:szCs w:val="20"/>
          <w:lang w:val="es-ES"/>
        </w:rPr>
        <w:t>d</w:t>
      </w:r>
      <w:r w:rsidRPr="00672AC2">
        <w:rPr>
          <w:szCs w:val="20"/>
          <w:lang w:val="es-ES"/>
        </w:rPr>
        <w:t xml:space="preserve">el “Plan Estratégico de Transversalización de los Derechos Humanos en la Función Policial de la Escuela Nacional de Formación Profesional Policial 2023”, con talleres </w:t>
      </w:r>
      <w:r w:rsidR="00DE66BE" w:rsidRPr="00672AC2">
        <w:rPr>
          <w:szCs w:val="20"/>
          <w:lang w:val="es-ES"/>
        </w:rPr>
        <w:t xml:space="preserve">concretados </w:t>
      </w:r>
      <w:r w:rsidRPr="00672AC2">
        <w:rPr>
          <w:szCs w:val="20"/>
          <w:lang w:val="es-ES"/>
        </w:rPr>
        <w:t>a nivel descentralizado</w:t>
      </w:r>
      <w:r w:rsidR="00F36B41">
        <w:rPr>
          <w:rFonts w:ascii="ZWAdobeF" w:hAnsi="ZWAdobeF" w:cs="ZWAdobeF"/>
          <w:color w:val="auto"/>
          <w:sz w:val="2"/>
          <w:szCs w:val="2"/>
          <w:lang w:val="es-ES"/>
        </w:rPr>
        <w:t>40F</w:t>
      </w:r>
      <w:r w:rsidR="005B081B" w:rsidRPr="00672AC2">
        <w:rPr>
          <w:rStyle w:val="FootnoteReference"/>
          <w:szCs w:val="20"/>
          <w:lang w:val="es-ES"/>
        </w:rPr>
        <w:footnoteReference w:id="42"/>
      </w:r>
      <w:r w:rsidR="25D5A0C7" w:rsidRPr="00672AC2">
        <w:rPr>
          <w:szCs w:val="20"/>
          <w:lang w:val="es-ES"/>
        </w:rPr>
        <w:t>.</w:t>
      </w:r>
    </w:p>
    <w:p w14:paraId="25A4A9DF" w14:textId="2D228CD0" w:rsidR="005B081B" w:rsidRPr="000C2D3A" w:rsidRDefault="005B081B" w:rsidP="000C2D3A">
      <w:pPr>
        <w:pStyle w:val="IAPrrafo"/>
        <w:rPr>
          <w:rFonts w:eastAsia="Calibri" w:cs="Calibri"/>
          <w:szCs w:val="20"/>
          <w:lang w:val="es-US"/>
        </w:rPr>
      </w:pPr>
      <w:r w:rsidRPr="00672AC2">
        <w:rPr>
          <w:rFonts w:eastAsia="Cambria" w:cs="Cambria"/>
          <w:szCs w:val="20"/>
          <w:lang w:eastAsia="es-US"/>
        </w:rPr>
        <w:t xml:space="preserve">Por su parte, la sociedad civil mostró su preocupación </w:t>
      </w:r>
      <w:r w:rsidR="001439E1" w:rsidRPr="00672AC2">
        <w:rPr>
          <w:rFonts w:eastAsia="Cambria" w:cs="Cambria"/>
          <w:szCs w:val="20"/>
          <w:lang w:eastAsia="es-US"/>
        </w:rPr>
        <w:t>debido a</w:t>
      </w:r>
      <w:r w:rsidRPr="00672AC2">
        <w:rPr>
          <w:rFonts w:eastAsia="Cambria" w:cs="Cambria"/>
          <w:szCs w:val="20"/>
          <w:lang w:eastAsia="es-US"/>
        </w:rPr>
        <w:t xml:space="preserve"> que las capacitaciones y planes aprobados por la Policía Nacional del Perú no se habrían desarrollado mecanismos de monitoreo independiente y técnicamente competentes que supervisen su aplicación durante las protestas</w:t>
      </w:r>
      <w:r w:rsidRPr="00672AC2">
        <w:rPr>
          <w:rFonts w:eastAsia="Calibri" w:cs="Calibri"/>
          <w:szCs w:val="20"/>
          <w:lang w:val="es-US"/>
        </w:rPr>
        <w:t>.</w:t>
      </w:r>
    </w:p>
    <w:p w14:paraId="391589EF" w14:textId="77777777" w:rsidR="005B081B" w:rsidRPr="00672AC2" w:rsidRDefault="005B081B" w:rsidP="000C2D3A">
      <w:pPr>
        <w:ind w:firstLine="720"/>
        <w:jc w:val="both"/>
        <w:rPr>
          <w:sz w:val="20"/>
          <w:szCs w:val="20"/>
          <w:lang w:val="es-CO"/>
        </w:rPr>
      </w:pPr>
      <w:r w:rsidRPr="00672AC2">
        <w:rPr>
          <w:rFonts w:eastAsia="Cambria" w:cs="Cambria"/>
          <w:i/>
          <w:iCs/>
          <w:color w:val="000000" w:themeColor="text1"/>
          <w:sz w:val="20"/>
          <w:szCs w:val="20"/>
          <w:lang w:val="es-ES"/>
        </w:rPr>
        <w:t>Análisis y nivel de cumplimiento de la recomendación</w:t>
      </w:r>
    </w:p>
    <w:p w14:paraId="0A5958F7" w14:textId="77777777" w:rsidR="005B081B" w:rsidRPr="00672AC2" w:rsidRDefault="005B081B" w:rsidP="005B081B">
      <w:pPr>
        <w:ind w:firstLine="360"/>
        <w:jc w:val="both"/>
        <w:rPr>
          <w:rFonts w:eastAsia="Cambria" w:cs="Cambria"/>
          <w:i/>
          <w:iCs/>
          <w:color w:val="000000" w:themeColor="text1"/>
          <w:sz w:val="20"/>
          <w:szCs w:val="20"/>
          <w:lang w:val="es-ES"/>
        </w:rPr>
      </w:pPr>
    </w:p>
    <w:p w14:paraId="19FC667B" w14:textId="4381A575" w:rsidR="005B081B" w:rsidRPr="000C2D3A" w:rsidRDefault="04C947FA" w:rsidP="000C2D3A">
      <w:pPr>
        <w:pStyle w:val="IAPrrafo"/>
        <w:rPr>
          <w:rFonts w:eastAsia="Cambria" w:cs="Cambria"/>
          <w:szCs w:val="20"/>
          <w:lang w:eastAsia="es-US"/>
        </w:rPr>
      </w:pPr>
      <w:r w:rsidRPr="00672AC2">
        <w:rPr>
          <w:rFonts w:eastAsia="Cambria" w:cs="Cambria"/>
          <w:szCs w:val="20"/>
          <w:lang w:eastAsia="es-US"/>
        </w:rPr>
        <w:t xml:space="preserve">La Comisión valora positivamente los Lineamientos para el fortalecimiento de las capacidades aprobados, la creación de la Dirección </w:t>
      </w:r>
      <w:r w:rsidRPr="00672AC2">
        <w:rPr>
          <w:szCs w:val="20"/>
          <w:lang w:val="es-ES"/>
        </w:rPr>
        <w:t xml:space="preserve">de Derechos Humanos del Estado Mayor de la </w:t>
      </w:r>
      <w:r w:rsidR="0045AE54" w:rsidRPr="00672AC2">
        <w:rPr>
          <w:szCs w:val="20"/>
          <w:lang w:val="es-ES"/>
        </w:rPr>
        <w:t>Policía</w:t>
      </w:r>
      <w:r w:rsidRPr="00672AC2">
        <w:rPr>
          <w:szCs w:val="20"/>
          <w:lang w:val="es-ES"/>
        </w:rPr>
        <w:t xml:space="preserve"> y los programas de capacitación implementados</w:t>
      </w:r>
      <w:r w:rsidR="1D071666" w:rsidRPr="00672AC2">
        <w:rPr>
          <w:szCs w:val="20"/>
          <w:lang w:val="es-ES"/>
        </w:rPr>
        <w:t xml:space="preserve"> dirigidos a </w:t>
      </w:r>
      <w:r w:rsidR="784CF688" w:rsidRPr="00672AC2">
        <w:rPr>
          <w:szCs w:val="20"/>
          <w:lang w:val="es-ES"/>
        </w:rPr>
        <w:t xml:space="preserve">efectivos y oficiales de la Policía </w:t>
      </w:r>
      <w:r w:rsidR="0C239D56" w:rsidRPr="00672AC2">
        <w:rPr>
          <w:szCs w:val="20"/>
          <w:lang w:val="es-ES"/>
        </w:rPr>
        <w:t>con un alcance de aproximadamente 150 personas en el 2024</w:t>
      </w:r>
      <w:r w:rsidRPr="00672AC2">
        <w:rPr>
          <w:szCs w:val="20"/>
          <w:lang w:val="es-ES"/>
        </w:rPr>
        <w:t xml:space="preserve">. Sin embargo, también identifica la falta de </w:t>
      </w:r>
      <w:r w:rsidR="00703E85">
        <w:rPr>
          <w:szCs w:val="20"/>
          <w:lang w:val="es-ES"/>
        </w:rPr>
        <w:t>mecanismos de transparencia de la información que permita monitorear la utilización de dichos conocimientos durante el ejercicio del uso de la fuerza</w:t>
      </w:r>
      <w:r w:rsidRPr="00672AC2">
        <w:rPr>
          <w:szCs w:val="20"/>
          <w:lang w:val="es-ES"/>
        </w:rPr>
        <w:t>. En ese sentido,</w:t>
      </w:r>
      <w:r w:rsidRPr="00672AC2">
        <w:rPr>
          <w:szCs w:val="20"/>
          <w:lang w:val="es-US"/>
        </w:rPr>
        <w:t xml:space="preserve"> la CIDH observa que la información proporcionada por el Estado indica que esta recomendación tiene un nivel </w:t>
      </w:r>
      <w:r w:rsidR="00703E85" w:rsidRPr="00F32BAF">
        <w:rPr>
          <w:lang w:val="es-US"/>
        </w:rPr>
        <w:t>de cumplimiento</w:t>
      </w:r>
      <w:r w:rsidR="00703E85">
        <w:rPr>
          <w:szCs w:val="20"/>
          <w:lang w:val="es-US"/>
        </w:rPr>
        <w:t xml:space="preserve"> </w:t>
      </w:r>
      <w:r w:rsidRPr="00672AC2">
        <w:rPr>
          <w:b/>
          <w:bCs/>
          <w:szCs w:val="20"/>
          <w:lang w:val="es-US"/>
        </w:rPr>
        <w:t>parcial</w:t>
      </w:r>
      <w:r w:rsidR="00703E85">
        <w:rPr>
          <w:b/>
          <w:bCs/>
          <w:szCs w:val="20"/>
          <w:lang w:val="es-US"/>
        </w:rPr>
        <w:t xml:space="preserve"> sustancial</w:t>
      </w:r>
      <w:r w:rsidRPr="00672AC2">
        <w:rPr>
          <w:szCs w:val="20"/>
          <w:lang w:val="es-US"/>
        </w:rPr>
        <w:t>.</w:t>
      </w:r>
    </w:p>
    <w:p w14:paraId="02F44C7C" w14:textId="2AC2A0B8" w:rsidR="005B081B" w:rsidRPr="00672AC2" w:rsidRDefault="005B081B" w:rsidP="000C2D3A">
      <w:pPr>
        <w:ind w:firstLine="720"/>
        <w:jc w:val="both"/>
        <w:rPr>
          <w:lang w:val="es-US"/>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7126F5AE" w14:textId="77777777" w:rsidR="005B081B" w:rsidRPr="00672AC2" w:rsidRDefault="005B081B" w:rsidP="005B081B">
      <w:pPr>
        <w:ind w:firstLine="360"/>
        <w:jc w:val="both"/>
        <w:rPr>
          <w:lang w:val="es-CO"/>
        </w:rPr>
      </w:pPr>
    </w:p>
    <w:p w14:paraId="7EABFCBC" w14:textId="7F7D3EB9" w:rsidR="005B081B" w:rsidRPr="00672AC2" w:rsidRDefault="005B081B" w:rsidP="00E83710">
      <w:pPr>
        <w:pStyle w:val="IAPrrafo"/>
        <w:rPr>
          <w:szCs w:val="20"/>
          <w:lang w:val="es-US"/>
        </w:rPr>
      </w:pPr>
      <w:r w:rsidRPr="00672AC2">
        <w:rPr>
          <w:szCs w:val="20"/>
          <w:lang w:val="es-CO"/>
        </w:rPr>
        <w:t xml:space="preserve">La CIDH </w:t>
      </w:r>
      <w:r w:rsidR="001439E1" w:rsidRPr="00672AC2">
        <w:rPr>
          <w:szCs w:val="20"/>
          <w:lang w:val="es-CO"/>
        </w:rPr>
        <w:t>solicita</w:t>
      </w:r>
      <w:r w:rsidRPr="00672AC2">
        <w:rPr>
          <w:szCs w:val="20"/>
          <w:lang w:val="es-CO"/>
        </w:rPr>
        <w:t xml:space="preserve"> </w:t>
      </w:r>
      <w:r w:rsidR="001439E1" w:rsidRPr="00672AC2">
        <w:rPr>
          <w:szCs w:val="20"/>
          <w:lang w:val="es-CO"/>
        </w:rPr>
        <w:t>a</w:t>
      </w:r>
      <w:r w:rsidRPr="00672AC2">
        <w:rPr>
          <w:szCs w:val="20"/>
          <w:lang w:val="es-CO"/>
        </w:rPr>
        <w:t>l Estado proporcion</w:t>
      </w:r>
      <w:r w:rsidR="001439E1" w:rsidRPr="00672AC2">
        <w:rPr>
          <w:szCs w:val="20"/>
          <w:lang w:val="es-CO"/>
        </w:rPr>
        <w:t>ar</w:t>
      </w:r>
      <w:r w:rsidRPr="00672AC2">
        <w:rPr>
          <w:szCs w:val="20"/>
          <w:lang w:val="es-CO"/>
        </w:rPr>
        <w:t xml:space="preserve"> </w:t>
      </w:r>
      <w:r w:rsidR="001439E1" w:rsidRPr="00672AC2">
        <w:rPr>
          <w:szCs w:val="20"/>
          <w:lang w:val="es-CO"/>
        </w:rPr>
        <w:t>información</w:t>
      </w:r>
      <w:r w:rsidRPr="00672AC2">
        <w:rPr>
          <w:szCs w:val="20"/>
          <w:lang w:val="es-CO"/>
        </w:rPr>
        <w:t xml:space="preserve"> </w:t>
      </w:r>
      <w:r w:rsidR="008E32F3">
        <w:rPr>
          <w:szCs w:val="20"/>
          <w:lang w:val="es-CO"/>
        </w:rPr>
        <w:t xml:space="preserve">sobre los mecanismos e instrumentos que se utilizan </w:t>
      </w:r>
      <w:proofErr w:type="gramStart"/>
      <w:r w:rsidR="008E32F3">
        <w:rPr>
          <w:szCs w:val="20"/>
          <w:lang w:val="es-CO"/>
        </w:rPr>
        <w:t xml:space="preserve">para </w:t>
      </w:r>
      <w:r w:rsidRPr="00672AC2">
        <w:rPr>
          <w:szCs w:val="20"/>
          <w:lang w:val="es-CO"/>
        </w:rPr>
        <w:t xml:space="preserve"> garanti</w:t>
      </w:r>
      <w:r w:rsidR="008E32F3">
        <w:rPr>
          <w:szCs w:val="20"/>
          <w:lang w:val="es-CO"/>
        </w:rPr>
        <w:t>zar</w:t>
      </w:r>
      <w:proofErr w:type="gramEnd"/>
      <w:r w:rsidR="008E32F3">
        <w:rPr>
          <w:szCs w:val="20"/>
          <w:lang w:val="es-CO"/>
        </w:rPr>
        <w:t xml:space="preserve"> la publicación de la </w:t>
      </w:r>
      <w:r w:rsidR="001439E1" w:rsidRPr="00672AC2">
        <w:rPr>
          <w:szCs w:val="20"/>
          <w:lang w:val="es-CO"/>
        </w:rPr>
        <w:t xml:space="preserve">información </w:t>
      </w:r>
      <w:r w:rsidRPr="00672AC2">
        <w:rPr>
          <w:szCs w:val="20"/>
          <w:lang w:val="es-CO"/>
        </w:rPr>
        <w:t xml:space="preserve">sobre las capacitaciones a los miembros de la </w:t>
      </w:r>
      <w:r w:rsidR="00A707FA" w:rsidRPr="00672AC2">
        <w:rPr>
          <w:szCs w:val="20"/>
        </w:rPr>
        <w:t>P</w:t>
      </w:r>
      <w:proofErr w:type="spellStart"/>
      <w:r w:rsidRPr="00672AC2">
        <w:rPr>
          <w:szCs w:val="20"/>
          <w:lang w:val="es-CO"/>
        </w:rPr>
        <w:t>olicía</w:t>
      </w:r>
      <w:proofErr w:type="spellEnd"/>
      <w:r w:rsidR="008E32F3">
        <w:rPr>
          <w:szCs w:val="20"/>
          <w:lang w:val="es-CO"/>
        </w:rPr>
        <w:t>,</w:t>
      </w:r>
      <w:r w:rsidR="001439E1" w:rsidRPr="00672AC2">
        <w:rPr>
          <w:szCs w:val="20"/>
          <w:lang w:val="es-CO"/>
        </w:rPr>
        <w:t xml:space="preserve"> los mecanismos de supervisión</w:t>
      </w:r>
      <w:r w:rsidRPr="00672AC2">
        <w:rPr>
          <w:szCs w:val="20"/>
          <w:lang w:val="es-CO"/>
        </w:rPr>
        <w:t xml:space="preserve"> a las políticas de garantías a derechos humanos que utilizan los agentes policiales</w:t>
      </w:r>
      <w:r w:rsidR="001439E1" w:rsidRPr="00672AC2">
        <w:rPr>
          <w:szCs w:val="20"/>
          <w:lang w:val="es-CO"/>
        </w:rPr>
        <w:t>, y los resultados</w:t>
      </w:r>
      <w:r w:rsidRPr="00672AC2">
        <w:rPr>
          <w:szCs w:val="20"/>
          <w:lang w:val="es-CO"/>
        </w:rPr>
        <w:t>.</w:t>
      </w:r>
    </w:p>
    <w:p w14:paraId="270BB80D" w14:textId="77777777" w:rsidR="005B081B" w:rsidRPr="00672AC2" w:rsidRDefault="005B081B" w:rsidP="005B081B">
      <w:pPr>
        <w:shd w:val="clear" w:color="auto" w:fill="FFFFFF" w:themeFill="background1"/>
        <w:jc w:val="both"/>
        <w:rPr>
          <w:rFonts w:eastAsia="Calibri" w:cs="Times New Roman"/>
          <w:sz w:val="18"/>
          <w:szCs w:val="18"/>
          <w:lang w:val="es-419"/>
        </w:rPr>
      </w:pPr>
    </w:p>
    <w:tbl>
      <w:tblPr>
        <w:tblStyle w:val="TableGrid"/>
        <w:tblW w:w="0" w:type="auto"/>
        <w:tblLook w:val="04A0" w:firstRow="1" w:lastRow="0" w:firstColumn="1" w:lastColumn="0" w:noHBand="0" w:noVBand="1"/>
      </w:tblPr>
      <w:tblGrid>
        <w:gridCol w:w="9350"/>
      </w:tblGrid>
      <w:tr w:rsidR="005B081B" w:rsidRPr="00F51AED" w14:paraId="63A8B32F" w14:textId="77777777">
        <w:tc>
          <w:tcPr>
            <w:tcW w:w="9350" w:type="dxa"/>
            <w:tcBorders>
              <w:top w:val="nil"/>
              <w:left w:val="nil"/>
              <w:bottom w:val="nil"/>
              <w:right w:val="nil"/>
            </w:tcBorders>
            <w:shd w:val="clear" w:color="auto" w:fill="D9D9D9" w:themeFill="background1" w:themeFillShade="D9"/>
          </w:tcPr>
          <w:p w14:paraId="2D885EC7" w14:textId="06283539" w:rsidR="005B081B" w:rsidRPr="000C2D3A" w:rsidRDefault="005B081B">
            <w:pPr>
              <w:suppressAutoHyphens w:val="0"/>
              <w:jc w:val="both"/>
              <w:rPr>
                <w:sz w:val="20"/>
                <w:szCs w:val="20"/>
                <w:lang w:val="es-CO"/>
              </w:rPr>
            </w:pPr>
            <w:r w:rsidRPr="00672AC2">
              <w:rPr>
                <w:rFonts w:eastAsia="Cambria" w:cs="Cambria"/>
                <w:b/>
                <w:bCs/>
                <w:sz w:val="20"/>
                <w:szCs w:val="20"/>
                <w:lang w:val="es-419" w:eastAsia="es-US"/>
              </w:rPr>
              <w:t xml:space="preserve">Recomendación </w:t>
            </w:r>
            <w:proofErr w:type="spellStart"/>
            <w:r w:rsidR="00C11DAC" w:rsidRPr="00672AC2">
              <w:rPr>
                <w:rFonts w:eastAsia="Cambria" w:cs="Cambria"/>
                <w:b/>
                <w:bCs/>
                <w:sz w:val="20"/>
                <w:szCs w:val="20"/>
                <w:lang w:val="es-419" w:eastAsia="es-US"/>
              </w:rPr>
              <w:t>Nº</w:t>
            </w:r>
            <w:proofErr w:type="spellEnd"/>
            <w:r w:rsidRPr="00672AC2">
              <w:rPr>
                <w:rFonts w:eastAsia="Cambria" w:cs="Cambria"/>
                <w:b/>
                <w:bCs/>
                <w:sz w:val="20"/>
                <w:szCs w:val="20"/>
                <w:lang w:val="es-419" w:eastAsia="es-US"/>
              </w:rPr>
              <w:t xml:space="preserve"> 5. </w:t>
            </w:r>
            <w:r w:rsidRPr="00672AC2">
              <w:rPr>
                <w:sz w:val="20"/>
                <w:szCs w:val="20"/>
                <w:lang w:val="es-CO"/>
              </w:rPr>
              <w:t>Adoptar medidas para asegurar que el uso de la fuerza por parte de agentes estatales se ajuste a los principios de legalidad, necesidad y, especialmente, el de proporcionalidad. Asimismo, adoptar las medidas necesarias para capacitar y evaluar de manera permanente a todos los agentes estatales que intervengan en las protestas sobre la implementación de los protocolos para el uso de la fuerza.</w:t>
            </w:r>
          </w:p>
        </w:tc>
      </w:tr>
    </w:tbl>
    <w:p w14:paraId="59EF096F" w14:textId="77777777" w:rsidR="005B081B" w:rsidRPr="00672AC2" w:rsidRDefault="005B081B" w:rsidP="005B081B">
      <w:pPr>
        <w:shd w:val="clear" w:color="auto" w:fill="FFFFFF" w:themeFill="background1"/>
        <w:suppressAutoHyphens w:val="0"/>
        <w:jc w:val="both"/>
        <w:rPr>
          <w:rFonts w:eastAsia="Cambria" w:cs="Cambria"/>
          <w:sz w:val="20"/>
          <w:szCs w:val="20"/>
          <w:lang w:val="es-419" w:eastAsia="es-US"/>
        </w:rPr>
      </w:pPr>
    </w:p>
    <w:p w14:paraId="4249CEBA" w14:textId="77777777" w:rsidR="005B081B" w:rsidRPr="00672AC2" w:rsidRDefault="005B081B" w:rsidP="000C2D3A">
      <w:pPr>
        <w:pBdr>
          <w:top w:val="nil"/>
          <w:left w:val="nil"/>
          <w:bottom w:val="nil"/>
          <w:right w:val="nil"/>
          <w:between w:val="nil"/>
        </w:pBdr>
        <w:ind w:firstLine="720"/>
        <w:jc w:val="both"/>
      </w:pPr>
      <w:r w:rsidRPr="00672AC2">
        <w:rPr>
          <w:rFonts w:eastAsia="Cambria" w:cs="Cambria"/>
          <w:i/>
          <w:iCs/>
          <w:color w:val="000000" w:themeColor="text1"/>
          <w:sz w:val="20"/>
          <w:szCs w:val="20"/>
          <w:lang w:val="es-ES"/>
        </w:rPr>
        <w:t>Información sobre el cumplimiento</w:t>
      </w:r>
    </w:p>
    <w:p w14:paraId="248C8286" w14:textId="77777777" w:rsidR="005B081B" w:rsidRPr="00672AC2" w:rsidRDefault="005B081B" w:rsidP="005B081B">
      <w:pPr>
        <w:shd w:val="clear" w:color="auto" w:fill="FFFFFF" w:themeFill="background1"/>
        <w:suppressAutoHyphens w:val="0"/>
        <w:jc w:val="both"/>
        <w:rPr>
          <w:rFonts w:eastAsia="Cambria" w:cs="Cambria"/>
          <w:sz w:val="20"/>
          <w:szCs w:val="20"/>
          <w:lang w:val="es-419" w:eastAsia="es-US"/>
        </w:rPr>
      </w:pPr>
    </w:p>
    <w:p w14:paraId="4319861F" w14:textId="75F025A9" w:rsidR="005B081B" w:rsidRPr="004A510F" w:rsidRDefault="63E6C77F" w:rsidP="004A510F">
      <w:pPr>
        <w:pStyle w:val="IAPrrafo"/>
        <w:rPr>
          <w:szCs w:val="20"/>
          <w:lang w:val="es-ES"/>
        </w:rPr>
      </w:pPr>
      <w:r w:rsidRPr="008E32F3">
        <w:rPr>
          <w:rFonts w:eastAsia="Cambria" w:cs="Cambria"/>
          <w:szCs w:val="20"/>
          <w:lang w:eastAsia="es-US"/>
        </w:rPr>
        <w:t>Para el año 2024, e</w:t>
      </w:r>
      <w:r w:rsidRPr="008E32F3">
        <w:rPr>
          <w:szCs w:val="20"/>
          <w:lang w:val="es-US"/>
        </w:rPr>
        <w:t xml:space="preserve">l Estado reportó la vigencia de diversas normas </w:t>
      </w:r>
      <w:r w:rsidRPr="008E32F3">
        <w:rPr>
          <w:szCs w:val="20"/>
          <w:lang w:val="es-ES"/>
        </w:rPr>
        <w:t xml:space="preserve">que regulan el uso de la fuerza </w:t>
      </w:r>
      <w:r w:rsidRPr="008E32F3">
        <w:rPr>
          <w:szCs w:val="20"/>
          <w:lang w:val="es-US"/>
        </w:rPr>
        <w:t xml:space="preserve">como el </w:t>
      </w:r>
      <w:r w:rsidRPr="008E32F3">
        <w:rPr>
          <w:szCs w:val="20"/>
          <w:lang w:val="es-ES"/>
        </w:rPr>
        <w:t xml:space="preserve">Decreto Legislativo </w:t>
      </w:r>
      <w:proofErr w:type="spellStart"/>
      <w:r w:rsidR="169DD451" w:rsidRPr="008E32F3">
        <w:rPr>
          <w:szCs w:val="20"/>
          <w:lang w:val="es-ES"/>
        </w:rPr>
        <w:t>Nº</w:t>
      </w:r>
      <w:proofErr w:type="spellEnd"/>
      <w:r w:rsidRPr="008E32F3">
        <w:rPr>
          <w:szCs w:val="20"/>
          <w:lang w:val="es-ES"/>
        </w:rPr>
        <w:t xml:space="preserve"> 1186</w:t>
      </w:r>
      <w:r w:rsidR="00F36B41">
        <w:rPr>
          <w:rFonts w:ascii="ZWAdobeF" w:hAnsi="ZWAdobeF" w:cs="ZWAdobeF"/>
          <w:color w:val="auto"/>
          <w:sz w:val="2"/>
          <w:szCs w:val="2"/>
          <w:lang w:val="es-ES"/>
        </w:rPr>
        <w:t>41F</w:t>
      </w:r>
      <w:r w:rsidR="005B081B" w:rsidRPr="008E32F3">
        <w:rPr>
          <w:rStyle w:val="FootnoteReference"/>
          <w:szCs w:val="20"/>
          <w:lang w:val="es-ES"/>
        </w:rPr>
        <w:footnoteReference w:id="43"/>
      </w:r>
      <w:r w:rsidRPr="008E32F3">
        <w:rPr>
          <w:szCs w:val="20"/>
          <w:lang w:val="es-ES"/>
        </w:rPr>
        <w:t xml:space="preserve"> (2015), el Decreto Legislativo </w:t>
      </w:r>
      <w:proofErr w:type="spellStart"/>
      <w:r w:rsidR="169DD451" w:rsidRPr="008E32F3">
        <w:rPr>
          <w:szCs w:val="20"/>
          <w:lang w:val="es-ES"/>
        </w:rPr>
        <w:t>Nº</w:t>
      </w:r>
      <w:proofErr w:type="spellEnd"/>
      <w:r w:rsidRPr="008E32F3">
        <w:rPr>
          <w:szCs w:val="20"/>
          <w:lang w:val="es-ES"/>
        </w:rPr>
        <w:t xml:space="preserve"> 1095</w:t>
      </w:r>
      <w:r w:rsidR="00F36B41">
        <w:rPr>
          <w:rFonts w:ascii="ZWAdobeF" w:hAnsi="ZWAdobeF" w:cs="ZWAdobeF"/>
          <w:color w:val="auto"/>
          <w:sz w:val="2"/>
          <w:szCs w:val="2"/>
          <w:lang w:val="es-ES"/>
        </w:rPr>
        <w:t>42F</w:t>
      </w:r>
      <w:r w:rsidR="005B081B" w:rsidRPr="008E32F3">
        <w:rPr>
          <w:rStyle w:val="FootnoteReference"/>
          <w:szCs w:val="20"/>
          <w:lang w:val="es-ES"/>
        </w:rPr>
        <w:footnoteReference w:id="44"/>
      </w:r>
      <w:r w:rsidRPr="008E32F3">
        <w:rPr>
          <w:szCs w:val="20"/>
          <w:lang w:val="es-ES"/>
        </w:rPr>
        <w:t xml:space="preserve"> (2010) y sus reglamentos. Además, informó de la vigencia del Manual de Derecho Operacional para las Fuerzas Armadas (2022)</w:t>
      </w:r>
      <w:r w:rsidR="00F36B41">
        <w:rPr>
          <w:rFonts w:ascii="ZWAdobeF" w:hAnsi="ZWAdobeF" w:cs="ZWAdobeF"/>
          <w:color w:val="auto"/>
          <w:sz w:val="2"/>
          <w:szCs w:val="2"/>
          <w:lang w:val="es-ES"/>
        </w:rPr>
        <w:t>43F</w:t>
      </w:r>
      <w:r w:rsidR="005B081B" w:rsidRPr="008E32F3">
        <w:rPr>
          <w:rStyle w:val="FootnoteReference"/>
          <w:szCs w:val="20"/>
          <w:lang w:val="es-ES"/>
        </w:rPr>
        <w:footnoteReference w:id="45"/>
      </w:r>
      <w:r w:rsidRPr="008E32F3">
        <w:rPr>
          <w:szCs w:val="20"/>
          <w:lang w:val="es-ES"/>
        </w:rPr>
        <w:t xml:space="preserve"> y del Manual de Derechos Humanos y Derecho Internacional Humanitario de las Fuerzas Armadas del Perú (2022)</w:t>
      </w:r>
      <w:r w:rsidR="00F36B41">
        <w:rPr>
          <w:rFonts w:ascii="ZWAdobeF" w:hAnsi="ZWAdobeF" w:cs="ZWAdobeF"/>
          <w:color w:val="auto"/>
          <w:sz w:val="2"/>
          <w:szCs w:val="2"/>
          <w:lang w:val="es-ES"/>
        </w:rPr>
        <w:t>44F</w:t>
      </w:r>
      <w:r w:rsidR="005B081B" w:rsidRPr="008E32F3">
        <w:rPr>
          <w:rStyle w:val="FootnoteReference"/>
          <w:szCs w:val="20"/>
          <w:lang w:val="es-ES"/>
        </w:rPr>
        <w:footnoteReference w:id="46"/>
      </w:r>
      <w:r w:rsidR="696E2F6F" w:rsidRPr="008E32F3">
        <w:rPr>
          <w:szCs w:val="20"/>
          <w:lang w:val="es-ES"/>
        </w:rPr>
        <w:t>;</w:t>
      </w:r>
      <w:r w:rsidRPr="008E32F3">
        <w:rPr>
          <w:szCs w:val="20"/>
          <w:lang w:val="es-ES"/>
        </w:rPr>
        <w:t xml:space="preserve"> estos últimos vigentes para el periodo en el que ocurrieron los hechos de violencia que abordó el Informe de País.</w:t>
      </w:r>
    </w:p>
    <w:p w14:paraId="70B5F17F" w14:textId="2654695F" w:rsidR="00C761C1" w:rsidRPr="00DD4FEE" w:rsidRDefault="00BA3409" w:rsidP="004A510F">
      <w:pPr>
        <w:pStyle w:val="IAPrrafo"/>
      </w:pPr>
      <w:r w:rsidRPr="008E32F3">
        <w:t>E</w:t>
      </w:r>
      <w:r w:rsidR="005B081B" w:rsidRPr="008E32F3">
        <w:t>l Estado comunicó a la CIDH la aprobación</w:t>
      </w:r>
      <w:r w:rsidR="00627C78" w:rsidRPr="008E32F3">
        <w:t xml:space="preserve"> </w:t>
      </w:r>
      <w:r w:rsidR="005B081B" w:rsidRPr="008E32F3">
        <w:t>de la “</w:t>
      </w:r>
      <w:r w:rsidR="005B081B" w:rsidRPr="00291992">
        <w:rPr>
          <w:i/>
          <w:iCs/>
        </w:rPr>
        <w:t>Directiva para el uso adecuado de medios de policía no letales o menos letales en operaciones policiales de control, mantenimiento y restablecimiento del orden público</w:t>
      </w:r>
      <w:r w:rsidR="005B081B" w:rsidRPr="008E32F3">
        <w:t>”</w:t>
      </w:r>
      <w:r w:rsidR="00627C78" w:rsidRPr="008E32F3">
        <w:t xml:space="preserve"> (2023)</w:t>
      </w:r>
      <w:r w:rsidR="00F36B41">
        <w:rPr>
          <w:rFonts w:ascii="ZWAdobeF" w:hAnsi="ZWAdobeF" w:cs="ZWAdobeF"/>
          <w:color w:val="auto"/>
          <w:sz w:val="2"/>
          <w:szCs w:val="2"/>
        </w:rPr>
        <w:t>45F</w:t>
      </w:r>
      <w:r w:rsidR="005B081B" w:rsidRPr="008E32F3">
        <w:rPr>
          <w:rStyle w:val="FootnoteReference"/>
          <w:szCs w:val="20"/>
          <w:lang w:val="es-ES"/>
        </w:rPr>
        <w:footnoteReference w:id="47"/>
      </w:r>
      <w:r w:rsidR="005B081B" w:rsidRPr="008E32F3">
        <w:t>, con la finalidad de fortalecer el marco jurídico que regula la actuación policial, en particular, en el contexto de protestas sociales. Además, indicó que se ha actualizado el Manual Conjunto de Reglas de Conducta Operativa de las Fuerzas Armadas</w:t>
      </w:r>
      <w:r w:rsidR="00F36B41">
        <w:rPr>
          <w:rFonts w:ascii="ZWAdobeF" w:hAnsi="ZWAdobeF" w:cs="ZWAdobeF"/>
          <w:color w:val="auto"/>
          <w:sz w:val="2"/>
          <w:szCs w:val="2"/>
        </w:rPr>
        <w:t>46F</w:t>
      </w:r>
      <w:r w:rsidR="005B081B" w:rsidRPr="008E32F3">
        <w:rPr>
          <w:rStyle w:val="FootnoteReference"/>
          <w:szCs w:val="20"/>
          <w:lang w:val="es-ES"/>
        </w:rPr>
        <w:footnoteReference w:id="48"/>
      </w:r>
      <w:r w:rsidR="007742AB" w:rsidRPr="008E32F3">
        <w:t>,</w:t>
      </w:r>
      <w:r w:rsidR="005B081B" w:rsidRPr="008E32F3">
        <w:t xml:space="preserve"> que contiene las Reglas de Enfrentamiento y las Reglas de Uso de la Fuerza.</w:t>
      </w:r>
    </w:p>
    <w:p w14:paraId="3788283C" w14:textId="0C1593F2" w:rsidR="005B081B" w:rsidRPr="004A510F" w:rsidRDefault="00C761C1" w:rsidP="004A510F">
      <w:pPr>
        <w:pStyle w:val="IAPrrafo"/>
      </w:pPr>
      <w:r>
        <w:t xml:space="preserve">El Estado informó de la existencia de una guía metodológica </w:t>
      </w:r>
      <w:r w:rsidRPr="00672AC2">
        <w:rPr>
          <w:lang w:val="es-MX"/>
        </w:rPr>
        <w:t>para la instrucción en técnicas y procedimientos policiales con enfoque de derechos</w:t>
      </w:r>
      <w:r>
        <w:rPr>
          <w:lang w:val="es-MX"/>
        </w:rPr>
        <w:t>,</w:t>
      </w:r>
      <w:r w:rsidRPr="00672AC2">
        <w:rPr>
          <w:lang w:val="es-MX"/>
        </w:rPr>
        <w:t xml:space="preserve"> </w:t>
      </w:r>
      <w:r>
        <w:t xml:space="preserve">que </w:t>
      </w:r>
      <w:r>
        <w:rPr>
          <w:lang w:val="es-MX"/>
        </w:rPr>
        <w:t>promueve</w:t>
      </w:r>
      <w:r w:rsidRPr="002B4BAB">
        <w:rPr>
          <w:lang w:val="es-MX"/>
        </w:rPr>
        <w:t xml:space="preserve"> una formación práctica</w:t>
      </w:r>
      <w:r>
        <w:rPr>
          <w:lang w:val="es-MX"/>
        </w:rPr>
        <w:t>,</w:t>
      </w:r>
      <w:r w:rsidRPr="002B4BAB">
        <w:rPr>
          <w:lang w:val="es-MX"/>
        </w:rPr>
        <w:t xml:space="preserve"> con actividades </w:t>
      </w:r>
      <w:r>
        <w:rPr>
          <w:lang w:val="es-MX"/>
        </w:rPr>
        <w:t xml:space="preserve">que recrean el servicio policial, y sirve de base para el diseño de los programas de actualización en cada secretaría de formación territorial (ver </w:t>
      </w:r>
      <w:proofErr w:type="spellStart"/>
      <w:r>
        <w:rPr>
          <w:lang w:val="es-MX"/>
        </w:rPr>
        <w:t>parr</w:t>
      </w:r>
      <w:proofErr w:type="spellEnd"/>
      <w:r>
        <w:rPr>
          <w:lang w:val="es-MX"/>
        </w:rPr>
        <w:t>. 44).</w:t>
      </w:r>
    </w:p>
    <w:p w14:paraId="7D7C512C" w14:textId="77777777" w:rsidR="005B081B" w:rsidRPr="00672AC2" w:rsidRDefault="005B081B" w:rsidP="004A510F">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2542FAD9" w14:textId="77777777" w:rsidR="005B081B" w:rsidRPr="00672AC2" w:rsidRDefault="005B081B" w:rsidP="005B081B">
      <w:pPr>
        <w:jc w:val="both"/>
        <w:rPr>
          <w:lang w:val="es-CO"/>
        </w:rPr>
      </w:pPr>
    </w:p>
    <w:p w14:paraId="177FA523" w14:textId="6ADC8431" w:rsidR="005B081B" w:rsidRPr="004A510F" w:rsidRDefault="04C947FA" w:rsidP="00DD4FEE">
      <w:pPr>
        <w:pStyle w:val="IAPrrafo"/>
        <w:rPr>
          <w:lang w:val="es-CO"/>
        </w:rPr>
      </w:pPr>
      <w:r w:rsidRPr="00672AC2">
        <w:rPr>
          <w:szCs w:val="20"/>
          <w:lang w:val="es-CO"/>
        </w:rPr>
        <w:t xml:space="preserve">La CIDH toma nota de la aprobación de la “Directiva </w:t>
      </w:r>
      <w:r w:rsidRPr="00672AC2">
        <w:rPr>
          <w:szCs w:val="20"/>
          <w:lang w:val="es-ES"/>
        </w:rPr>
        <w:t>para el uso adecuado de medios de policía no letales o menos letales en operaciones policiales de control, mantenimiento y restablecimiento del orden público”</w:t>
      </w:r>
      <w:r w:rsidRPr="00672AC2">
        <w:rPr>
          <w:szCs w:val="20"/>
          <w:lang w:val="es-CO"/>
        </w:rPr>
        <w:t xml:space="preserve"> y de la actualización del </w:t>
      </w:r>
      <w:r w:rsidRPr="00672AC2">
        <w:rPr>
          <w:szCs w:val="20"/>
          <w:lang w:val="es-ES"/>
        </w:rPr>
        <w:t xml:space="preserve">Manual Conjunto de Reglas de Conducta Operativa de las Fuerzas Armadas. </w:t>
      </w:r>
      <w:r w:rsidR="004D268F" w:rsidRPr="00672AC2">
        <w:rPr>
          <w:szCs w:val="20"/>
          <w:lang w:val="es-ES"/>
        </w:rPr>
        <w:t>También</w:t>
      </w:r>
      <w:r w:rsidRPr="00672AC2">
        <w:rPr>
          <w:szCs w:val="20"/>
          <w:lang w:val="es-ES"/>
        </w:rPr>
        <w:t xml:space="preserve"> </w:t>
      </w:r>
      <w:r w:rsidR="000045F8" w:rsidRPr="00672AC2">
        <w:rPr>
          <w:szCs w:val="20"/>
          <w:lang w:val="es-ES"/>
        </w:rPr>
        <w:t>reconoce</w:t>
      </w:r>
      <w:r w:rsidRPr="00672AC2">
        <w:rPr>
          <w:szCs w:val="20"/>
          <w:lang w:val="es-ES"/>
        </w:rPr>
        <w:t xml:space="preserve"> las normas señaladas por el Estado, aunque observa que estas fueron aprobadas de manera previa a los hechos de uso de la fuerza ocurridos durante las protestas del año 2022 y 2023. </w:t>
      </w:r>
      <w:r w:rsidR="00D2170D">
        <w:rPr>
          <w:szCs w:val="20"/>
          <w:lang w:val="es-ES"/>
        </w:rPr>
        <w:t xml:space="preserve">Asimismo, </w:t>
      </w:r>
      <w:r w:rsidR="00D92A6E">
        <w:rPr>
          <w:szCs w:val="20"/>
          <w:lang w:val="es-ES"/>
        </w:rPr>
        <w:t>constata</w:t>
      </w:r>
      <w:r w:rsidR="00D2170D">
        <w:rPr>
          <w:szCs w:val="20"/>
          <w:lang w:val="es-ES"/>
        </w:rPr>
        <w:t xml:space="preserve"> la existencia de una guía metodológica que busca aplicar los contenidos en situaciones que recrean el servicio policial.</w:t>
      </w:r>
    </w:p>
    <w:p w14:paraId="31BA123E" w14:textId="24C2C209" w:rsidR="005B081B" w:rsidRPr="00D602E9" w:rsidRDefault="0562E101" w:rsidP="00D602E9">
      <w:pPr>
        <w:pStyle w:val="IAPrrafo"/>
        <w:rPr>
          <w:lang w:val="es-CO"/>
        </w:rPr>
      </w:pPr>
      <w:r w:rsidRPr="00672AC2">
        <w:rPr>
          <w:szCs w:val="20"/>
          <w:lang w:val="es-US"/>
        </w:rPr>
        <w:t xml:space="preserve">La CIDH recalca que el avance en el nivel de cumplimiento de esta recomendación depende de que el Estado adopte y aplique un marco normativo claro y coherente que garantice los principios de legalidad, necesidad y proporcionalidad en el marco de protestas sociales. En ese sentido, las normas no solo deben incluir la mención a estos principios, sino que deben adecuarse a sus contenidos para generar los mecanismos de prevención adecuados, </w:t>
      </w:r>
      <w:r w:rsidR="00C761C1">
        <w:rPr>
          <w:szCs w:val="20"/>
          <w:lang w:val="es-US"/>
        </w:rPr>
        <w:t>lo que debería incluir la implementación de capacitaciones específicas dirigidas a actualizar y aplicar las condiciones en las que se dan los mecanismos de seguridad en el marco de las protestas sociales</w:t>
      </w:r>
      <w:r w:rsidRPr="00672AC2">
        <w:rPr>
          <w:szCs w:val="20"/>
          <w:lang w:val="es-US"/>
        </w:rPr>
        <w:t>,</w:t>
      </w:r>
      <w:r w:rsidR="00D2170D">
        <w:rPr>
          <w:szCs w:val="20"/>
          <w:lang w:val="es-US"/>
        </w:rPr>
        <w:t xml:space="preserve"> </w:t>
      </w:r>
      <w:r w:rsidR="00F231D2">
        <w:rPr>
          <w:szCs w:val="20"/>
          <w:lang w:val="es-US"/>
        </w:rPr>
        <w:t xml:space="preserve">los mecanismos para garantizar </w:t>
      </w:r>
      <w:r w:rsidR="00D2170D">
        <w:rPr>
          <w:szCs w:val="20"/>
          <w:lang w:val="es-US"/>
        </w:rPr>
        <w:t>la</w:t>
      </w:r>
      <w:r w:rsidR="00F231D2">
        <w:rPr>
          <w:szCs w:val="20"/>
          <w:lang w:val="es-US"/>
        </w:rPr>
        <w:t xml:space="preserve"> inclusión de </w:t>
      </w:r>
      <w:r w:rsidR="00D2170D">
        <w:rPr>
          <w:szCs w:val="20"/>
          <w:lang w:val="es-US"/>
        </w:rPr>
        <w:t>dichos</w:t>
      </w:r>
      <w:r w:rsidR="00F231D2">
        <w:rPr>
          <w:szCs w:val="20"/>
          <w:lang w:val="es-US"/>
        </w:rPr>
        <w:t xml:space="preserve"> principios en los planes operativos que se diseñan para cada intervención, y los mecanismos institucionales que garantizan que los documentos y protocolos son revisados periódicamente, de manera transparente y participativa, considerando las nuevas condiciones logísticas y sociales en las que se aplican</w:t>
      </w:r>
      <w:r w:rsidRPr="00672AC2">
        <w:rPr>
          <w:szCs w:val="20"/>
          <w:lang w:val="es-US"/>
        </w:rPr>
        <w:t>.</w:t>
      </w:r>
      <w:r w:rsidRPr="00672AC2">
        <w:rPr>
          <w:szCs w:val="20"/>
          <w:lang w:val="es-CO"/>
        </w:rPr>
        <w:t xml:space="preserve"> </w:t>
      </w:r>
      <w:r w:rsidR="04C947FA" w:rsidRPr="00672AC2">
        <w:rPr>
          <w:szCs w:val="20"/>
          <w:lang w:val="es-CO"/>
        </w:rPr>
        <w:t xml:space="preserve">En </w:t>
      </w:r>
      <w:r w:rsidR="009808DC" w:rsidRPr="00672AC2">
        <w:rPr>
          <w:szCs w:val="20"/>
          <w:lang w:val="es-CO"/>
        </w:rPr>
        <w:t>consecuencia</w:t>
      </w:r>
      <w:r w:rsidR="04C947FA" w:rsidRPr="00672AC2">
        <w:rPr>
          <w:szCs w:val="20"/>
          <w:lang w:val="es-CO"/>
        </w:rPr>
        <w:t xml:space="preserve">, a la espera de información específica sobre medidas de cumplimiento adoptadas con posterioridad a los hechos registrados en el Informe de País y a la formulación de esta recomendación, la Comisión identifica que esta se encuentra </w:t>
      </w:r>
      <w:r w:rsidR="04C947FA" w:rsidRPr="00672AC2">
        <w:rPr>
          <w:b/>
          <w:bCs/>
          <w:szCs w:val="20"/>
          <w:lang w:val="es-CO"/>
        </w:rPr>
        <w:t>pendiente de cumplimiento</w:t>
      </w:r>
      <w:r w:rsidR="04C947FA" w:rsidRPr="00672AC2">
        <w:rPr>
          <w:szCs w:val="20"/>
          <w:lang w:val="es-CO"/>
        </w:rPr>
        <w:t>.</w:t>
      </w:r>
    </w:p>
    <w:p w14:paraId="4A5AA898" w14:textId="77777777" w:rsidR="005B081B" w:rsidRPr="00672AC2" w:rsidRDefault="005B081B" w:rsidP="00F955D1">
      <w:pPr>
        <w:ind w:firstLine="720"/>
        <w:jc w:val="both"/>
        <w:rPr>
          <w:rFonts w:eastAsia="Cambria" w:cs="Cambria"/>
          <w:color w:val="000000" w:themeColor="text1"/>
          <w:sz w:val="20"/>
          <w:szCs w:val="20"/>
          <w:lang w:val="es-CO"/>
        </w:rPr>
      </w:pPr>
      <w:r w:rsidRPr="00672AC2">
        <w:rPr>
          <w:rFonts w:eastAsia="Cambria" w:cs="Cambria"/>
          <w:i/>
          <w:iCs/>
          <w:color w:val="000000" w:themeColor="text1"/>
          <w:sz w:val="20"/>
          <w:szCs w:val="20"/>
          <w:lang w:val="es-ES"/>
        </w:rPr>
        <w:t>Medidas e información para avanzar en el cumplimiento de la recomendación</w:t>
      </w:r>
    </w:p>
    <w:p w14:paraId="1302A16B" w14:textId="77777777" w:rsidR="005B081B" w:rsidRPr="00672AC2" w:rsidRDefault="005B081B" w:rsidP="005B081B">
      <w:pPr>
        <w:ind w:firstLine="360"/>
        <w:jc w:val="both"/>
        <w:rPr>
          <w:rFonts w:eastAsia="Cambria" w:cs="Cambria"/>
          <w:i/>
          <w:iCs/>
          <w:color w:val="000000" w:themeColor="text1"/>
          <w:sz w:val="20"/>
          <w:szCs w:val="20"/>
          <w:lang w:val="es-ES"/>
        </w:rPr>
      </w:pPr>
    </w:p>
    <w:p w14:paraId="66F7434F" w14:textId="34B47041" w:rsidR="005B081B" w:rsidRPr="00672AC2" w:rsidRDefault="04C947FA" w:rsidP="00E83710">
      <w:pPr>
        <w:pStyle w:val="IAPrrafo"/>
        <w:rPr>
          <w:rFonts w:eastAsia="Calibri" w:cs="Times New Roman"/>
          <w:b/>
          <w:szCs w:val="20"/>
        </w:rPr>
      </w:pPr>
      <w:r w:rsidRPr="00672AC2">
        <w:rPr>
          <w:szCs w:val="20"/>
          <w:lang w:val="es-US"/>
        </w:rPr>
        <w:t xml:space="preserve">La CIDH </w:t>
      </w:r>
      <w:r w:rsidR="168C61F5" w:rsidRPr="00672AC2">
        <w:rPr>
          <w:szCs w:val="20"/>
          <w:lang w:val="es-US"/>
        </w:rPr>
        <w:t xml:space="preserve">solicita al Estado que informe sobre la implementación de </w:t>
      </w:r>
      <w:r w:rsidR="168C61F5" w:rsidRPr="00672AC2">
        <w:rPr>
          <w:szCs w:val="20"/>
          <w:lang w:val="es-CO"/>
        </w:rPr>
        <w:t>la “</w:t>
      </w:r>
      <w:r w:rsidR="168C61F5" w:rsidRPr="00291992">
        <w:rPr>
          <w:i/>
          <w:iCs/>
          <w:szCs w:val="20"/>
          <w:lang w:val="es-CO"/>
        </w:rPr>
        <w:t xml:space="preserve">Directiva </w:t>
      </w:r>
      <w:r w:rsidR="168C61F5" w:rsidRPr="00291992">
        <w:rPr>
          <w:i/>
          <w:iCs/>
          <w:szCs w:val="20"/>
          <w:lang w:val="es-ES"/>
        </w:rPr>
        <w:t>para el uso adecuado de medios de policía no letales o menos letales en operaciones policiales de control, mantenimiento y restablecimiento del orden público</w:t>
      </w:r>
      <w:r w:rsidR="168C61F5" w:rsidRPr="00672AC2">
        <w:rPr>
          <w:szCs w:val="20"/>
          <w:lang w:val="es-ES"/>
        </w:rPr>
        <w:t>”</w:t>
      </w:r>
      <w:r w:rsidR="168C61F5" w:rsidRPr="00672AC2">
        <w:rPr>
          <w:szCs w:val="20"/>
          <w:lang w:val="es-US"/>
        </w:rPr>
        <w:t xml:space="preserve"> y del </w:t>
      </w:r>
      <w:r w:rsidR="168C61F5" w:rsidRPr="00672AC2">
        <w:rPr>
          <w:szCs w:val="20"/>
          <w:lang w:val="es-ES"/>
        </w:rPr>
        <w:t>Manual Conjunto de Reglas de Conducta Operativa de las Fuerzas Armadas</w:t>
      </w:r>
      <w:r w:rsidR="657F54B1" w:rsidRPr="00672AC2">
        <w:rPr>
          <w:szCs w:val="20"/>
          <w:lang w:val="es-ES"/>
        </w:rPr>
        <w:t xml:space="preserve">. </w:t>
      </w:r>
      <w:r w:rsidR="00B42794">
        <w:rPr>
          <w:szCs w:val="20"/>
          <w:lang w:val="es-ES"/>
        </w:rPr>
        <w:t>Además</w:t>
      </w:r>
      <w:r w:rsidR="657F54B1" w:rsidRPr="00672AC2">
        <w:rPr>
          <w:szCs w:val="20"/>
          <w:lang w:val="es-ES"/>
        </w:rPr>
        <w:t>, que reporte sobre las medidas que se han adoptado para responder a la preocupaci</w:t>
      </w:r>
      <w:r w:rsidR="79F1EB9A" w:rsidRPr="00672AC2">
        <w:rPr>
          <w:szCs w:val="20"/>
          <w:lang w:val="es-ES"/>
        </w:rPr>
        <w:t xml:space="preserve">ón expresada en el Informe </w:t>
      </w:r>
      <w:r w:rsidR="008141EE" w:rsidRPr="00672AC2">
        <w:rPr>
          <w:szCs w:val="20"/>
          <w:lang w:val="es-ES"/>
        </w:rPr>
        <w:t xml:space="preserve">de </w:t>
      </w:r>
      <w:r w:rsidR="79F1EB9A" w:rsidRPr="00672AC2">
        <w:rPr>
          <w:szCs w:val="20"/>
          <w:lang w:val="es-ES"/>
        </w:rPr>
        <w:t>País, en relación al uso de la fuerza y las detenciones en el marco de las protestas</w:t>
      </w:r>
      <w:r w:rsidR="001B7EE0">
        <w:rPr>
          <w:szCs w:val="20"/>
          <w:lang w:val="es-ES"/>
        </w:rPr>
        <w:t xml:space="preserve">, como el fortalecimiento de mecanismos de fortalecimiento de capacidades para los y las agentes </w:t>
      </w:r>
      <w:r w:rsidR="00C0295B">
        <w:rPr>
          <w:szCs w:val="20"/>
          <w:lang w:val="es-ES"/>
        </w:rPr>
        <w:t xml:space="preserve">que tienen a su cargo el control de protestas sociales, los mecanismos de aplicación de dicho marco normativo, acorde con las necesidades en cada contexto, y la actualización periódica de dichos documentos, realizada de manera participativa.  </w:t>
      </w:r>
      <w:r w:rsidR="168C61F5" w:rsidRPr="00672AC2">
        <w:rPr>
          <w:szCs w:val="20"/>
          <w:lang w:val="es-US"/>
        </w:rPr>
        <w:t xml:space="preserve"> </w:t>
      </w:r>
    </w:p>
    <w:tbl>
      <w:tblPr>
        <w:tblStyle w:val="TableGrid"/>
        <w:tblW w:w="0" w:type="auto"/>
        <w:tblLook w:val="04A0" w:firstRow="1" w:lastRow="0" w:firstColumn="1" w:lastColumn="0" w:noHBand="0" w:noVBand="1"/>
      </w:tblPr>
      <w:tblGrid>
        <w:gridCol w:w="9350"/>
      </w:tblGrid>
      <w:tr w:rsidR="005B081B" w:rsidRPr="00F51AED" w14:paraId="496CD36F" w14:textId="77777777">
        <w:tc>
          <w:tcPr>
            <w:tcW w:w="9350" w:type="dxa"/>
            <w:tcBorders>
              <w:top w:val="nil"/>
              <w:left w:val="nil"/>
              <w:bottom w:val="nil"/>
              <w:right w:val="nil"/>
            </w:tcBorders>
            <w:shd w:val="clear" w:color="auto" w:fill="D9D9D9" w:themeFill="background1" w:themeFillShade="D9"/>
          </w:tcPr>
          <w:p w14:paraId="24CF8D4F" w14:textId="17D078F9" w:rsidR="005B081B" w:rsidRPr="00F955D1" w:rsidRDefault="005B081B">
            <w:pPr>
              <w:suppressAutoHyphens w:val="0"/>
              <w:jc w:val="both"/>
              <w:rPr>
                <w:sz w:val="20"/>
                <w:szCs w:val="20"/>
                <w:lang w:val="es-CO"/>
              </w:rPr>
            </w:pPr>
            <w:r w:rsidRPr="00672AC2">
              <w:rPr>
                <w:rFonts w:eastAsia="Cambria" w:cs="Cambria"/>
                <w:b/>
                <w:bCs/>
                <w:sz w:val="20"/>
                <w:szCs w:val="20"/>
                <w:lang w:val="es-419" w:eastAsia="es-US"/>
              </w:rPr>
              <w:t xml:space="preserve">Recomendación </w:t>
            </w:r>
            <w:proofErr w:type="spellStart"/>
            <w:r w:rsidR="00C11DAC" w:rsidRPr="00672AC2">
              <w:rPr>
                <w:rFonts w:eastAsia="Cambria" w:cs="Cambria"/>
                <w:b/>
                <w:bCs/>
                <w:sz w:val="20"/>
                <w:szCs w:val="20"/>
                <w:lang w:val="es-419" w:eastAsia="es-US"/>
              </w:rPr>
              <w:t>Nº</w:t>
            </w:r>
            <w:proofErr w:type="spellEnd"/>
            <w:r w:rsidRPr="00672AC2">
              <w:rPr>
                <w:rFonts w:eastAsia="Cambria" w:cs="Cambria"/>
                <w:b/>
                <w:bCs/>
                <w:sz w:val="20"/>
                <w:szCs w:val="20"/>
                <w:lang w:val="es-419" w:eastAsia="es-US"/>
              </w:rPr>
              <w:t xml:space="preserve"> 6. </w:t>
            </w:r>
            <w:r w:rsidRPr="00672AC2">
              <w:rPr>
                <w:sz w:val="20"/>
                <w:szCs w:val="20"/>
                <w:lang w:val="es-CO"/>
              </w:rPr>
              <w:t>Tomar las medidas normativas o de otra índole que sean necesarias para que las armas de fuego estén excluidas de los dispositivos utilizados para el control de las protestas sociales, así como establecer lineamientos dirigidos a orientar el uso de armas potencialmente letales.</w:t>
            </w:r>
          </w:p>
        </w:tc>
      </w:tr>
    </w:tbl>
    <w:p w14:paraId="6EF82AF4" w14:textId="77777777" w:rsidR="005B081B" w:rsidRPr="00672AC2" w:rsidRDefault="005B081B" w:rsidP="005B081B">
      <w:pPr>
        <w:shd w:val="clear" w:color="auto" w:fill="FFFFFF" w:themeFill="background1"/>
        <w:suppressAutoHyphens w:val="0"/>
        <w:jc w:val="both"/>
        <w:rPr>
          <w:rFonts w:eastAsia="Cambria" w:cs="Cambria"/>
          <w:bCs/>
          <w:sz w:val="20"/>
          <w:szCs w:val="20"/>
          <w:lang w:val="es-419" w:eastAsia="es-US"/>
        </w:rPr>
      </w:pPr>
    </w:p>
    <w:p w14:paraId="4194C67B" w14:textId="2E9A1C76" w:rsidR="005B081B" w:rsidRPr="00672AC2" w:rsidRDefault="005B081B" w:rsidP="00F955D1">
      <w:pPr>
        <w:pBdr>
          <w:top w:val="nil"/>
          <w:left w:val="nil"/>
          <w:bottom w:val="nil"/>
          <w:right w:val="nil"/>
          <w:between w:val="nil"/>
        </w:pBdr>
        <w:ind w:firstLine="720"/>
        <w:jc w:val="both"/>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038F2F7C" w14:textId="77777777" w:rsidR="005B081B" w:rsidRPr="00672AC2" w:rsidRDefault="005B081B" w:rsidP="005B081B">
      <w:pPr>
        <w:shd w:val="clear" w:color="auto" w:fill="FFFFFF" w:themeFill="background1"/>
        <w:suppressAutoHyphens w:val="0"/>
        <w:jc w:val="both"/>
        <w:rPr>
          <w:rFonts w:eastAsia="Cambria" w:cs="Cambria"/>
          <w:sz w:val="20"/>
          <w:szCs w:val="20"/>
          <w:lang w:val="es-419" w:eastAsia="es-US"/>
        </w:rPr>
      </w:pPr>
    </w:p>
    <w:p w14:paraId="2AA6685D" w14:textId="7694B608" w:rsidR="005B081B" w:rsidRPr="00F955D1" w:rsidRDefault="04C947FA" w:rsidP="005B081B">
      <w:pPr>
        <w:pStyle w:val="IAPrrafo"/>
        <w:rPr>
          <w:szCs w:val="20"/>
          <w:lang w:val="es-US"/>
        </w:rPr>
      </w:pPr>
      <w:r w:rsidRPr="00672AC2">
        <w:rPr>
          <w:rFonts w:eastAsia="Cambria" w:cs="Cambria"/>
          <w:szCs w:val="20"/>
          <w:lang w:eastAsia="es-US"/>
        </w:rPr>
        <w:t xml:space="preserve">En el 2024, el Estado </w:t>
      </w:r>
      <w:r w:rsidR="00B42794">
        <w:rPr>
          <w:rFonts w:eastAsia="Cambria" w:cs="Cambria"/>
          <w:szCs w:val="20"/>
          <w:lang w:eastAsia="es-US"/>
        </w:rPr>
        <w:t>reportó</w:t>
      </w:r>
      <w:r w:rsidR="00B42794" w:rsidRPr="00672AC2">
        <w:rPr>
          <w:rFonts w:eastAsia="Cambria" w:cs="Cambria"/>
          <w:szCs w:val="20"/>
          <w:lang w:eastAsia="es-US"/>
        </w:rPr>
        <w:t xml:space="preserve"> </w:t>
      </w:r>
      <w:r w:rsidRPr="00672AC2">
        <w:rPr>
          <w:rFonts w:eastAsia="Cambria" w:cs="Cambria"/>
          <w:szCs w:val="20"/>
          <w:lang w:eastAsia="es-US"/>
        </w:rPr>
        <w:t xml:space="preserve">que, de acuerdo con el Decreto Legislativo </w:t>
      </w:r>
      <w:proofErr w:type="spellStart"/>
      <w:r w:rsidR="00C11DAC" w:rsidRPr="00672AC2">
        <w:rPr>
          <w:rFonts w:eastAsia="Cambria" w:cs="Cambria"/>
          <w:szCs w:val="20"/>
          <w:lang w:eastAsia="es-US"/>
        </w:rPr>
        <w:t>Nº</w:t>
      </w:r>
      <w:proofErr w:type="spellEnd"/>
      <w:r w:rsidRPr="00672AC2">
        <w:rPr>
          <w:rFonts w:eastAsia="Cambria" w:cs="Cambria"/>
          <w:szCs w:val="20"/>
          <w:lang w:eastAsia="es-US"/>
        </w:rPr>
        <w:t xml:space="preserve"> 1095 </w:t>
      </w:r>
      <w:r w:rsidR="00432504" w:rsidRPr="00672AC2">
        <w:rPr>
          <w:rFonts w:eastAsia="Cambria" w:cs="Cambria"/>
          <w:szCs w:val="20"/>
          <w:lang w:eastAsia="es-US"/>
        </w:rPr>
        <w:t>(</w:t>
      </w:r>
      <w:r w:rsidRPr="00672AC2">
        <w:rPr>
          <w:szCs w:val="20"/>
          <w:lang w:val="es-ES"/>
        </w:rPr>
        <w:t>2010</w:t>
      </w:r>
      <w:r w:rsidR="00432504" w:rsidRPr="00672AC2">
        <w:rPr>
          <w:szCs w:val="20"/>
          <w:lang w:val="es-ES"/>
        </w:rPr>
        <w:t>)</w:t>
      </w:r>
      <w:r w:rsidRPr="00672AC2">
        <w:rPr>
          <w:rFonts w:eastAsia="Cambria" w:cs="Cambria"/>
          <w:szCs w:val="20"/>
          <w:lang w:eastAsia="es-US"/>
        </w:rPr>
        <w:t xml:space="preserve">, que </w:t>
      </w:r>
      <w:r w:rsidR="00B42794">
        <w:rPr>
          <w:rFonts w:eastAsia="Cambria" w:cs="Cambria"/>
          <w:szCs w:val="20"/>
          <w:lang w:eastAsia="es-US"/>
        </w:rPr>
        <w:t>regula</w:t>
      </w:r>
      <w:r w:rsidR="00B42794" w:rsidRPr="00672AC2">
        <w:rPr>
          <w:rFonts w:eastAsia="Cambria" w:cs="Cambria"/>
          <w:szCs w:val="20"/>
          <w:lang w:eastAsia="es-US"/>
        </w:rPr>
        <w:t xml:space="preserve"> </w:t>
      </w:r>
      <w:r w:rsidRPr="00672AC2">
        <w:rPr>
          <w:rFonts w:eastAsia="Cambria" w:cs="Cambria"/>
          <w:szCs w:val="20"/>
          <w:lang w:eastAsia="es-US"/>
        </w:rPr>
        <w:t xml:space="preserve">las reglas de empleo y uso de la fuerza en el marco de protestas, </w:t>
      </w:r>
      <w:r w:rsidRPr="00672AC2">
        <w:rPr>
          <w:szCs w:val="20"/>
          <w:lang w:val="es-ES"/>
        </w:rPr>
        <w:t>el personal policial sólo emplearía</w:t>
      </w:r>
      <w:r w:rsidRPr="00672AC2">
        <w:rPr>
          <w:rFonts w:eastAsia="Cambria" w:cs="Cambria"/>
          <w:szCs w:val="20"/>
          <w:lang w:eastAsia="es-US"/>
        </w:rPr>
        <w:t xml:space="preserve"> el </w:t>
      </w:r>
      <w:r w:rsidRPr="00672AC2">
        <w:rPr>
          <w:szCs w:val="20"/>
          <w:lang w:val="es-ES"/>
        </w:rPr>
        <w:t>uso de armas de fuego cuando sea estrictamente necesario para defender una vida, propia o de terceros</w:t>
      </w:r>
      <w:r w:rsidR="03133EA6" w:rsidRPr="00672AC2">
        <w:rPr>
          <w:szCs w:val="20"/>
          <w:lang w:val="es-ES"/>
        </w:rPr>
        <w:t>;</w:t>
      </w:r>
      <w:r w:rsidRPr="00672AC2">
        <w:rPr>
          <w:szCs w:val="20"/>
          <w:lang w:val="es-ES"/>
        </w:rPr>
        <w:t xml:space="preserve"> </w:t>
      </w:r>
      <w:r w:rsidR="03133EA6" w:rsidRPr="00672AC2">
        <w:rPr>
          <w:szCs w:val="20"/>
          <w:lang w:val="es-ES"/>
        </w:rPr>
        <w:t>e</w:t>
      </w:r>
      <w:r w:rsidRPr="00672AC2">
        <w:rPr>
          <w:szCs w:val="20"/>
          <w:lang w:val="es-ES"/>
        </w:rPr>
        <w:t xml:space="preserve">n caso contrario, se incurriría en un uso arbitrario de la fuerza. </w:t>
      </w:r>
      <w:r w:rsidR="00B6314E">
        <w:rPr>
          <w:szCs w:val="20"/>
          <w:lang w:val="es-ES"/>
        </w:rPr>
        <w:t>A su vez</w:t>
      </w:r>
      <w:r w:rsidRPr="00672AC2">
        <w:rPr>
          <w:szCs w:val="20"/>
          <w:lang w:val="es-ES"/>
        </w:rPr>
        <w:t xml:space="preserve">, señaló que la actualización del Manual Conjunto de Reglas de Conducta Operativa de las FFAA, citada en el marco del seguimiento de la recomendación 5 del Informe de País, </w:t>
      </w:r>
      <w:r w:rsidR="00D03581">
        <w:rPr>
          <w:szCs w:val="20"/>
          <w:lang w:val="es-ES"/>
        </w:rPr>
        <w:t>contempla</w:t>
      </w:r>
      <w:r w:rsidR="00D03581" w:rsidRPr="00672AC2">
        <w:rPr>
          <w:szCs w:val="20"/>
          <w:lang w:val="es-ES"/>
        </w:rPr>
        <w:t xml:space="preserve"> </w:t>
      </w:r>
      <w:r w:rsidRPr="00672AC2">
        <w:rPr>
          <w:szCs w:val="20"/>
          <w:lang w:val="es-ES"/>
        </w:rPr>
        <w:t>detalles y acciones sobre los principios del uso de fuerza, el uso de medios menos letales, el uso excepcional de armas de fuego y la protección a la propiedad pública o privada.</w:t>
      </w:r>
    </w:p>
    <w:p w14:paraId="5BE0A769" w14:textId="0F5B22B4" w:rsidR="005B081B" w:rsidRPr="00F955D1" w:rsidRDefault="00B42794" w:rsidP="005B081B">
      <w:pPr>
        <w:pStyle w:val="IAPrrafo"/>
        <w:rPr>
          <w:szCs w:val="20"/>
          <w:lang w:val="es-US"/>
        </w:rPr>
      </w:pPr>
      <w:r>
        <w:rPr>
          <w:szCs w:val="20"/>
          <w:lang w:val="es-ES"/>
        </w:rPr>
        <w:t>E</w:t>
      </w:r>
      <w:r w:rsidR="04C947FA" w:rsidRPr="00672AC2">
        <w:rPr>
          <w:szCs w:val="20"/>
          <w:lang w:val="es-ES"/>
        </w:rPr>
        <w:t xml:space="preserve">l Estado </w:t>
      </w:r>
      <w:r w:rsidR="00D03581">
        <w:rPr>
          <w:szCs w:val="20"/>
          <w:lang w:val="es-ES"/>
        </w:rPr>
        <w:t>refirió</w:t>
      </w:r>
      <w:r w:rsidR="00D03581" w:rsidRPr="00672AC2">
        <w:rPr>
          <w:szCs w:val="20"/>
          <w:lang w:val="es-ES"/>
        </w:rPr>
        <w:t xml:space="preserve"> </w:t>
      </w:r>
      <w:r w:rsidR="04C947FA" w:rsidRPr="00672AC2">
        <w:rPr>
          <w:szCs w:val="20"/>
          <w:lang w:val="es-ES"/>
        </w:rPr>
        <w:t>a la CIDH la aprobación de la “Directiva para el uso adecuado de medios de policía no letales o menos letales en operaciones policiales de control, mantenimiento y restablecimiento del orden público”</w:t>
      </w:r>
      <w:r w:rsidR="00432504" w:rsidRPr="00672AC2">
        <w:rPr>
          <w:szCs w:val="20"/>
          <w:lang w:val="es-ES"/>
        </w:rPr>
        <w:t xml:space="preserve"> (2023)</w:t>
      </w:r>
      <w:r w:rsidR="00F36B41">
        <w:rPr>
          <w:rFonts w:ascii="ZWAdobeF" w:hAnsi="ZWAdobeF" w:cs="ZWAdobeF"/>
          <w:color w:val="auto"/>
          <w:sz w:val="2"/>
          <w:szCs w:val="2"/>
          <w:lang w:val="es-ES"/>
        </w:rPr>
        <w:t>47F</w:t>
      </w:r>
      <w:r w:rsidR="005B081B" w:rsidRPr="00672AC2">
        <w:rPr>
          <w:rStyle w:val="FootnoteReference"/>
          <w:szCs w:val="20"/>
          <w:lang w:val="es-ES"/>
        </w:rPr>
        <w:footnoteReference w:id="49"/>
      </w:r>
      <w:r w:rsidR="04C947FA" w:rsidRPr="00672AC2">
        <w:rPr>
          <w:szCs w:val="20"/>
          <w:lang w:val="es-ES"/>
        </w:rPr>
        <w:t>,</w:t>
      </w:r>
      <w:r w:rsidR="04C947FA" w:rsidRPr="00672AC2">
        <w:rPr>
          <w:lang w:val="es-ES"/>
        </w:rPr>
        <w:t xml:space="preserve"> </w:t>
      </w:r>
      <w:r w:rsidR="04C947FA" w:rsidRPr="00672AC2">
        <w:rPr>
          <w:szCs w:val="20"/>
          <w:lang w:val="es-ES"/>
        </w:rPr>
        <w:t>con la finalidad de fortalecer el marco jurídico que regula la actuación policial, en particular, en el contexto de protestas sociales.</w:t>
      </w:r>
      <w:r w:rsidR="00152543">
        <w:rPr>
          <w:szCs w:val="20"/>
          <w:lang w:val="es-ES"/>
        </w:rPr>
        <w:t xml:space="preserve"> Dicha Directiva establece que </w:t>
      </w:r>
      <w:r w:rsidR="00152543" w:rsidRPr="00152543">
        <w:rPr>
          <w:szCs w:val="20"/>
          <w:lang w:val="es-ES"/>
        </w:rPr>
        <w:t>el “Equipo de Protección corporal y medios de policía para el control, mantenimiento y restablecimiento en las operaciones de orden público</w:t>
      </w:r>
      <w:r w:rsidR="00152543">
        <w:rPr>
          <w:szCs w:val="20"/>
          <w:lang w:val="es-ES"/>
        </w:rPr>
        <w:t xml:space="preserve"> </w:t>
      </w:r>
      <w:r w:rsidR="00152543" w:rsidRPr="00152543">
        <w:rPr>
          <w:szCs w:val="20"/>
          <w:lang w:val="es-ES"/>
        </w:rPr>
        <w:t>comprende las armas de fuego letal y no letal, así como otros medios no letales a ser utilizados por el personal debidamente entrenado y según la función que desempeñe</w:t>
      </w:r>
      <w:r w:rsidR="00152543">
        <w:rPr>
          <w:szCs w:val="20"/>
          <w:lang w:val="es-ES"/>
        </w:rPr>
        <w:t>”.</w:t>
      </w:r>
    </w:p>
    <w:p w14:paraId="4382F4B2" w14:textId="326565C5" w:rsidR="00E27E11" w:rsidRPr="00D602E9" w:rsidRDefault="04C947FA" w:rsidP="00D602E9">
      <w:pPr>
        <w:pStyle w:val="IAPrrafo"/>
        <w:rPr>
          <w:rFonts w:eastAsia="Calibri" w:cs="Calibri"/>
          <w:szCs w:val="20"/>
          <w:lang w:val="es-US"/>
        </w:rPr>
      </w:pPr>
      <w:r w:rsidRPr="00672AC2">
        <w:rPr>
          <w:rFonts w:eastAsia="Calibri" w:cs="Calibri"/>
          <w:szCs w:val="20"/>
          <w:lang w:val="es-US"/>
        </w:rPr>
        <w:t xml:space="preserve">Por su parte, la sociedad civil </w:t>
      </w:r>
      <w:r w:rsidR="00C22BE1" w:rsidRPr="00672AC2">
        <w:rPr>
          <w:rFonts w:eastAsia="Calibri" w:cs="Calibri"/>
          <w:szCs w:val="20"/>
          <w:lang w:val="es-US"/>
        </w:rPr>
        <w:t xml:space="preserve">transmitió </w:t>
      </w:r>
      <w:r w:rsidRPr="00672AC2">
        <w:rPr>
          <w:rFonts w:eastAsia="Calibri" w:cs="Calibri"/>
          <w:szCs w:val="20"/>
          <w:lang w:val="es-US"/>
        </w:rPr>
        <w:t>que la implementación práctica de estas reglas sería controversial y poco efectiva puesto que</w:t>
      </w:r>
      <w:r w:rsidR="51789DF5" w:rsidRPr="00672AC2">
        <w:rPr>
          <w:rFonts w:eastAsia="Calibri" w:cs="Calibri"/>
          <w:szCs w:val="20"/>
          <w:lang w:val="es-US"/>
        </w:rPr>
        <w:t xml:space="preserve"> </w:t>
      </w:r>
      <w:r w:rsidR="2AF12E3B" w:rsidRPr="00672AC2">
        <w:rPr>
          <w:rFonts w:eastAsia="Calibri" w:cs="Calibri"/>
          <w:szCs w:val="20"/>
          <w:lang w:val="es-US"/>
        </w:rPr>
        <w:t xml:space="preserve">eran las vigentes en el momento de las protestas motivo del </w:t>
      </w:r>
      <w:r w:rsidR="00C22BE1" w:rsidRPr="00672AC2">
        <w:rPr>
          <w:rFonts w:eastAsia="Calibri" w:cs="Calibri"/>
          <w:szCs w:val="20"/>
          <w:lang w:val="es-US"/>
        </w:rPr>
        <w:t>I</w:t>
      </w:r>
      <w:r w:rsidR="2AF12E3B" w:rsidRPr="00672AC2">
        <w:rPr>
          <w:rFonts w:eastAsia="Calibri" w:cs="Calibri"/>
          <w:szCs w:val="20"/>
          <w:lang w:val="es-US"/>
        </w:rPr>
        <w:t xml:space="preserve">nforme </w:t>
      </w:r>
      <w:r w:rsidR="00C22BE1" w:rsidRPr="00672AC2">
        <w:rPr>
          <w:rFonts w:eastAsia="Calibri" w:cs="Calibri"/>
          <w:szCs w:val="20"/>
          <w:lang w:val="es-US"/>
        </w:rPr>
        <w:t>de P</w:t>
      </w:r>
      <w:r w:rsidR="2AF12E3B" w:rsidRPr="00672AC2">
        <w:rPr>
          <w:rFonts w:eastAsia="Calibri" w:cs="Calibri"/>
          <w:szCs w:val="20"/>
          <w:lang w:val="es-US"/>
        </w:rPr>
        <w:t>aís de la CIDH</w:t>
      </w:r>
      <w:r w:rsidRPr="00672AC2">
        <w:rPr>
          <w:rFonts w:eastAsia="Calibri" w:cs="Calibri"/>
          <w:szCs w:val="20"/>
          <w:lang w:val="es-US"/>
        </w:rPr>
        <w:t>,</w:t>
      </w:r>
      <w:r w:rsidR="00CF290B" w:rsidRPr="00672AC2">
        <w:rPr>
          <w:rFonts w:eastAsia="Calibri" w:cs="Calibri"/>
          <w:szCs w:val="20"/>
          <w:lang w:val="es-US"/>
        </w:rPr>
        <w:t xml:space="preserve"> </w:t>
      </w:r>
      <w:r w:rsidR="2AF12E3B" w:rsidRPr="00672AC2">
        <w:rPr>
          <w:rFonts w:eastAsia="Calibri" w:cs="Calibri"/>
          <w:szCs w:val="20"/>
          <w:lang w:val="es-US"/>
        </w:rPr>
        <w:t>en las que</w:t>
      </w:r>
      <w:r w:rsidRPr="00672AC2">
        <w:rPr>
          <w:rFonts w:eastAsia="Calibri" w:cs="Calibri"/>
          <w:szCs w:val="20"/>
          <w:lang w:val="es-US"/>
        </w:rPr>
        <w:t xml:space="preserve"> se document</w:t>
      </w:r>
      <w:r w:rsidR="2AF12E3B" w:rsidRPr="00672AC2">
        <w:rPr>
          <w:rFonts w:eastAsia="Calibri" w:cs="Calibri"/>
          <w:szCs w:val="20"/>
          <w:lang w:val="es-US"/>
        </w:rPr>
        <w:t>ó</w:t>
      </w:r>
      <w:r w:rsidRPr="00672AC2">
        <w:rPr>
          <w:rFonts w:eastAsia="Calibri" w:cs="Calibri"/>
          <w:szCs w:val="20"/>
          <w:lang w:val="es-US"/>
        </w:rPr>
        <w:t xml:space="preserve"> el uso desproporcionado de la fuerza, incluyendo el uso de disparos de armas de fuego</w:t>
      </w:r>
      <w:r w:rsidR="2AF12E3B" w:rsidRPr="00672AC2">
        <w:rPr>
          <w:rFonts w:eastAsia="Calibri" w:cs="Calibri"/>
          <w:szCs w:val="20"/>
          <w:lang w:val="es-US"/>
        </w:rPr>
        <w:t>;</w:t>
      </w:r>
      <w:r w:rsidRPr="00672AC2">
        <w:rPr>
          <w:rFonts w:eastAsia="Calibri" w:cs="Calibri"/>
          <w:szCs w:val="20"/>
          <w:lang w:val="es-US"/>
        </w:rPr>
        <w:t xml:space="preserve"> </w:t>
      </w:r>
      <w:r w:rsidR="0E21F36E" w:rsidRPr="00672AC2">
        <w:rPr>
          <w:rFonts w:eastAsia="Calibri" w:cs="Calibri"/>
          <w:szCs w:val="20"/>
          <w:lang w:val="es-US"/>
        </w:rPr>
        <w:t xml:space="preserve">teniendo como resultado personas </w:t>
      </w:r>
      <w:r w:rsidRPr="00672AC2">
        <w:rPr>
          <w:rFonts w:eastAsia="Calibri" w:cs="Calibri"/>
          <w:szCs w:val="20"/>
          <w:lang w:val="es-US"/>
        </w:rPr>
        <w:t>herid</w:t>
      </w:r>
      <w:r w:rsidR="0E21F36E" w:rsidRPr="00672AC2">
        <w:rPr>
          <w:rFonts w:eastAsia="Calibri" w:cs="Calibri"/>
          <w:szCs w:val="20"/>
          <w:lang w:val="es-US"/>
        </w:rPr>
        <w:t>a</w:t>
      </w:r>
      <w:r w:rsidRPr="00672AC2">
        <w:rPr>
          <w:rFonts w:eastAsia="Calibri" w:cs="Calibri"/>
          <w:szCs w:val="20"/>
          <w:lang w:val="es-US"/>
        </w:rPr>
        <w:t>s y fallecid</w:t>
      </w:r>
      <w:r w:rsidR="0E21F36E" w:rsidRPr="00672AC2">
        <w:rPr>
          <w:rFonts w:eastAsia="Calibri" w:cs="Calibri"/>
          <w:szCs w:val="20"/>
          <w:lang w:val="es-US"/>
        </w:rPr>
        <w:t>a</w:t>
      </w:r>
      <w:r w:rsidRPr="00672AC2">
        <w:rPr>
          <w:rFonts w:eastAsia="Calibri" w:cs="Calibri"/>
          <w:szCs w:val="20"/>
          <w:lang w:val="es-US"/>
        </w:rPr>
        <w:t>s</w:t>
      </w:r>
      <w:r w:rsidR="00F36B41">
        <w:rPr>
          <w:rFonts w:ascii="ZWAdobeF" w:eastAsia="Calibri" w:hAnsi="ZWAdobeF" w:cs="ZWAdobeF"/>
          <w:color w:val="auto"/>
          <w:sz w:val="2"/>
          <w:szCs w:val="2"/>
          <w:lang w:val="es-US"/>
        </w:rPr>
        <w:t>48F</w:t>
      </w:r>
      <w:r w:rsidR="005B081B" w:rsidRPr="00672AC2">
        <w:rPr>
          <w:rStyle w:val="FootnoteReference"/>
          <w:rFonts w:eastAsia="Calibri" w:cs="Calibri"/>
          <w:szCs w:val="20"/>
          <w:lang w:val="es-US"/>
        </w:rPr>
        <w:footnoteReference w:id="50"/>
      </w:r>
      <w:r w:rsidRPr="00672AC2">
        <w:rPr>
          <w:rFonts w:eastAsia="Calibri" w:cs="Calibri"/>
          <w:szCs w:val="20"/>
          <w:lang w:val="es-US"/>
        </w:rPr>
        <w:t xml:space="preserve">. </w:t>
      </w:r>
      <w:r w:rsidR="6455CFF6" w:rsidRPr="00672AC2">
        <w:rPr>
          <w:szCs w:val="20"/>
          <w:lang w:val="es-US"/>
        </w:rPr>
        <w:t xml:space="preserve">En ese mismo sentido, tal como se mencionó en la recomendación 5, la Ley </w:t>
      </w:r>
      <w:proofErr w:type="spellStart"/>
      <w:r w:rsidR="00C11DAC" w:rsidRPr="00672AC2">
        <w:rPr>
          <w:szCs w:val="20"/>
          <w:lang w:val="es-US"/>
        </w:rPr>
        <w:t>Nº</w:t>
      </w:r>
      <w:proofErr w:type="spellEnd"/>
      <w:r w:rsidR="6455CFF6" w:rsidRPr="00672AC2">
        <w:rPr>
          <w:szCs w:val="20"/>
          <w:lang w:val="es-US"/>
        </w:rPr>
        <w:t xml:space="preserve"> 32181</w:t>
      </w:r>
      <w:r w:rsidR="00F36B41">
        <w:rPr>
          <w:rFonts w:ascii="ZWAdobeF" w:hAnsi="ZWAdobeF" w:cs="ZWAdobeF"/>
          <w:color w:val="auto"/>
          <w:sz w:val="2"/>
          <w:szCs w:val="2"/>
          <w:lang w:val="es-US"/>
        </w:rPr>
        <w:t>49F</w:t>
      </w:r>
      <w:r w:rsidR="005B081B" w:rsidRPr="00672AC2">
        <w:rPr>
          <w:rStyle w:val="FootnoteReference"/>
          <w:szCs w:val="20"/>
          <w:lang w:val="es-US"/>
        </w:rPr>
        <w:footnoteReference w:id="51"/>
      </w:r>
      <w:r w:rsidR="6455CFF6" w:rsidRPr="00672AC2">
        <w:rPr>
          <w:szCs w:val="20"/>
          <w:lang w:val="es-US"/>
        </w:rPr>
        <w:t xml:space="preserve">, aprobada en el 2024, impide </w:t>
      </w:r>
      <w:r w:rsidR="643A2487" w:rsidRPr="00672AC2">
        <w:rPr>
          <w:szCs w:val="20"/>
          <w:lang w:val="es-US"/>
        </w:rPr>
        <w:t xml:space="preserve">al </w:t>
      </w:r>
      <w:r w:rsidR="6455CFF6" w:rsidRPr="00672AC2">
        <w:rPr>
          <w:szCs w:val="20"/>
          <w:lang w:val="es-US"/>
        </w:rPr>
        <w:t xml:space="preserve">Ministerio Público, bajo responsabilidad funcional, solicitar </w:t>
      </w:r>
      <w:r w:rsidR="006867A9" w:rsidRPr="00672AC2">
        <w:rPr>
          <w:szCs w:val="20"/>
          <w:lang w:val="es-US"/>
        </w:rPr>
        <w:t xml:space="preserve">la </w:t>
      </w:r>
      <w:r w:rsidR="6455CFF6" w:rsidRPr="00672AC2">
        <w:rPr>
          <w:szCs w:val="20"/>
          <w:lang w:val="es-US"/>
        </w:rPr>
        <w:t>detención preliminar judicial o prisión preventiva contra el personal policial en situación de actividad cuando hace uso de sus armas o medios de defensa en forma reglamentaria, aunque se hayan generado lesiones o muertes a terceros.</w:t>
      </w:r>
      <w:r w:rsidR="7DCAB38C" w:rsidRPr="00672AC2">
        <w:rPr>
          <w:szCs w:val="20"/>
          <w:lang w:val="es-US"/>
        </w:rPr>
        <w:t xml:space="preserve"> </w:t>
      </w:r>
      <w:r w:rsidRPr="00672AC2">
        <w:rPr>
          <w:rFonts w:eastAsia="Calibri" w:cs="Calibri"/>
          <w:szCs w:val="20"/>
          <w:lang w:val="es-US"/>
        </w:rPr>
        <w:t>De acuerdo con lo expresado por sociedad civil, est</w:t>
      </w:r>
      <w:r w:rsidR="69EFB22A" w:rsidRPr="00672AC2">
        <w:rPr>
          <w:rFonts w:eastAsia="Calibri" w:cs="Calibri"/>
          <w:szCs w:val="20"/>
          <w:lang w:val="es-US"/>
        </w:rPr>
        <w:t>a medida</w:t>
      </w:r>
      <w:r w:rsidRPr="00672AC2">
        <w:rPr>
          <w:rFonts w:eastAsia="Calibri" w:cs="Calibri"/>
          <w:szCs w:val="20"/>
          <w:lang w:val="es-US"/>
        </w:rPr>
        <w:t xml:space="preserve"> </w:t>
      </w:r>
      <w:r w:rsidR="3B161554" w:rsidRPr="00672AC2">
        <w:rPr>
          <w:rFonts w:eastAsia="Calibri" w:cs="Calibri"/>
          <w:szCs w:val="20"/>
          <w:lang w:val="es-US"/>
        </w:rPr>
        <w:t>incide en</w:t>
      </w:r>
      <w:r w:rsidRPr="00672AC2">
        <w:rPr>
          <w:rFonts w:eastAsia="Calibri" w:cs="Calibri"/>
          <w:szCs w:val="20"/>
          <w:lang w:val="es-US"/>
        </w:rPr>
        <w:t xml:space="preserve"> la falta de mecanismos independientes y técnicamente capacitados para monitorear el uso de armas en operativos de control de protestas.</w:t>
      </w:r>
    </w:p>
    <w:p w14:paraId="7FC1819F" w14:textId="49830C7D" w:rsidR="005B081B" w:rsidRPr="00672AC2" w:rsidRDefault="005B081B" w:rsidP="00F955D1">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3D96BDB4" w14:textId="77777777" w:rsidR="005B081B" w:rsidRPr="00672AC2" w:rsidRDefault="005B081B" w:rsidP="005B081B">
      <w:pPr>
        <w:jc w:val="both"/>
        <w:rPr>
          <w:lang w:val="es-CO"/>
        </w:rPr>
      </w:pPr>
    </w:p>
    <w:p w14:paraId="5AF86F7E" w14:textId="3A28031B" w:rsidR="005B081B" w:rsidRPr="00DD4FEE" w:rsidRDefault="04C947FA" w:rsidP="00E83710">
      <w:pPr>
        <w:pStyle w:val="IAPrrafo"/>
        <w:rPr>
          <w:rFonts w:eastAsia="Cambria" w:cs="Cambria"/>
          <w:b/>
          <w:szCs w:val="20"/>
          <w:lang w:val="es-US" w:eastAsia="es-US"/>
        </w:rPr>
      </w:pPr>
      <w:r w:rsidRPr="00DD4FEE">
        <w:rPr>
          <w:rFonts w:eastAsia="Cambria" w:cs="Cambria"/>
          <w:szCs w:val="20"/>
          <w:lang w:val="es-US" w:eastAsia="es-US"/>
        </w:rPr>
        <w:t xml:space="preserve">En relación con el uso de la fuerza, </w:t>
      </w:r>
      <w:r w:rsidR="00152543" w:rsidRPr="00DD4FEE">
        <w:rPr>
          <w:rFonts w:eastAsia="Cambria" w:cs="Cambria"/>
          <w:szCs w:val="20"/>
          <w:lang w:val="es-US" w:eastAsia="es-US"/>
        </w:rPr>
        <w:t xml:space="preserve">el SIDH ha citado </w:t>
      </w:r>
      <w:r w:rsidR="00152543" w:rsidRPr="00DD4FEE">
        <w:rPr>
          <w:szCs w:val="20"/>
          <w:lang w:val="es-ES"/>
        </w:rPr>
        <w:t xml:space="preserve">los Principios Básicos sobre el Empleo de la Fuerza y de Armas de Fuego por los </w:t>
      </w:r>
      <w:proofErr w:type="gramStart"/>
      <w:r w:rsidR="00152543" w:rsidRPr="00DD4FEE">
        <w:rPr>
          <w:szCs w:val="20"/>
          <w:lang w:val="es-ES"/>
        </w:rPr>
        <w:t>Funcionarios</w:t>
      </w:r>
      <w:proofErr w:type="gramEnd"/>
      <w:r w:rsidR="00152543" w:rsidRPr="00DD4FEE">
        <w:rPr>
          <w:szCs w:val="20"/>
          <w:lang w:val="es-ES"/>
        </w:rPr>
        <w:t xml:space="preserve"> Encargados de Hacer Cumplir la Ley en el caso </w:t>
      </w:r>
      <w:proofErr w:type="spellStart"/>
      <w:r w:rsidR="00152543" w:rsidRPr="00DD4FEE">
        <w:rPr>
          <w:szCs w:val="20"/>
          <w:lang w:val="es-ES"/>
        </w:rPr>
        <w:t>Caso</w:t>
      </w:r>
      <w:proofErr w:type="spellEnd"/>
      <w:r w:rsidR="00152543" w:rsidRPr="00DD4FEE">
        <w:rPr>
          <w:szCs w:val="20"/>
          <w:lang w:val="es-ES"/>
        </w:rPr>
        <w:t xml:space="preserve"> Mujeres Víctimas de Tortura Sexual en Atenco </w:t>
      </w:r>
      <w:r w:rsidR="00152543" w:rsidRPr="00DD4FEE">
        <w:rPr>
          <w:szCs w:val="20"/>
          <w:lang w:val="es-MX"/>
        </w:rPr>
        <w:t>vs. México</w:t>
      </w:r>
      <w:r w:rsidR="00F36B41">
        <w:rPr>
          <w:rFonts w:ascii="ZWAdobeF" w:hAnsi="ZWAdobeF" w:cs="ZWAdobeF"/>
          <w:color w:val="auto"/>
          <w:sz w:val="2"/>
          <w:szCs w:val="2"/>
          <w:lang w:val="es-MX"/>
        </w:rPr>
        <w:t>50F</w:t>
      </w:r>
      <w:r w:rsidR="00152543" w:rsidRPr="00DD4FEE">
        <w:rPr>
          <w:rStyle w:val="FootnoteReference"/>
          <w:szCs w:val="20"/>
          <w:lang w:val="es-MX"/>
        </w:rPr>
        <w:footnoteReference w:id="52"/>
      </w:r>
      <w:r w:rsidR="00152543" w:rsidRPr="00DD4FEE">
        <w:rPr>
          <w:szCs w:val="20"/>
          <w:lang w:val="es-MX"/>
        </w:rPr>
        <w:t>. En ese sentido, señaló que los funcionarios encargados de hacer cumplir la ley se abstendrán de emplear las armas de fuego al dispersar reuniones “salvo en defensa propia o de otras personas, en caso de peligro inminente de muerte o lesiones graves, o con el propósito de evitar la comisión de un delito particularmente grave que entrañe una seria amenaza para la vida, o con el objeto de detener a una persona que represente ese peligro y oponga resistencia a su autoridad, o para impedir su fuga, y sólo en caso de que resulten insuficientes medidas menos extremas para lograr dichos objetivos”</w:t>
      </w:r>
      <w:r w:rsidR="00F36B41">
        <w:rPr>
          <w:rFonts w:ascii="ZWAdobeF" w:hAnsi="ZWAdobeF" w:cs="ZWAdobeF"/>
          <w:color w:val="auto"/>
          <w:sz w:val="2"/>
          <w:szCs w:val="2"/>
          <w:lang w:val="es-MX"/>
        </w:rPr>
        <w:t>51F</w:t>
      </w:r>
      <w:r w:rsidR="00152543" w:rsidRPr="00DD4FEE">
        <w:rPr>
          <w:rStyle w:val="FootnoteReference"/>
          <w:szCs w:val="20"/>
          <w:lang w:val="es-MX"/>
        </w:rPr>
        <w:footnoteReference w:id="53"/>
      </w:r>
      <w:r w:rsidR="00152543" w:rsidRPr="00DD4FEE">
        <w:rPr>
          <w:szCs w:val="20"/>
          <w:lang w:val="es-MX"/>
        </w:rPr>
        <w:t xml:space="preserve">. </w:t>
      </w:r>
      <w:r w:rsidR="009922E1" w:rsidRPr="00DD4FEE">
        <w:rPr>
          <w:szCs w:val="20"/>
          <w:lang w:val="es-MX"/>
        </w:rPr>
        <w:t>Al respecto</w:t>
      </w:r>
      <w:r w:rsidR="00152543" w:rsidRPr="00DD4FEE">
        <w:rPr>
          <w:szCs w:val="20"/>
          <w:lang w:val="es-MX"/>
        </w:rPr>
        <w:t>, considerando que el uso de armas letales constituye una excepción basada en la gravedad del impacto en derechos humanos del delito que se quiere evitar, y a la no existencia de otras medidas menos extremas;</w:t>
      </w:r>
      <w:r w:rsidR="00152543" w:rsidRPr="00DD4FEE">
        <w:rPr>
          <w:lang w:val="es-MX"/>
        </w:rPr>
        <w:t xml:space="preserve"> </w:t>
      </w:r>
      <w:r w:rsidRPr="00DD4FEE">
        <w:rPr>
          <w:rFonts w:eastAsia="Cambria" w:cs="Cambria"/>
          <w:szCs w:val="20"/>
          <w:lang w:val="es-US" w:eastAsia="es-US"/>
        </w:rPr>
        <w:t>la Comisión ha señalado que los Estados deben implementar mecanismos para prohibir, de manera efectiva, el uso de la fuerza letal como recursos en las manifestaciones públicas, y garantizar el uso adecuado y proporcionado de las armas menos letales, a través de la elaboración de protocolos de actuación claros y respetuosos de los estándares interamericanos en la materia</w:t>
      </w:r>
      <w:r w:rsidR="00F36B41">
        <w:rPr>
          <w:rFonts w:ascii="ZWAdobeF" w:eastAsia="Cambria" w:hAnsi="ZWAdobeF" w:cs="ZWAdobeF"/>
          <w:color w:val="auto"/>
          <w:sz w:val="2"/>
          <w:szCs w:val="2"/>
          <w:lang w:val="es-US" w:eastAsia="es-US"/>
        </w:rPr>
        <w:t>52F</w:t>
      </w:r>
      <w:r w:rsidR="005B081B" w:rsidRPr="00DD4FEE">
        <w:rPr>
          <w:rStyle w:val="FootnoteReference"/>
          <w:rFonts w:eastAsia="Cambria" w:cs="Cambria"/>
          <w:szCs w:val="20"/>
          <w:lang w:eastAsia="es-US"/>
        </w:rPr>
        <w:footnoteReference w:id="54"/>
      </w:r>
      <w:r w:rsidRPr="00DD4FEE">
        <w:rPr>
          <w:rFonts w:eastAsia="Cambria" w:cs="Cambria"/>
          <w:szCs w:val="20"/>
          <w:lang w:val="es-US" w:eastAsia="es-US"/>
        </w:rPr>
        <w:t>.</w:t>
      </w:r>
      <w:r w:rsidR="00C6B82B" w:rsidRPr="00DD4FEE">
        <w:rPr>
          <w:rFonts w:eastAsia="Cambria" w:cs="Cambria"/>
          <w:szCs w:val="20"/>
          <w:lang w:val="es-US" w:eastAsia="es-US"/>
        </w:rPr>
        <w:t xml:space="preserve"> Es por ello </w:t>
      </w:r>
      <w:proofErr w:type="gramStart"/>
      <w:r w:rsidR="00C6B82B" w:rsidRPr="00DD4FEE">
        <w:rPr>
          <w:rFonts w:eastAsia="Cambria" w:cs="Cambria"/>
          <w:szCs w:val="20"/>
          <w:lang w:val="es-US" w:eastAsia="es-US"/>
        </w:rPr>
        <w:t>que</w:t>
      </w:r>
      <w:proofErr w:type="gramEnd"/>
      <w:r w:rsidR="00C6B82B" w:rsidRPr="00DD4FEE">
        <w:rPr>
          <w:rFonts w:eastAsia="Cambria" w:cs="Cambria"/>
          <w:szCs w:val="20"/>
          <w:lang w:val="es-US" w:eastAsia="es-US"/>
        </w:rPr>
        <w:t xml:space="preserve"> la recomendación tiene por objetivo analizar todas las medidas normativas o de otra índole necesarias para excluir el uso de armas de fuego </w:t>
      </w:r>
      <w:r w:rsidR="140130A3" w:rsidRPr="00DD4FEE">
        <w:rPr>
          <w:rFonts w:eastAsia="Cambria" w:cs="Cambria"/>
          <w:szCs w:val="20"/>
          <w:lang w:val="es-US" w:eastAsia="es-US"/>
        </w:rPr>
        <w:t xml:space="preserve">para el control de las protestas sociales, es decir, aquellas dirigidas a </w:t>
      </w:r>
      <w:r w:rsidR="693F633A" w:rsidRPr="00DD4FEE">
        <w:rPr>
          <w:rFonts w:eastAsia="Cambria" w:cs="Cambria"/>
          <w:szCs w:val="20"/>
          <w:lang w:val="es-US" w:eastAsia="es-US"/>
        </w:rPr>
        <w:t>prevenir su uso, y a sancionar a aquellos agentes que las incumplan.</w:t>
      </w:r>
    </w:p>
    <w:p w14:paraId="12EB1012" w14:textId="0AB54850" w:rsidR="3E8EA542" w:rsidRPr="00CB307A" w:rsidRDefault="04C947FA" w:rsidP="00E83710">
      <w:pPr>
        <w:pStyle w:val="IAPrrafo"/>
        <w:rPr>
          <w:rFonts w:eastAsia="Cambria" w:cs="Cambria"/>
          <w:b/>
          <w:szCs w:val="20"/>
          <w:lang w:val="es-US" w:eastAsia="es-US"/>
        </w:rPr>
      </w:pPr>
      <w:r w:rsidRPr="00CB307A">
        <w:rPr>
          <w:rFonts w:eastAsia="Cambria" w:cs="Cambria"/>
          <w:szCs w:val="20"/>
          <w:lang w:val="es-CO" w:eastAsia="es-US"/>
        </w:rPr>
        <w:t>En es</w:t>
      </w:r>
      <w:r w:rsidR="00B42794" w:rsidRPr="00CB307A">
        <w:rPr>
          <w:rFonts w:eastAsia="Cambria" w:cs="Cambria"/>
          <w:szCs w:val="20"/>
          <w:lang w:val="es-CO" w:eastAsia="es-US"/>
        </w:rPr>
        <w:t>a</w:t>
      </w:r>
      <w:r w:rsidRPr="00CB307A">
        <w:rPr>
          <w:rFonts w:eastAsia="Cambria" w:cs="Cambria"/>
          <w:szCs w:val="20"/>
          <w:lang w:val="es-CO" w:eastAsia="es-US"/>
        </w:rPr>
        <w:t xml:space="preserve"> </w:t>
      </w:r>
      <w:r w:rsidR="00B42794" w:rsidRPr="00CB307A">
        <w:rPr>
          <w:rFonts w:eastAsia="Cambria" w:cs="Cambria"/>
          <w:szCs w:val="20"/>
          <w:lang w:val="es-CO" w:eastAsia="es-US"/>
        </w:rPr>
        <w:t>línea</w:t>
      </w:r>
      <w:r w:rsidRPr="00CB307A">
        <w:rPr>
          <w:rFonts w:eastAsia="Cambria" w:cs="Cambria"/>
          <w:szCs w:val="20"/>
          <w:lang w:val="es-CO" w:eastAsia="es-US"/>
        </w:rPr>
        <w:t>, la Comisión valora la adopción de la “</w:t>
      </w:r>
      <w:r w:rsidRPr="00291992">
        <w:rPr>
          <w:i/>
          <w:iCs/>
          <w:szCs w:val="20"/>
          <w:lang w:val="es-ES"/>
        </w:rPr>
        <w:t>Directiva para el uso adecuado de medios de policía no letales o menos letales en operaciones policiales de control, mantenimiento y restablecimiento del orden público</w:t>
      </w:r>
      <w:r w:rsidRPr="00CB307A">
        <w:rPr>
          <w:szCs w:val="20"/>
          <w:lang w:val="es-ES"/>
        </w:rPr>
        <w:t>”</w:t>
      </w:r>
      <w:r w:rsidRPr="00CB307A">
        <w:rPr>
          <w:rFonts w:eastAsia="Cambria" w:cs="Cambria"/>
          <w:szCs w:val="20"/>
          <w:lang w:val="es-CO" w:eastAsia="es-US"/>
        </w:rPr>
        <w:t xml:space="preserve"> la cual busca incidir para la exclusión de las armas de fuego </w:t>
      </w:r>
      <w:r w:rsidRPr="00CB307A">
        <w:rPr>
          <w:szCs w:val="20"/>
          <w:lang w:val="es-CO"/>
        </w:rPr>
        <w:t xml:space="preserve">de los dispositivos utilizados para el control de las protestas sociales. </w:t>
      </w:r>
      <w:r w:rsidR="7786BD0A" w:rsidRPr="00CB307A">
        <w:rPr>
          <w:szCs w:val="20"/>
          <w:lang w:val="es-CO"/>
        </w:rPr>
        <w:t>Sin embargo, el marco normativo aprobado</w:t>
      </w:r>
      <w:r w:rsidR="4B21D702" w:rsidRPr="00CB307A">
        <w:rPr>
          <w:szCs w:val="20"/>
          <w:lang w:val="es-CO"/>
        </w:rPr>
        <w:t xml:space="preserve"> (Ley </w:t>
      </w:r>
      <w:proofErr w:type="spellStart"/>
      <w:r w:rsidR="00C11DAC" w:rsidRPr="00CB307A">
        <w:rPr>
          <w:szCs w:val="20"/>
          <w:lang w:val="es-CO"/>
        </w:rPr>
        <w:t>Nº</w:t>
      </w:r>
      <w:proofErr w:type="spellEnd"/>
      <w:r w:rsidR="4B21D702" w:rsidRPr="00CB307A">
        <w:rPr>
          <w:szCs w:val="20"/>
          <w:lang w:val="es-CO"/>
        </w:rPr>
        <w:t xml:space="preserve"> 32181)</w:t>
      </w:r>
      <w:r w:rsidR="7786BD0A" w:rsidRPr="00CB307A">
        <w:rPr>
          <w:szCs w:val="20"/>
          <w:lang w:val="es-CO"/>
        </w:rPr>
        <w:t xml:space="preserve"> podría dificultar la adopción de medidas de sanción </w:t>
      </w:r>
      <w:r w:rsidR="737F6117" w:rsidRPr="00CB307A">
        <w:rPr>
          <w:szCs w:val="20"/>
          <w:lang w:val="es-CO"/>
        </w:rPr>
        <w:t>contra aquellos agentes que realicen un uso inadecuado de las armas de fuego</w:t>
      </w:r>
      <w:r w:rsidR="111E0457" w:rsidRPr="00CB307A">
        <w:rPr>
          <w:szCs w:val="20"/>
          <w:lang w:val="es-CO"/>
        </w:rPr>
        <w:t>.</w:t>
      </w:r>
      <w:r w:rsidR="737F6117" w:rsidRPr="00CB307A">
        <w:rPr>
          <w:szCs w:val="20"/>
          <w:lang w:val="es-CO"/>
        </w:rPr>
        <w:t xml:space="preserve"> </w:t>
      </w:r>
      <w:r w:rsidR="00993F44" w:rsidRPr="00CB307A">
        <w:rPr>
          <w:szCs w:val="20"/>
          <w:lang w:val="es-CO"/>
        </w:rPr>
        <w:t>En consecuencia</w:t>
      </w:r>
      <w:r w:rsidRPr="00CB307A">
        <w:rPr>
          <w:szCs w:val="20"/>
          <w:lang w:val="es-CO"/>
        </w:rPr>
        <w:t xml:space="preserve">, la Comisión considera que esta recomendación se encuentra </w:t>
      </w:r>
      <w:r w:rsidR="31796558" w:rsidRPr="00CB307A">
        <w:rPr>
          <w:bCs/>
          <w:szCs w:val="20"/>
          <w:lang w:val="es-CO"/>
        </w:rPr>
        <w:t>pendiente de cumplimiento</w:t>
      </w:r>
      <w:r w:rsidR="00CE72F6" w:rsidRPr="00CB307A">
        <w:rPr>
          <w:bCs/>
          <w:szCs w:val="20"/>
          <w:lang w:val="es-CO"/>
        </w:rPr>
        <w:t>.</w:t>
      </w:r>
    </w:p>
    <w:p w14:paraId="52E854C9" w14:textId="2BACD4B4" w:rsidR="005B081B" w:rsidRPr="00672AC2" w:rsidRDefault="005B081B" w:rsidP="00291992">
      <w:pPr>
        <w:ind w:firstLine="720"/>
        <w:jc w:val="both"/>
        <w:rPr>
          <w:lang w:val="es-US"/>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36097E48" w14:textId="77777777" w:rsidR="005B081B" w:rsidRPr="00672AC2" w:rsidRDefault="005B081B" w:rsidP="005B081B">
      <w:pPr>
        <w:ind w:firstLine="360"/>
        <w:jc w:val="both"/>
        <w:rPr>
          <w:lang w:val="es-CO"/>
        </w:rPr>
      </w:pPr>
    </w:p>
    <w:p w14:paraId="253E7323" w14:textId="2C0C0138" w:rsidR="005B081B" w:rsidRPr="00672AC2" w:rsidRDefault="04C947FA" w:rsidP="00E83710">
      <w:pPr>
        <w:pStyle w:val="IAPrrafo"/>
        <w:rPr>
          <w:rFonts w:eastAsia="Cambria" w:cs="Cambria"/>
          <w:b/>
          <w:szCs w:val="20"/>
          <w:lang w:val="es-CO" w:eastAsia="es-US"/>
        </w:rPr>
      </w:pPr>
      <w:r w:rsidRPr="00672AC2">
        <w:rPr>
          <w:szCs w:val="20"/>
          <w:lang w:val="es-US"/>
        </w:rPr>
        <w:t xml:space="preserve">La CIDH declarará un avance en el nivel de cumplimiento de esta recomendación cuando el Estado presente medidas que se hayan adoptado para prohibir el uso de armas de fuego en el uso de la fuerza en el contexto de conflictos sociales, considerando los hechos y denuncias en el marco de los hechos recogidos por el Informe de País. </w:t>
      </w:r>
      <w:r w:rsidR="2E9DDB39" w:rsidRPr="00672AC2">
        <w:rPr>
          <w:szCs w:val="20"/>
          <w:lang w:val="es-US"/>
        </w:rPr>
        <w:t>E</w:t>
      </w:r>
      <w:r w:rsidRPr="00672AC2">
        <w:rPr>
          <w:szCs w:val="20"/>
          <w:lang w:val="es-US"/>
        </w:rPr>
        <w:t xml:space="preserve">stas medidas deben estar dirigidas a generar mecanismos de sanción a aquellos agentes que las utilicen, </w:t>
      </w:r>
      <w:r w:rsidRPr="00672AC2">
        <w:rPr>
          <w:rFonts w:eastAsia="Cambria" w:cs="Cambria"/>
          <w:szCs w:val="20"/>
          <w:lang w:val="es-CO" w:eastAsia="es-US"/>
        </w:rPr>
        <w:t>que permitan identificar la cadena de mando y ejecución de este tipo de órdenes dentro de las instituciones de seguridad, de ser el caso</w:t>
      </w:r>
      <w:r w:rsidR="00F36B41">
        <w:rPr>
          <w:rFonts w:ascii="ZWAdobeF" w:eastAsia="Cambria" w:hAnsi="ZWAdobeF" w:cs="ZWAdobeF"/>
          <w:color w:val="auto"/>
          <w:sz w:val="2"/>
          <w:szCs w:val="2"/>
          <w:lang w:val="es-CO" w:eastAsia="es-US"/>
        </w:rPr>
        <w:t>53F</w:t>
      </w:r>
      <w:r w:rsidR="005B081B" w:rsidRPr="00672AC2">
        <w:rPr>
          <w:rStyle w:val="FootnoteReference"/>
          <w:rFonts w:eastAsia="Cambria" w:cs="Cambria"/>
          <w:szCs w:val="20"/>
          <w:lang w:val="es-CO" w:eastAsia="es-US"/>
        </w:rPr>
        <w:footnoteReference w:id="55"/>
      </w:r>
      <w:r w:rsidRPr="00672AC2">
        <w:rPr>
          <w:rFonts w:eastAsia="Cambria" w:cs="Cambria"/>
          <w:szCs w:val="20"/>
          <w:lang w:val="es-CO" w:eastAsia="es-US"/>
        </w:rPr>
        <w:t>.</w:t>
      </w:r>
      <w:r w:rsidR="4674600A" w:rsidRPr="00672AC2">
        <w:rPr>
          <w:rFonts w:eastAsia="Cambria" w:cs="Cambria"/>
          <w:szCs w:val="20"/>
          <w:lang w:val="es-CO" w:eastAsia="es-US"/>
        </w:rPr>
        <w:t xml:space="preserve"> Para ello, la CIDH queda atenta a la implementación que se le pueda dar a la Ley </w:t>
      </w:r>
      <w:proofErr w:type="spellStart"/>
      <w:r w:rsidR="00C11DAC" w:rsidRPr="00672AC2">
        <w:rPr>
          <w:rFonts w:eastAsia="Cambria" w:cs="Cambria"/>
          <w:szCs w:val="20"/>
          <w:lang w:val="es-CO" w:eastAsia="es-US"/>
        </w:rPr>
        <w:t>Nº</w:t>
      </w:r>
      <w:proofErr w:type="spellEnd"/>
      <w:r w:rsidR="4674600A" w:rsidRPr="00672AC2">
        <w:rPr>
          <w:rFonts w:eastAsia="Cambria" w:cs="Cambria"/>
          <w:szCs w:val="20"/>
          <w:lang w:val="es-CO" w:eastAsia="es-US"/>
        </w:rPr>
        <w:t xml:space="preserve"> 32181 acorde con el marco nacional e internacional correspondiente sobre uso de la fuerza y el derecho a la protesta.</w:t>
      </w:r>
    </w:p>
    <w:p w14:paraId="67D3DD87" w14:textId="77777777" w:rsidR="005B081B" w:rsidRPr="00672AC2" w:rsidRDefault="005B081B" w:rsidP="005B081B">
      <w:pPr>
        <w:pStyle w:val="IASubttulo2"/>
        <w:numPr>
          <w:ilvl w:val="0"/>
          <w:numId w:val="0"/>
        </w:numPr>
        <w:spacing w:after="0"/>
        <w:jc w:val="both"/>
        <w:rPr>
          <w:rFonts w:eastAsia="Calibri" w:cs="Times New Roman"/>
          <w:b w:val="0"/>
          <w:bCs/>
          <w:sz w:val="18"/>
          <w:szCs w:val="18"/>
          <w:lang w:val="es-419"/>
        </w:rPr>
      </w:pPr>
    </w:p>
    <w:tbl>
      <w:tblPr>
        <w:tblStyle w:val="TableGrid"/>
        <w:tblW w:w="0" w:type="auto"/>
        <w:tblLook w:val="04A0" w:firstRow="1" w:lastRow="0" w:firstColumn="1" w:lastColumn="0" w:noHBand="0" w:noVBand="1"/>
      </w:tblPr>
      <w:tblGrid>
        <w:gridCol w:w="9350"/>
      </w:tblGrid>
      <w:tr w:rsidR="005B081B" w:rsidRPr="00F51AED" w14:paraId="46BCF904" w14:textId="77777777">
        <w:tc>
          <w:tcPr>
            <w:tcW w:w="9350" w:type="dxa"/>
            <w:tcBorders>
              <w:top w:val="nil"/>
              <w:left w:val="nil"/>
              <w:bottom w:val="nil"/>
              <w:right w:val="nil"/>
            </w:tcBorders>
            <w:shd w:val="clear" w:color="auto" w:fill="D9D9D9" w:themeFill="background1" w:themeFillShade="D9"/>
          </w:tcPr>
          <w:p w14:paraId="36BFBE52" w14:textId="6C1C5D65" w:rsidR="005B081B" w:rsidRPr="00672AC2" w:rsidRDefault="005B081B">
            <w:pPr>
              <w:suppressAutoHyphens w:val="0"/>
              <w:jc w:val="both"/>
              <w:rPr>
                <w:sz w:val="20"/>
                <w:szCs w:val="20"/>
                <w:lang w:val="es-CO"/>
              </w:rPr>
            </w:pPr>
            <w:r w:rsidRPr="00672AC2">
              <w:rPr>
                <w:b/>
                <w:bCs/>
                <w:sz w:val="20"/>
                <w:szCs w:val="20"/>
                <w:lang w:val="es-CO"/>
              </w:rPr>
              <w:t xml:space="preserve">Recomendación </w:t>
            </w:r>
            <w:proofErr w:type="spellStart"/>
            <w:r w:rsidR="00C11DAC" w:rsidRPr="00672AC2">
              <w:rPr>
                <w:b/>
                <w:bCs/>
                <w:sz w:val="20"/>
                <w:szCs w:val="20"/>
                <w:lang w:val="es-CO"/>
              </w:rPr>
              <w:t>Nº</w:t>
            </w:r>
            <w:proofErr w:type="spellEnd"/>
            <w:r w:rsidRPr="00672AC2">
              <w:rPr>
                <w:b/>
                <w:bCs/>
                <w:sz w:val="20"/>
                <w:szCs w:val="20"/>
                <w:lang w:val="es-CO"/>
              </w:rPr>
              <w:t xml:space="preserve"> 7. </w:t>
            </w:r>
            <w:r w:rsidRPr="00672AC2">
              <w:rPr>
                <w:sz w:val="20"/>
                <w:szCs w:val="20"/>
                <w:lang w:val="es-CO"/>
              </w:rPr>
              <w:t>Adoptar las medidas normativas o de fortalecimiento institucional necesarias para garantizar que el mantenimiento del orden público interno y la seguridad ciudadana esté primariamente reservado a los cuerpos de seguridad civiles.</w:t>
            </w:r>
          </w:p>
          <w:p w14:paraId="74F513E5" w14:textId="77777777" w:rsidR="005B081B" w:rsidRPr="00672AC2" w:rsidRDefault="005B081B">
            <w:pPr>
              <w:suppressAutoHyphens w:val="0"/>
              <w:jc w:val="both"/>
              <w:rPr>
                <w:sz w:val="20"/>
                <w:szCs w:val="20"/>
                <w:lang w:val="es-CO"/>
              </w:rPr>
            </w:pPr>
          </w:p>
          <w:p w14:paraId="726924FD" w14:textId="596BEB1E" w:rsidR="005B081B" w:rsidRPr="00291992" w:rsidRDefault="005B081B">
            <w:pPr>
              <w:suppressAutoHyphens w:val="0"/>
              <w:jc w:val="both"/>
              <w:rPr>
                <w:sz w:val="20"/>
                <w:szCs w:val="20"/>
                <w:lang w:val="es-CO"/>
              </w:rPr>
            </w:pPr>
            <w:r w:rsidRPr="00672AC2">
              <w:rPr>
                <w:rFonts w:eastAsia="Cambria" w:cs="Cambria"/>
                <w:b/>
                <w:bCs/>
                <w:sz w:val="20"/>
                <w:szCs w:val="20"/>
                <w:lang w:val="es-419" w:eastAsia="es-US"/>
              </w:rPr>
              <w:t xml:space="preserve">Recomendación </w:t>
            </w:r>
            <w:proofErr w:type="spellStart"/>
            <w:r w:rsidR="00C11DAC" w:rsidRPr="00672AC2">
              <w:rPr>
                <w:rFonts w:eastAsia="Cambria" w:cs="Cambria"/>
                <w:b/>
                <w:bCs/>
                <w:sz w:val="20"/>
                <w:szCs w:val="20"/>
                <w:lang w:val="es-419" w:eastAsia="es-US"/>
              </w:rPr>
              <w:t>Nº</w:t>
            </w:r>
            <w:proofErr w:type="spellEnd"/>
            <w:r w:rsidRPr="00672AC2">
              <w:rPr>
                <w:rFonts w:eastAsia="Cambria" w:cs="Cambria"/>
                <w:b/>
                <w:bCs/>
                <w:sz w:val="20"/>
                <w:szCs w:val="20"/>
                <w:lang w:val="es-419" w:eastAsia="es-US"/>
              </w:rPr>
              <w:t xml:space="preserve"> 8. </w:t>
            </w:r>
            <w:proofErr w:type="gramStart"/>
            <w:r w:rsidRPr="00672AC2">
              <w:rPr>
                <w:sz w:val="20"/>
                <w:szCs w:val="20"/>
                <w:lang w:val="es-CO"/>
              </w:rPr>
              <w:t>Asegurar</w:t>
            </w:r>
            <w:proofErr w:type="gramEnd"/>
            <w:r w:rsidRPr="00672AC2">
              <w:rPr>
                <w:sz w:val="20"/>
                <w:szCs w:val="20"/>
                <w:lang w:val="es-CO"/>
              </w:rPr>
              <w:t xml:space="preserve"> que la participación de las fuerzas armadas en tareas de seguridad sea extraordinaria, subordinada y complementaria a las labores de las autoridades civiles. De igual manera, adoptar las medidas normativas o de fortalecimiento institucional para asegurar que esta participación sea regulada y fiscalizada por órganos civiles competentes, independientes y técnicamente capaces.</w:t>
            </w:r>
          </w:p>
        </w:tc>
      </w:tr>
    </w:tbl>
    <w:p w14:paraId="3773BCCF" w14:textId="77777777" w:rsidR="00ED5E6C" w:rsidRPr="00672AC2" w:rsidRDefault="00ED5E6C" w:rsidP="005B081B">
      <w:pPr>
        <w:shd w:val="clear" w:color="auto" w:fill="FFFFFF" w:themeFill="background1"/>
        <w:suppressAutoHyphens w:val="0"/>
        <w:jc w:val="both"/>
        <w:rPr>
          <w:rFonts w:eastAsia="Cambria" w:cs="Cambria"/>
          <w:b/>
          <w:bCs/>
          <w:sz w:val="20"/>
          <w:szCs w:val="20"/>
          <w:lang w:val="es-419" w:eastAsia="es-US"/>
        </w:rPr>
      </w:pPr>
    </w:p>
    <w:p w14:paraId="0980B1B6" w14:textId="77777777" w:rsidR="00D602E9" w:rsidRDefault="00D602E9" w:rsidP="00291992">
      <w:pPr>
        <w:pBdr>
          <w:top w:val="nil"/>
          <w:left w:val="nil"/>
          <w:bottom w:val="nil"/>
          <w:right w:val="nil"/>
          <w:between w:val="nil"/>
        </w:pBdr>
        <w:ind w:firstLine="720"/>
        <w:jc w:val="both"/>
        <w:rPr>
          <w:rFonts w:eastAsia="Cambria" w:cs="Cambria"/>
          <w:i/>
          <w:iCs/>
          <w:color w:val="000000" w:themeColor="text1"/>
          <w:sz w:val="20"/>
          <w:szCs w:val="20"/>
          <w:lang w:val="es-ES"/>
        </w:rPr>
      </w:pPr>
    </w:p>
    <w:p w14:paraId="6E2C1457" w14:textId="77777777" w:rsidR="00D602E9" w:rsidRDefault="00D602E9" w:rsidP="00291992">
      <w:pPr>
        <w:pBdr>
          <w:top w:val="nil"/>
          <w:left w:val="nil"/>
          <w:bottom w:val="nil"/>
          <w:right w:val="nil"/>
          <w:between w:val="nil"/>
        </w:pBdr>
        <w:ind w:firstLine="720"/>
        <w:jc w:val="both"/>
        <w:rPr>
          <w:rFonts w:eastAsia="Cambria" w:cs="Cambria"/>
          <w:i/>
          <w:iCs/>
          <w:color w:val="000000" w:themeColor="text1"/>
          <w:sz w:val="20"/>
          <w:szCs w:val="20"/>
          <w:lang w:val="es-ES"/>
        </w:rPr>
      </w:pPr>
    </w:p>
    <w:p w14:paraId="45C539F3" w14:textId="292E3ECD" w:rsidR="005B081B" w:rsidRPr="00672AC2" w:rsidRDefault="005B081B" w:rsidP="00291992">
      <w:pPr>
        <w:pBdr>
          <w:top w:val="nil"/>
          <w:left w:val="nil"/>
          <w:bottom w:val="nil"/>
          <w:right w:val="nil"/>
          <w:between w:val="nil"/>
        </w:pBdr>
        <w:ind w:firstLine="720"/>
        <w:jc w:val="both"/>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3A4CF645" w14:textId="77777777" w:rsidR="005B081B" w:rsidRPr="00672AC2" w:rsidRDefault="005B081B" w:rsidP="005B081B">
      <w:pPr>
        <w:shd w:val="clear" w:color="auto" w:fill="FFFFFF" w:themeFill="background1"/>
        <w:suppressAutoHyphens w:val="0"/>
        <w:jc w:val="both"/>
        <w:rPr>
          <w:rFonts w:eastAsia="Cambria" w:cs="Cambria"/>
          <w:sz w:val="20"/>
          <w:szCs w:val="20"/>
          <w:lang w:val="es-419" w:eastAsia="es-US"/>
        </w:rPr>
      </w:pPr>
    </w:p>
    <w:p w14:paraId="35908A7C" w14:textId="4965B48A" w:rsidR="005B081B" w:rsidRPr="00672AC2" w:rsidRDefault="04C947FA" w:rsidP="00E83710">
      <w:pPr>
        <w:pStyle w:val="IAPrrafo"/>
        <w:rPr>
          <w:rFonts w:eastAsia="Cambria" w:cs="Cambria"/>
          <w:b/>
          <w:bCs/>
          <w:szCs w:val="20"/>
          <w:lang w:val="es-US" w:eastAsia="es-US"/>
        </w:rPr>
      </w:pPr>
      <w:r w:rsidRPr="00672AC2">
        <w:rPr>
          <w:rFonts w:eastAsia="Cambria" w:cs="Cambria"/>
          <w:szCs w:val="20"/>
          <w:lang w:eastAsia="es-US"/>
        </w:rPr>
        <w:t>En el 2024, el Estado informó que la Constitución Política del Perú establece que la Policía Nacional tiene por finalidad garantizar, mantener y restablecer el orden interno</w:t>
      </w:r>
      <w:r w:rsidR="00F36B41">
        <w:rPr>
          <w:rFonts w:ascii="ZWAdobeF" w:eastAsia="Cambria" w:hAnsi="ZWAdobeF" w:cs="ZWAdobeF"/>
          <w:color w:val="auto"/>
          <w:sz w:val="2"/>
          <w:szCs w:val="2"/>
          <w:lang w:eastAsia="es-US"/>
        </w:rPr>
        <w:t>54F</w:t>
      </w:r>
      <w:r w:rsidR="005B081B" w:rsidRPr="00672AC2">
        <w:rPr>
          <w:rStyle w:val="FootnoteReference"/>
          <w:rFonts w:eastAsia="Cambria" w:cs="Cambria"/>
          <w:szCs w:val="20"/>
          <w:lang w:eastAsia="es-US"/>
        </w:rPr>
        <w:footnoteReference w:id="56"/>
      </w:r>
      <w:r w:rsidRPr="00672AC2">
        <w:rPr>
          <w:rFonts w:eastAsia="Cambria" w:cs="Cambria"/>
          <w:szCs w:val="20"/>
          <w:lang w:eastAsia="es-US"/>
        </w:rPr>
        <w:t>, y que las Fuerzas Armadas solo pueden actuar en el control del orden interno en apoyo a la Policía Nacional, cuando lo dispone la Presidencia de la República mediante la declaratoria de un Estado de Excepción</w:t>
      </w:r>
      <w:r w:rsidR="00F36B41">
        <w:rPr>
          <w:rFonts w:ascii="ZWAdobeF" w:eastAsia="Cambria" w:hAnsi="ZWAdobeF" w:cs="ZWAdobeF"/>
          <w:color w:val="auto"/>
          <w:sz w:val="2"/>
          <w:szCs w:val="2"/>
          <w:lang w:eastAsia="es-US"/>
        </w:rPr>
        <w:t>55F</w:t>
      </w:r>
      <w:r w:rsidR="005B081B" w:rsidRPr="00672AC2">
        <w:rPr>
          <w:rStyle w:val="FootnoteReference"/>
          <w:rFonts w:eastAsia="Cambria" w:cs="Cambria"/>
          <w:szCs w:val="20"/>
          <w:lang w:eastAsia="es-US"/>
        </w:rPr>
        <w:footnoteReference w:id="57"/>
      </w:r>
      <w:r w:rsidRPr="00672AC2">
        <w:rPr>
          <w:rFonts w:eastAsia="Cambria" w:cs="Cambria"/>
          <w:szCs w:val="20"/>
          <w:lang w:eastAsia="es-US"/>
        </w:rPr>
        <w:t xml:space="preserve">. Por lo anterior, el Estado afirmó que la participación de las Fuerzas Armadas en el control del orden interno constituye una medida excepcional y de última </w:t>
      </w:r>
      <w:r w:rsidRPr="00672AC2">
        <w:rPr>
          <w:rFonts w:eastAsia="Cambria" w:cs="Cambria"/>
          <w:i/>
          <w:iCs/>
          <w:szCs w:val="20"/>
          <w:lang w:eastAsia="es-US"/>
        </w:rPr>
        <w:t>ratio</w:t>
      </w:r>
      <w:r w:rsidRPr="00672AC2">
        <w:rPr>
          <w:rFonts w:eastAsia="Cambria" w:cs="Cambria"/>
          <w:szCs w:val="20"/>
          <w:lang w:eastAsia="es-US"/>
        </w:rPr>
        <w:t>.</w:t>
      </w:r>
    </w:p>
    <w:p w14:paraId="051D9396" w14:textId="5DCBF736" w:rsidR="005B081B" w:rsidRPr="00672AC2" w:rsidRDefault="04C947FA" w:rsidP="00E83710">
      <w:pPr>
        <w:pStyle w:val="IAPrrafo"/>
        <w:rPr>
          <w:rFonts w:eastAsia="Cambria" w:cs="Cambria"/>
          <w:b/>
          <w:szCs w:val="20"/>
          <w:lang w:val="es-US" w:eastAsia="es-US"/>
        </w:rPr>
      </w:pPr>
      <w:r w:rsidRPr="00672AC2">
        <w:rPr>
          <w:rFonts w:eastAsia="Cambria" w:cs="Cambria"/>
          <w:szCs w:val="20"/>
          <w:lang w:eastAsia="es-US"/>
        </w:rPr>
        <w:t xml:space="preserve">Además, </w:t>
      </w:r>
      <w:r w:rsidR="00043B8E" w:rsidRPr="00672AC2">
        <w:rPr>
          <w:rFonts w:eastAsia="Cambria" w:cs="Cambria"/>
          <w:szCs w:val="20"/>
          <w:lang w:eastAsia="es-US"/>
        </w:rPr>
        <w:t>Perú</w:t>
      </w:r>
      <w:r w:rsidR="00AA0BA5" w:rsidRPr="00672AC2">
        <w:rPr>
          <w:rFonts w:eastAsia="Cambria" w:cs="Cambria"/>
          <w:szCs w:val="20"/>
          <w:lang w:eastAsia="es-US"/>
        </w:rPr>
        <w:t xml:space="preserve"> </w:t>
      </w:r>
      <w:r w:rsidR="00CF747C" w:rsidRPr="00672AC2">
        <w:rPr>
          <w:rFonts w:eastAsia="Cambria" w:cs="Cambria"/>
          <w:szCs w:val="20"/>
          <w:lang w:eastAsia="es-US"/>
        </w:rPr>
        <w:t xml:space="preserve">resaltó </w:t>
      </w:r>
      <w:r w:rsidRPr="00672AC2">
        <w:rPr>
          <w:rFonts w:eastAsia="Cambria" w:cs="Cambria"/>
          <w:szCs w:val="20"/>
          <w:lang w:eastAsia="es-US"/>
        </w:rPr>
        <w:t xml:space="preserve">la creación </w:t>
      </w:r>
      <w:r w:rsidRPr="00672AC2">
        <w:rPr>
          <w:szCs w:val="20"/>
          <w:lang w:val="es-ES"/>
        </w:rPr>
        <w:t xml:space="preserve">de la “Comisión Multisectorial de Naturaleza Temporal encargada del seguimiento de la implementación del Decreto Legislativo </w:t>
      </w:r>
      <w:proofErr w:type="spellStart"/>
      <w:r w:rsidR="00824795" w:rsidRPr="00672AC2">
        <w:rPr>
          <w:szCs w:val="20"/>
          <w:lang w:val="es-ES"/>
        </w:rPr>
        <w:t>Nº</w:t>
      </w:r>
      <w:proofErr w:type="spellEnd"/>
      <w:r w:rsidRPr="00672AC2">
        <w:rPr>
          <w:szCs w:val="20"/>
          <w:lang w:val="es-ES"/>
        </w:rPr>
        <w:t xml:space="preserve"> 1095 y su Reglamento”</w:t>
      </w:r>
      <w:r w:rsidR="00F36B41">
        <w:rPr>
          <w:rFonts w:ascii="ZWAdobeF" w:hAnsi="ZWAdobeF" w:cs="ZWAdobeF"/>
          <w:color w:val="auto"/>
          <w:sz w:val="2"/>
          <w:szCs w:val="2"/>
          <w:lang w:val="es-ES"/>
        </w:rPr>
        <w:t>56F</w:t>
      </w:r>
      <w:r w:rsidR="005B081B" w:rsidRPr="00672AC2">
        <w:rPr>
          <w:rStyle w:val="FootnoteReference"/>
          <w:szCs w:val="20"/>
          <w:lang w:val="es-ES"/>
        </w:rPr>
        <w:footnoteReference w:id="58"/>
      </w:r>
      <w:r w:rsidR="3C275C46" w:rsidRPr="00672AC2">
        <w:rPr>
          <w:szCs w:val="20"/>
          <w:lang w:val="es-ES"/>
        </w:rPr>
        <w:t xml:space="preserve">, </w:t>
      </w:r>
      <w:r w:rsidR="00EA13E8" w:rsidRPr="00672AC2">
        <w:rPr>
          <w:szCs w:val="20"/>
          <w:lang w:val="es-ES"/>
        </w:rPr>
        <w:t>en la que participan distintos sectores del Poder Ejecutivo, la Policía Nacional y de las Fuerzas Armadas, y tiene como función</w:t>
      </w:r>
      <w:r w:rsidRPr="00672AC2">
        <w:rPr>
          <w:szCs w:val="20"/>
          <w:lang w:val="es-ES"/>
        </w:rPr>
        <w:t xml:space="preserve"> </w:t>
      </w:r>
      <w:r w:rsidR="00EA13E8" w:rsidRPr="00672AC2">
        <w:rPr>
          <w:szCs w:val="20"/>
          <w:lang w:val="es-ES"/>
        </w:rPr>
        <w:t>proponer y recomendar medidas y acciones específicas para su implementación, y realizar su seguimiento</w:t>
      </w:r>
      <w:r w:rsidRPr="00672AC2">
        <w:rPr>
          <w:rFonts w:eastAsia="Cambria" w:cs="Cambria"/>
          <w:szCs w:val="20"/>
          <w:lang w:eastAsia="es-US"/>
        </w:rPr>
        <w:t>.</w:t>
      </w:r>
    </w:p>
    <w:p w14:paraId="5AB3A17B" w14:textId="75A23533" w:rsidR="005B081B" w:rsidRPr="009C2005" w:rsidRDefault="14CB791D" w:rsidP="00E83710">
      <w:pPr>
        <w:pStyle w:val="IAPrrafo"/>
        <w:rPr>
          <w:rFonts w:eastAsia="Cambria" w:cs="Cambria"/>
          <w:b/>
          <w:szCs w:val="20"/>
          <w:lang w:val="es-US" w:eastAsia="es-US"/>
        </w:rPr>
      </w:pPr>
      <w:r w:rsidRPr="00672AC2">
        <w:rPr>
          <w:szCs w:val="20"/>
          <w:lang w:val="es-US"/>
        </w:rPr>
        <w:t>E</w:t>
      </w:r>
      <w:r w:rsidR="04C947FA" w:rsidRPr="00672AC2">
        <w:rPr>
          <w:szCs w:val="20"/>
          <w:lang w:val="es-US"/>
        </w:rPr>
        <w:t xml:space="preserve">l Estado comunicó </w:t>
      </w:r>
      <w:r w:rsidR="00AA0BA5" w:rsidRPr="00672AC2">
        <w:rPr>
          <w:szCs w:val="20"/>
          <w:lang w:val="es-US"/>
        </w:rPr>
        <w:t xml:space="preserve">asimismo </w:t>
      </w:r>
      <w:r w:rsidR="04C947FA" w:rsidRPr="00672AC2">
        <w:rPr>
          <w:szCs w:val="20"/>
          <w:lang w:val="es-US"/>
        </w:rPr>
        <w:t>sobre la aprobación en el 2023 de distintas normas que fortalecen el rol de la Policía Nacional del Perú</w:t>
      </w:r>
      <w:r w:rsidR="00F36B41">
        <w:rPr>
          <w:rFonts w:ascii="ZWAdobeF" w:hAnsi="ZWAdobeF" w:cs="ZWAdobeF"/>
          <w:color w:val="auto"/>
          <w:sz w:val="2"/>
          <w:szCs w:val="2"/>
          <w:lang w:val="es-US"/>
        </w:rPr>
        <w:t>57F</w:t>
      </w:r>
      <w:r w:rsidR="005B081B" w:rsidRPr="00672AC2">
        <w:rPr>
          <w:rStyle w:val="FootnoteReference"/>
          <w:szCs w:val="20"/>
          <w:lang w:val="es-US"/>
        </w:rPr>
        <w:footnoteReference w:id="59"/>
      </w:r>
      <w:r w:rsidR="04C947FA" w:rsidRPr="00672AC2">
        <w:rPr>
          <w:szCs w:val="20"/>
          <w:lang w:val="es-US"/>
        </w:rPr>
        <w:t xml:space="preserve">: i) </w:t>
      </w:r>
      <w:r w:rsidR="00AA0BA5" w:rsidRPr="00672AC2">
        <w:rPr>
          <w:szCs w:val="20"/>
          <w:lang w:val="es-US"/>
        </w:rPr>
        <w:t xml:space="preserve">el </w:t>
      </w:r>
      <w:r w:rsidR="04C947FA" w:rsidRPr="00672AC2">
        <w:rPr>
          <w:szCs w:val="20"/>
          <w:lang w:val="es-ES"/>
        </w:rPr>
        <w:t xml:space="preserve">Decreto Legislativo </w:t>
      </w:r>
      <w:proofErr w:type="spellStart"/>
      <w:r w:rsidR="00824795" w:rsidRPr="00672AC2">
        <w:rPr>
          <w:szCs w:val="20"/>
          <w:lang w:val="es-ES"/>
        </w:rPr>
        <w:t>Nº</w:t>
      </w:r>
      <w:proofErr w:type="spellEnd"/>
      <w:r w:rsidR="04C947FA" w:rsidRPr="00672AC2">
        <w:rPr>
          <w:szCs w:val="20"/>
          <w:lang w:val="es-ES"/>
        </w:rPr>
        <w:t xml:space="preserve"> 1604</w:t>
      </w:r>
      <w:r w:rsidR="00DC0F6D" w:rsidRPr="00672AC2">
        <w:rPr>
          <w:szCs w:val="20"/>
          <w:lang w:val="es-ES"/>
        </w:rPr>
        <w:t>,</w:t>
      </w:r>
      <w:r w:rsidR="04C947FA" w:rsidRPr="00672AC2">
        <w:rPr>
          <w:szCs w:val="20"/>
          <w:lang w:val="es-ES"/>
        </w:rPr>
        <w:t xml:space="preserve"> que modifica el Decreto Legislativo </w:t>
      </w:r>
      <w:proofErr w:type="spellStart"/>
      <w:r w:rsidR="00824795" w:rsidRPr="00672AC2">
        <w:rPr>
          <w:szCs w:val="20"/>
          <w:lang w:val="es-ES"/>
        </w:rPr>
        <w:t>Nº</w:t>
      </w:r>
      <w:proofErr w:type="spellEnd"/>
      <w:r w:rsidR="04C947FA" w:rsidRPr="00672AC2">
        <w:rPr>
          <w:szCs w:val="20"/>
          <w:lang w:val="es-ES"/>
        </w:rPr>
        <w:t xml:space="preserve"> 1267, Ley de la Policía Nacional del Perú</w:t>
      </w:r>
      <w:r w:rsidR="00F36B41">
        <w:rPr>
          <w:rFonts w:ascii="ZWAdobeF" w:hAnsi="ZWAdobeF" w:cs="ZWAdobeF"/>
          <w:color w:val="auto"/>
          <w:sz w:val="2"/>
          <w:szCs w:val="2"/>
          <w:lang w:val="es-ES"/>
        </w:rPr>
        <w:t>58F</w:t>
      </w:r>
      <w:r w:rsidR="005B081B" w:rsidRPr="00672AC2">
        <w:rPr>
          <w:rStyle w:val="FootnoteReference"/>
          <w:szCs w:val="20"/>
          <w:lang w:val="es-ES"/>
        </w:rPr>
        <w:footnoteReference w:id="60"/>
      </w:r>
      <w:r w:rsidR="04C947FA" w:rsidRPr="00672AC2">
        <w:rPr>
          <w:szCs w:val="20"/>
          <w:lang w:val="es-ES"/>
        </w:rPr>
        <w:t xml:space="preserve">; </w:t>
      </w:r>
      <w:proofErr w:type="spellStart"/>
      <w:r w:rsidR="04C947FA" w:rsidRPr="00672AC2">
        <w:rPr>
          <w:szCs w:val="20"/>
          <w:lang w:val="es-ES"/>
        </w:rPr>
        <w:t>ii</w:t>
      </w:r>
      <w:proofErr w:type="spellEnd"/>
      <w:r w:rsidR="04C947FA" w:rsidRPr="00672AC2">
        <w:rPr>
          <w:szCs w:val="20"/>
          <w:lang w:val="es-ES"/>
        </w:rPr>
        <w:t>)</w:t>
      </w:r>
      <w:r w:rsidR="00AA0BA5" w:rsidRPr="00672AC2">
        <w:rPr>
          <w:szCs w:val="20"/>
          <w:lang w:val="es-ES"/>
        </w:rPr>
        <w:t xml:space="preserve"> el</w:t>
      </w:r>
      <w:r w:rsidR="04C947FA" w:rsidRPr="00672AC2">
        <w:rPr>
          <w:szCs w:val="20"/>
          <w:lang w:val="es-ES"/>
        </w:rPr>
        <w:t xml:space="preserve"> Decreto Legislativo </w:t>
      </w:r>
      <w:proofErr w:type="spellStart"/>
      <w:r w:rsidR="00824795" w:rsidRPr="00672AC2">
        <w:rPr>
          <w:szCs w:val="20"/>
          <w:lang w:val="es-ES"/>
        </w:rPr>
        <w:t>Nº</w:t>
      </w:r>
      <w:proofErr w:type="spellEnd"/>
      <w:r w:rsidR="04C947FA" w:rsidRPr="00672AC2">
        <w:rPr>
          <w:szCs w:val="20"/>
          <w:lang w:val="es-ES"/>
        </w:rPr>
        <w:t xml:space="preserve"> 1605</w:t>
      </w:r>
      <w:r w:rsidR="00F36B41">
        <w:rPr>
          <w:rFonts w:ascii="ZWAdobeF" w:hAnsi="ZWAdobeF" w:cs="ZWAdobeF"/>
          <w:color w:val="auto"/>
          <w:sz w:val="2"/>
          <w:szCs w:val="2"/>
          <w:lang w:val="es-ES"/>
        </w:rPr>
        <w:t>59F</w:t>
      </w:r>
      <w:r w:rsidR="005B081B" w:rsidRPr="00672AC2">
        <w:rPr>
          <w:rStyle w:val="FootnoteReference"/>
          <w:szCs w:val="20"/>
          <w:lang w:val="es-ES"/>
        </w:rPr>
        <w:footnoteReference w:id="61"/>
      </w:r>
      <w:r w:rsidR="00DC0F6D" w:rsidRPr="00672AC2">
        <w:rPr>
          <w:szCs w:val="20"/>
          <w:lang w:val="es-ES"/>
        </w:rPr>
        <w:t>,</w:t>
      </w:r>
      <w:r w:rsidR="04C947FA" w:rsidRPr="00672AC2">
        <w:rPr>
          <w:szCs w:val="20"/>
          <w:lang w:val="es-ES"/>
        </w:rPr>
        <w:t xml:space="preserve"> que modifica el Nuevo Código Procesal Penal, para optimizar el marco legal que regula la investigación del delito y la intervención de la Policía Nacional del Perú y del Ministerio Público; </w:t>
      </w:r>
      <w:proofErr w:type="spellStart"/>
      <w:r w:rsidR="04C947FA" w:rsidRPr="00672AC2">
        <w:rPr>
          <w:szCs w:val="20"/>
          <w:lang w:val="es-ES"/>
        </w:rPr>
        <w:t>iii</w:t>
      </w:r>
      <w:proofErr w:type="spellEnd"/>
      <w:r w:rsidR="04C947FA" w:rsidRPr="00672AC2">
        <w:rPr>
          <w:szCs w:val="20"/>
          <w:lang w:val="es-ES"/>
        </w:rPr>
        <w:t xml:space="preserve">) </w:t>
      </w:r>
      <w:r w:rsidR="00DC0F6D" w:rsidRPr="00672AC2">
        <w:rPr>
          <w:szCs w:val="20"/>
          <w:lang w:val="es-ES"/>
        </w:rPr>
        <w:t xml:space="preserve">y el </w:t>
      </w:r>
      <w:r w:rsidR="04C947FA" w:rsidRPr="00672AC2">
        <w:rPr>
          <w:szCs w:val="20"/>
          <w:lang w:val="es-ES"/>
        </w:rPr>
        <w:t xml:space="preserve">Decreto Legislativo </w:t>
      </w:r>
      <w:proofErr w:type="spellStart"/>
      <w:r w:rsidR="00824795" w:rsidRPr="00672AC2">
        <w:rPr>
          <w:szCs w:val="20"/>
          <w:lang w:val="es-ES"/>
        </w:rPr>
        <w:t>Nº</w:t>
      </w:r>
      <w:proofErr w:type="spellEnd"/>
      <w:r w:rsidR="04C947FA" w:rsidRPr="00672AC2">
        <w:rPr>
          <w:szCs w:val="20"/>
          <w:lang w:val="es-ES"/>
        </w:rPr>
        <w:t xml:space="preserve"> 1606</w:t>
      </w:r>
      <w:r w:rsidR="00F36B41">
        <w:rPr>
          <w:rFonts w:ascii="ZWAdobeF" w:hAnsi="ZWAdobeF" w:cs="ZWAdobeF"/>
          <w:color w:val="auto"/>
          <w:sz w:val="2"/>
          <w:szCs w:val="2"/>
          <w:lang w:val="es-ES"/>
        </w:rPr>
        <w:t>60F</w:t>
      </w:r>
      <w:r w:rsidR="005B081B" w:rsidRPr="00672AC2">
        <w:rPr>
          <w:rStyle w:val="FootnoteReference"/>
          <w:szCs w:val="20"/>
          <w:lang w:val="es-ES"/>
        </w:rPr>
        <w:footnoteReference w:id="62"/>
      </w:r>
      <w:r w:rsidR="00DC0F6D" w:rsidRPr="00672AC2">
        <w:rPr>
          <w:szCs w:val="20"/>
          <w:lang w:val="es-ES"/>
        </w:rPr>
        <w:t>,</w:t>
      </w:r>
      <w:r w:rsidR="04C947FA" w:rsidRPr="00672AC2">
        <w:rPr>
          <w:szCs w:val="20"/>
          <w:lang w:val="es-ES"/>
        </w:rPr>
        <w:t xml:space="preserve"> que </w:t>
      </w:r>
      <w:r w:rsidR="00DC0F6D" w:rsidRPr="00672AC2">
        <w:rPr>
          <w:szCs w:val="20"/>
          <w:lang w:val="es-ES"/>
        </w:rPr>
        <w:t>reforma</w:t>
      </w:r>
      <w:r w:rsidR="04C947FA" w:rsidRPr="00672AC2">
        <w:rPr>
          <w:szCs w:val="20"/>
          <w:lang w:val="es-ES"/>
        </w:rPr>
        <w:t xml:space="preserve"> el Decreto Legislativo </w:t>
      </w:r>
      <w:proofErr w:type="spellStart"/>
      <w:r w:rsidR="00824795" w:rsidRPr="00672AC2">
        <w:rPr>
          <w:szCs w:val="20"/>
          <w:lang w:val="es-ES"/>
        </w:rPr>
        <w:t>Nº</w:t>
      </w:r>
      <w:proofErr w:type="spellEnd"/>
      <w:r w:rsidR="04C947FA" w:rsidRPr="00672AC2">
        <w:rPr>
          <w:szCs w:val="20"/>
          <w:lang w:val="es-ES"/>
        </w:rPr>
        <w:t xml:space="preserve"> 1219, sobre fortalecimiento de la función criminalística policial.</w:t>
      </w:r>
    </w:p>
    <w:p w14:paraId="52957F83" w14:textId="46A3CAE2" w:rsidR="00CD3E91" w:rsidRPr="00672AC2" w:rsidRDefault="00CD3E91" w:rsidP="00E83710">
      <w:pPr>
        <w:pStyle w:val="IAPrrafo"/>
        <w:rPr>
          <w:rFonts w:eastAsia="Cambria" w:cs="Cambria"/>
          <w:b/>
          <w:szCs w:val="20"/>
          <w:lang w:val="es-US" w:eastAsia="es-US"/>
        </w:rPr>
      </w:pPr>
      <w:r>
        <w:rPr>
          <w:szCs w:val="20"/>
          <w:lang w:val="es-ES"/>
        </w:rPr>
        <w:t>El Estado informó que los estados de excepción con participación de las Fuerzas Armadas en contexto de protesta social s</w:t>
      </w:r>
      <w:r w:rsidR="00DD4FEE">
        <w:rPr>
          <w:szCs w:val="20"/>
          <w:lang w:val="es-ES"/>
        </w:rPr>
        <w:t>ó</w:t>
      </w:r>
      <w:r>
        <w:rPr>
          <w:szCs w:val="20"/>
          <w:lang w:val="es-ES"/>
        </w:rPr>
        <w:t>lo se habría</w:t>
      </w:r>
      <w:r w:rsidR="00852E07">
        <w:rPr>
          <w:szCs w:val="20"/>
          <w:lang w:val="es-ES"/>
        </w:rPr>
        <w:t>n</w:t>
      </w:r>
      <w:r>
        <w:rPr>
          <w:szCs w:val="20"/>
          <w:lang w:val="es-ES"/>
        </w:rPr>
        <w:t xml:space="preserve"> utilizado una vez luego de la emisión del Informe País. En ese sentido, </w:t>
      </w:r>
      <w:r w:rsidR="001A318B">
        <w:rPr>
          <w:szCs w:val="20"/>
          <w:lang w:val="es-ES"/>
        </w:rPr>
        <w:t>recalcó</w:t>
      </w:r>
      <w:r>
        <w:rPr>
          <w:szCs w:val="20"/>
          <w:lang w:val="es-ES"/>
        </w:rPr>
        <w:t xml:space="preserve"> que se utilizan estados de excepción con uso de la Fuerzas Armadas no en contexto de protesta social sino de lucha contra la criminalidad.</w:t>
      </w:r>
    </w:p>
    <w:p w14:paraId="1B9B1E9A" w14:textId="2A054417" w:rsidR="00E27E11" w:rsidRPr="00D602E9" w:rsidRDefault="04C947FA" w:rsidP="00D602E9">
      <w:pPr>
        <w:pStyle w:val="IAPrrafo"/>
        <w:rPr>
          <w:rFonts w:eastAsia="Calibri" w:cs="Calibri"/>
          <w:iCs/>
          <w:szCs w:val="20"/>
          <w:lang w:val="es-US"/>
        </w:rPr>
      </w:pPr>
      <w:r w:rsidRPr="00672AC2">
        <w:rPr>
          <w:szCs w:val="20"/>
          <w:lang w:val="es-US"/>
        </w:rPr>
        <w:t xml:space="preserve">Por su parte, </w:t>
      </w:r>
      <w:r w:rsidR="00DC0F6D" w:rsidRPr="00672AC2">
        <w:rPr>
          <w:szCs w:val="20"/>
          <w:lang w:val="es-US"/>
        </w:rPr>
        <w:t xml:space="preserve">organizaciones de la </w:t>
      </w:r>
      <w:r w:rsidRPr="00672AC2">
        <w:rPr>
          <w:szCs w:val="20"/>
          <w:lang w:val="es-US"/>
        </w:rPr>
        <w:t>sociedad civil manifest</w:t>
      </w:r>
      <w:r w:rsidR="00DC0F6D" w:rsidRPr="00672AC2">
        <w:rPr>
          <w:szCs w:val="20"/>
          <w:lang w:val="es-US"/>
        </w:rPr>
        <w:t>aron</w:t>
      </w:r>
      <w:r w:rsidRPr="00672AC2">
        <w:rPr>
          <w:szCs w:val="20"/>
          <w:lang w:val="es-US"/>
        </w:rPr>
        <w:t xml:space="preserve"> a la CIDH que el uso de los estados de excepción</w:t>
      </w:r>
      <w:r w:rsidR="00595C17" w:rsidRPr="00595C17">
        <w:rPr>
          <w:szCs w:val="20"/>
          <w:lang w:val="es-US"/>
        </w:rPr>
        <w:t xml:space="preserve"> </w:t>
      </w:r>
      <w:r w:rsidR="00595C17" w:rsidRPr="00672AC2">
        <w:rPr>
          <w:szCs w:val="20"/>
          <w:lang w:val="es-US"/>
        </w:rPr>
        <w:t>habría sido repetido y recurrente</w:t>
      </w:r>
      <w:r w:rsidR="00595C17">
        <w:rPr>
          <w:szCs w:val="20"/>
          <w:lang w:val="es-US"/>
        </w:rPr>
        <w:t>, y que en ciertas ocasiones incluye</w:t>
      </w:r>
      <w:r w:rsidRPr="00672AC2">
        <w:rPr>
          <w:szCs w:val="20"/>
          <w:lang w:val="es-US"/>
        </w:rPr>
        <w:t xml:space="preserve"> la participación de las Fuerzas Armadas</w:t>
      </w:r>
      <w:r w:rsidR="00595C17">
        <w:rPr>
          <w:szCs w:val="20"/>
          <w:lang w:val="es-US"/>
        </w:rPr>
        <w:t>, inclusive</w:t>
      </w:r>
      <w:r w:rsidRPr="00672AC2">
        <w:rPr>
          <w:szCs w:val="20"/>
          <w:lang w:val="es-US"/>
        </w:rPr>
        <w:t xml:space="preserve"> en operativos de control de protestas</w:t>
      </w:r>
      <w:r w:rsidR="00595C17">
        <w:rPr>
          <w:szCs w:val="20"/>
          <w:lang w:val="es-US"/>
        </w:rPr>
        <w:t>,</w:t>
      </w:r>
      <w:r w:rsidRPr="00672AC2">
        <w:rPr>
          <w:szCs w:val="20"/>
          <w:lang w:val="es-US"/>
        </w:rPr>
        <w:t xml:space="preserve"> especialmente en regiones como Ayacucho y Puno</w:t>
      </w:r>
      <w:r w:rsidR="00F36B41">
        <w:rPr>
          <w:rFonts w:ascii="ZWAdobeF" w:hAnsi="ZWAdobeF" w:cs="ZWAdobeF"/>
          <w:color w:val="auto"/>
          <w:sz w:val="2"/>
          <w:szCs w:val="2"/>
          <w:lang w:val="es-US"/>
        </w:rPr>
        <w:t>61F</w:t>
      </w:r>
      <w:r w:rsidR="78EC8D94" w:rsidRPr="00672AC2">
        <w:rPr>
          <w:rStyle w:val="FootnoteReference"/>
          <w:rFonts w:eastAsiaTheme="minorEastAsia"/>
          <w:color w:val="000000" w:themeColor="text1"/>
        </w:rPr>
        <w:footnoteReference w:id="63"/>
      </w:r>
      <w:r w:rsidR="78EC8D94" w:rsidRPr="00672AC2">
        <w:rPr>
          <w:szCs w:val="20"/>
          <w:lang w:val="es-US"/>
        </w:rPr>
        <w:t xml:space="preserve">. </w:t>
      </w:r>
      <w:r w:rsidR="1B04CC0B" w:rsidRPr="00672AC2">
        <w:rPr>
          <w:szCs w:val="20"/>
          <w:lang w:val="es-US"/>
        </w:rPr>
        <w:t>Este comentario es</w:t>
      </w:r>
      <w:r w:rsidRPr="00672AC2">
        <w:rPr>
          <w:szCs w:val="20"/>
          <w:lang w:val="es-US"/>
        </w:rPr>
        <w:t xml:space="preserve"> consistente con </w:t>
      </w:r>
      <w:r w:rsidR="1B04CC0B" w:rsidRPr="00672AC2">
        <w:rPr>
          <w:szCs w:val="20"/>
          <w:lang w:val="es-US"/>
        </w:rPr>
        <w:t>las conclusiones del</w:t>
      </w:r>
      <w:r w:rsidRPr="00672AC2">
        <w:rPr>
          <w:szCs w:val="20"/>
          <w:lang w:val="es-US"/>
        </w:rPr>
        <w:t xml:space="preserve"> Informe </w:t>
      </w:r>
      <w:r w:rsidR="1B04CC0B" w:rsidRPr="00672AC2">
        <w:rPr>
          <w:szCs w:val="20"/>
          <w:lang w:val="es-US"/>
        </w:rPr>
        <w:t xml:space="preserve">de País, donde la CIDH afirmó que: </w:t>
      </w:r>
      <w:r w:rsidR="00BF02CD" w:rsidRPr="00672AC2">
        <w:rPr>
          <w:szCs w:val="20"/>
          <w:lang w:val="es-US"/>
        </w:rPr>
        <w:t>“</w:t>
      </w:r>
      <w:r w:rsidR="1B04CC0B" w:rsidRPr="00672AC2">
        <w:rPr>
          <w:szCs w:val="20"/>
          <w:lang w:val="es-US"/>
        </w:rPr>
        <w:t>en regiones caracterizadas por una considerable presencia de población indígena y campesina, así como por acentuados retos para la garantía de sus DESCA, se registraron los episodios de mayor letalidad, así como las más graves denuncias del uso excesivo de la fuerza. También tuvieron lugar los principales despliegues en el marco de la declaración de estados de emergencia, detenciones y tácticas de control preventivo de identidad</w:t>
      </w:r>
      <w:r w:rsidR="00AF76A1" w:rsidRPr="00672AC2">
        <w:rPr>
          <w:szCs w:val="20"/>
          <w:lang w:val="es-US"/>
        </w:rPr>
        <w:t>”</w:t>
      </w:r>
      <w:r w:rsidR="00F36B41">
        <w:rPr>
          <w:rFonts w:ascii="ZWAdobeF" w:hAnsi="ZWAdobeF" w:cs="ZWAdobeF"/>
          <w:color w:val="auto"/>
          <w:sz w:val="2"/>
          <w:szCs w:val="2"/>
          <w:lang w:val="es-US"/>
        </w:rPr>
        <w:t>62F</w:t>
      </w:r>
      <w:r w:rsidR="005B081B" w:rsidRPr="00672AC2">
        <w:rPr>
          <w:rStyle w:val="FootnoteReference"/>
          <w:szCs w:val="20"/>
          <w:lang w:val="es-US"/>
        </w:rPr>
        <w:footnoteReference w:id="64"/>
      </w:r>
      <w:r w:rsidR="00AF76A1" w:rsidRPr="00672AC2">
        <w:rPr>
          <w:szCs w:val="20"/>
          <w:lang w:val="es-US"/>
        </w:rPr>
        <w:t>.</w:t>
      </w:r>
    </w:p>
    <w:p w14:paraId="7741364E" w14:textId="42A052F3" w:rsidR="005B081B" w:rsidRPr="00672AC2" w:rsidRDefault="005B081B" w:rsidP="00774F65">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1BCD33CB" w14:textId="77777777" w:rsidR="005B081B" w:rsidRPr="00672AC2" w:rsidRDefault="005B081B" w:rsidP="005B081B">
      <w:pPr>
        <w:jc w:val="both"/>
        <w:rPr>
          <w:bCs/>
          <w:lang w:val="es-CO"/>
        </w:rPr>
      </w:pPr>
    </w:p>
    <w:p w14:paraId="2A48A3FA" w14:textId="0C9DB879" w:rsidR="005B081B" w:rsidRPr="00672AC2" w:rsidRDefault="005B081B" w:rsidP="00E83710">
      <w:pPr>
        <w:pStyle w:val="IAPrrafo"/>
        <w:rPr>
          <w:rFonts w:eastAsia="Cambria" w:cs="Cambria"/>
          <w:b/>
          <w:bCs/>
          <w:szCs w:val="20"/>
          <w:lang w:val="es-US" w:eastAsia="es-US"/>
        </w:rPr>
      </w:pPr>
      <w:r w:rsidRPr="00672AC2">
        <w:rPr>
          <w:rFonts w:eastAsia="Cambria" w:cs="Cambria"/>
          <w:szCs w:val="20"/>
          <w:lang w:val="es-CO" w:eastAsia="es-US"/>
        </w:rPr>
        <w:t xml:space="preserve">La Comisión agradece la información brindada por el Estado, en particular la creación de la Comisión Multisectorial para la implementación de las reglas sobre el uso de la fuerza. </w:t>
      </w:r>
      <w:r w:rsidR="00B043A3" w:rsidRPr="00672AC2">
        <w:rPr>
          <w:rFonts w:eastAsia="Cambria" w:cs="Cambria"/>
          <w:bCs/>
          <w:szCs w:val="20"/>
          <w:lang w:eastAsia="es-US"/>
        </w:rPr>
        <w:t>Al respecto,</w:t>
      </w:r>
      <w:r w:rsidRPr="00672AC2">
        <w:rPr>
          <w:rFonts w:eastAsia="Cambria" w:cs="Cambria"/>
          <w:bCs/>
          <w:szCs w:val="20"/>
          <w:lang w:eastAsia="es-US"/>
        </w:rPr>
        <w:t xml:space="preserve"> identifica que el marco constitucional reportado por el Estado estaba vigente al momento de la ocurrencia de los hechos recogidos en el Informe de País en el 2022 y 2023</w:t>
      </w:r>
      <w:r w:rsidR="00CE72F6" w:rsidRPr="00672AC2">
        <w:rPr>
          <w:rFonts w:eastAsia="Cambria" w:cs="Cambria"/>
          <w:bCs/>
          <w:szCs w:val="20"/>
          <w:lang w:eastAsia="es-US"/>
        </w:rPr>
        <w:t>,</w:t>
      </w:r>
      <w:r w:rsidRPr="00672AC2">
        <w:rPr>
          <w:rFonts w:eastAsia="Cambria" w:cs="Cambria"/>
          <w:bCs/>
          <w:szCs w:val="20"/>
          <w:lang w:eastAsia="es-US"/>
        </w:rPr>
        <w:t xml:space="preserve"> y de la emisión de la recomendación bajo seguimiento. </w:t>
      </w:r>
    </w:p>
    <w:p w14:paraId="3FC76E42" w14:textId="4FDD3482" w:rsidR="005B081B" w:rsidRPr="00672AC2" w:rsidRDefault="005B081B" w:rsidP="00E83710">
      <w:pPr>
        <w:pStyle w:val="IAPrrafo"/>
        <w:rPr>
          <w:rFonts w:eastAsia="Cambria" w:cs="Cambria"/>
          <w:b/>
          <w:bCs/>
          <w:szCs w:val="20"/>
          <w:lang w:val="es-US" w:eastAsia="es-US"/>
        </w:rPr>
      </w:pPr>
      <w:r w:rsidRPr="00672AC2">
        <w:rPr>
          <w:rFonts w:eastAsia="Cambria" w:cs="Cambria"/>
          <w:bCs/>
          <w:szCs w:val="20"/>
          <w:lang w:eastAsia="es-US"/>
        </w:rPr>
        <w:t xml:space="preserve">Asimismo, </w:t>
      </w:r>
      <w:r w:rsidR="00901DCE" w:rsidRPr="00672AC2">
        <w:rPr>
          <w:rFonts w:eastAsia="Cambria" w:cs="Cambria"/>
          <w:bCs/>
          <w:szCs w:val="20"/>
          <w:lang w:eastAsia="es-US"/>
        </w:rPr>
        <w:t xml:space="preserve">la CIDH </w:t>
      </w:r>
      <w:r w:rsidRPr="00672AC2">
        <w:rPr>
          <w:rFonts w:eastAsia="Cambria" w:cs="Cambria"/>
          <w:bCs/>
          <w:szCs w:val="20"/>
          <w:lang w:eastAsia="es-US"/>
        </w:rPr>
        <w:t xml:space="preserve">resalta que ninguna de las medidas </w:t>
      </w:r>
      <w:r w:rsidR="00901DCE" w:rsidRPr="00672AC2">
        <w:rPr>
          <w:rFonts w:eastAsia="Cambria" w:cs="Cambria"/>
          <w:bCs/>
          <w:szCs w:val="20"/>
          <w:lang w:eastAsia="es-US"/>
        </w:rPr>
        <w:t xml:space="preserve">señaladas </w:t>
      </w:r>
      <w:r w:rsidRPr="00672AC2">
        <w:rPr>
          <w:rFonts w:eastAsia="Cambria" w:cs="Cambria"/>
          <w:bCs/>
          <w:szCs w:val="20"/>
          <w:lang w:eastAsia="es-US"/>
        </w:rPr>
        <w:t xml:space="preserve">por el Estado, en relación con las modificaciones normativas descritas, tienen como objetivo </w:t>
      </w:r>
      <w:r w:rsidRPr="00672AC2">
        <w:rPr>
          <w:bCs/>
          <w:szCs w:val="20"/>
          <w:lang w:val="es-CO"/>
        </w:rPr>
        <w:t xml:space="preserve">garantizar que el mantenimiento del orden público interno y la seguridad ciudadana esté primariamente reservado a los cuerpos de seguridad civiles. </w:t>
      </w:r>
      <w:r w:rsidRPr="00672AC2">
        <w:rPr>
          <w:rFonts w:eastAsia="Cambria" w:cs="Cambria"/>
          <w:szCs w:val="20"/>
          <w:lang w:val="es-CO" w:eastAsia="es-US"/>
        </w:rPr>
        <w:t>En el mismo sentido, no se identifican medidas reportadas que permitan conocer el estado de avance para asegurar</w:t>
      </w:r>
      <w:r w:rsidRPr="00672AC2">
        <w:rPr>
          <w:szCs w:val="20"/>
          <w:lang w:val="es-US"/>
        </w:rPr>
        <w:t xml:space="preserve"> </w:t>
      </w:r>
      <w:r w:rsidRPr="00672AC2">
        <w:rPr>
          <w:szCs w:val="20"/>
          <w:lang w:val="es-CO"/>
        </w:rPr>
        <w:t xml:space="preserve">que la participación de las fuerzas armadas en tareas de seguridad sea extraordinaria, subordinada y complementaria a las labores de las autoridades civiles. </w:t>
      </w:r>
      <w:r w:rsidR="00EA13E8" w:rsidRPr="00672AC2">
        <w:rPr>
          <w:szCs w:val="20"/>
          <w:lang w:val="es-CO"/>
        </w:rPr>
        <w:t>Además</w:t>
      </w:r>
      <w:r w:rsidRPr="00672AC2">
        <w:rPr>
          <w:szCs w:val="20"/>
          <w:lang w:val="es-CO"/>
        </w:rPr>
        <w:t xml:space="preserve">, no se han </w:t>
      </w:r>
      <w:r w:rsidR="008911AA" w:rsidRPr="00672AC2">
        <w:rPr>
          <w:szCs w:val="20"/>
          <w:lang w:val="es-CO"/>
        </w:rPr>
        <w:t xml:space="preserve">destacado </w:t>
      </w:r>
      <w:r w:rsidRPr="00672AC2">
        <w:rPr>
          <w:szCs w:val="20"/>
          <w:lang w:val="es-CO"/>
        </w:rPr>
        <w:t>medidas dirigidas a adoptar las medidas normativas o de fortalecimiento institucional para asegurar que esta participación sea regulada y fiscalizada por órganos civiles competentes, independientes y técnicamente capaces.</w:t>
      </w:r>
    </w:p>
    <w:p w14:paraId="60DDBBE8" w14:textId="4E2F6A62" w:rsidR="005B081B" w:rsidRPr="00672AC2" w:rsidRDefault="04C947FA" w:rsidP="00E83710">
      <w:pPr>
        <w:pStyle w:val="IAPrrafo"/>
        <w:rPr>
          <w:rFonts w:eastAsia="Cambria" w:cs="Cambria"/>
          <w:b/>
          <w:bCs/>
          <w:szCs w:val="20"/>
          <w:lang w:val="es-US" w:eastAsia="es-US"/>
        </w:rPr>
      </w:pPr>
      <w:r w:rsidRPr="00672AC2">
        <w:rPr>
          <w:szCs w:val="20"/>
          <w:lang w:val="es-CO"/>
        </w:rPr>
        <w:t>Cabe señalar que el Sistema Interamericano ha coincidido con los dos principales instrumentos internacionales para regular de forma específica el uso de la fuerza</w:t>
      </w:r>
      <w:r w:rsidR="00F36B41">
        <w:rPr>
          <w:rFonts w:ascii="ZWAdobeF" w:hAnsi="ZWAdobeF" w:cs="ZWAdobeF"/>
          <w:color w:val="auto"/>
          <w:sz w:val="2"/>
          <w:szCs w:val="2"/>
          <w:lang w:val="es-CO"/>
        </w:rPr>
        <w:t>63F</w:t>
      </w:r>
      <w:r w:rsidR="007457B3" w:rsidRPr="00672AC2">
        <w:rPr>
          <w:rStyle w:val="FootnoteReference"/>
          <w:szCs w:val="20"/>
          <w:lang w:val="es-CO"/>
        </w:rPr>
        <w:footnoteReference w:id="65"/>
      </w:r>
      <w:r w:rsidRPr="00672AC2">
        <w:rPr>
          <w:szCs w:val="20"/>
          <w:lang w:val="es-CO"/>
        </w:rPr>
        <w:t>: el Código de Conducta para Funcionarios a cargo de hacer cumplir la ley</w:t>
      </w:r>
      <w:r w:rsidR="00F36B41">
        <w:rPr>
          <w:rFonts w:ascii="ZWAdobeF" w:hAnsi="ZWAdobeF" w:cs="ZWAdobeF"/>
          <w:color w:val="auto"/>
          <w:sz w:val="2"/>
          <w:szCs w:val="2"/>
          <w:lang w:val="es-CO"/>
        </w:rPr>
        <w:t>64F</w:t>
      </w:r>
      <w:r w:rsidR="005B081B" w:rsidRPr="00672AC2">
        <w:rPr>
          <w:rStyle w:val="FootnoteReference"/>
          <w:szCs w:val="20"/>
          <w:lang w:val="es-CO"/>
        </w:rPr>
        <w:footnoteReference w:id="66"/>
      </w:r>
      <w:r w:rsidRPr="00672AC2">
        <w:rPr>
          <w:szCs w:val="20"/>
          <w:lang w:val="es-CO"/>
        </w:rPr>
        <w:t xml:space="preserve"> y los Principios Básicos sobre el Empleo de la Fuerza y de Armas de Fuego por los Funcionarios Encargados de Hacer Cumplir la Ley</w:t>
      </w:r>
      <w:r w:rsidR="00F36B41">
        <w:rPr>
          <w:rFonts w:ascii="ZWAdobeF" w:hAnsi="ZWAdobeF" w:cs="ZWAdobeF"/>
          <w:color w:val="auto"/>
          <w:sz w:val="2"/>
          <w:szCs w:val="2"/>
          <w:lang w:val="es-CO"/>
        </w:rPr>
        <w:t>65F</w:t>
      </w:r>
      <w:r w:rsidR="005B081B" w:rsidRPr="00672AC2">
        <w:rPr>
          <w:rStyle w:val="FootnoteReference"/>
          <w:szCs w:val="20"/>
          <w:lang w:val="es-CO"/>
        </w:rPr>
        <w:footnoteReference w:id="67"/>
      </w:r>
      <w:r w:rsidR="008911AA" w:rsidRPr="00672AC2">
        <w:rPr>
          <w:szCs w:val="20"/>
          <w:lang w:val="es-CO"/>
        </w:rPr>
        <w:t>,</w:t>
      </w:r>
      <w:r w:rsidRPr="00672AC2">
        <w:rPr>
          <w:szCs w:val="20"/>
          <w:lang w:val="es-CO"/>
        </w:rPr>
        <w:t xml:space="preserve"> en afirmar que la participación de las F</w:t>
      </w:r>
      <w:r w:rsidR="008911AA" w:rsidRPr="00672AC2">
        <w:rPr>
          <w:szCs w:val="20"/>
          <w:lang w:val="es-CO"/>
        </w:rPr>
        <w:t>uerzas Armadas</w:t>
      </w:r>
      <w:r w:rsidRPr="00672AC2">
        <w:rPr>
          <w:szCs w:val="20"/>
          <w:lang w:val="es-CO"/>
        </w:rPr>
        <w:t xml:space="preserve"> en el mantenimiento del orden público debe ser limitado lo más posible, puesto que “el entrenamiento que reciben está dirigido a derrotar al enemigo, y no a la protección y control de civiles, entrenamiento que es propio de los entes policiales”</w:t>
      </w:r>
      <w:r w:rsidR="00F36B41">
        <w:rPr>
          <w:rFonts w:ascii="ZWAdobeF" w:hAnsi="ZWAdobeF" w:cs="ZWAdobeF"/>
          <w:color w:val="auto"/>
          <w:sz w:val="2"/>
          <w:szCs w:val="2"/>
          <w:lang w:val="es-CO"/>
        </w:rPr>
        <w:t>66F</w:t>
      </w:r>
      <w:r w:rsidR="005B081B" w:rsidRPr="00672AC2">
        <w:rPr>
          <w:rStyle w:val="FootnoteReference"/>
          <w:szCs w:val="20"/>
          <w:lang w:val="es-CO"/>
        </w:rPr>
        <w:footnoteReference w:id="68"/>
      </w:r>
      <w:r w:rsidRPr="00672AC2">
        <w:rPr>
          <w:szCs w:val="20"/>
          <w:lang w:val="es-CO"/>
        </w:rPr>
        <w:t>.</w:t>
      </w:r>
    </w:p>
    <w:p w14:paraId="357E9CA2" w14:textId="0C10FF02" w:rsidR="005B081B" w:rsidRPr="00672AC2" w:rsidRDefault="5D4F1AA1" w:rsidP="00E83710">
      <w:pPr>
        <w:pStyle w:val="IAPrrafo"/>
        <w:rPr>
          <w:rFonts w:eastAsia="Cambria" w:cs="Cambria"/>
          <w:b/>
          <w:bCs/>
          <w:szCs w:val="20"/>
          <w:lang w:val="es-US" w:eastAsia="es-US"/>
        </w:rPr>
      </w:pPr>
      <w:r w:rsidRPr="00672AC2">
        <w:rPr>
          <w:szCs w:val="20"/>
          <w:lang w:val="es-CO"/>
        </w:rPr>
        <w:t>L</w:t>
      </w:r>
      <w:r w:rsidR="04C947FA" w:rsidRPr="00672AC2">
        <w:rPr>
          <w:szCs w:val="20"/>
          <w:lang w:val="es-CO"/>
        </w:rPr>
        <w:t xml:space="preserve">a CIDH </w:t>
      </w:r>
      <w:r w:rsidR="14A9E1E4" w:rsidRPr="00672AC2">
        <w:rPr>
          <w:szCs w:val="20"/>
          <w:lang w:val="es-CO"/>
        </w:rPr>
        <w:t xml:space="preserve">ha mostrado </w:t>
      </w:r>
      <w:r w:rsidR="04C947FA" w:rsidRPr="00672AC2">
        <w:rPr>
          <w:szCs w:val="20"/>
          <w:lang w:val="es-CO"/>
        </w:rPr>
        <w:t>su preocupación por el reporte del uso de estados de excepción en el contexto de protestas sociales. Al respecto, la CIDH ha sostenido que “los estados de excepción deben ser reservados exclusivamente para casos realmente excepcionales, situaciones de extrema gravedad, que pongan en peligro la vida de la Nación. Para las demás situaciones, se deben adoptar medidas administrativas corrientes”</w:t>
      </w:r>
      <w:r w:rsidR="00F36B41">
        <w:rPr>
          <w:rFonts w:ascii="ZWAdobeF" w:hAnsi="ZWAdobeF" w:cs="ZWAdobeF"/>
          <w:color w:val="auto"/>
          <w:sz w:val="2"/>
          <w:szCs w:val="2"/>
          <w:lang w:val="es-CO"/>
        </w:rPr>
        <w:t>67F</w:t>
      </w:r>
      <w:r w:rsidR="005B081B" w:rsidRPr="00672AC2">
        <w:rPr>
          <w:rStyle w:val="FootnoteReference"/>
          <w:szCs w:val="20"/>
          <w:lang w:val="es-CO"/>
        </w:rPr>
        <w:footnoteReference w:id="69"/>
      </w:r>
      <w:r w:rsidR="04C947FA" w:rsidRPr="00672AC2">
        <w:rPr>
          <w:szCs w:val="20"/>
          <w:lang w:val="es-CO"/>
        </w:rPr>
        <w:t>.</w:t>
      </w:r>
      <w:r w:rsidR="04C947FA" w:rsidRPr="00672AC2">
        <w:rPr>
          <w:rFonts w:eastAsia="Cambria" w:cs="Cambria"/>
          <w:szCs w:val="20"/>
          <w:lang w:val="es-CO" w:eastAsia="es-US"/>
        </w:rPr>
        <w:t xml:space="preserve"> </w:t>
      </w:r>
      <w:r w:rsidR="04C947FA" w:rsidRPr="00672AC2">
        <w:rPr>
          <w:szCs w:val="20"/>
          <w:lang w:val="es-CO"/>
        </w:rPr>
        <w:t xml:space="preserve">En este sentido, </w:t>
      </w:r>
      <w:r w:rsidR="00DF0B7F" w:rsidRPr="00672AC2">
        <w:rPr>
          <w:szCs w:val="20"/>
          <w:lang w:val="es-CO"/>
        </w:rPr>
        <w:t xml:space="preserve">a la luz de la información disponible, </w:t>
      </w:r>
      <w:r w:rsidR="04C947FA" w:rsidRPr="00672AC2">
        <w:rPr>
          <w:szCs w:val="20"/>
          <w:lang w:val="es-CO"/>
        </w:rPr>
        <w:t>la Comisión identifica que esta recomendación se encuentra pendiente de cumplimiento.</w:t>
      </w:r>
    </w:p>
    <w:p w14:paraId="554BB52A" w14:textId="77777777" w:rsidR="005B081B" w:rsidRPr="00672AC2" w:rsidRDefault="005B081B" w:rsidP="00375A58">
      <w:pPr>
        <w:ind w:firstLine="720"/>
        <w:jc w:val="both"/>
        <w:rPr>
          <w:rFonts w:eastAsia="Cambria" w:cs="Cambria"/>
          <w:color w:val="000000" w:themeColor="text1"/>
          <w:sz w:val="20"/>
          <w:szCs w:val="20"/>
          <w:lang w:val="es-CO"/>
        </w:rPr>
      </w:pPr>
      <w:r w:rsidRPr="00672AC2">
        <w:rPr>
          <w:rFonts w:eastAsia="Cambria" w:cs="Cambria"/>
          <w:i/>
          <w:iCs/>
          <w:color w:val="000000" w:themeColor="text1"/>
          <w:sz w:val="20"/>
          <w:szCs w:val="20"/>
          <w:lang w:val="es-ES"/>
        </w:rPr>
        <w:t>Medidas e información para avanzar en el cumplimiento de la recomendación</w:t>
      </w:r>
    </w:p>
    <w:p w14:paraId="5471DC94" w14:textId="77777777" w:rsidR="005B081B" w:rsidRPr="00672AC2" w:rsidRDefault="005B081B" w:rsidP="005B081B">
      <w:pPr>
        <w:ind w:firstLine="360"/>
        <w:jc w:val="both"/>
        <w:rPr>
          <w:rFonts w:eastAsia="Cambria" w:cs="Cambria"/>
          <w:i/>
          <w:iCs/>
          <w:color w:val="000000" w:themeColor="text1"/>
          <w:sz w:val="20"/>
          <w:szCs w:val="20"/>
          <w:lang w:val="es-ES"/>
        </w:rPr>
      </w:pPr>
    </w:p>
    <w:p w14:paraId="2A8A58F2" w14:textId="6D38C828" w:rsidR="000F3CC4" w:rsidRPr="00D602E9" w:rsidRDefault="005B081B" w:rsidP="004060F5">
      <w:pPr>
        <w:pStyle w:val="IAPrrafo"/>
        <w:rPr>
          <w:rFonts w:eastAsia="Calibri" w:cs="Times New Roman"/>
          <w:b/>
          <w:sz w:val="18"/>
          <w:szCs w:val="18"/>
        </w:rPr>
      </w:pPr>
      <w:r w:rsidRPr="00672AC2">
        <w:rPr>
          <w:szCs w:val="20"/>
          <w:lang w:val="es-US"/>
        </w:rPr>
        <w:t xml:space="preserve">La CIDH declarará un avance en el nivel de cumplimiento de esta recomendación cuando el Estado acredite la adopción de </w:t>
      </w:r>
      <w:r w:rsidRPr="00672AC2">
        <w:rPr>
          <w:szCs w:val="20"/>
          <w:lang w:val="es-CO"/>
        </w:rPr>
        <w:t xml:space="preserve">medidas normativas o de fortalecimiento institucional necesarias para garantizar que el mantenimiento del orden público interno y la seguridad ciudadana esté primariamente reservado a los cuerpos de seguridad civiles. </w:t>
      </w:r>
      <w:r w:rsidR="000C668A">
        <w:rPr>
          <w:szCs w:val="20"/>
          <w:lang w:val="es-CO"/>
        </w:rPr>
        <w:t xml:space="preserve">Además, para evaluar el cumplimiento de la recomendación, la CIDH evaluará que no se haya utilizado, en ningún caso, el apoyo de las </w:t>
      </w:r>
      <w:r w:rsidR="004E1B18">
        <w:rPr>
          <w:szCs w:val="20"/>
          <w:lang w:val="es-CO"/>
        </w:rPr>
        <w:t>F</w:t>
      </w:r>
      <w:r w:rsidR="000C668A">
        <w:rPr>
          <w:szCs w:val="20"/>
          <w:lang w:val="es-CO"/>
        </w:rPr>
        <w:t xml:space="preserve">uerzas </w:t>
      </w:r>
      <w:r w:rsidR="004E1B18">
        <w:rPr>
          <w:szCs w:val="20"/>
          <w:lang w:val="es-CO"/>
        </w:rPr>
        <w:t>A</w:t>
      </w:r>
      <w:r w:rsidR="000C668A">
        <w:rPr>
          <w:szCs w:val="20"/>
          <w:lang w:val="es-CO"/>
        </w:rPr>
        <w:t xml:space="preserve">rmadas en el contexto de protestas sociales.  </w:t>
      </w:r>
      <w:r w:rsidRPr="00672AC2">
        <w:rPr>
          <w:szCs w:val="20"/>
          <w:lang w:val="es-CO"/>
        </w:rPr>
        <w:t xml:space="preserve">De esta manera, </w:t>
      </w:r>
      <w:r w:rsidR="032529F1" w:rsidRPr="00672AC2">
        <w:rPr>
          <w:szCs w:val="20"/>
          <w:lang w:val="es-CO"/>
        </w:rPr>
        <w:t>la Comisión requiere se pueda reportar sobre los estados de excepción que se han dado en el Perú luego de los hechos recogidos en el Informe de País</w:t>
      </w:r>
      <w:r w:rsidR="00EA13E8" w:rsidRPr="00672AC2">
        <w:rPr>
          <w:szCs w:val="20"/>
          <w:lang w:val="es-CO"/>
        </w:rPr>
        <w:t>.</w:t>
      </w:r>
      <w:r w:rsidR="032529F1" w:rsidRPr="00672AC2">
        <w:rPr>
          <w:szCs w:val="20"/>
          <w:lang w:val="es-CO"/>
        </w:rPr>
        <w:t xml:space="preserve"> </w:t>
      </w:r>
      <w:r w:rsidR="00B45536" w:rsidRPr="00672AC2">
        <w:rPr>
          <w:szCs w:val="20"/>
          <w:lang w:val="es-CO"/>
        </w:rPr>
        <w:t xml:space="preserve">En particular, se precisa que la información exponga </w:t>
      </w:r>
      <w:r w:rsidR="114C45B1" w:rsidRPr="00672AC2">
        <w:rPr>
          <w:szCs w:val="20"/>
          <w:lang w:val="es-CO"/>
        </w:rPr>
        <w:t xml:space="preserve">el desarrollo de </w:t>
      </w:r>
      <w:r w:rsidR="3512F5A4" w:rsidRPr="00672AC2">
        <w:rPr>
          <w:szCs w:val="20"/>
          <w:lang w:val="es-CO"/>
        </w:rPr>
        <w:t xml:space="preserve">los requisitos que se </w:t>
      </w:r>
      <w:r w:rsidR="00B45536" w:rsidRPr="00672AC2">
        <w:rPr>
          <w:szCs w:val="20"/>
          <w:lang w:val="es-CO"/>
        </w:rPr>
        <w:t>precisan</w:t>
      </w:r>
      <w:r w:rsidR="3512F5A4" w:rsidRPr="00672AC2">
        <w:rPr>
          <w:szCs w:val="20"/>
          <w:lang w:val="es-CO"/>
        </w:rPr>
        <w:t xml:space="preserve"> para</w:t>
      </w:r>
      <w:r w:rsidR="114C45B1" w:rsidRPr="00672AC2">
        <w:rPr>
          <w:szCs w:val="20"/>
          <w:lang w:val="es-CO"/>
        </w:rPr>
        <w:t xml:space="preserve"> </w:t>
      </w:r>
      <w:r w:rsidRPr="00672AC2">
        <w:rPr>
          <w:szCs w:val="20"/>
          <w:lang w:val="es-CO"/>
        </w:rPr>
        <w:t xml:space="preserve">el </w:t>
      </w:r>
      <w:r w:rsidR="06ACC0BE" w:rsidRPr="00672AC2">
        <w:rPr>
          <w:szCs w:val="20"/>
          <w:lang w:val="es-CO"/>
        </w:rPr>
        <w:t>adecuado</w:t>
      </w:r>
      <w:r w:rsidRPr="00672AC2">
        <w:rPr>
          <w:szCs w:val="20"/>
          <w:lang w:val="es-CO"/>
        </w:rPr>
        <w:t xml:space="preserve"> uso de estados de emergencia y la suspensión temporal de derechos que conlleva</w:t>
      </w:r>
      <w:r w:rsidR="5D1A3506" w:rsidRPr="00672AC2">
        <w:rPr>
          <w:szCs w:val="20"/>
          <w:lang w:val="es-CO"/>
        </w:rPr>
        <w:t xml:space="preserve"> (</w:t>
      </w:r>
      <w:r w:rsidR="72D77E85" w:rsidRPr="00672AC2">
        <w:rPr>
          <w:szCs w:val="20"/>
          <w:lang w:val="es-CO"/>
        </w:rPr>
        <w:t xml:space="preserve">norma que lo aprueba, </w:t>
      </w:r>
      <w:r w:rsidR="5D1A3506" w:rsidRPr="00672AC2">
        <w:rPr>
          <w:szCs w:val="20"/>
          <w:lang w:val="es-CO"/>
        </w:rPr>
        <w:t xml:space="preserve">justificación de la medida, </w:t>
      </w:r>
      <w:r w:rsidR="224A3483" w:rsidRPr="00672AC2">
        <w:rPr>
          <w:szCs w:val="20"/>
          <w:lang w:val="es-CO"/>
        </w:rPr>
        <w:t>marco temporal que se aplica, definición de los derechos que van a ser restringidos, entre otros)</w:t>
      </w:r>
      <w:r w:rsidRPr="00672AC2">
        <w:rPr>
          <w:szCs w:val="20"/>
          <w:lang w:val="es-CO"/>
        </w:rPr>
        <w:t xml:space="preserve">, así como </w:t>
      </w:r>
      <w:r w:rsidR="00AE19E6" w:rsidRPr="00672AC2">
        <w:rPr>
          <w:szCs w:val="20"/>
          <w:lang w:val="es-CO"/>
        </w:rPr>
        <w:t xml:space="preserve">la aplicación </w:t>
      </w:r>
      <w:r w:rsidR="00EA13E8" w:rsidRPr="00672AC2">
        <w:rPr>
          <w:szCs w:val="20"/>
          <w:lang w:val="es-CO"/>
        </w:rPr>
        <w:t xml:space="preserve">de los criterios </w:t>
      </w:r>
      <w:r w:rsidR="000A0CB6" w:rsidRPr="00672AC2">
        <w:rPr>
          <w:szCs w:val="20"/>
          <w:lang w:val="es-CO"/>
        </w:rPr>
        <w:t>de complementariedad y excepcionalidad</w:t>
      </w:r>
      <w:r w:rsidR="00EA13E8" w:rsidRPr="00672AC2">
        <w:rPr>
          <w:szCs w:val="20"/>
          <w:lang w:val="es-CO"/>
        </w:rPr>
        <w:t xml:space="preserve"> </w:t>
      </w:r>
      <w:r w:rsidR="000A0CB6" w:rsidRPr="00672AC2">
        <w:rPr>
          <w:szCs w:val="20"/>
          <w:lang w:val="es-CO"/>
        </w:rPr>
        <w:t xml:space="preserve">cuando se decida sobre </w:t>
      </w:r>
      <w:r w:rsidRPr="00672AC2">
        <w:rPr>
          <w:szCs w:val="20"/>
          <w:lang w:val="es-CO"/>
        </w:rPr>
        <w:t>el apoyo que las Fuerzas Armadas brinda</w:t>
      </w:r>
      <w:r w:rsidR="00EA13E8" w:rsidRPr="00672AC2">
        <w:rPr>
          <w:szCs w:val="20"/>
          <w:lang w:val="es-CO"/>
        </w:rPr>
        <w:t>n</w:t>
      </w:r>
      <w:r w:rsidRPr="00672AC2">
        <w:rPr>
          <w:szCs w:val="20"/>
          <w:lang w:val="es-CO"/>
        </w:rPr>
        <w:t xml:space="preserve"> en dichos contextos.</w:t>
      </w:r>
      <w:r w:rsidR="002C378B">
        <w:rPr>
          <w:szCs w:val="20"/>
          <w:lang w:val="es-CO"/>
        </w:rPr>
        <w:t xml:space="preserve"> </w:t>
      </w:r>
    </w:p>
    <w:p w14:paraId="76510A58" w14:textId="77777777" w:rsidR="00D602E9" w:rsidRPr="004060F5" w:rsidRDefault="00D602E9" w:rsidP="00D602E9">
      <w:pPr>
        <w:pStyle w:val="IAPrrafo"/>
        <w:numPr>
          <w:ilvl w:val="0"/>
          <w:numId w:val="0"/>
        </w:numPr>
        <w:ind w:left="720"/>
        <w:rPr>
          <w:rFonts w:eastAsia="Calibri" w:cs="Times New Roman"/>
          <w:b/>
          <w:sz w:val="18"/>
          <w:szCs w:val="18"/>
        </w:rPr>
      </w:pPr>
    </w:p>
    <w:p w14:paraId="51D835A1" w14:textId="6AC915E4" w:rsidR="003422A8" w:rsidRPr="00672AC2" w:rsidRDefault="00571325" w:rsidP="00543BC2">
      <w:pPr>
        <w:pStyle w:val="IASubttulo2"/>
        <w:rPr>
          <w:rFonts w:eastAsia="Cambria" w:cs="Cambria"/>
          <w:sz w:val="20"/>
          <w:szCs w:val="20"/>
          <w:lang w:val="es-419" w:eastAsia="es-US"/>
        </w:rPr>
      </w:pPr>
      <w:bookmarkStart w:id="8" w:name="_Toc195618275"/>
      <w:r w:rsidRPr="00672AC2">
        <w:rPr>
          <w:lang w:val="es-CO"/>
        </w:rPr>
        <w:t>Reparación y atención a víctimas de violaciones de derechos humanos</w:t>
      </w:r>
      <w:bookmarkEnd w:id="8"/>
    </w:p>
    <w:tbl>
      <w:tblPr>
        <w:tblStyle w:val="TableGrid"/>
        <w:tblW w:w="0" w:type="auto"/>
        <w:tblLook w:val="04A0" w:firstRow="1" w:lastRow="0" w:firstColumn="1" w:lastColumn="0" w:noHBand="0" w:noVBand="1"/>
      </w:tblPr>
      <w:tblGrid>
        <w:gridCol w:w="9350"/>
      </w:tblGrid>
      <w:tr w:rsidR="003422A8" w:rsidRPr="00F51AED" w14:paraId="04D305D4" w14:textId="77777777">
        <w:tc>
          <w:tcPr>
            <w:tcW w:w="9350" w:type="dxa"/>
            <w:tcBorders>
              <w:top w:val="nil"/>
              <w:left w:val="nil"/>
              <w:bottom w:val="nil"/>
              <w:right w:val="nil"/>
            </w:tcBorders>
            <w:shd w:val="clear" w:color="auto" w:fill="D9D9D9" w:themeFill="background1" w:themeFillShade="D9"/>
          </w:tcPr>
          <w:p w14:paraId="6FB81A3A" w14:textId="6757CCDC" w:rsidR="00571325" w:rsidRPr="0077031F" w:rsidRDefault="003422A8" w:rsidP="00571325">
            <w:pPr>
              <w:suppressAutoHyphens w:val="0"/>
              <w:jc w:val="both"/>
              <w:rPr>
                <w:rFonts w:eastAsia="Cambria" w:cs="Cambria"/>
                <w:sz w:val="20"/>
                <w:szCs w:val="20"/>
                <w:lang w:val="es-US" w:eastAsia="es-US"/>
              </w:rPr>
            </w:pPr>
            <w:r w:rsidRPr="00672AC2">
              <w:rPr>
                <w:rFonts w:eastAsia="Cambria" w:cs="Cambria"/>
                <w:b/>
                <w:bCs/>
                <w:sz w:val="20"/>
                <w:szCs w:val="20"/>
                <w:lang w:val="es-419" w:eastAsia="es-US"/>
              </w:rPr>
              <w:t xml:space="preserve">Recomendación </w:t>
            </w:r>
            <w:proofErr w:type="spellStart"/>
            <w:r w:rsidR="00824795" w:rsidRPr="00672AC2">
              <w:rPr>
                <w:rFonts w:eastAsia="Cambria" w:cs="Cambria"/>
                <w:b/>
                <w:bCs/>
                <w:sz w:val="20"/>
                <w:szCs w:val="20"/>
                <w:lang w:val="es-419" w:eastAsia="es-US"/>
              </w:rPr>
              <w:t>Nº</w:t>
            </w:r>
            <w:proofErr w:type="spellEnd"/>
            <w:r w:rsidRPr="00672AC2">
              <w:rPr>
                <w:rFonts w:eastAsia="Cambria" w:cs="Cambria"/>
                <w:b/>
                <w:bCs/>
                <w:sz w:val="20"/>
                <w:szCs w:val="20"/>
                <w:lang w:val="es-419" w:eastAsia="es-US"/>
              </w:rPr>
              <w:t xml:space="preserve"> </w:t>
            </w:r>
            <w:r w:rsidR="00571325" w:rsidRPr="00672AC2">
              <w:rPr>
                <w:rFonts w:eastAsia="Cambria" w:cs="Cambria"/>
                <w:b/>
                <w:bCs/>
                <w:sz w:val="20"/>
                <w:szCs w:val="20"/>
                <w:lang w:val="es-419" w:eastAsia="es-US"/>
              </w:rPr>
              <w:t>9</w:t>
            </w:r>
            <w:r w:rsidRPr="00672AC2">
              <w:rPr>
                <w:rFonts w:eastAsia="Cambria" w:cs="Cambria"/>
                <w:b/>
                <w:bCs/>
                <w:sz w:val="20"/>
                <w:szCs w:val="20"/>
                <w:lang w:val="es-419" w:eastAsia="es-US"/>
              </w:rPr>
              <w:t xml:space="preserve">. </w:t>
            </w:r>
            <w:r w:rsidR="00571325" w:rsidRPr="00672AC2">
              <w:rPr>
                <w:sz w:val="20"/>
                <w:szCs w:val="20"/>
                <w:lang w:val="es-US"/>
              </w:rPr>
              <w:t>Adoptar medidas de reparación integral para las víctimas de violaciones de derechos humanos en el contexto de las protestas sociales</w:t>
            </w:r>
            <w:r w:rsidR="0075792F" w:rsidRPr="00672AC2">
              <w:rPr>
                <w:sz w:val="20"/>
                <w:szCs w:val="20"/>
                <w:lang w:val="es-US"/>
              </w:rPr>
              <w:t>,</w:t>
            </w:r>
            <w:r w:rsidR="00571325" w:rsidRPr="00672AC2">
              <w:rPr>
                <w:sz w:val="20"/>
                <w:szCs w:val="20"/>
                <w:lang w:val="es-US"/>
              </w:rPr>
              <w:t xml:space="preserve"> las cuales deberán incluir acciones de compensación; satisfacción; rehabilitación médica y psicológica; rehabilitación social; verdad y justicia, y garantías de no repetición.</w:t>
            </w:r>
            <w:r w:rsidR="001E5003" w:rsidRPr="00672AC2">
              <w:rPr>
                <w:rFonts w:eastAsia="Cambria" w:cs="Cambria"/>
                <w:sz w:val="20"/>
                <w:szCs w:val="20"/>
                <w:lang w:val="es-US" w:eastAsia="es-US"/>
              </w:rPr>
              <w:t xml:space="preserve">                   </w:t>
            </w:r>
            <w:r w:rsidR="00571325" w:rsidRPr="00672AC2">
              <w:rPr>
                <w:rFonts w:eastAsia="Cambria" w:cs="Cambria"/>
                <w:sz w:val="20"/>
                <w:szCs w:val="20"/>
                <w:lang w:val="es-US" w:eastAsia="es-US"/>
              </w:rPr>
              <w:t xml:space="preserve"> </w:t>
            </w:r>
          </w:p>
        </w:tc>
      </w:tr>
    </w:tbl>
    <w:p w14:paraId="05B65E7C" w14:textId="77777777" w:rsidR="00ED5E6C" w:rsidRPr="00672AC2" w:rsidRDefault="00ED5E6C" w:rsidP="003A65FB">
      <w:pPr>
        <w:pStyle w:val="IASubttulo2"/>
        <w:numPr>
          <w:ilvl w:val="0"/>
          <w:numId w:val="0"/>
        </w:numPr>
        <w:spacing w:after="0"/>
        <w:jc w:val="both"/>
        <w:rPr>
          <w:b w:val="0"/>
          <w:bCs/>
          <w:lang w:val="es-CO"/>
        </w:rPr>
      </w:pPr>
    </w:p>
    <w:p w14:paraId="08B7C2C8" w14:textId="3BBC305B" w:rsidR="005B081B" w:rsidRPr="00672AC2" w:rsidRDefault="005B081B" w:rsidP="00112CC4">
      <w:pPr>
        <w:pBdr>
          <w:top w:val="nil"/>
          <w:left w:val="nil"/>
          <w:bottom w:val="nil"/>
          <w:right w:val="nil"/>
          <w:between w:val="nil"/>
        </w:pBdr>
        <w:ind w:firstLine="720"/>
        <w:jc w:val="both"/>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0CB82D41" w14:textId="77777777" w:rsidR="005B081B" w:rsidRPr="00672AC2" w:rsidRDefault="005B081B" w:rsidP="005B081B">
      <w:pPr>
        <w:shd w:val="clear" w:color="auto" w:fill="FFFFFF" w:themeFill="background1"/>
        <w:suppressAutoHyphens w:val="0"/>
        <w:jc w:val="both"/>
        <w:rPr>
          <w:b/>
          <w:bCs/>
          <w:sz w:val="20"/>
          <w:szCs w:val="20"/>
          <w:lang w:val="es-419" w:eastAsia="es-US"/>
        </w:rPr>
      </w:pPr>
    </w:p>
    <w:p w14:paraId="5010E32E" w14:textId="214F4BC0" w:rsidR="005B081B" w:rsidRPr="0077031F" w:rsidRDefault="04C947FA" w:rsidP="0077031F">
      <w:pPr>
        <w:pStyle w:val="IAPrrafo"/>
        <w:rPr>
          <w:rFonts w:eastAsia="Calibri" w:cs="Times New Roman"/>
          <w:b/>
          <w:bCs/>
          <w:szCs w:val="20"/>
          <w:lang w:val="es-US"/>
        </w:rPr>
      </w:pPr>
      <w:r w:rsidRPr="00672AC2">
        <w:rPr>
          <w:rFonts w:eastAsia="Calibri" w:cs="Times New Roman"/>
          <w:szCs w:val="20"/>
        </w:rPr>
        <w:t xml:space="preserve">En el año 2024, el Estado informó </w:t>
      </w:r>
      <w:r w:rsidRPr="00672AC2">
        <w:rPr>
          <w:szCs w:val="20"/>
          <w:lang w:val="es-US"/>
        </w:rPr>
        <w:t xml:space="preserve">que </w:t>
      </w:r>
      <w:r w:rsidRPr="00672AC2">
        <w:rPr>
          <w:szCs w:val="20"/>
          <w:lang w:val="es-ES"/>
        </w:rPr>
        <w:t>se creó la “Comisión Multisectorial de naturaleza temporal para hacer seguimiento a las acciones y medidas destinadas a atender a los deudos de las personas fallecidas, así como para las personas que sufrieron lesiones de gravedad en las movilizaciones ocurridas entre el 8 y 21 de diciembre de 2022”</w:t>
      </w:r>
      <w:r w:rsidR="00F36B41">
        <w:rPr>
          <w:rFonts w:ascii="ZWAdobeF" w:hAnsi="ZWAdobeF" w:cs="ZWAdobeF"/>
          <w:color w:val="auto"/>
          <w:sz w:val="2"/>
          <w:szCs w:val="2"/>
          <w:lang w:val="es-ES"/>
        </w:rPr>
        <w:t>68F</w:t>
      </w:r>
      <w:r w:rsidR="005B081B" w:rsidRPr="00672AC2">
        <w:rPr>
          <w:rStyle w:val="FootnoteReference"/>
          <w:szCs w:val="20"/>
          <w:lang w:val="es-ES"/>
        </w:rPr>
        <w:footnoteReference w:id="70"/>
      </w:r>
      <w:r w:rsidRPr="00672AC2">
        <w:rPr>
          <w:szCs w:val="20"/>
          <w:lang w:val="es-ES"/>
        </w:rPr>
        <w:t>, el cual amplió su objeto y funciones hasta el 26 de enero de 2023</w:t>
      </w:r>
      <w:r w:rsidR="00F36B41">
        <w:rPr>
          <w:rFonts w:ascii="ZWAdobeF" w:hAnsi="ZWAdobeF" w:cs="ZWAdobeF"/>
          <w:color w:val="auto"/>
          <w:sz w:val="2"/>
          <w:szCs w:val="2"/>
          <w:lang w:val="es-ES"/>
        </w:rPr>
        <w:t>69F</w:t>
      </w:r>
      <w:r w:rsidR="005B081B" w:rsidRPr="00672AC2">
        <w:rPr>
          <w:rStyle w:val="FootnoteReference"/>
          <w:szCs w:val="20"/>
          <w:lang w:val="es-ES"/>
        </w:rPr>
        <w:footnoteReference w:id="71"/>
      </w:r>
      <w:r w:rsidRPr="00672AC2">
        <w:rPr>
          <w:szCs w:val="20"/>
          <w:lang w:val="es-ES"/>
        </w:rPr>
        <w:t>, debido a las movilizaciones posteriores. De esa manera, señaló que, el 1 de agosto del 2023, la Comisión Multisectorial culminó su mandato, aunque el Ministerio de Justicia y Derechos Humanos ha continuado las gestiones ante diferentes sectores para garantizar la atención oportuna de los heridos de gravedad en el contexto de las protestas, hasta su total recuperación.</w:t>
      </w:r>
    </w:p>
    <w:p w14:paraId="14F30A83" w14:textId="54559F6B" w:rsidR="005B081B" w:rsidRPr="0077031F" w:rsidRDefault="4838154D" w:rsidP="0077031F">
      <w:pPr>
        <w:pStyle w:val="IAPrrafo"/>
        <w:rPr>
          <w:rFonts w:eastAsia="Calibri" w:cs="Times New Roman"/>
          <w:b/>
          <w:bCs/>
          <w:szCs w:val="20"/>
          <w:lang w:val="es-US"/>
        </w:rPr>
      </w:pPr>
      <w:r w:rsidRPr="00672AC2">
        <w:rPr>
          <w:szCs w:val="20"/>
          <w:lang w:val="es-ES"/>
        </w:rPr>
        <w:t>E</w:t>
      </w:r>
      <w:r w:rsidR="04C947FA" w:rsidRPr="00672AC2">
        <w:rPr>
          <w:szCs w:val="20"/>
          <w:lang w:val="es-ES"/>
        </w:rPr>
        <w:t xml:space="preserve"> Estado reportó que la Comisión Multisectorial referida identificó un total de 111 familiares de 63 personas fallecidas y 155 personas heridas de gravedad. Al respecto, </w:t>
      </w:r>
      <w:r w:rsidR="00F9286F" w:rsidRPr="00672AC2">
        <w:rPr>
          <w:szCs w:val="20"/>
          <w:lang w:val="es-ES"/>
        </w:rPr>
        <w:t xml:space="preserve">remarcó </w:t>
      </w:r>
      <w:r w:rsidR="04C947FA" w:rsidRPr="00672AC2">
        <w:rPr>
          <w:szCs w:val="20"/>
          <w:lang w:val="es-ES"/>
        </w:rPr>
        <w:t xml:space="preserve">que, </w:t>
      </w:r>
      <w:r w:rsidR="04C947FA" w:rsidRPr="00672AC2">
        <w:rPr>
          <w:rFonts w:eastAsia="Calibri" w:cs="Times New Roman"/>
          <w:szCs w:val="20"/>
          <w:lang w:val="es-US"/>
        </w:rPr>
        <w:t xml:space="preserve">para la identificación de las personas beneficiarias, el Instituto Nacional de Bienestar Familiar (INABIF) entrevistó a las familias de las personas fallecidas sobre aspectos como la composición familiar, la situación económica, de vivienda, de salud, de educación, entre otras. Manifestó que este registro permitió contar con información integral sobre las familias para </w:t>
      </w:r>
      <w:r w:rsidR="00F620C3" w:rsidRPr="00672AC2">
        <w:rPr>
          <w:rFonts w:eastAsia="Calibri" w:cs="Times New Roman"/>
          <w:szCs w:val="20"/>
          <w:lang w:val="es-US"/>
        </w:rPr>
        <w:t xml:space="preserve">precisar </w:t>
      </w:r>
      <w:r w:rsidR="04C947FA" w:rsidRPr="00672AC2">
        <w:rPr>
          <w:rFonts w:eastAsia="Calibri" w:cs="Times New Roman"/>
          <w:szCs w:val="20"/>
          <w:lang w:val="es-US"/>
        </w:rPr>
        <w:t>los servicios y programas con los que se les puede beneficiar, incluidos los de salud, educación, vivienda, desarrollo e inclusión a programas sociales, desarrollo agrario, entre otros.</w:t>
      </w:r>
    </w:p>
    <w:p w14:paraId="1D27B03E" w14:textId="1C4FD02C" w:rsidR="005B081B" w:rsidRPr="0077031F" w:rsidRDefault="04C947FA" w:rsidP="0077031F">
      <w:pPr>
        <w:pStyle w:val="IAPrrafo"/>
        <w:rPr>
          <w:rFonts w:eastAsia="Calibri" w:cs="Times New Roman"/>
          <w:b/>
          <w:bCs/>
          <w:szCs w:val="20"/>
          <w:lang w:val="es-US"/>
        </w:rPr>
      </w:pPr>
      <w:r w:rsidRPr="00672AC2">
        <w:rPr>
          <w:rFonts w:eastAsia="Calibri" w:cs="Times New Roman"/>
          <w:szCs w:val="20"/>
          <w:lang w:val="es-US"/>
        </w:rPr>
        <w:t xml:space="preserve">En relación con las personas fallecidas, según el Estado, se determinaron las siguientes cifras: </w:t>
      </w:r>
      <w:r w:rsidR="0077031F">
        <w:rPr>
          <w:rFonts w:eastAsia="Calibri" w:cs="Times New Roman"/>
          <w:szCs w:val="20"/>
          <w:lang w:val="es-US"/>
        </w:rPr>
        <w:t>(</w:t>
      </w:r>
      <w:r w:rsidRPr="00672AC2">
        <w:rPr>
          <w:szCs w:val="20"/>
          <w:lang w:val="es-ES"/>
        </w:rPr>
        <w:t xml:space="preserve">i) 49 personas fallecidas a consecuencia directa de las protestas; </w:t>
      </w:r>
      <w:r w:rsidR="0077031F">
        <w:rPr>
          <w:szCs w:val="20"/>
          <w:lang w:val="es-ES"/>
        </w:rPr>
        <w:t>(</w:t>
      </w:r>
      <w:proofErr w:type="spellStart"/>
      <w:r w:rsidRPr="00672AC2">
        <w:rPr>
          <w:szCs w:val="20"/>
          <w:lang w:val="es-ES"/>
        </w:rPr>
        <w:t>ii</w:t>
      </w:r>
      <w:proofErr w:type="spellEnd"/>
      <w:r w:rsidRPr="00672AC2">
        <w:rPr>
          <w:szCs w:val="20"/>
          <w:lang w:val="es-ES"/>
        </w:rPr>
        <w:t>) siete personas fallecidas a consecuencia indirecta de las protestas (accidente de tránsito o complicaciones de salud por los bloqueos de vías)</w:t>
      </w:r>
      <w:r w:rsidR="005A0231" w:rsidRPr="00672AC2">
        <w:rPr>
          <w:szCs w:val="20"/>
          <w:lang w:val="es-ES"/>
        </w:rPr>
        <w:t>;</w:t>
      </w:r>
      <w:r w:rsidRPr="00672AC2">
        <w:rPr>
          <w:szCs w:val="20"/>
          <w:lang w:val="es-ES"/>
        </w:rPr>
        <w:t xml:space="preserve"> </w:t>
      </w:r>
      <w:r w:rsidR="0077031F">
        <w:rPr>
          <w:szCs w:val="20"/>
          <w:lang w:val="es-ES"/>
        </w:rPr>
        <w:t>(</w:t>
      </w:r>
      <w:proofErr w:type="spellStart"/>
      <w:r w:rsidRPr="00672AC2">
        <w:rPr>
          <w:szCs w:val="20"/>
          <w:lang w:val="es-ES"/>
        </w:rPr>
        <w:t>iii</w:t>
      </w:r>
      <w:proofErr w:type="spellEnd"/>
      <w:r w:rsidRPr="00672AC2">
        <w:rPr>
          <w:szCs w:val="20"/>
          <w:lang w:val="es-ES"/>
        </w:rPr>
        <w:t xml:space="preserve">) un efectivo PNP fallecido, y </w:t>
      </w:r>
      <w:r w:rsidR="0077031F">
        <w:rPr>
          <w:szCs w:val="20"/>
          <w:lang w:val="es-ES"/>
        </w:rPr>
        <w:t>(</w:t>
      </w:r>
      <w:proofErr w:type="spellStart"/>
      <w:r w:rsidRPr="00672AC2">
        <w:rPr>
          <w:szCs w:val="20"/>
          <w:lang w:val="es-ES"/>
        </w:rPr>
        <w:t>iv</w:t>
      </w:r>
      <w:proofErr w:type="spellEnd"/>
      <w:r w:rsidRPr="00672AC2">
        <w:rPr>
          <w:szCs w:val="20"/>
          <w:lang w:val="es-ES"/>
        </w:rPr>
        <w:t xml:space="preserve">) seis integrantes del </w:t>
      </w:r>
      <w:r w:rsidR="0072542F" w:rsidRPr="00672AC2">
        <w:rPr>
          <w:szCs w:val="20"/>
          <w:lang w:val="es-ES"/>
        </w:rPr>
        <w:t>E</w:t>
      </w:r>
      <w:r w:rsidRPr="00672AC2">
        <w:rPr>
          <w:szCs w:val="20"/>
          <w:lang w:val="es-ES"/>
        </w:rPr>
        <w:t xml:space="preserve">jército fallecidos. </w:t>
      </w:r>
    </w:p>
    <w:p w14:paraId="3852B69A" w14:textId="5FBB19C4" w:rsidR="005B081B" w:rsidRPr="0077031F" w:rsidRDefault="3D361DA6" w:rsidP="0077031F">
      <w:pPr>
        <w:pStyle w:val="IAPrrafo"/>
        <w:rPr>
          <w:rFonts w:eastAsia="Calibri" w:cs="Times New Roman"/>
          <w:b/>
          <w:bCs/>
          <w:szCs w:val="20"/>
          <w:lang w:val="es-US"/>
        </w:rPr>
      </w:pPr>
      <w:r w:rsidRPr="00672AC2">
        <w:rPr>
          <w:szCs w:val="20"/>
          <w:lang w:val="es-ES"/>
        </w:rPr>
        <w:t>E</w:t>
      </w:r>
      <w:r w:rsidR="04C947FA" w:rsidRPr="00672AC2">
        <w:rPr>
          <w:szCs w:val="20"/>
          <w:lang w:val="es-ES"/>
        </w:rPr>
        <w:t>l Estado afirmó que la Comisión Multisectorial estableció cinco criterios para determinar a las personas heridas de gravedad que serían beneficiarias de sus acciones</w:t>
      </w:r>
      <w:r w:rsidR="005A0231" w:rsidRPr="00672AC2">
        <w:rPr>
          <w:szCs w:val="20"/>
          <w:lang w:val="es-ES"/>
        </w:rPr>
        <w:t>;</w:t>
      </w:r>
      <w:r w:rsidR="04C947FA" w:rsidRPr="00672AC2">
        <w:rPr>
          <w:szCs w:val="20"/>
          <w:lang w:val="es-ES"/>
        </w:rPr>
        <w:t xml:space="preserve"> a saber, quienes: </w:t>
      </w:r>
      <w:r w:rsidR="00112CC4">
        <w:rPr>
          <w:szCs w:val="20"/>
          <w:lang w:val="es-ES"/>
        </w:rPr>
        <w:t>(</w:t>
      </w:r>
      <w:r w:rsidR="04C947FA" w:rsidRPr="00672AC2">
        <w:rPr>
          <w:szCs w:val="20"/>
          <w:lang w:val="es-ES"/>
        </w:rPr>
        <w:t xml:space="preserve">i) permanecieron en Unidad de Cuidados Intensivos; </w:t>
      </w:r>
      <w:r w:rsidR="00112CC4">
        <w:rPr>
          <w:szCs w:val="20"/>
          <w:lang w:val="es-ES"/>
        </w:rPr>
        <w:t>(</w:t>
      </w:r>
      <w:proofErr w:type="spellStart"/>
      <w:r w:rsidR="04C947FA" w:rsidRPr="00672AC2">
        <w:rPr>
          <w:szCs w:val="20"/>
          <w:lang w:val="es-ES"/>
        </w:rPr>
        <w:t>ii</w:t>
      </w:r>
      <w:proofErr w:type="spellEnd"/>
      <w:r w:rsidR="04C947FA" w:rsidRPr="00672AC2">
        <w:rPr>
          <w:szCs w:val="20"/>
          <w:lang w:val="es-ES"/>
        </w:rPr>
        <w:t xml:space="preserve">) estuvieron hospitalizadas por más de 10 días calendarios; </w:t>
      </w:r>
      <w:r w:rsidR="00112CC4">
        <w:rPr>
          <w:szCs w:val="20"/>
          <w:lang w:val="es-ES"/>
        </w:rPr>
        <w:t>(</w:t>
      </w:r>
      <w:proofErr w:type="spellStart"/>
      <w:r w:rsidR="04C947FA" w:rsidRPr="00672AC2">
        <w:rPr>
          <w:szCs w:val="20"/>
          <w:lang w:val="es-ES"/>
        </w:rPr>
        <w:t>iii</w:t>
      </w:r>
      <w:proofErr w:type="spellEnd"/>
      <w:r w:rsidR="04C947FA" w:rsidRPr="00672AC2">
        <w:rPr>
          <w:szCs w:val="20"/>
          <w:lang w:val="es-ES"/>
        </w:rPr>
        <w:t xml:space="preserve">) hayan requerido o requieran una intervención quirúrgica mayor; </w:t>
      </w:r>
      <w:proofErr w:type="spellStart"/>
      <w:r w:rsidR="04C947FA" w:rsidRPr="00672AC2">
        <w:rPr>
          <w:szCs w:val="20"/>
          <w:lang w:val="es-ES"/>
        </w:rPr>
        <w:t>iv</w:t>
      </w:r>
      <w:proofErr w:type="spellEnd"/>
      <w:r w:rsidR="04C947FA" w:rsidRPr="00672AC2">
        <w:rPr>
          <w:szCs w:val="20"/>
          <w:lang w:val="es-ES"/>
        </w:rPr>
        <w:t>) hayan adquirido una discapacidad permanente a consecuencia de las lesiones; así como</w:t>
      </w:r>
      <w:r w:rsidR="001E5003" w:rsidRPr="00672AC2">
        <w:rPr>
          <w:szCs w:val="20"/>
          <w:lang w:val="es-ES"/>
        </w:rPr>
        <w:t xml:space="preserve"> </w:t>
      </w:r>
      <w:r w:rsidR="04C947FA" w:rsidRPr="00672AC2">
        <w:rPr>
          <w:szCs w:val="20"/>
          <w:lang w:val="es-ES"/>
        </w:rPr>
        <w:t>v) otros casos que sean aprobados por la Comisión como los de aquellas personas que, por el tipo de lesión sufrida o por su gravedad, tendrán secuelas que limitarán el desempeño normal en actividades diarias o laborales.</w:t>
      </w:r>
    </w:p>
    <w:p w14:paraId="58340471" w14:textId="7A19BB26" w:rsidR="005B081B" w:rsidRPr="00672AC2" w:rsidRDefault="7627EA0E" w:rsidP="00E83710">
      <w:pPr>
        <w:pStyle w:val="IAPrrafo"/>
        <w:rPr>
          <w:rFonts w:eastAsia="Calibri" w:cs="Times New Roman"/>
          <w:b/>
          <w:szCs w:val="20"/>
          <w:lang w:val="es-US"/>
        </w:rPr>
      </w:pPr>
      <w:r w:rsidRPr="00672AC2">
        <w:rPr>
          <w:szCs w:val="20"/>
          <w:lang w:val="es-US"/>
        </w:rPr>
        <w:t>E</w:t>
      </w:r>
      <w:r w:rsidR="6B436EDA" w:rsidRPr="00672AC2">
        <w:rPr>
          <w:szCs w:val="20"/>
          <w:lang w:val="es-US"/>
        </w:rPr>
        <w:t xml:space="preserve">l Estado señaló que, </w:t>
      </w:r>
      <w:r w:rsidR="6B436EDA" w:rsidRPr="00672AC2">
        <w:rPr>
          <w:szCs w:val="20"/>
          <w:lang w:val="es-ES"/>
        </w:rPr>
        <w:t>el 21 de febrero de 2023, el Ministerio de Justicia y Derechos Humanos fue autorizado a otorgar, de manera excepcional y por única vez, un apoyo económico a favor de las personas beneficiarias determinadas por la Comisión Multisectorial</w:t>
      </w:r>
      <w:r w:rsidR="00183ED7" w:rsidRPr="00672AC2">
        <w:rPr>
          <w:szCs w:val="20"/>
          <w:lang w:val="es-ES"/>
        </w:rPr>
        <w:t>;</w:t>
      </w:r>
      <w:r w:rsidR="6B436EDA" w:rsidRPr="00672AC2">
        <w:rPr>
          <w:szCs w:val="20"/>
          <w:lang w:val="es-ES"/>
        </w:rPr>
        <w:t xml:space="preserve"> a saber, deudos de personas civiles o policías fallecidas y heridas de gravedad en las movilizaciones ocurridas entre el 8 de diciembre de 2022 y 10 de febrero de 2023</w:t>
      </w:r>
      <w:r w:rsidR="00F36B41">
        <w:rPr>
          <w:rFonts w:ascii="ZWAdobeF" w:hAnsi="ZWAdobeF" w:cs="ZWAdobeF"/>
          <w:color w:val="auto"/>
          <w:sz w:val="2"/>
          <w:szCs w:val="2"/>
          <w:lang w:val="es-ES"/>
        </w:rPr>
        <w:t>70F</w:t>
      </w:r>
      <w:r w:rsidR="005B081B" w:rsidRPr="00672AC2">
        <w:rPr>
          <w:rStyle w:val="FootnoteReference"/>
          <w:szCs w:val="20"/>
          <w:lang w:val="es-ES"/>
        </w:rPr>
        <w:footnoteReference w:id="72"/>
      </w:r>
      <w:r w:rsidR="6B436EDA" w:rsidRPr="00672AC2">
        <w:rPr>
          <w:szCs w:val="20"/>
          <w:lang w:val="es-ES"/>
        </w:rPr>
        <w:t xml:space="preserve">. El monto para entregar es de 50.000 soles por persona fallecida, y 25.000 soles por cada persona herida de gravedad, habiéndose presupuestado un total de 7.025.000 soles. Además, el Estado informó que </w:t>
      </w:r>
      <w:r w:rsidR="000A0CB6" w:rsidRPr="00672AC2">
        <w:rPr>
          <w:rFonts w:eastAsia="Calibri" w:cs="Calibri"/>
          <w:szCs w:val="20"/>
          <w:lang w:val="es-US"/>
        </w:rPr>
        <w:t>este apoyo económico no tiene una naturaleza resarcitoria ni reparatoria, y que el beneficio no tiene implicancias en la determinación de eventuales responsabilidades administrativas, civiles o penales</w:t>
      </w:r>
      <w:r w:rsidR="6B436EDA" w:rsidRPr="00672AC2">
        <w:rPr>
          <w:szCs w:val="20"/>
          <w:lang w:val="es-ES"/>
        </w:rPr>
        <w:t>.</w:t>
      </w:r>
    </w:p>
    <w:p w14:paraId="5E9B3C5D" w14:textId="77777777" w:rsidR="005B081B" w:rsidRPr="00672AC2" w:rsidRDefault="005B081B" w:rsidP="005B081B">
      <w:pPr>
        <w:pStyle w:val="IASubttulo2"/>
        <w:numPr>
          <w:ilvl w:val="0"/>
          <w:numId w:val="0"/>
        </w:numPr>
        <w:spacing w:after="0"/>
        <w:jc w:val="both"/>
        <w:rPr>
          <w:rFonts w:eastAsia="Calibri" w:cs="Times New Roman"/>
          <w:b w:val="0"/>
          <w:bCs/>
          <w:sz w:val="20"/>
          <w:szCs w:val="20"/>
          <w:lang w:val="es-US"/>
        </w:rPr>
      </w:pPr>
    </w:p>
    <w:p w14:paraId="17DACAA8" w14:textId="478772B6" w:rsidR="005B081B" w:rsidRPr="007E3402" w:rsidRDefault="005B081B" w:rsidP="005B081B">
      <w:pPr>
        <w:pStyle w:val="IAPrrafo"/>
        <w:rPr>
          <w:rFonts w:eastAsia="Calibri" w:cs="Times New Roman"/>
          <w:b/>
          <w:bCs/>
          <w:szCs w:val="20"/>
          <w:lang w:val="es-US"/>
        </w:rPr>
      </w:pPr>
      <w:r w:rsidRPr="00672AC2">
        <w:rPr>
          <w:rFonts w:eastAsia="Calibri" w:cs="Times New Roman"/>
          <w:bCs/>
          <w:szCs w:val="20"/>
          <w:lang w:val="es-US"/>
        </w:rPr>
        <w:t>Además, el Estado reportó las siguientes acciones realizadas:</w:t>
      </w:r>
    </w:p>
    <w:p w14:paraId="3F9D5AA2" w14:textId="3930B2F0" w:rsidR="005B081B" w:rsidRPr="00672AC2" w:rsidRDefault="005B081B" w:rsidP="007E3402">
      <w:pPr>
        <w:pStyle w:val="ListParagraph"/>
        <w:numPr>
          <w:ilvl w:val="0"/>
          <w:numId w:val="17"/>
        </w:numPr>
        <w:suppressAutoHyphens w:val="0"/>
        <w:autoSpaceDE w:val="0"/>
        <w:autoSpaceDN w:val="0"/>
        <w:adjustRightInd w:val="0"/>
        <w:ind w:left="1800"/>
        <w:jc w:val="both"/>
        <w:rPr>
          <w:rFonts w:cs="AppleSystemUIFont"/>
          <w:sz w:val="20"/>
          <w:szCs w:val="20"/>
          <w:lang w:val="es-ES"/>
        </w:rPr>
      </w:pPr>
      <w:r w:rsidRPr="00672AC2">
        <w:rPr>
          <w:rFonts w:cs="AppleSystemUIFont"/>
          <w:sz w:val="20"/>
          <w:szCs w:val="20"/>
          <w:lang w:val="es-ES"/>
        </w:rPr>
        <w:t xml:space="preserve">El servicio de Defensa Pública del Ministerio de Justicia y Derechos Humanos brindó 112 orientaciones legales y 20 patrocinios en 11 regiones o zonas del Perú (Apurímac, Arequipa, Ayacucho, Cusco, Huancavelica, Ica, La Libertad, Lima, Madre de Dios, Puno </w:t>
      </w:r>
      <w:r w:rsidR="009316CA" w:rsidRPr="00672AC2">
        <w:rPr>
          <w:rFonts w:cs="AppleSystemUIFont"/>
          <w:sz w:val="20"/>
          <w:szCs w:val="20"/>
          <w:lang w:val="es-ES"/>
        </w:rPr>
        <w:t xml:space="preserve">y </w:t>
      </w:r>
      <w:r w:rsidRPr="00672AC2">
        <w:rPr>
          <w:rFonts w:cs="AppleSystemUIFont"/>
          <w:sz w:val="20"/>
          <w:szCs w:val="20"/>
          <w:lang w:val="es-ES"/>
        </w:rPr>
        <w:t>Selva Central).</w:t>
      </w:r>
    </w:p>
    <w:p w14:paraId="12AADD42" w14:textId="1C4D7F26" w:rsidR="005B081B" w:rsidRPr="00672AC2" w:rsidRDefault="005B081B" w:rsidP="007E3402">
      <w:pPr>
        <w:pStyle w:val="ListParagraph"/>
        <w:numPr>
          <w:ilvl w:val="0"/>
          <w:numId w:val="17"/>
        </w:numPr>
        <w:suppressAutoHyphens w:val="0"/>
        <w:autoSpaceDE w:val="0"/>
        <w:autoSpaceDN w:val="0"/>
        <w:adjustRightInd w:val="0"/>
        <w:ind w:left="1800"/>
        <w:jc w:val="both"/>
        <w:rPr>
          <w:rFonts w:cs="AppleSystemUIFont"/>
          <w:b/>
          <w:bCs/>
          <w:sz w:val="20"/>
          <w:szCs w:val="20"/>
          <w:lang w:val="es-ES"/>
        </w:rPr>
      </w:pPr>
      <w:r w:rsidRPr="00672AC2">
        <w:rPr>
          <w:rFonts w:cs="AppleSystemUIFont"/>
          <w:sz w:val="20"/>
          <w:szCs w:val="20"/>
          <w:lang w:val="es-ES"/>
        </w:rPr>
        <w:t xml:space="preserve">El Ministerio de Educación incluyó a las personas afectadas en la Beca de Gestión de la Cooperación Nacional </w:t>
      </w:r>
      <w:r w:rsidR="00113214" w:rsidRPr="00672AC2">
        <w:rPr>
          <w:rFonts w:cs="AppleSystemUIFont"/>
          <w:sz w:val="20"/>
          <w:szCs w:val="20"/>
          <w:lang w:val="es-ES"/>
        </w:rPr>
        <w:t>(</w:t>
      </w:r>
      <w:r w:rsidRPr="00672AC2">
        <w:rPr>
          <w:rFonts w:cs="AppleSystemUIFont"/>
          <w:sz w:val="20"/>
          <w:szCs w:val="20"/>
          <w:lang w:val="es-ES"/>
        </w:rPr>
        <w:t>Beca Perú</w:t>
      </w:r>
      <w:r w:rsidR="00113214" w:rsidRPr="00672AC2">
        <w:rPr>
          <w:rFonts w:cs="AppleSystemUIFont"/>
          <w:sz w:val="20"/>
          <w:szCs w:val="20"/>
          <w:lang w:val="es-ES"/>
        </w:rPr>
        <w:t>)</w:t>
      </w:r>
      <w:r w:rsidRPr="00672AC2">
        <w:rPr>
          <w:rFonts w:cs="AppleSystemUIFont"/>
          <w:sz w:val="20"/>
          <w:szCs w:val="20"/>
          <w:lang w:val="es-ES"/>
        </w:rPr>
        <w:t xml:space="preserve"> – Convocatoria 2023, y les asignó puntaje adicional en las convocatorias.</w:t>
      </w:r>
    </w:p>
    <w:p w14:paraId="3FF6EFBD" w14:textId="77777777" w:rsidR="005B081B" w:rsidRPr="00672AC2" w:rsidRDefault="005B081B" w:rsidP="007E3402">
      <w:pPr>
        <w:pStyle w:val="ListParagraph"/>
        <w:numPr>
          <w:ilvl w:val="0"/>
          <w:numId w:val="17"/>
        </w:numPr>
        <w:suppressAutoHyphens w:val="0"/>
        <w:autoSpaceDE w:val="0"/>
        <w:autoSpaceDN w:val="0"/>
        <w:adjustRightInd w:val="0"/>
        <w:ind w:left="1800"/>
        <w:jc w:val="both"/>
        <w:rPr>
          <w:rFonts w:cs="AppleSystemUIFont"/>
          <w:b/>
          <w:bCs/>
          <w:sz w:val="20"/>
          <w:szCs w:val="20"/>
          <w:lang w:val="es-ES"/>
        </w:rPr>
      </w:pPr>
      <w:r w:rsidRPr="00672AC2">
        <w:rPr>
          <w:rFonts w:cs="AppleSystemUIFont"/>
          <w:sz w:val="20"/>
          <w:szCs w:val="20"/>
          <w:lang w:val="es-ES"/>
        </w:rPr>
        <w:t>El Ministerio de Vivienda, Construcción y Saneamiento evaluó a las personas afectadas a fin de identificar a los potenciales beneficiarios de los programas de vivienda, brindándoles información y orientación para que puedan acceder a estos.</w:t>
      </w:r>
    </w:p>
    <w:p w14:paraId="7F57F96D" w14:textId="77777777" w:rsidR="005B081B" w:rsidRPr="00672AC2" w:rsidRDefault="005B081B" w:rsidP="007E3402">
      <w:pPr>
        <w:pStyle w:val="ListParagraph"/>
        <w:numPr>
          <w:ilvl w:val="0"/>
          <w:numId w:val="17"/>
        </w:numPr>
        <w:suppressAutoHyphens w:val="0"/>
        <w:autoSpaceDE w:val="0"/>
        <w:autoSpaceDN w:val="0"/>
        <w:adjustRightInd w:val="0"/>
        <w:ind w:left="1800"/>
        <w:jc w:val="both"/>
        <w:rPr>
          <w:rFonts w:cs="AppleSystemUIFont"/>
          <w:b/>
          <w:bCs/>
          <w:sz w:val="20"/>
          <w:szCs w:val="20"/>
          <w:lang w:val="es-ES"/>
        </w:rPr>
      </w:pPr>
      <w:r w:rsidRPr="00672AC2">
        <w:rPr>
          <w:rFonts w:cs="AppleSystemUIFont"/>
          <w:sz w:val="20"/>
          <w:szCs w:val="20"/>
          <w:lang w:val="es-ES"/>
        </w:rPr>
        <w:t>El Ministerio de Desarrollo Agrario y Riego viene brindando atención a las familias incorporadas en el Padrón de Productores Agrarios (PPA) para que accedan a los bonos de ese programa.</w:t>
      </w:r>
    </w:p>
    <w:p w14:paraId="6D08CDA5" w14:textId="77777777" w:rsidR="005B081B" w:rsidRPr="00672AC2" w:rsidRDefault="005B081B" w:rsidP="005B081B">
      <w:pPr>
        <w:pStyle w:val="IASubttulo2"/>
        <w:numPr>
          <w:ilvl w:val="0"/>
          <w:numId w:val="0"/>
        </w:numPr>
        <w:spacing w:after="0"/>
        <w:ind w:left="720"/>
        <w:jc w:val="both"/>
        <w:rPr>
          <w:rFonts w:eastAsia="Calibri" w:cs="Times New Roman"/>
          <w:b w:val="0"/>
          <w:bCs/>
          <w:sz w:val="20"/>
          <w:szCs w:val="20"/>
          <w:lang w:val="es-US"/>
        </w:rPr>
      </w:pPr>
    </w:p>
    <w:p w14:paraId="13AD0D2E" w14:textId="09284905" w:rsidR="005B081B" w:rsidRPr="00F90F96" w:rsidRDefault="63B8EF38" w:rsidP="00F90F96">
      <w:pPr>
        <w:pStyle w:val="IAPrrafo"/>
        <w:rPr>
          <w:rFonts w:eastAsia="Calibri" w:cs="Times New Roman"/>
          <w:b/>
          <w:bCs/>
          <w:iCs/>
          <w:szCs w:val="20"/>
          <w:lang w:val="es-US"/>
        </w:rPr>
      </w:pPr>
      <w:r w:rsidRPr="00672AC2">
        <w:rPr>
          <w:rFonts w:eastAsia="Calibri" w:cs="Times New Roman"/>
          <w:szCs w:val="20"/>
          <w:lang w:val="es-US"/>
        </w:rPr>
        <w:t>S</w:t>
      </w:r>
      <w:r w:rsidR="04C947FA" w:rsidRPr="00672AC2">
        <w:rPr>
          <w:rFonts w:eastAsia="Calibri" w:cs="Times New Roman"/>
          <w:szCs w:val="20"/>
          <w:lang w:val="es-US"/>
        </w:rPr>
        <w:t xml:space="preserve">ociedad civil informó a la CIDH que los criterios de calificación e identificación de las víctimas incluidas en el registro no habrían sido determinados de manera transparente, puesto que no se contó con ningún mecanismo </w:t>
      </w:r>
      <w:r w:rsidR="6BC632B8" w:rsidRPr="00672AC2">
        <w:rPr>
          <w:rFonts w:eastAsia="Calibri" w:cs="Times New Roman"/>
          <w:szCs w:val="20"/>
          <w:lang w:val="es-US"/>
        </w:rPr>
        <w:t>de información sobre</w:t>
      </w:r>
      <w:r w:rsidR="04C947FA" w:rsidRPr="00672AC2">
        <w:rPr>
          <w:rFonts w:eastAsia="Calibri" w:cs="Times New Roman"/>
          <w:szCs w:val="20"/>
          <w:lang w:val="es-US"/>
        </w:rPr>
        <w:t xml:space="preserve"> los criterios que se </w:t>
      </w:r>
      <w:r w:rsidR="000A0CB6" w:rsidRPr="00672AC2">
        <w:rPr>
          <w:rFonts w:eastAsia="Calibri" w:cs="Times New Roman"/>
          <w:szCs w:val="20"/>
          <w:lang w:val="es-US"/>
        </w:rPr>
        <w:t xml:space="preserve">vienen utilizando para ello. </w:t>
      </w:r>
      <w:r w:rsidR="04C947FA" w:rsidRPr="00672AC2">
        <w:rPr>
          <w:rFonts w:eastAsia="Calibri" w:cs="Times New Roman"/>
          <w:szCs w:val="20"/>
          <w:lang w:val="es-US"/>
        </w:rPr>
        <w:t xml:space="preserve">Asimismo, </w:t>
      </w:r>
      <w:r w:rsidR="00230BE1" w:rsidRPr="00672AC2">
        <w:rPr>
          <w:rFonts w:eastAsia="Calibri" w:cs="Times New Roman"/>
          <w:szCs w:val="20"/>
          <w:lang w:val="es-US"/>
        </w:rPr>
        <w:t>destacó</w:t>
      </w:r>
      <w:r w:rsidR="04C947FA" w:rsidRPr="00672AC2">
        <w:rPr>
          <w:rFonts w:eastAsia="Calibri" w:cs="Times New Roman"/>
          <w:szCs w:val="20"/>
          <w:lang w:val="es-US"/>
        </w:rPr>
        <w:t xml:space="preserve"> la falta de un sistema independiente </w:t>
      </w:r>
      <w:r w:rsidR="000A0CB6" w:rsidRPr="00672AC2">
        <w:rPr>
          <w:rFonts w:eastAsia="Calibri" w:cs="Times New Roman"/>
          <w:szCs w:val="20"/>
          <w:lang w:val="es-US"/>
        </w:rPr>
        <w:t>que permita</w:t>
      </w:r>
      <w:r w:rsidR="04C947FA" w:rsidRPr="00672AC2">
        <w:rPr>
          <w:rFonts w:eastAsia="Calibri" w:cs="Times New Roman"/>
          <w:szCs w:val="20"/>
          <w:lang w:val="es-US"/>
        </w:rPr>
        <w:t xml:space="preserve"> supervisar el proceso de identificación de las personas afectadas.</w:t>
      </w:r>
      <w:r w:rsidR="000A0CB6" w:rsidRPr="00672AC2">
        <w:rPr>
          <w:rFonts w:eastAsia="Calibri" w:cs="Calibri"/>
          <w:szCs w:val="20"/>
          <w:lang w:val="es-US"/>
        </w:rPr>
        <w:t xml:space="preserve"> Además, sociedad civil solicitó que las medidas adoptadas tengan como objetivo abarcar la integralidad de las reparaciones dirigidas a abordar el daño generado a las víctimas.</w:t>
      </w:r>
    </w:p>
    <w:p w14:paraId="70DF56CE" w14:textId="77777777" w:rsidR="005B081B" w:rsidRPr="00672AC2" w:rsidRDefault="005B081B" w:rsidP="00112CC4">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43120669" w14:textId="77777777" w:rsidR="005B081B" w:rsidRPr="00672AC2" w:rsidRDefault="005B081B" w:rsidP="005B081B">
      <w:pPr>
        <w:pStyle w:val="IASubttulo2"/>
        <w:numPr>
          <w:ilvl w:val="0"/>
          <w:numId w:val="0"/>
        </w:numPr>
        <w:spacing w:after="0"/>
        <w:ind w:left="720"/>
        <w:jc w:val="both"/>
        <w:rPr>
          <w:b w:val="0"/>
          <w:bCs/>
          <w:sz w:val="20"/>
          <w:szCs w:val="20"/>
          <w:lang w:val="es-US"/>
        </w:rPr>
      </w:pPr>
    </w:p>
    <w:p w14:paraId="2105FF26" w14:textId="23231AEC" w:rsidR="00A41D8F" w:rsidRPr="00F90F96" w:rsidRDefault="005B081B" w:rsidP="00F90F96">
      <w:pPr>
        <w:pStyle w:val="IAPrrafo"/>
        <w:rPr>
          <w:rFonts w:eastAsia="Calibri" w:cs="Times New Roman"/>
          <w:b/>
          <w:bCs/>
          <w:szCs w:val="20"/>
        </w:rPr>
      </w:pPr>
      <w:r w:rsidRPr="00672AC2">
        <w:rPr>
          <w:bCs/>
          <w:szCs w:val="20"/>
          <w:lang w:val="es-US"/>
        </w:rPr>
        <w:t>La CIDH agradece al Estado por la información remitida, y toma atenta nota de la creación de la Comisión Multisectorial, y el actual rol del Ministerio de Justicia y Derechos Humanos para continuar con su mandato, así como del apoyo económico otorgado a familiares de las personas fallecidas y heridas de gravedad. Asimismo, observa los esfuerzos por identificar a las personas afectadas, e incorporarlas en las políticas sectoriales en educación, vivienda y desarrollo agrario.</w:t>
      </w:r>
    </w:p>
    <w:p w14:paraId="02E2B3D2" w14:textId="33B809B1" w:rsidR="00A41D8F" w:rsidRPr="005F569C" w:rsidRDefault="00A41D8F" w:rsidP="005F569C">
      <w:pPr>
        <w:pStyle w:val="IAPrrafo"/>
        <w:rPr>
          <w:rFonts w:eastAsia="Calibri" w:cs="Times New Roman"/>
          <w:b/>
          <w:bCs/>
          <w:szCs w:val="20"/>
        </w:rPr>
      </w:pPr>
      <w:r w:rsidRPr="24019998">
        <w:rPr>
          <w:szCs w:val="20"/>
          <w:lang w:val="es-ES"/>
        </w:rPr>
        <w:t xml:space="preserve">La obligación del Estado de reparar a las víctimas de violaciones a derechos humanos se deriva de la obligación de garantizar reconocida en el artículo 1.1 y en el artículo 63.1 de la Convención Americana de Derechos Humanos. En ese sentido, la Corte Interamericana de Derechos Humanos ha mencionado que “el deber de reparar es uno propio del Estado, por lo </w:t>
      </w:r>
      <w:proofErr w:type="gramStart"/>
      <w:r w:rsidRPr="24019998">
        <w:rPr>
          <w:szCs w:val="20"/>
          <w:lang w:val="es-ES"/>
        </w:rPr>
        <w:t>que</w:t>
      </w:r>
      <w:proofErr w:type="gramEnd"/>
      <w:r w:rsidRPr="24019998">
        <w:rPr>
          <w:szCs w:val="20"/>
          <w:lang w:val="es-ES"/>
        </w:rPr>
        <w:t xml:space="preserve"> si bien las víctimas o sus familiares deben tener amplias oportunidades también en la búsqueda de una justa compensación, este deber no puede descansar exclusivamente en su iniciativa procesal o en la aportación privada de elementos probatorios”</w:t>
      </w:r>
      <w:r w:rsidR="00F36B41">
        <w:rPr>
          <w:rFonts w:ascii="ZWAdobeF" w:hAnsi="ZWAdobeF" w:cs="ZWAdobeF"/>
          <w:color w:val="auto"/>
          <w:sz w:val="2"/>
          <w:szCs w:val="2"/>
          <w:lang w:val="es-ES"/>
        </w:rPr>
        <w:t>71F</w:t>
      </w:r>
      <w:r w:rsidRPr="24019998">
        <w:rPr>
          <w:rStyle w:val="FootnoteReference"/>
          <w:szCs w:val="20"/>
          <w:lang w:val="es-ES"/>
        </w:rPr>
        <w:footnoteReference w:id="73"/>
      </w:r>
      <w:r w:rsidRPr="24019998">
        <w:rPr>
          <w:szCs w:val="20"/>
          <w:lang w:val="es-ES"/>
        </w:rPr>
        <w:t>. En ese sentido, la Comisión ha sostenido que el “principio que debe guiar la implementación de reparaciones por violaciones a derechos humanos es el de eficacia, tanto en el sentido de lograr el cabal cumplimiento de la medida, como en el de tomar debidamente en cuenta las necesidades de los beneficiarios”</w:t>
      </w:r>
      <w:r w:rsidR="00F36B41">
        <w:rPr>
          <w:rFonts w:ascii="ZWAdobeF" w:hAnsi="ZWAdobeF" w:cs="ZWAdobeF"/>
          <w:color w:val="auto"/>
          <w:sz w:val="2"/>
          <w:szCs w:val="2"/>
          <w:lang w:val="es-ES"/>
        </w:rPr>
        <w:t>72F</w:t>
      </w:r>
      <w:r w:rsidRPr="24019998">
        <w:rPr>
          <w:rStyle w:val="FootnoteReference"/>
          <w:szCs w:val="20"/>
          <w:lang w:val="es-ES"/>
        </w:rPr>
        <w:footnoteReference w:id="74"/>
      </w:r>
      <w:r w:rsidRPr="24019998">
        <w:rPr>
          <w:szCs w:val="20"/>
          <w:lang w:val="es-ES"/>
        </w:rPr>
        <w:t>. Por ello, para el cumplimiento de dicha obligación por parte de los estados, la CIDH ha contemplado que “en situaciones graves, sistemáticas y prolongadas de violaciones de derechos humanos, los Estados pueden crear programas administrativos de reparación que permitan que las personas afectadas puedan recurrir a mecanismos expeditos y eficaces”</w:t>
      </w:r>
      <w:r w:rsidR="00F36B41">
        <w:rPr>
          <w:rFonts w:ascii="ZWAdobeF" w:hAnsi="ZWAdobeF" w:cs="ZWAdobeF"/>
          <w:color w:val="auto"/>
          <w:sz w:val="2"/>
          <w:szCs w:val="2"/>
          <w:lang w:val="es-ES"/>
        </w:rPr>
        <w:t>73F</w:t>
      </w:r>
      <w:r w:rsidRPr="24019998">
        <w:rPr>
          <w:rStyle w:val="FootnoteReference"/>
          <w:szCs w:val="20"/>
          <w:lang w:val="es-ES"/>
        </w:rPr>
        <w:footnoteReference w:id="75"/>
      </w:r>
      <w:r w:rsidRPr="24019998">
        <w:rPr>
          <w:szCs w:val="20"/>
          <w:lang w:val="es-ES"/>
        </w:rPr>
        <w:t>. Así, “ambos órganos del sistema interamericano (Comisión y Corte IDH) han entendido que las vías de reparación administrativa y judicial son complementarias y no excluyentes, siendo posible la confluencia de ambas y permitiendo que en la vía judicial se descuente o compense lo ya abonado en la vía administrativa”.</w:t>
      </w:r>
      <w:r w:rsidR="00F36B41">
        <w:rPr>
          <w:rFonts w:ascii="ZWAdobeF" w:hAnsi="ZWAdobeF" w:cs="ZWAdobeF"/>
          <w:color w:val="auto"/>
          <w:sz w:val="2"/>
          <w:szCs w:val="2"/>
          <w:lang w:val="es-ES"/>
        </w:rPr>
        <w:t>74F</w:t>
      </w:r>
      <w:r w:rsidRPr="24019998">
        <w:rPr>
          <w:rStyle w:val="FootnoteReference"/>
          <w:szCs w:val="20"/>
          <w:lang w:val="es-ES"/>
        </w:rPr>
        <w:footnoteReference w:id="76"/>
      </w:r>
    </w:p>
    <w:p w14:paraId="739B48A0" w14:textId="36589255" w:rsidR="005B081B" w:rsidRPr="005F569C" w:rsidRDefault="00A41D8F" w:rsidP="005F569C">
      <w:pPr>
        <w:pStyle w:val="IAPrrafo"/>
        <w:rPr>
          <w:rFonts w:eastAsia="Calibri" w:cs="Times New Roman"/>
          <w:b/>
          <w:szCs w:val="20"/>
        </w:rPr>
      </w:pPr>
      <w:proofErr w:type="gramStart"/>
      <w:r w:rsidRPr="00672AC2">
        <w:rPr>
          <w:szCs w:val="20"/>
          <w:lang w:val="es-US"/>
        </w:rPr>
        <w:t>En relación a</w:t>
      </w:r>
      <w:proofErr w:type="gramEnd"/>
      <w:r w:rsidRPr="00672AC2">
        <w:rPr>
          <w:szCs w:val="20"/>
          <w:lang w:val="es-US"/>
        </w:rPr>
        <w:t xml:space="preserve"> la naturaleza de las reparaciones y lo establecido por el Decreto de Urgencia </w:t>
      </w:r>
      <w:proofErr w:type="spellStart"/>
      <w:r w:rsidRPr="00672AC2">
        <w:rPr>
          <w:szCs w:val="20"/>
          <w:lang w:val="es-US"/>
        </w:rPr>
        <w:t>Nº</w:t>
      </w:r>
      <w:proofErr w:type="spellEnd"/>
      <w:r w:rsidRPr="00672AC2">
        <w:rPr>
          <w:szCs w:val="20"/>
          <w:lang w:val="es-US"/>
        </w:rPr>
        <w:t xml:space="preserve"> 006-2023, cabe señalar que las reparaciones a las que hace referencia el Informe de País son de naturaleza administrativa, sin perjuicio de aquellas que puedan ser determinadas por un tribunal. De esa manera, en situaciones previas, la Comisión ha diferenciado las reparaciones de naturaleza administrativa de aquellas de índole judicial, por lo que el mandato estatal de reparación puede desarrollarse a través de un Plan de Atención Integral dirigido a las víctimas y sus familiares, independientemente de las medidas de reparación por los daños ocasionados por dichas violaciones que ordenen los tribunales nacionales e instancias internacionales.</w:t>
      </w:r>
      <w:r w:rsidRPr="00672AC2">
        <w:rPr>
          <w:rFonts w:eastAsia="Calibri" w:cs="Times New Roman"/>
          <w:szCs w:val="20"/>
        </w:rPr>
        <w:t xml:space="preserve"> Al respecto, la CIDH ha precisado que los mecanismos de reparación de naturaleza administrativa tienen la capacidad de resarcir un número más amplio de beneficiarios y de incorporar medidas de reparación de diferente naturaleza que permitan alcanzar una reparación integral y transformadora. Para ello, deben abarcar los daños sufridos por todas las víctimas, aun cuando no se haya establecido jurídicamente la responsabilidad del Estado por dichos daños</w:t>
      </w:r>
      <w:r w:rsidR="00F36B41">
        <w:rPr>
          <w:rFonts w:ascii="ZWAdobeF" w:eastAsia="Calibri" w:hAnsi="ZWAdobeF" w:cs="ZWAdobeF"/>
          <w:color w:val="auto"/>
          <w:sz w:val="2"/>
          <w:szCs w:val="2"/>
        </w:rPr>
        <w:t>75F</w:t>
      </w:r>
      <w:r w:rsidRPr="00672AC2">
        <w:rPr>
          <w:rStyle w:val="FootnoteReference"/>
          <w:rFonts w:eastAsia="Calibri" w:cs="Times New Roman"/>
          <w:szCs w:val="20"/>
        </w:rPr>
        <w:footnoteReference w:id="77"/>
      </w:r>
      <w:r w:rsidRPr="00672AC2">
        <w:rPr>
          <w:rFonts w:eastAsia="Calibri" w:cs="Times New Roman"/>
          <w:szCs w:val="20"/>
        </w:rPr>
        <w:t>.</w:t>
      </w:r>
    </w:p>
    <w:p w14:paraId="144D928F" w14:textId="7EF2A835" w:rsidR="005B081B" w:rsidRPr="005F569C" w:rsidRDefault="04C947FA" w:rsidP="005B081B">
      <w:pPr>
        <w:pStyle w:val="IAPrrafo"/>
        <w:rPr>
          <w:rFonts w:eastAsia="Calibri" w:cs="Times New Roman"/>
          <w:b/>
          <w:bCs/>
          <w:szCs w:val="20"/>
        </w:rPr>
      </w:pPr>
      <w:r w:rsidRPr="00672AC2">
        <w:rPr>
          <w:szCs w:val="20"/>
          <w:lang w:val="es-US"/>
        </w:rPr>
        <w:t>En relación con los montos entregados como apoyos económicos por única vez, la CIDH identifica que estas ayudas son fundamentales para responder a las urgen</w:t>
      </w:r>
      <w:r w:rsidR="00625A68" w:rsidRPr="00672AC2">
        <w:rPr>
          <w:szCs w:val="20"/>
          <w:lang w:val="es-US"/>
        </w:rPr>
        <w:t>cias</w:t>
      </w:r>
      <w:r w:rsidRPr="00672AC2">
        <w:rPr>
          <w:szCs w:val="20"/>
          <w:lang w:val="es-US"/>
        </w:rPr>
        <w:t xml:space="preserve"> de las víctimas. Sin embargo, la Comisión considera oportuno recalcar que el derecho a la reparación no se </w:t>
      </w:r>
      <w:r w:rsidR="000A0CB6" w:rsidRPr="00672AC2">
        <w:rPr>
          <w:szCs w:val="20"/>
          <w:lang w:val="es-US"/>
        </w:rPr>
        <w:t xml:space="preserve">agota y no </w:t>
      </w:r>
      <w:r w:rsidRPr="00672AC2">
        <w:rPr>
          <w:szCs w:val="20"/>
          <w:lang w:val="es-US"/>
        </w:rPr>
        <w:t xml:space="preserve">puede confundir con la ayuda humanitaria o la satisfacción de otras </w:t>
      </w:r>
      <w:r w:rsidR="00EE1D32" w:rsidRPr="00672AC2">
        <w:rPr>
          <w:szCs w:val="20"/>
          <w:lang w:val="es-US"/>
        </w:rPr>
        <w:t xml:space="preserve">falencias </w:t>
      </w:r>
      <w:r w:rsidRPr="00672AC2">
        <w:rPr>
          <w:szCs w:val="20"/>
          <w:lang w:val="es-US"/>
        </w:rPr>
        <w:t>que tienen las víctimas</w:t>
      </w:r>
      <w:r w:rsidR="00F36B41">
        <w:rPr>
          <w:rFonts w:ascii="ZWAdobeF" w:hAnsi="ZWAdobeF" w:cs="ZWAdobeF"/>
          <w:color w:val="auto"/>
          <w:sz w:val="2"/>
          <w:szCs w:val="2"/>
          <w:lang w:val="es-US"/>
        </w:rPr>
        <w:t>76F</w:t>
      </w:r>
      <w:r w:rsidR="005B081B" w:rsidRPr="00672AC2">
        <w:rPr>
          <w:rStyle w:val="FootnoteReference"/>
          <w:szCs w:val="20"/>
          <w:lang w:val="es-US"/>
        </w:rPr>
        <w:footnoteReference w:id="78"/>
      </w:r>
      <w:r w:rsidRPr="00672AC2">
        <w:rPr>
          <w:szCs w:val="20"/>
          <w:lang w:val="es-US"/>
        </w:rPr>
        <w:t xml:space="preserve">, </w:t>
      </w:r>
      <w:r w:rsidR="000A0CB6" w:rsidRPr="00672AC2">
        <w:rPr>
          <w:szCs w:val="20"/>
          <w:lang w:val="es-US"/>
        </w:rPr>
        <w:t xml:space="preserve">por lo que es </w:t>
      </w:r>
      <w:r w:rsidR="00EE1D32" w:rsidRPr="00672AC2">
        <w:rPr>
          <w:szCs w:val="20"/>
          <w:lang w:val="es-US"/>
        </w:rPr>
        <w:t xml:space="preserve">crucial </w:t>
      </w:r>
      <w:r w:rsidR="000A0CB6" w:rsidRPr="00672AC2">
        <w:rPr>
          <w:szCs w:val="20"/>
          <w:lang w:val="es-US"/>
        </w:rPr>
        <w:t>abordar los mecanismos de reparación integral.</w:t>
      </w:r>
    </w:p>
    <w:p w14:paraId="6FF3E7D8" w14:textId="7E4B463B" w:rsidR="00ED5E6C" w:rsidRPr="005F569C" w:rsidRDefault="005B081B" w:rsidP="005F569C">
      <w:pPr>
        <w:pStyle w:val="IAPrrafo"/>
        <w:rPr>
          <w:rFonts w:eastAsia="Calibri" w:cs="Times New Roman"/>
          <w:b/>
          <w:bCs/>
          <w:szCs w:val="20"/>
        </w:rPr>
      </w:pPr>
      <w:r w:rsidRPr="00672AC2">
        <w:rPr>
          <w:rFonts w:eastAsia="Calibri" w:cs="Times New Roman"/>
          <w:bCs/>
          <w:szCs w:val="20"/>
        </w:rPr>
        <w:t>Además, en relación con las medidas adicionales reportadas, la CIDH identifica que estas aún no han generado acciones concretas de reparación</w:t>
      </w:r>
      <w:r w:rsidR="00DA0880" w:rsidRPr="00672AC2">
        <w:rPr>
          <w:rFonts w:eastAsia="Calibri" w:cs="Times New Roman"/>
          <w:bCs/>
          <w:szCs w:val="20"/>
        </w:rPr>
        <w:t>, toda vez</w:t>
      </w:r>
      <w:r w:rsidRPr="00672AC2">
        <w:rPr>
          <w:rFonts w:eastAsia="Calibri" w:cs="Times New Roman"/>
          <w:bCs/>
          <w:szCs w:val="20"/>
        </w:rPr>
        <w:t xml:space="preserve"> que solo se han reportado mecanismos de evaluación, incorporación a convocatorias o procesos de información para acceder a beneficios adicionales. </w:t>
      </w:r>
      <w:r w:rsidRPr="00672AC2">
        <w:rPr>
          <w:bCs/>
          <w:szCs w:val="20"/>
          <w:lang w:val="es-US"/>
        </w:rPr>
        <w:t xml:space="preserve">Considerando que la información proporcionada indica que todavía no se han otorgado medidas de reparación a las víctimas a las que se refiere esta recomendación, la Comisión concluye que esta continúa </w:t>
      </w:r>
      <w:r w:rsidRPr="00873A4E">
        <w:rPr>
          <w:b/>
          <w:bCs/>
          <w:szCs w:val="20"/>
          <w:lang w:val="es-US"/>
        </w:rPr>
        <w:t>pendiente de cumplimiento</w:t>
      </w:r>
      <w:r w:rsidRPr="00672AC2">
        <w:rPr>
          <w:bCs/>
          <w:szCs w:val="20"/>
          <w:lang w:val="es-US"/>
        </w:rPr>
        <w:t xml:space="preserve">. </w:t>
      </w:r>
    </w:p>
    <w:p w14:paraId="607E35CC" w14:textId="23EB4262" w:rsidR="005B081B" w:rsidRPr="00672AC2" w:rsidRDefault="005B081B" w:rsidP="0023211B">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Medidas e información para avanzar en el cumplimiento de la recomendación</w:t>
      </w:r>
    </w:p>
    <w:p w14:paraId="0D9D82F8" w14:textId="77777777" w:rsidR="00860829" w:rsidRPr="00672AC2" w:rsidRDefault="00860829" w:rsidP="00860829">
      <w:pPr>
        <w:ind w:firstLine="360"/>
        <w:jc w:val="both"/>
        <w:rPr>
          <w:rFonts w:eastAsia="Cambria" w:cs="Cambria"/>
          <w:color w:val="000000" w:themeColor="text1"/>
          <w:sz w:val="20"/>
          <w:szCs w:val="20"/>
          <w:lang w:val="es-CO"/>
        </w:rPr>
      </w:pPr>
    </w:p>
    <w:p w14:paraId="694ADE57" w14:textId="7CC3B2B4" w:rsidR="005B081B" w:rsidRPr="005F569C" w:rsidRDefault="002257F3" w:rsidP="005F569C">
      <w:pPr>
        <w:pStyle w:val="IAPrrafo"/>
        <w:rPr>
          <w:rFonts w:eastAsia="Calibri" w:cs="Times New Roman"/>
          <w:b/>
          <w:bCs/>
          <w:szCs w:val="20"/>
        </w:rPr>
      </w:pPr>
      <w:r w:rsidRPr="00672AC2">
        <w:rPr>
          <w:bCs/>
          <w:szCs w:val="20"/>
          <w:lang w:val="es-US"/>
        </w:rPr>
        <w:t>Para avanzar con el cumplimiento de la presente recomendación, la Comisión quisiera tener información detallada de</w:t>
      </w:r>
      <w:r w:rsidR="00747B7C" w:rsidRPr="00672AC2">
        <w:rPr>
          <w:bCs/>
          <w:szCs w:val="20"/>
          <w:lang w:val="es-US"/>
        </w:rPr>
        <w:t>l registro de personas que se estén identificando como v</w:t>
      </w:r>
      <w:r w:rsidR="00384D89" w:rsidRPr="00672AC2">
        <w:rPr>
          <w:bCs/>
          <w:szCs w:val="20"/>
          <w:lang w:val="es-US"/>
        </w:rPr>
        <w:t>í</w:t>
      </w:r>
      <w:r w:rsidR="00747B7C" w:rsidRPr="00672AC2">
        <w:rPr>
          <w:bCs/>
          <w:szCs w:val="20"/>
          <w:lang w:val="es-US"/>
        </w:rPr>
        <w:t xml:space="preserve">ctimas dentro de los hechos recogidos por el Informe </w:t>
      </w:r>
      <w:r w:rsidR="00633D8C" w:rsidRPr="00672AC2">
        <w:rPr>
          <w:bCs/>
          <w:szCs w:val="20"/>
          <w:lang w:val="es-US"/>
        </w:rPr>
        <w:t xml:space="preserve">de </w:t>
      </w:r>
      <w:r w:rsidR="00747B7C" w:rsidRPr="00672AC2">
        <w:rPr>
          <w:bCs/>
          <w:szCs w:val="20"/>
          <w:lang w:val="es-US"/>
        </w:rPr>
        <w:t xml:space="preserve">País. Asimismo, </w:t>
      </w:r>
      <w:r w:rsidR="00384D89" w:rsidRPr="00672AC2">
        <w:rPr>
          <w:bCs/>
          <w:szCs w:val="20"/>
          <w:lang w:val="es-US"/>
        </w:rPr>
        <w:t xml:space="preserve">precisa </w:t>
      </w:r>
      <w:r w:rsidR="00747B7C" w:rsidRPr="00672AC2">
        <w:rPr>
          <w:bCs/>
          <w:szCs w:val="20"/>
          <w:lang w:val="es-US"/>
        </w:rPr>
        <w:t>contar con información sobre</w:t>
      </w:r>
      <w:r w:rsidRPr="00672AC2">
        <w:rPr>
          <w:bCs/>
          <w:szCs w:val="20"/>
          <w:lang w:val="es-US"/>
        </w:rPr>
        <w:t xml:space="preserve"> los mecanismos de reparación integral que se están diseñando y aplicando en el marco de los instrumentos generados por la Comisión Multisectorial reportada. En ese sentido, l</w:t>
      </w:r>
      <w:r w:rsidR="005B081B" w:rsidRPr="00672AC2">
        <w:rPr>
          <w:bCs/>
          <w:szCs w:val="20"/>
          <w:lang w:val="es-US"/>
        </w:rPr>
        <w:t xml:space="preserve">a CIDH enfatiza </w:t>
      </w:r>
      <w:r w:rsidR="004B64A7" w:rsidRPr="00672AC2">
        <w:rPr>
          <w:bCs/>
          <w:szCs w:val="20"/>
          <w:lang w:val="es-US"/>
        </w:rPr>
        <w:t xml:space="preserve">que </w:t>
      </w:r>
      <w:r w:rsidR="005B081B" w:rsidRPr="00672AC2">
        <w:rPr>
          <w:bCs/>
          <w:szCs w:val="20"/>
          <w:lang w:val="es-US"/>
        </w:rPr>
        <w:t>el Estado</w:t>
      </w:r>
      <w:r w:rsidR="004B64A7" w:rsidRPr="00672AC2">
        <w:rPr>
          <w:bCs/>
          <w:szCs w:val="20"/>
          <w:lang w:val="es-US"/>
        </w:rPr>
        <w:t xml:space="preserve"> debe</w:t>
      </w:r>
      <w:r w:rsidR="005B081B" w:rsidRPr="00672AC2">
        <w:rPr>
          <w:bCs/>
          <w:szCs w:val="20"/>
          <w:lang w:val="es-US"/>
        </w:rPr>
        <w:t xml:space="preserve"> adopt</w:t>
      </w:r>
      <w:r w:rsidR="004B64A7" w:rsidRPr="00672AC2">
        <w:rPr>
          <w:bCs/>
          <w:szCs w:val="20"/>
          <w:lang w:val="es-US"/>
        </w:rPr>
        <w:t>ar</w:t>
      </w:r>
      <w:r w:rsidR="005B081B" w:rsidRPr="00672AC2">
        <w:rPr>
          <w:bCs/>
          <w:szCs w:val="20"/>
          <w:lang w:val="es-US"/>
        </w:rPr>
        <w:t xml:space="preserve"> medidas efectivas y oportunas de naturaleza administrativa para garantizar el acceso a la reparación integral de las personas afectadas por los hechos registrado en el Informe de País. Para ello, es fundamental que se fortalezcan las competencias para la identificación y determinación de los daños a reparar, y de los mecanismos de coordinación entre los sectores pertinentes para su otorgamiento. Cabe resaltar que dichos mecanismos deben ser diseñados e implementados de manera participativa, considerando las características particulares de las víctimas, tomando en consideración el enfoque interseccional, y </w:t>
      </w:r>
      <w:r w:rsidR="0065272D" w:rsidRPr="00672AC2">
        <w:rPr>
          <w:bCs/>
          <w:szCs w:val="20"/>
          <w:lang w:val="es-US"/>
        </w:rPr>
        <w:t>los tipos de daños</w:t>
      </w:r>
      <w:r w:rsidR="005B081B" w:rsidRPr="00672AC2">
        <w:rPr>
          <w:bCs/>
          <w:szCs w:val="20"/>
          <w:lang w:val="es-US"/>
        </w:rPr>
        <w:t xml:space="preserve"> individuales de las víctimas y colectivas de las comunidades.</w:t>
      </w:r>
    </w:p>
    <w:tbl>
      <w:tblPr>
        <w:tblStyle w:val="TableGrid"/>
        <w:tblW w:w="0" w:type="auto"/>
        <w:tblLook w:val="04A0" w:firstRow="1" w:lastRow="0" w:firstColumn="1" w:lastColumn="0" w:noHBand="0" w:noVBand="1"/>
      </w:tblPr>
      <w:tblGrid>
        <w:gridCol w:w="9350"/>
      </w:tblGrid>
      <w:tr w:rsidR="005B081B" w:rsidRPr="00F51AED" w14:paraId="797A4571" w14:textId="77777777">
        <w:tc>
          <w:tcPr>
            <w:tcW w:w="9350" w:type="dxa"/>
            <w:tcBorders>
              <w:top w:val="nil"/>
              <w:left w:val="nil"/>
              <w:bottom w:val="nil"/>
              <w:right w:val="nil"/>
            </w:tcBorders>
            <w:shd w:val="clear" w:color="auto" w:fill="D9D9D9" w:themeFill="background1" w:themeFillShade="D9"/>
          </w:tcPr>
          <w:p w14:paraId="313FD926" w14:textId="749BB6AD" w:rsidR="005B081B" w:rsidRPr="005F569C" w:rsidRDefault="005B081B">
            <w:pPr>
              <w:suppressAutoHyphens w:val="0"/>
              <w:jc w:val="both"/>
              <w:rPr>
                <w:rFonts w:eastAsia="Cambria" w:cs="Cambria"/>
                <w:b/>
                <w:bCs/>
                <w:sz w:val="20"/>
                <w:szCs w:val="20"/>
                <w:lang w:val="es-419" w:eastAsia="es-US"/>
              </w:rPr>
            </w:pPr>
            <w:r w:rsidRPr="00672AC2">
              <w:rPr>
                <w:rFonts w:eastAsia="Cambria" w:cs="Cambria"/>
                <w:b/>
                <w:bCs/>
                <w:sz w:val="20"/>
                <w:szCs w:val="20"/>
                <w:lang w:val="es-419" w:eastAsia="es-US"/>
              </w:rPr>
              <w:t xml:space="preserve">Recomendación </w:t>
            </w:r>
            <w:proofErr w:type="spellStart"/>
            <w:r w:rsidR="00824795" w:rsidRPr="00672AC2">
              <w:rPr>
                <w:rFonts w:eastAsia="Cambria" w:cs="Cambria"/>
                <w:b/>
                <w:bCs/>
                <w:sz w:val="20"/>
                <w:szCs w:val="20"/>
                <w:lang w:val="es-419" w:eastAsia="es-US"/>
              </w:rPr>
              <w:t>Nº</w:t>
            </w:r>
            <w:proofErr w:type="spellEnd"/>
            <w:r w:rsidRPr="00672AC2">
              <w:rPr>
                <w:rFonts w:eastAsia="Cambria" w:cs="Cambria"/>
                <w:b/>
                <w:bCs/>
                <w:sz w:val="20"/>
                <w:szCs w:val="20"/>
                <w:lang w:val="es-419" w:eastAsia="es-US"/>
              </w:rPr>
              <w:t xml:space="preserve"> 10. </w:t>
            </w:r>
            <w:r w:rsidRPr="00672AC2">
              <w:rPr>
                <w:sz w:val="20"/>
                <w:szCs w:val="20"/>
                <w:lang w:val="es-US"/>
              </w:rPr>
              <w:t>Reparar integralmente a las víctimas de violaciones de derechos humanos en el contexto de las protestas sociales. Esto exige que se investigue, juzgue, y sancione a todas las personas que puedan resultar responsables por violaciones de derechos humanos.</w:t>
            </w:r>
          </w:p>
        </w:tc>
      </w:tr>
    </w:tbl>
    <w:p w14:paraId="62C6FA8F" w14:textId="77777777" w:rsidR="005B081B" w:rsidRPr="00672AC2" w:rsidRDefault="005B081B" w:rsidP="005B081B">
      <w:pPr>
        <w:pStyle w:val="IASubttulo2"/>
        <w:numPr>
          <w:ilvl w:val="0"/>
          <w:numId w:val="0"/>
        </w:numPr>
        <w:spacing w:after="0"/>
        <w:rPr>
          <w:sz w:val="20"/>
          <w:szCs w:val="20"/>
          <w:lang w:val="es-CO"/>
        </w:rPr>
      </w:pPr>
    </w:p>
    <w:p w14:paraId="06871931" w14:textId="5079B6CA" w:rsidR="005B081B" w:rsidRPr="00672AC2" w:rsidRDefault="005B081B" w:rsidP="005F569C">
      <w:pPr>
        <w:pBdr>
          <w:top w:val="nil"/>
          <w:left w:val="nil"/>
          <w:bottom w:val="nil"/>
          <w:right w:val="nil"/>
          <w:between w:val="nil"/>
        </w:pBdr>
        <w:ind w:firstLine="720"/>
        <w:jc w:val="both"/>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07DE2D18" w14:textId="77777777" w:rsidR="005B081B" w:rsidRPr="00672AC2" w:rsidRDefault="005B081B" w:rsidP="005B081B">
      <w:pPr>
        <w:shd w:val="clear" w:color="auto" w:fill="FFFFFF" w:themeFill="background1"/>
        <w:suppressAutoHyphens w:val="0"/>
        <w:jc w:val="both"/>
        <w:rPr>
          <w:bCs/>
          <w:sz w:val="20"/>
          <w:szCs w:val="20"/>
          <w:lang w:val="es-419" w:eastAsia="es-US"/>
        </w:rPr>
      </w:pPr>
    </w:p>
    <w:p w14:paraId="22120AED" w14:textId="3E2BF795" w:rsidR="005B081B" w:rsidRPr="005F569C" w:rsidRDefault="04C947FA" w:rsidP="005B081B">
      <w:pPr>
        <w:pStyle w:val="IAPrrafo"/>
        <w:rPr>
          <w:b/>
          <w:bCs/>
          <w:szCs w:val="20"/>
          <w:lang w:val="es-ES"/>
        </w:rPr>
      </w:pPr>
      <w:r w:rsidRPr="00672AC2">
        <w:rPr>
          <w:szCs w:val="20"/>
          <w:lang w:val="es-US"/>
        </w:rPr>
        <w:t>En el 2024, el Estado informó que</w:t>
      </w:r>
      <w:r w:rsidRPr="00672AC2">
        <w:rPr>
          <w:szCs w:val="20"/>
          <w:lang w:val="es-ES"/>
        </w:rPr>
        <w:t xml:space="preserve"> creó el Equipo Especial de Fiscales para casos con víctimas durante las protestas sociales (EFICAVIP)</w:t>
      </w:r>
      <w:r w:rsidR="00F36B41">
        <w:rPr>
          <w:rFonts w:ascii="ZWAdobeF" w:hAnsi="ZWAdobeF" w:cs="ZWAdobeF"/>
          <w:color w:val="auto"/>
          <w:sz w:val="2"/>
          <w:szCs w:val="2"/>
          <w:lang w:val="es-ES"/>
        </w:rPr>
        <w:t>77F</w:t>
      </w:r>
      <w:r w:rsidR="005B081B" w:rsidRPr="00672AC2">
        <w:rPr>
          <w:rStyle w:val="FootnoteReference"/>
          <w:szCs w:val="20"/>
          <w:lang w:val="es-ES"/>
        </w:rPr>
        <w:footnoteReference w:id="79"/>
      </w:r>
      <w:r w:rsidRPr="00672AC2">
        <w:rPr>
          <w:szCs w:val="20"/>
          <w:lang w:val="es-ES"/>
        </w:rPr>
        <w:t xml:space="preserve">, que investiga los casos de las víctimas durante las protestas entre diciembre de 2022 y marzo de 2023. Al respecto, indicó que este </w:t>
      </w:r>
      <w:r w:rsidR="00D722E3" w:rsidRPr="00672AC2">
        <w:rPr>
          <w:szCs w:val="20"/>
          <w:lang w:val="es-ES"/>
        </w:rPr>
        <w:t xml:space="preserve">equipo </w:t>
      </w:r>
      <w:r w:rsidRPr="00672AC2">
        <w:rPr>
          <w:szCs w:val="20"/>
          <w:lang w:val="es-ES"/>
        </w:rPr>
        <w:t xml:space="preserve">tiene competencia nacional y exclusiva para la investigación de delitos cometidos durante las protestas sociales, incluidos aquellos contra la humanidad, previstos en los capítulos I, II y III del Título XIV-A del Código Penal, o comunes que hayan constituido casos de violación de derechos humanos y otros. Asimismo, señaló que </w:t>
      </w:r>
      <w:r w:rsidR="00E934D0" w:rsidRPr="00672AC2">
        <w:rPr>
          <w:szCs w:val="20"/>
          <w:lang w:val="es-ES"/>
        </w:rPr>
        <w:t>el EFICAVIP</w:t>
      </w:r>
      <w:r w:rsidRPr="00672AC2">
        <w:rPr>
          <w:szCs w:val="20"/>
          <w:lang w:val="es-ES"/>
        </w:rPr>
        <w:t xml:space="preserve"> tiene un </w:t>
      </w:r>
      <w:r w:rsidR="00E934D0" w:rsidRPr="00672AC2">
        <w:rPr>
          <w:szCs w:val="20"/>
          <w:lang w:val="es-ES"/>
        </w:rPr>
        <w:t>grupo</w:t>
      </w:r>
      <w:r w:rsidRPr="00672AC2">
        <w:rPr>
          <w:szCs w:val="20"/>
          <w:lang w:val="es-ES"/>
        </w:rPr>
        <w:t xml:space="preserve"> especializado de peritos y otro para el acompañamiento y protección de las víctimas y familiares, incluyendo a psicólogos. Además, el Estado reportó el funcionamiento del Programa de Protección y Asistencia a Víctimas y Testigos, a través de una Unidad Distrital de Protección y Asistencia a Víctimas y Testigos (UDAVIT) o de una Unidad de Protección y Asistencia Inmediata a Víctimas y Testigos (UAIVIT). </w:t>
      </w:r>
    </w:p>
    <w:p w14:paraId="2D7915C3" w14:textId="16D4EEEB" w:rsidR="005B081B" w:rsidRPr="005F569C" w:rsidRDefault="00F1B1AC" w:rsidP="005F569C">
      <w:pPr>
        <w:pStyle w:val="IAPrrafo"/>
        <w:rPr>
          <w:b/>
          <w:bCs/>
          <w:szCs w:val="20"/>
          <w:lang w:val="es-US"/>
        </w:rPr>
      </w:pPr>
      <w:r w:rsidRPr="00672AC2">
        <w:rPr>
          <w:szCs w:val="20"/>
          <w:lang w:val="es-US"/>
        </w:rPr>
        <w:t>S</w:t>
      </w:r>
      <w:r w:rsidR="04C947FA" w:rsidRPr="00672AC2">
        <w:rPr>
          <w:szCs w:val="20"/>
          <w:lang w:val="es-US"/>
        </w:rPr>
        <w:t xml:space="preserve">ociedad civil </w:t>
      </w:r>
      <w:r w:rsidR="00837546" w:rsidRPr="00672AC2">
        <w:rPr>
          <w:szCs w:val="20"/>
          <w:lang w:val="es-US"/>
        </w:rPr>
        <w:t xml:space="preserve">remarcó </w:t>
      </w:r>
      <w:r w:rsidR="04C947FA" w:rsidRPr="00672AC2">
        <w:rPr>
          <w:szCs w:val="20"/>
          <w:lang w:val="es-US"/>
        </w:rPr>
        <w:t xml:space="preserve">algunos desafíos que se estarían produciendo en la tramitación de las investigaciones. Por un lado, reportó retrasos y falta de información sobre los avances procesales. Además, </w:t>
      </w:r>
      <w:r w:rsidR="005320BA" w:rsidRPr="00672AC2">
        <w:rPr>
          <w:szCs w:val="20"/>
          <w:lang w:val="es-US"/>
        </w:rPr>
        <w:t>subrayó</w:t>
      </w:r>
      <w:r w:rsidR="002257F3" w:rsidRPr="00672AC2">
        <w:rPr>
          <w:szCs w:val="20"/>
          <w:lang w:val="es-US"/>
        </w:rPr>
        <w:t xml:space="preserve"> el</w:t>
      </w:r>
      <w:r w:rsidR="04C947FA" w:rsidRPr="00672AC2">
        <w:rPr>
          <w:szCs w:val="20"/>
          <w:lang w:val="es-US"/>
        </w:rPr>
        <w:t xml:space="preserve"> alto nivel de rotación </w:t>
      </w:r>
      <w:r w:rsidR="002257F3" w:rsidRPr="00672AC2">
        <w:rPr>
          <w:szCs w:val="20"/>
          <w:lang w:val="es-US"/>
        </w:rPr>
        <w:t>que estarían teniendo los</w:t>
      </w:r>
      <w:r w:rsidR="04C947FA" w:rsidRPr="00672AC2">
        <w:rPr>
          <w:szCs w:val="20"/>
          <w:lang w:val="es-US"/>
        </w:rPr>
        <w:t xml:space="preserve"> fiscales y el personal del equipo especial, dificultando la continuidad en el desarrollo de las investigaciones. En relación con las barreras en el acceso a la justicia para las personas afectadas, se señaló a la Comisión que, en el caso de audiencias virtuales, habría</w:t>
      </w:r>
      <w:r w:rsidR="001E5003" w:rsidRPr="00672AC2">
        <w:rPr>
          <w:szCs w:val="20"/>
          <w:lang w:val="es-US"/>
        </w:rPr>
        <w:t xml:space="preserve"> </w:t>
      </w:r>
      <w:r w:rsidR="04C947FA" w:rsidRPr="00672AC2">
        <w:rPr>
          <w:szCs w:val="20"/>
          <w:lang w:val="es-US"/>
        </w:rPr>
        <w:t>un limitado acceso a internet y, en el caso de aquellas presenciales en Lima, habría obstáculos económicos para el desplazamiento físico, aunado a que algunas diligencias resultan canceladas el mismo día.</w:t>
      </w:r>
    </w:p>
    <w:p w14:paraId="1944ABBD" w14:textId="77777777" w:rsidR="005B081B" w:rsidRPr="00672AC2" w:rsidRDefault="005B081B" w:rsidP="005F569C">
      <w:pPr>
        <w:ind w:firstLine="720"/>
        <w:jc w:val="both"/>
        <w:rPr>
          <w:lang w:val="es-CO"/>
        </w:rPr>
      </w:pPr>
      <w:r w:rsidRPr="00672AC2">
        <w:rPr>
          <w:rFonts w:eastAsia="Cambria" w:cs="Cambria"/>
          <w:i/>
          <w:iCs/>
          <w:color w:val="000000" w:themeColor="text1"/>
          <w:sz w:val="20"/>
          <w:szCs w:val="20"/>
          <w:lang w:val="es-ES"/>
        </w:rPr>
        <w:t>Análisis y nivel de cumplimiento de la recomendación</w:t>
      </w:r>
    </w:p>
    <w:p w14:paraId="7A7D3997" w14:textId="77777777" w:rsidR="005B081B" w:rsidRPr="00672AC2" w:rsidRDefault="005B081B" w:rsidP="005B081B">
      <w:pPr>
        <w:ind w:firstLine="360"/>
        <w:jc w:val="both"/>
        <w:rPr>
          <w:rFonts w:eastAsia="Cambria" w:cs="Cambria"/>
          <w:i/>
          <w:iCs/>
          <w:color w:val="000000" w:themeColor="text1"/>
          <w:sz w:val="20"/>
          <w:szCs w:val="20"/>
          <w:lang w:val="es-CO"/>
        </w:rPr>
      </w:pPr>
    </w:p>
    <w:p w14:paraId="1CA93658" w14:textId="37C5F28F" w:rsidR="002257F3" w:rsidRPr="005F569C" w:rsidRDefault="005B081B" w:rsidP="005F569C">
      <w:pPr>
        <w:pStyle w:val="IAPrrafo"/>
        <w:rPr>
          <w:rFonts w:eastAsia="Calibri" w:cs="Times New Roman"/>
          <w:b/>
          <w:bCs/>
          <w:szCs w:val="20"/>
        </w:rPr>
      </w:pPr>
      <w:r w:rsidRPr="00672AC2">
        <w:rPr>
          <w:bCs/>
          <w:szCs w:val="20"/>
          <w:lang w:val="es-CO"/>
        </w:rPr>
        <w:t>La Comisión agradece al Estado por la información presentada, y toma atenta nota de la creación del EFICAVIP para investigar los casos de las víctimas durante las protestas de diciembre del 2022 y marzo del 2023. Al respecto, recuerda que contar con una investigación seria que conduzca a una sanción pertinente y a una reparación adecuada es parte del contenido básico de la obligación de garantizar los derechos humanos en cabeza de los Estados</w:t>
      </w:r>
      <w:r w:rsidR="00F36B41">
        <w:rPr>
          <w:rFonts w:ascii="ZWAdobeF" w:hAnsi="ZWAdobeF" w:cs="ZWAdobeF"/>
          <w:bCs/>
          <w:color w:val="auto"/>
          <w:sz w:val="2"/>
          <w:szCs w:val="2"/>
          <w:lang w:val="es-CO"/>
        </w:rPr>
        <w:t>78F</w:t>
      </w:r>
      <w:r w:rsidR="00812244" w:rsidRPr="00672AC2">
        <w:rPr>
          <w:rStyle w:val="FootnoteReference"/>
          <w:bCs/>
          <w:szCs w:val="20"/>
          <w:lang w:val="es-CO"/>
        </w:rPr>
        <w:footnoteReference w:id="80"/>
      </w:r>
      <w:r w:rsidRPr="00672AC2">
        <w:rPr>
          <w:bCs/>
          <w:szCs w:val="20"/>
          <w:lang w:val="es-CO"/>
        </w:rPr>
        <w:t>.</w:t>
      </w:r>
    </w:p>
    <w:p w14:paraId="63B57894" w14:textId="0053D745" w:rsidR="005B081B" w:rsidRPr="005F569C" w:rsidRDefault="002257F3" w:rsidP="005F569C">
      <w:pPr>
        <w:pStyle w:val="IAPrrafo"/>
        <w:rPr>
          <w:rFonts w:eastAsia="Calibri" w:cs="Times New Roman"/>
          <w:b/>
          <w:bCs/>
          <w:szCs w:val="20"/>
        </w:rPr>
      </w:pPr>
      <w:r w:rsidRPr="00672AC2">
        <w:rPr>
          <w:rFonts w:eastAsia="Calibri" w:cs="Times New Roman"/>
          <w:bCs/>
          <w:szCs w:val="20"/>
        </w:rPr>
        <w:t xml:space="preserve">La presente recomendación está enfocada en analizar las medidas institucionales que se habrían implementado para abordar la necesidad de investigación, juzgamiento y sanción de los hechos, y la determinación de las responsabilidades. Cabe </w:t>
      </w:r>
      <w:r w:rsidR="0065272D" w:rsidRPr="00672AC2">
        <w:rPr>
          <w:rFonts w:eastAsia="Calibri" w:cs="Times New Roman"/>
          <w:bCs/>
          <w:szCs w:val="20"/>
        </w:rPr>
        <w:t>enfatizar</w:t>
      </w:r>
      <w:r w:rsidRPr="00672AC2">
        <w:rPr>
          <w:rFonts w:eastAsia="Calibri" w:cs="Times New Roman"/>
          <w:bCs/>
          <w:szCs w:val="20"/>
        </w:rPr>
        <w:t xml:space="preserve"> que el análisis detallado de los procesos </w:t>
      </w:r>
      <w:r w:rsidR="00497383" w:rsidRPr="00672AC2">
        <w:rPr>
          <w:rFonts w:eastAsia="Calibri" w:cs="Times New Roman"/>
          <w:bCs/>
          <w:szCs w:val="20"/>
        </w:rPr>
        <w:t xml:space="preserve">judiciales </w:t>
      </w:r>
      <w:r w:rsidRPr="00672AC2">
        <w:rPr>
          <w:rFonts w:eastAsia="Calibri" w:cs="Times New Roman"/>
          <w:bCs/>
          <w:szCs w:val="20"/>
        </w:rPr>
        <w:t>será abordado en la recomendación 15 de este Informe.</w:t>
      </w:r>
    </w:p>
    <w:p w14:paraId="781CCAE5" w14:textId="210C3566" w:rsidR="005B081B" w:rsidRPr="005F569C" w:rsidRDefault="005B081B" w:rsidP="005F569C">
      <w:pPr>
        <w:pStyle w:val="IAPrrafo"/>
        <w:rPr>
          <w:rFonts w:eastAsia="Calibri" w:cs="Times New Roman"/>
          <w:b/>
          <w:bCs/>
          <w:szCs w:val="20"/>
        </w:rPr>
      </w:pPr>
      <w:r w:rsidRPr="00672AC2">
        <w:rPr>
          <w:bCs/>
          <w:szCs w:val="20"/>
          <w:lang w:val="es-CO"/>
        </w:rPr>
        <w:t xml:space="preserve">En ese sentido, la Comisión </w:t>
      </w:r>
      <w:r w:rsidR="004263C8" w:rsidRPr="00672AC2">
        <w:rPr>
          <w:bCs/>
          <w:szCs w:val="20"/>
          <w:lang w:val="es-CO"/>
        </w:rPr>
        <w:t xml:space="preserve">destaca </w:t>
      </w:r>
      <w:r w:rsidRPr="00672AC2">
        <w:rPr>
          <w:bCs/>
          <w:szCs w:val="20"/>
          <w:lang w:val="es-CO"/>
        </w:rPr>
        <w:t>la importancia de que existan las condiciones institucionales para realizar las investigaciones y procesos a l</w:t>
      </w:r>
      <w:r w:rsidR="003645D6" w:rsidRPr="00672AC2">
        <w:rPr>
          <w:bCs/>
          <w:szCs w:val="20"/>
          <w:lang w:val="es-CO"/>
        </w:rPr>
        <w:t>o</w:t>
      </w:r>
      <w:r w:rsidRPr="00672AC2">
        <w:rPr>
          <w:bCs/>
          <w:szCs w:val="20"/>
          <w:lang w:val="es-CO"/>
        </w:rPr>
        <w:t xml:space="preserve">s que se refiere esta recomendación, y toma nota de las preocupaciones que existen en relación con los recursos y a la necesidad de fortalecer los mecanismos de transparencia en el avance de los procesos judiciales. Asimismo, </w:t>
      </w:r>
      <w:r w:rsidR="0065272D" w:rsidRPr="00672AC2">
        <w:rPr>
          <w:bCs/>
          <w:szCs w:val="20"/>
          <w:lang w:val="es-CO"/>
        </w:rPr>
        <w:t>es</w:t>
      </w:r>
      <w:r w:rsidRPr="00672AC2">
        <w:rPr>
          <w:bCs/>
          <w:szCs w:val="20"/>
          <w:lang w:val="es-CO"/>
        </w:rPr>
        <w:t xml:space="preserve"> importante atender oportunamente las barreras de acceso a la justicia que sean reportadas por las personas afectadas, en particular, por miembros de grupos en situación de particular vulnerabilidad. Por todo ello, la Comisión </w:t>
      </w:r>
      <w:r w:rsidR="005E5227" w:rsidRPr="00672AC2">
        <w:rPr>
          <w:bCs/>
          <w:szCs w:val="20"/>
          <w:lang w:val="es-CO"/>
        </w:rPr>
        <w:t xml:space="preserve">entiende </w:t>
      </w:r>
      <w:r w:rsidRPr="00672AC2">
        <w:rPr>
          <w:bCs/>
          <w:szCs w:val="20"/>
          <w:lang w:val="es-CO"/>
        </w:rPr>
        <w:t xml:space="preserve">que esta recomendación tiene un nivel de </w:t>
      </w:r>
      <w:r w:rsidRPr="00AB725D">
        <w:rPr>
          <w:b/>
          <w:bCs/>
          <w:szCs w:val="20"/>
          <w:lang w:val="es-CO"/>
        </w:rPr>
        <w:t>cumplimiento parcial</w:t>
      </w:r>
      <w:r w:rsidRPr="00672AC2">
        <w:rPr>
          <w:bCs/>
          <w:szCs w:val="20"/>
          <w:lang w:val="es-CO"/>
        </w:rPr>
        <w:t>.</w:t>
      </w:r>
    </w:p>
    <w:p w14:paraId="03A0B412" w14:textId="2D3AC25C" w:rsidR="005B081B" w:rsidRPr="00672AC2" w:rsidRDefault="005B081B" w:rsidP="005F569C">
      <w:pPr>
        <w:ind w:firstLine="720"/>
        <w:jc w:val="both"/>
        <w:rPr>
          <w:bCs/>
          <w:lang w:val="es-CO"/>
        </w:rPr>
      </w:pPr>
      <w:r w:rsidRPr="00672AC2">
        <w:rPr>
          <w:rFonts w:eastAsia="Cambria" w:cs="Cambria"/>
          <w:bCs/>
          <w:i/>
          <w:iCs/>
          <w:color w:val="000000" w:themeColor="text1"/>
          <w:sz w:val="20"/>
          <w:szCs w:val="20"/>
          <w:lang w:val="es-ES"/>
        </w:rPr>
        <w:t>Medidas e información para avanzar en el cumplimiento de la recomendación</w:t>
      </w:r>
      <w:r w:rsidR="001E5003" w:rsidRPr="00672AC2">
        <w:rPr>
          <w:rFonts w:eastAsia="Cambria" w:cs="Cambria"/>
          <w:bCs/>
          <w:i/>
          <w:iCs/>
          <w:color w:val="000000" w:themeColor="text1"/>
          <w:sz w:val="20"/>
          <w:szCs w:val="20"/>
          <w:lang w:val="es-ES"/>
        </w:rPr>
        <w:t xml:space="preserve"> </w:t>
      </w:r>
    </w:p>
    <w:p w14:paraId="4728DA33" w14:textId="77777777" w:rsidR="005B081B" w:rsidRPr="00672AC2" w:rsidRDefault="005B081B" w:rsidP="005B081B">
      <w:pPr>
        <w:jc w:val="both"/>
        <w:rPr>
          <w:bCs/>
          <w:lang w:val="es-US"/>
        </w:rPr>
      </w:pPr>
    </w:p>
    <w:p w14:paraId="0547B132" w14:textId="5ABF1C57" w:rsidR="005B081B" w:rsidRPr="00672AC2" w:rsidRDefault="005B081B" w:rsidP="00E83710">
      <w:pPr>
        <w:pStyle w:val="IAPrrafo"/>
        <w:rPr>
          <w:rFonts w:eastAsia="Calibri" w:cs="Times New Roman"/>
          <w:b/>
          <w:bCs/>
          <w:szCs w:val="20"/>
        </w:rPr>
      </w:pPr>
      <w:r w:rsidRPr="0023211B">
        <w:rPr>
          <w:bCs/>
          <w:szCs w:val="20"/>
          <w:lang w:val="es-US"/>
        </w:rPr>
        <w:t xml:space="preserve">La CIDH </w:t>
      </w:r>
      <w:r w:rsidR="005E5227" w:rsidRPr="0023211B">
        <w:rPr>
          <w:bCs/>
          <w:szCs w:val="20"/>
          <w:lang w:val="es-US"/>
        </w:rPr>
        <w:t xml:space="preserve">advierte </w:t>
      </w:r>
      <w:r w:rsidRPr="0023211B">
        <w:rPr>
          <w:bCs/>
          <w:szCs w:val="20"/>
          <w:lang w:val="es-US"/>
        </w:rPr>
        <w:t>que el cumplimiento de esta recomendación debe acompañarse de un diagnóstico sobre las barreras de acceso a</w:t>
      </w:r>
      <w:r w:rsidRPr="00672AC2">
        <w:rPr>
          <w:bCs/>
          <w:szCs w:val="20"/>
          <w:lang w:val="es-US"/>
        </w:rPr>
        <w:t xml:space="preserve"> la justicia que las personas afectadas reporten en relación con los procesos judiciales e investigaciones fiscales pertinentes. Asimismo, </w:t>
      </w:r>
      <w:r w:rsidR="0065272D" w:rsidRPr="00672AC2">
        <w:rPr>
          <w:bCs/>
          <w:szCs w:val="20"/>
          <w:lang w:val="es-US"/>
        </w:rPr>
        <w:t>se deben</w:t>
      </w:r>
      <w:r w:rsidRPr="00672AC2">
        <w:rPr>
          <w:bCs/>
          <w:szCs w:val="20"/>
          <w:lang w:val="es-US"/>
        </w:rPr>
        <w:t xml:space="preserve"> seguir fortaleciendo los mecanismos de transparencia de la información en relación con el avance de las investigaciones, de manera que se pueda</w:t>
      </w:r>
      <w:r w:rsidR="004263C8" w:rsidRPr="00672AC2">
        <w:rPr>
          <w:bCs/>
          <w:szCs w:val="20"/>
          <w:lang w:val="es-US"/>
        </w:rPr>
        <w:t>n</w:t>
      </w:r>
      <w:r w:rsidRPr="00672AC2">
        <w:rPr>
          <w:bCs/>
          <w:szCs w:val="20"/>
          <w:lang w:val="es-US"/>
        </w:rPr>
        <w:t xml:space="preserve"> conocer las razones y dificultades en caso </w:t>
      </w:r>
      <w:r w:rsidR="004263C8" w:rsidRPr="00672AC2">
        <w:rPr>
          <w:bCs/>
          <w:szCs w:val="20"/>
          <w:lang w:val="es-US"/>
        </w:rPr>
        <w:t xml:space="preserve">de que </w:t>
      </w:r>
      <w:r w:rsidRPr="00672AC2">
        <w:rPr>
          <w:bCs/>
          <w:szCs w:val="20"/>
          <w:lang w:val="es-US"/>
        </w:rPr>
        <w:t xml:space="preserve">se </w:t>
      </w:r>
      <w:r w:rsidR="0045570E" w:rsidRPr="00672AC2">
        <w:rPr>
          <w:bCs/>
          <w:szCs w:val="20"/>
          <w:lang w:val="es-US"/>
        </w:rPr>
        <w:t xml:space="preserve">denuncien </w:t>
      </w:r>
      <w:r w:rsidRPr="00672AC2">
        <w:rPr>
          <w:bCs/>
          <w:szCs w:val="20"/>
          <w:lang w:val="es-US"/>
        </w:rPr>
        <w:t>demoras judiciales.</w:t>
      </w:r>
    </w:p>
    <w:p w14:paraId="57852B35" w14:textId="77777777" w:rsidR="00737D00" w:rsidRPr="00672AC2" w:rsidRDefault="00737D00" w:rsidP="00737D00">
      <w:pPr>
        <w:pStyle w:val="IASubttulo2"/>
        <w:numPr>
          <w:ilvl w:val="0"/>
          <w:numId w:val="0"/>
        </w:numPr>
        <w:spacing w:after="0"/>
        <w:jc w:val="both"/>
        <w:rPr>
          <w:rFonts w:eastAsia="Calibri" w:cs="Times New Roman"/>
          <w:b w:val="0"/>
          <w:bCs/>
          <w:sz w:val="20"/>
          <w:szCs w:val="20"/>
          <w:lang w:val="es-419"/>
        </w:rPr>
      </w:pPr>
    </w:p>
    <w:tbl>
      <w:tblPr>
        <w:tblStyle w:val="TableGrid"/>
        <w:tblW w:w="0" w:type="auto"/>
        <w:tblLook w:val="04A0" w:firstRow="1" w:lastRow="0" w:firstColumn="1" w:lastColumn="0" w:noHBand="0" w:noVBand="1"/>
      </w:tblPr>
      <w:tblGrid>
        <w:gridCol w:w="9350"/>
      </w:tblGrid>
      <w:tr w:rsidR="00E43471" w:rsidRPr="00F51AED" w14:paraId="78D62CC7" w14:textId="77777777" w:rsidTr="00A323C0">
        <w:tc>
          <w:tcPr>
            <w:tcW w:w="9350" w:type="dxa"/>
            <w:tcBorders>
              <w:top w:val="nil"/>
              <w:left w:val="nil"/>
              <w:bottom w:val="nil"/>
              <w:right w:val="nil"/>
            </w:tcBorders>
            <w:shd w:val="clear" w:color="auto" w:fill="D0CECE" w:themeFill="background2" w:themeFillShade="E6"/>
          </w:tcPr>
          <w:p w14:paraId="66196F78" w14:textId="19F12CD5" w:rsidR="00E43471" w:rsidRPr="00CD37C7" w:rsidRDefault="00E43471" w:rsidP="00CD37C7">
            <w:pPr>
              <w:pStyle w:val="IASubttulo2"/>
              <w:numPr>
                <w:ilvl w:val="0"/>
                <w:numId w:val="0"/>
              </w:numPr>
              <w:spacing w:after="0"/>
              <w:ind w:left="154"/>
              <w:jc w:val="both"/>
              <w:rPr>
                <w:b w:val="0"/>
                <w:sz w:val="20"/>
                <w:szCs w:val="20"/>
                <w:lang w:val="es-CO"/>
              </w:rPr>
            </w:pPr>
            <w:bookmarkStart w:id="9" w:name="_Toc195618276"/>
            <w:r w:rsidRPr="00672AC2">
              <w:rPr>
                <w:sz w:val="20"/>
                <w:szCs w:val="20"/>
                <w:lang w:val="es-CO"/>
              </w:rPr>
              <w:t xml:space="preserve">Recomendación </w:t>
            </w:r>
            <w:proofErr w:type="spellStart"/>
            <w:r w:rsidR="00824795" w:rsidRPr="00672AC2">
              <w:rPr>
                <w:sz w:val="20"/>
                <w:szCs w:val="20"/>
                <w:lang w:val="es-CO"/>
              </w:rPr>
              <w:t>Nº</w:t>
            </w:r>
            <w:proofErr w:type="spellEnd"/>
            <w:r w:rsidRPr="00672AC2">
              <w:rPr>
                <w:sz w:val="20"/>
                <w:szCs w:val="20"/>
                <w:lang w:val="es-CO"/>
              </w:rPr>
              <w:t xml:space="preserve"> 11. </w:t>
            </w:r>
            <w:r w:rsidRPr="00672AC2">
              <w:rPr>
                <w:b w:val="0"/>
                <w:sz w:val="20"/>
                <w:szCs w:val="20"/>
                <w:lang w:val="es-CO"/>
              </w:rPr>
              <w:t>Proveer atención médica inmediata e integral a las víctimas de violaciones de derechos humanos y sus familias, tanto médica especializada como psicológica.</w:t>
            </w:r>
            <w:bookmarkEnd w:id="9"/>
          </w:p>
        </w:tc>
      </w:tr>
    </w:tbl>
    <w:p w14:paraId="4B80B47F" w14:textId="77777777" w:rsidR="00E43471" w:rsidRPr="00672AC2" w:rsidRDefault="00E43471" w:rsidP="00E43471">
      <w:pPr>
        <w:pStyle w:val="IASubttulo2"/>
        <w:numPr>
          <w:ilvl w:val="0"/>
          <w:numId w:val="0"/>
        </w:numPr>
        <w:spacing w:after="0"/>
        <w:jc w:val="both"/>
        <w:rPr>
          <w:b w:val="0"/>
          <w:bCs/>
          <w:sz w:val="20"/>
          <w:szCs w:val="20"/>
          <w:lang w:val="es-419" w:eastAsia="es-US"/>
        </w:rPr>
      </w:pPr>
    </w:p>
    <w:p w14:paraId="23993CB0" w14:textId="77777777" w:rsidR="00E43471" w:rsidRPr="00672AC2" w:rsidRDefault="00E43471" w:rsidP="00CD37C7">
      <w:pPr>
        <w:pBdr>
          <w:top w:val="nil"/>
          <w:left w:val="nil"/>
          <w:bottom w:val="nil"/>
          <w:right w:val="nil"/>
          <w:between w:val="nil"/>
        </w:pBdr>
        <w:ind w:firstLine="720"/>
        <w:jc w:val="both"/>
      </w:pPr>
      <w:r w:rsidRPr="00672AC2">
        <w:rPr>
          <w:rFonts w:eastAsia="Cambria" w:cs="Cambria"/>
          <w:i/>
          <w:iCs/>
          <w:color w:val="000000" w:themeColor="text1"/>
          <w:sz w:val="20"/>
          <w:szCs w:val="20"/>
          <w:lang w:val="es-ES"/>
        </w:rPr>
        <w:t>Información sobre el cumplimiento</w:t>
      </w:r>
    </w:p>
    <w:p w14:paraId="48B9E987" w14:textId="77777777" w:rsidR="00E43471" w:rsidRPr="00672AC2" w:rsidRDefault="00E43471" w:rsidP="00E43471">
      <w:pPr>
        <w:shd w:val="clear" w:color="auto" w:fill="FFFFFF" w:themeFill="background1"/>
        <w:suppressAutoHyphens w:val="0"/>
        <w:ind w:firstLine="709"/>
        <w:jc w:val="both"/>
        <w:rPr>
          <w:b/>
          <w:bCs/>
          <w:sz w:val="20"/>
          <w:szCs w:val="20"/>
          <w:lang w:val="es-419" w:eastAsia="es-US"/>
        </w:rPr>
      </w:pPr>
    </w:p>
    <w:p w14:paraId="12EE1058" w14:textId="3FF73336" w:rsidR="00E43471" w:rsidRPr="00CD37C7" w:rsidRDefault="00E43471" w:rsidP="00CD37C7">
      <w:pPr>
        <w:pStyle w:val="IAPrrafo"/>
        <w:rPr>
          <w:b/>
          <w:lang w:val="es-US" w:eastAsia="es-US"/>
        </w:rPr>
      </w:pPr>
      <w:r w:rsidRPr="00672AC2">
        <w:rPr>
          <w:lang w:eastAsia="es-US"/>
        </w:rPr>
        <w:t xml:space="preserve">En el año 2024, el Estado </w:t>
      </w:r>
      <w:r w:rsidR="00912215" w:rsidRPr="00672AC2">
        <w:rPr>
          <w:lang w:eastAsia="es-US"/>
        </w:rPr>
        <w:t>comunicó</w:t>
      </w:r>
      <w:r w:rsidRPr="00672AC2">
        <w:rPr>
          <w:lang w:eastAsia="es-US"/>
        </w:rPr>
        <w:t xml:space="preserve"> a la CIDH que la Comisión Multisectorial de Naturaleza Temporal para el seguimiento de las acciones a favor de los deudos de las personas fallecidas y de las personas que sufrieron lesiones de gravedad a consecuencia de las movilizaciones realizadas a nivel nacional, desde el 8 de diciembre hasta la culminación del estado de emergencia</w:t>
      </w:r>
      <w:r w:rsidR="00F36B41">
        <w:rPr>
          <w:rFonts w:ascii="ZWAdobeF" w:hAnsi="ZWAdobeF" w:cs="ZWAdobeF"/>
          <w:color w:val="auto"/>
          <w:sz w:val="2"/>
          <w:szCs w:val="2"/>
          <w:lang w:eastAsia="es-US"/>
        </w:rPr>
        <w:t>79F</w:t>
      </w:r>
      <w:r w:rsidRPr="00672AC2">
        <w:rPr>
          <w:rStyle w:val="FootnoteReference"/>
          <w:bCs/>
          <w:szCs w:val="20"/>
          <w:lang w:eastAsia="es-US"/>
        </w:rPr>
        <w:footnoteReference w:id="81"/>
      </w:r>
      <w:r w:rsidRPr="00672AC2">
        <w:rPr>
          <w:lang w:eastAsia="es-US"/>
        </w:rPr>
        <w:t xml:space="preserve">, identificó a 111 familiares de 63 personas fallecidas, y 155 personas heridas de gravedad. En ese sentido, el Estado verificó que, de los 111 familiares, 91 se encuentran afiliados al Seguro Integral de Salud (SIS) en estado activo, y que, de 155 personas heridas, 117 se encuentran afiliadas en estado activo. </w:t>
      </w:r>
      <w:r w:rsidRPr="00672AC2">
        <w:rPr>
          <w:lang w:val="es-ES"/>
        </w:rPr>
        <w:t xml:space="preserve">Por ello, a diciembre del 2024, el Estado </w:t>
      </w:r>
      <w:r w:rsidR="00912215" w:rsidRPr="00672AC2">
        <w:rPr>
          <w:lang w:val="es-ES"/>
        </w:rPr>
        <w:t>registró</w:t>
      </w:r>
      <w:r w:rsidRPr="00672AC2">
        <w:rPr>
          <w:lang w:val="es-ES"/>
        </w:rPr>
        <w:t xml:space="preserve"> 414 atenciones a los y las familiares de las v</w:t>
      </w:r>
      <w:r w:rsidR="00511692" w:rsidRPr="00672AC2">
        <w:rPr>
          <w:lang w:val="es-ES"/>
        </w:rPr>
        <w:t>í</w:t>
      </w:r>
      <w:r w:rsidRPr="00672AC2">
        <w:rPr>
          <w:lang w:val="es-ES"/>
        </w:rPr>
        <w:t xml:space="preserve">ctimas fallecidas, y 882 atenciones para las personas heridas de gravedad. </w:t>
      </w:r>
      <w:r w:rsidRPr="00672AC2">
        <w:rPr>
          <w:lang w:eastAsia="es-US"/>
        </w:rPr>
        <w:t xml:space="preserve">Cabe señalar el Estado </w:t>
      </w:r>
      <w:r w:rsidR="005C2CB5" w:rsidRPr="00672AC2">
        <w:rPr>
          <w:lang w:eastAsia="es-US"/>
        </w:rPr>
        <w:t xml:space="preserve">explicó </w:t>
      </w:r>
      <w:r w:rsidRPr="00672AC2">
        <w:rPr>
          <w:lang w:eastAsia="es-US"/>
        </w:rPr>
        <w:t xml:space="preserve">que </w:t>
      </w:r>
      <w:r w:rsidRPr="00672AC2">
        <w:rPr>
          <w:lang w:val="es-ES"/>
        </w:rPr>
        <w:t>las personas inscritas tienen garantizado el acceso gratuito a las prestaciones de salud de carácter preventivo, promocional, recuperativo y de rehabilitación que requieran, lo que incluye procedimientos médicos y sanitarios, productos farmacéuticos, dispositivos médicos y productos sanitarios.</w:t>
      </w:r>
    </w:p>
    <w:p w14:paraId="116D4489" w14:textId="0EA548C7" w:rsidR="00616210" w:rsidRPr="00CD37C7" w:rsidRDefault="00E43471" w:rsidP="00DD4FEE">
      <w:pPr>
        <w:pStyle w:val="IAPrrafo"/>
        <w:rPr>
          <w:lang w:val="es-ES"/>
        </w:rPr>
      </w:pPr>
      <w:r w:rsidRPr="00672AC2">
        <w:rPr>
          <w:lang w:val="es-ES"/>
        </w:rPr>
        <w:t xml:space="preserve">Asimismo, el Estado </w:t>
      </w:r>
      <w:r w:rsidR="00FD70B0" w:rsidRPr="00672AC2">
        <w:rPr>
          <w:lang w:val="es-ES"/>
        </w:rPr>
        <w:t xml:space="preserve">señaló </w:t>
      </w:r>
      <w:r w:rsidRPr="00672AC2">
        <w:rPr>
          <w:lang w:val="es-ES"/>
        </w:rPr>
        <w:t>la realización de cinco reuniones Macro Regionales por medio virtual, dirigidas a profesionales de la salud, para brindar acompañamiento psicosocial y atención en salud mental a familiares de fallecidos y personas heridas durante los conflictos sociales, donde participaron un total de 345 personas de las regiones del Sur, Centro, Oriente, Norte y Región Lima.</w:t>
      </w:r>
    </w:p>
    <w:p w14:paraId="5A08ED0D" w14:textId="0974819A" w:rsidR="00E43471" w:rsidRPr="00CD37C7" w:rsidRDefault="00616210" w:rsidP="00CD37C7">
      <w:pPr>
        <w:pStyle w:val="IAPrrafo"/>
      </w:pPr>
      <w:r>
        <w:t xml:space="preserve">El Estado informó que se creó el </w:t>
      </w:r>
      <w:r w:rsidRPr="00616210">
        <w:t xml:space="preserve">‘‘Grupo de Trabajo Sectorial de naturaleza temporal, dependiente del Ministerio de Salud, para coadyuvar en las acciones respecto a la defensa estratégica del Estado </w:t>
      </w:r>
      <w:r w:rsidR="00C32F3B">
        <w:t>p</w:t>
      </w:r>
      <w:r w:rsidRPr="00616210">
        <w:t xml:space="preserve">eruano en los casos </w:t>
      </w:r>
      <w:r w:rsidR="001A6019">
        <w:t>en los que</w:t>
      </w:r>
      <w:r w:rsidRPr="00616210">
        <w:t xml:space="preserve"> el Sector Salud se encuentre vinculado</w:t>
      </w:r>
      <w:r w:rsidR="001A6019">
        <w:t>;</w:t>
      </w:r>
      <w:r w:rsidRPr="00616210">
        <w:t xml:space="preserve"> que desarrolla la Procuraduría Pública del Ministerio de Salud, articulados con la Procuraduría Pública Especializada Supranacional</w:t>
      </w:r>
      <w:r>
        <w:t>”</w:t>
      </w:r>
      <w:r w:rsidR="00F36B41">
        <w:rPr>
          <w:rFonts w:ascii="ZWAdobeF" w:hAnsi="ZWAdobeF" w:cs="ZWAdobeF"/>
          <w:color w:val="auto"/>
          <w:sz w:val="2"/>
          <w:szCs w:val="2"/>
        </w:rPr>
        <w:t>80F</w:t>
      </w:r>
      <w:r>
        <w:rPr>
          <w:rStyle w:val="FootnoteReference"/>
          <w:szCs w:val="20"/>
          <w:lang w:val="es-ES"/>
        </w:rPr>
        <w:footnoteReference w:id="82"/>
      </w:r>
      <w:r w:rsidR="001A6019">
        <w:t>. Y que este Grupo</w:t>
      </w:r>
      <w:r>
        <w:t xml:space="preserve"> </w:t>
      </w:r>
      <w:r w:rsidRPr="00616210">
        <w:t>ha elaborado el proyecto de “Lineamientos para la atención de salud a personas afectadas de violaciones a Derecho a la Salud, Integridad Personal y Vida Digna, declaradas por la Corte Interamericana de Derechos Humanos mediante sentencia”</w:t>
      </w:r>
      <w:r>
        <w:t>.</w:t>
      </w:r>
    </w:p>
    <w:p w14:paraId="3D834E73" w14:textId="5546C02B" w:rsidR="00E43471" w:rsidRPr="00672AC2" w:rsidRDefault="00E43471" w:rsidP="00CD37C7">
      <w:pPr>
        <w:pStyle w:val="IAPrrafo"/>
        <w:rPr>
          <w:b/>
          <w:bCs/>
          <w:lang w:val="es-US" w:eastAsia="es-US"/>
        </w:rPr>
      </w:pPr>
      <w:r w:rsidRPr="00672AC2">
        <w:rPr>
          <w:bCs/>
          <w:lang w:val="es-US"/>
        </w:rPr>
        <w:t xml:space="preserve">Por su parte, la sociedad civil mostró su preocupación por las supuestas brechas de atención en salud que existen en las regiones afectadas, las cuales estarían relacionadas con la insuficiencia de recursos y la falta de especialización médica. Estas habrían generado retrasos en procedimientos críticos y la atención deficiente para muchas víctimas, inclusive habiéndose tenido que transferir a las personas a Lima sin considerar sus necesidades económicas y culturales. Además, </w:t>
      </w:r>
      <w:r w:rsidR="00FD70B0" w:rsidRPr="00672AC2">
        <w:rPr>
          <w:bCs/>
          <w:lang w:val="es-US"/>
        </w:rPr>
        <w:t xml:space="preserve">las organizaciones </w:t>
      </w:r>
      <w:r w:rsidR="00912215" w:rsidRPr="00672AC2">
        <w:rPr>
          <w:bCs/>
          <w:lang w:val="es-US"/>
        </w:rPr>
        <w:t>informaron sobre</w:t>
      </w:r>
      <w:r w:rsidRPr="00672AC2">
        <w:rPr>
          <w:bCs/>
          <w:lang w:val="es-US"/>
        </w:rPr>
        <w:t xml:space="preserve"> la ausencia de atención psicológica integral para las víctimas y sus familias.</w:t>
      </w:r>
    </w:p>
    <w:p w14:paraId="716567B8" w14:textId="77777777" w:rsidR="00E43471" w:rsidRPr="00672AC2" w:rsidRDefault="00E43471" w:rsidP="00CD37C7">
      <w:pPr>
        <w:suppressAutoHyphens w:val="0"/>
        <w:ind w:firstLine="720"/>
        <w:jc w:val="both"/>
        <w:rPr>
          <w:lang w:val="es-CO"/>
        </w:rPr>
      </w:pPr>
      <w:r w:rsidRPr="00672AC2">
        <w:rPr>
          <w:rFonts w:eastAsia="Cambria" w:cs="Cambria"/>
          <w:i/>
          <w:iCs/>
          <w:color w:val="000000" w:themeColor="text1"/>
          <w:sz w:val="20"/>
          <w:szCs w:val="20"/>
          <w:lang w:val="es-ES"/>
        </w:rPr>
        <w:t>Análisis y nivel de cumplimiento de la recomendación</w:t>
      </w:r>
    </w:p>
    <w:p w14:paraId="5A48E4CB" w14:textId="77777777" w:rsidR="00E43471" w:rsidRPr="00672AC2" w:rsidRDefault="00E43471" w:rsidP="00E43471">
      <w:pPr>
        <w:ind w:firstLine="360"/>
        <w:jc w:val="both"/>
        <w:rPr>
          <w:rFonts w:eastAsia="Cambria" w:cs="Cambria"/>
          <w:i/>
          <w:iCs/>
          <w:color w:val="000000" w:themeColor="text1"/>
          <w:sz w:val="20"/>
          <w:szCs w:val="20"/>
          <w:lang w:val="es-ES"/>
        </w:rPr>
      </w:pPr>
    </w:p>
    <w:p w14:paraId="397E2F9D" w14:textId="750EF865" w:rsidR="00E43471" w:rsidRPr="00672AC2" w:rsidRDefault="00E43471" w:rsidP="00E83710">
      <w:pPr>
        <w:pStyle w:val="IAPrrafo"/>
        <w:rPr>
          <w:rFonts w:eastAsia="Calibri" w:cs="Times New Roman"/>
          <w:b/>
          <w:bCs/>
          <w:color w:val="000000" w:themeColor="text1"/>
          <w:szCs w:val="20"/>
        </w:rPr>
      </w:pPr>
      <w:r w:rsidRPr="00672AC2">
        <w:rPr>
          <w:bCs/>
          <w:color w:val="000000" w:themeColor="text1"/>
          <w:szCs w:val="20"/>
          <w:lang w:val="es-US"/>
        </w:rPr>
        <w:t xml:space="preserve">La CIDH observa positivamente que el Estado </w:t>
      </w:r>
      <w:r w:rsidR="00EB358A" w:rsidRPr="00672AC2">
        <w:rPr>
          <w:bCs/>
          <w:color w:val="000000" w:themeColor="text1"/>
          <w:szCs w:val="20"/>
          <w:lang w:val="es-US"/>
        </w:rPr>
        <w:t xml:space="preserve">se </w:t>
      </w:r>
      <w:r w:rsidRPr="00672AC2">
        <w:rPr>
          <w:bCs/>
          <w:color w:val="000000" w:themeColor="text1"/>
          <w:szCs w:val="20"/>
          <w:lang w:val="es-US"/>
        </w:rPr>
        <w:t>ha</w:t>
      </w:r>
      <w:r w:rsidR="00912215" w:rsidRPr="00672AC2">
        <w:rPr>
          <w:bCs/>
          <w:color w:val="000000" w:themeColor="text1"/>
          <w:szCs w:val="20"/>
          <w:lang w:val="es-US"/>
        </w:rPr>
        <w:t>ya</w:t>
      </w:r>
      <w:r w:rsidRPr="00672AC2">
        <w:rPr>
          <w:bCs/>
          <w:color w:val="000000" w:themeColor="text1"/>
          <w:szCs w:val="20"/>
          <w:lang w:val="es-US"/>
        </w:rPr>
        <w:t xml:space="preserve"> </w:t>
      </w:r>
      <w:r w:rsidR="00EB358A" w:rsidRPr="00672AC2">
        <w:rPr>
          <w:bCs/>
          <w:color w:val="000000" w:themeColor="text1"/>
          <w:szCs w:val="20"/>
          <w:lang w:val="es-US"/>
        </w:rPr>
        <w:t>preocupado sobre</w:t>
      </w:r>
      <w:r w:rsidR="00912215" w:rsidRPr="00672AC2">
        <w:rPr>
          <w:bCs/>
          <w:color w:val="000000" w:themeColor="text1"/>
          <w:szCs w:val="20"/>
          <w:lang w:val="es-US"/>
        </w:rPr>
        <w:t xml:space="preserve"> la</w:t>
      </w:r>
      <w:r w:rsidRPr="00672AC2">
        <w:rPr>
          <w:bCs/>
          <w:color w:val="000000" w:themeColor="text1"/>
          <w:szCs w:val="20"/>
          <w:lang w:val="es-US"/>
        </w:rPr>
        <w:t xml:space="preserve"> prestación de servicios de salud para un grupo de víctimas y sus familiares. </w:t>
      </w:r>
      <w:r w:rsidRPr="00672AC2">
        <w:rPr>
          <w:rFonts w:eastAsia="Calibri" w:cs="Times New Roman"/>
          <w:bCs/>
          <w:color w:val="000000" w:themeColor="text1"/>
          <w:szCs w:val="20"/>
        </w:rPr>
        <w:t>En ese sentido, siendo la prestación de salud un servicio público fundamental, hace un llamado al Estado a garantizar este derecho mediante una atención oportuna y apropiada conforme a los principios de disponibilidad, accesibilidad, aceptabilidad</w:t>
      </w:r>
      <w:r w:rsidR="00F36B41">
        <w:rPr>
          <w:rFonts w:ascii="ZWAdobeF" w:eastAsia="Calibri" w:hAnsi="ZWAdobeF" w:cs="ZWAdobeF"/>
          <w:bCs/>
          <w:color w:val="auto"/>
          <w:sz w:val="2"/>
          <w:szCs w:val="2"/>
        </w:rPr>
        <w:t>81F</w:t>
      </w:r>
      <w:r w:rsidRPr="00672AC2">
        <w:rPr>
          <w:rStyle w:val="FootnoteReference"/>
          <w:rFonts w:eastAsia="Calibri" w:cs="Times New Roman"/>
          <w:bCs/>
          <w:color w:val="000000" w:themeColor="text1"/>
          <w:szCs w:val="20"/>
        </w:rPr>
        <w:footnoteReference w:id="83"/>
      </w:r>
      <w:r w:rsidRPr="00672AC2">
        <w:rPr>
          <w:rFonts w:eastAsia="Calibri" w:cs="Times New Roman"/>
          <w:bCs/>
          <w:color w:val="000000" w:themeColor="text1"/>
          <w:szCs w:val="20"/>
        </w:rPr>
        <w:t xml:space="preserve">. </w:t>
      </w:r>
      <w:r w:rsidR="00912215" w:rsidRPr="00672AC2">
        <w:rPr>
          <w:rFonts w:eastAsia="Calibri" w:cs="Times New Roman"/>
          <w:bCs/>
          <w:color w:val="000000" w:themeColor="text1"/>
          <w:szCs w:val="20"/>
        </w:rPr>
        <w:t>En relación</w:t>
      </w:r>
      <w:r w:rsidRPr="00672AC2">
        <w:rPr>
          <w:rFonts w:eastAsia="Calibri" w:cs="Times New Roman"/>
          <w:bCs/>
          <w:color w:val="000000" w:themeColor="text1"/>
          <w:szCs w:val="20"/>
        </w:rPr>
        <w:t xml:space="preserve"> </w:t>
      </w:r>
      <w:r w:rsidR="00912215" w:rsidRPr="00672AC2">
        <w:rPr>
          <w:rFonts w:eastAsia="Calibri" w:cs="Times New Roman"/>
          <w:bCs/>
          <w:color w:val="000000" w:themeColor="text1"/>
          <w:szCs w:val="20"/>
        </w:rPr>
        <w:t>con</w:t>
      </w:r>
      <w:r w:rsidRPr="00672AC2">
        <w:rPr>
          <w:rFonts w:eastAsia="Calibri" w:cs="Times New Roman"/>
          <w:bCs/>
          <w:color w:val="000000" w:themeColor="text1"/>
          <w:szCs w:val="20"/>
        </w:rPr>
        <w:t xml:space="preserve"> la accesibilidad, es de destacar que dentro de sus elementos se requiere que los establecimientos,</w:t>
      </w:r>
      <w:r w:rsidR="001E5003" w:rsidRPr="00672AC2">
        <w:rPr>
          <w:rFonts w:eastAsia="Calibri" w:cs="Times New Roman"/>
          <w:bCs/>
          <w:color w:val="000000" w:themeColor="text1"/>
          <w:szCs w:val="20"/>
        </w:rPr>
        <w:t xml:space="preserve"> </w:t>
      </w:r>
      <w:r w:rsidRPr="00672AC2">
        <w:rPr>
          <w:rFonts w:eastAsia="Calibri" w:cs="Times New Roman"/>
          <w:bCs/>
          <w:color w:val="000000" w:themeColor="text1"/>
          <w:szCs w:val="20"/>
        </w:rPr>
        <w:t>bienes</w:t>
      </w:r>
      <w:r w:rsidR="001E5003" w:rsidRPr="00672AC2">
        <w:rPr>
          <w:rFonts w:eastAsia="Calibri" w:cs="Times New Roman"/>
          <w:bCs/>
          <w:color w:val="000000" w:themeColor="text1"/>
          <w:szCs w:val="20"/>
        </w:rPr>
        <w:t xml:space="preserve"> </w:t>
      </w:r>
      <w:r w:rsidRPr="00672AC2">
        <w:rPr>
          <w:rFonts w:eastAsia="Calibri" w:cs="Times New Roman"/>
          <w:bCs/>
          <w:color w:val="000000" w:themeColor="text1"/>
          <w:szCs w:val="20"/>
        </w:rPr>
        <w:t>y</w:t>
      </w:r>
      <w:r w:rsidR="001E5003" w:rsidRPr="00672AC2">
        <w:rPr>
          <w:rFonts w:eastAsia="Calibri" w:cs="Times New Roman"/>
          <w:bCs/>
          <w:color w:val="000000" w:themeColor="text1"/>
          <w:szCs w:val="20"/>
        </w:rPr>
        <w:t xml:space="preserve"> </w:t>
      </w:r>
      <w:r w:rsidRPr="00672AC2">
        <w:rPr>
          <w:rFonts w:eastAsia="Calibri" w:cs="Times New Roman"/>
          <w:bCs/>
          <w:color w:val="000000" w:themeColor="text1"/>
          <w:szCs w:val="20"/>
        </w:rPr>
        <w:t>servicios</w:t>
      </w:r>
      <w:r w:rsidR="001E5003" w:rsidRPr="00672AC2">
        <w:rPr>
          <w:rFonts w:eastAsia="Calibri" w:cs="Times New Roman"/>
          <w:bCs/>
          <w:color w:val="000000" w:themeColor="text1"/>
          <w:szCs w:val="20"/>
        </w:rPr>
        <w:t xml:space="preserve"> </w:t>
      </w:r>
      <w:r w:rsidRPr="00672AC2">
        <w:rPr>
          <w:rFonts w:eastAsia="Calibri" w:cs="Times New Roman"/>
          <w:bCs/>
          <w:color w:val="000000" w:themeColor="text1"/>
          <w:szCs w:val="20"/>
        </w:rPr>
        <w:t>de</w:t>
      </w:r>
      <w:r w:rsidR="001E5003" w:rsidRPr="00672AC2">
        <w:rPr>
          <w:rFonts w:eastAsia="Calibri" w:cs="Times New Roman"/>
          <w:bCs/>
          <w:color w:val="000000" w:themeColor="text1"/>
          <w:szCs w:val="20"/>
        </w:rPr>
        <w:t xml:space="preserve"> </w:t>
      </w:r>
      <w:r w:rsidRPr="00672AC2">
        <w:rPr>
          <w:rFonts w:eastAsia="Calibri" w:cs="Times New Roman"/>
          <w:bCs/>
          <w:color w:val="000000" w:themeColor="text1"/>
          <w:szCs w:val="20"/>
        </w:rPr>
        <w:t>salud</w:t>
      </w:r>
      <w:r w:rsidR="001E5003" w:rsidRPr="00672AC2">
        <w:rPr>
          <w:rFonts w:eastAsia="Calibri" w:cs="Times New Roman"/>
          <w:bCs/>
          <w:color w:val="000000" w:themeColor="text1"/>
          <w:szCs w:val="20"/>
        </w:rPr>
        <w:t xml:space="preserve"> </w:t>
      </w:r>
      <w:r w:rsidRPr="00672AC2">
        <w:rPr>
          <w:rFonts w:eastAsia="Calibri" w:cs="Times New Roman"/>
          <w:bCs/>
          <w:color w:val="000000" w:themeColor="text1"/>
          <w:szCs w:val="20"/>
        </w:rPr>
        <w:t>estén</w:t>
      </w:r>
      <w:r w:rsidR="001E5003" w:rsidRPr="00672AC2">
        <w:rPr>
          <w:rFonts w:eastAsia="Calibri" w:cs="Times New Roman"/>
          <w:bCs/>
          <w:color w:val="000000" w:themeColor="text1"/>
          <w:szCs w:val="20"/>
        </w:rPr>
        <w:t xml:space="preserve"> </w:t>
      </w:r>
      <w:r w:rsidRPr="00672AC2">
        <w:rPr>
          <w:rFonts w:eastAsia="Calibri" w:cs="Times New Roman"/>
          <w:bCs/>
          <w:color w:val="000000" w:themeColor="text1"/>
          <w:szCs w:val="20"/>
        </w:rPr>
        <w:t>al</w:t>
      </w:r>
      <w:r w:rsidR="001E5003" w:rsidRPr="00672AC2">
        <w:rPr>
          <w:rFonts w:eastAsia="Calibri" w:cs="Times New Roman"/>
          <w:bCs/>
          <w:color w:val="000000" w:themeColor="text1"/>
          <w:szCs w:val="20"/>
        </w:rPr>
        <w:t xml:space="preserve"> </w:t>
      </w:r>
      <w:r w:rsidRPr="00672AC2">
        <w:rPr>
          <w:rFonts w:eastAsia="Calibri" w:cs="Times New Roman"/>
          <w:bCs/>
          <w:color w:val="000000" w:themeColor="text1"/>
          <w:szCs w:val="20"/>
        </w:rPr>
        <w:t>alcance geográfico de todos los sectores de la población, en especial de los grupos vulnerables o marginados</w:t>
      </w:r>
      <w:r w:rsidR="00F36B41">
        <w:rPr>
          <w:rFonts w:ascii="ZWAdobeF" w:eastAsia="Calibri" w:hAnsi="ZWAdobeF" w:cs="ZWAdobeF"/>
          <w:bCs/>
          <w:color w:val="auto"/>
          <w:sz w:val="2"/>
          <w:szCs w:val="2"/>
        </w:rPr>
        <w:t>82F</w:t>
      </w:r>
      <w:r w:rsidRPr="00672AC2">
        <w:rPr>
          <w:rStyle w:val="FootnoteReference"/>
          <w:rFonts w:eastAsia="Calibri" w:cs="Times New Roman"/>
          <w:bCs/>
          <w:color w:val="000000" w:themeColor="text1"/>
          <w:szCs w:val="20"/>
        </w:rPr>
        <w:footnoteReference w:id="84"/>
      </w:r>
      <w:r w:rsidRPr="00672AC2">
        <w:rPr>
          <w:rFonts w:eastAsia="Calibri" w:cs="Times New Roman"/>
          <w:bCs/>
          <w:color w:val="000000" w:themeColor="text1"/>
          <w:szCs w:val="20"/>
        </w:rPr>
        <w:t>.</w:t>
      </w:r>
    </w:p>
    <w:p w14:paraId="38F57B25" w14:textId="77777777" w:rsidR="00E43471" w:rsidRPr="00672AC2" w:rsidRDefault="00E43471" w:rsidP="00E43471">
      <w:pPr>
        <w:pStyle w:val="IASubttulo2"/>
        <w:numPr>
          <w:ilvl w:val="0"/>
          <w:numId w:val="0"/>
        </w:numPr>
        <w:shd w:val="clear" w:color="auto" w:fill="FFFFFF" w:themeFill="background1"/>
        <w:spacing w:after="0"/>
        <w:ind w:left="720"/>
        <w:jc w:val="both"/>
        <w:rPr>
          <w:rFonts w:eastAsia="Calibri" w:cs="Times New Roman"/>
          <w:b w:val="0"/>
          <w:bCs/>
          <w:sz w:val="20"/>
          <w:szCs w:val="20"/>
          <w:lang w:val="es-419"/>
        </w:rPr>
      </w:pPr>
    </w:p>
    <w:p w14:paraId="61E70724" w14:textId="1EA85C63" w:rsidR="00E43471" w:rsidRPr="00CF5080" w:rsidRDefault="00E43471" w:rsidP="00CF5080">
      <w:pPr>
        <w:pStyle w:val="IAPrrafo"/>
        <w:rPr>
          <w:rFonts w:eastAsia="Calibri" w:cs="Times New Roman"/>
          <w:b/>
          <w:bCs/>
          <w:szCs w:val="20"/>
        </w:rPr>
      </w:pPr>
      <w:r w:rsidRPr="00672AC2">
        <w:rPr>
          <w:bCs/>
          <w:szCs w:val="20"/>
          <w:lang w:val="es-ES"/>
        </w:rPr>
        <w:t xml:space="preserve">A partir de la información recibida, la CIDH </w:t>
      </w:r>
      <w:r w:rsidR="00912215" w:rsidRPr="00672AC2">
        <w:rPr>
          <w:bCs/>
          <w:szCs w:val="20"/>
          <w:lang w:val="es-ES"/>
        </w:rPr>
        <w:t>concluye</w:t>
      </w:r>
      <w:r w:rsidRPr="00672AC2">
        <w:rPr>
          <w:bCs/>
          <w:szCs w:val="20"/>
          <w:lang w:val="es-ES"/>
        </w:rPr>
        <w:t xml:space="preserve"> que la información proporcionada no</w:t>
      </w:r>
      <w:r w:rsidR="001E5003" w:rsidRPr="00672AC2">
        <w:rPr>
          <w:bCs/>
          <w:szCs w:val="20"/>
          <w:lang w:val="es-ES"/>
        </w:rPr>
        <w:t xml:space="preserve"> </w:t>
      </w:r>
      <w:r w:rsidRPr="00672AC2">
        <w:rPr>
          <w:bCs/>
          <w:szCs w:val="20"/>
          <w:lang w:val="es-ES"/>
        </w:rPr>
        <w:t xml:space="preserve">permite evidenciar si el Estado ha garantizado una </w:t>
      </w:r>
      <w:r w:rsidRPr="00672AC2">
        <w:rPr>
          <w:szCs w:val="20"/>
          <w:lang w:val="es-CO"/>
        </w:rPr>
        <w:t xml:space="preserve">atención médica inmediata e integral a todas las víctimas o si se ha garantizado una atención diferenciada a partir de </w:t>
      </w:r>
      <w:r w:rsidRPr="00672AC2">
        <w:rPr>
          <w:bCs/>
          <w:szCs w:val="20"/>
          <w:lang w:val="es-ES"/>
        </w:rPr>
        <w:t xml:space="preserve">las condiciones económicas, sociales y culturales particulares. </w:t>
      </w:r>
      <w:r w:rsidR="00912215" w:rsidRPr="00672AC2">
        <w:rPr>
          <w:bCs/>
          <w:szCs w:val="20"/>
          <w:lang w:val="es-ES"/>
        </w:rPr>
        <w:t>L</w:t>
      </w:r>
      <w:r w:rsidRPr="00672AC2">
        <w:rPr>
          <w:bCs/>
          <w:szCs w:val="20"/>
          <w:lang w:val="es-ES"/>
        </w:rPr>
        <w:t>a Corte IDH ha establecido que las reparaciones en salud deben implicar “un tratamiento diferenciado en relación con el trámite y procedimiento que debieran realizar para ser atendidos en los hospitales públicos”</w:t>
      </w:r>
      <w:r w:rsidR="00F36B41">
        <w:rPr>
          <w:rFonts w:ascii="ZWAdobeF" w:hAnsi="ZWAdobeF" w:cs="ZWAdobeF"/>
          <w:bCs/>
          <w:color w:val="auto"/>
          <w:sz w:val="2"/>
          <w:szCs w:val="2"/>
          <w:lang w:val="es-ES"/>
        </w:rPr>
        <w:t>83F</w:t>
      </w:r>
      <w:r w:rsidRPr="00672AC2">
        <w:rPr>
          <w:rStyle w:val="FootnoteReference"/>
          <w:bCs/>
          <w:szCs w:val="20"/>
          <w:lang w:val="es-ES"/>
        </w:rPr>
        <w:footnoteReference w:id="85"/>
      </w:r>
      <w:r w:rsidRPr="00672AC2">
        <w:rPr>
          <w:bCs/>
          <w:szCs w:val="20"/>
          <w:lang w:val="es-ES"/>
        </w:rPr>
        <w:t>. Además, ha señalado que “los tratamientos deberán prestarse, en la medida de lo posible, en los centros más cercanos a su lugar de residencia [el de las víctimas]”</w:t>
      </w:r>
      <w:r w:rsidR="00F36B41">
        <w:rPr>
          <w:rFonts w:ascii="ZWAdobeF" w:hAnsi="ZWAdobeF" w:cs="ZWAdobeF"/>
          <w:bCs/>
          <w:color w:val="auto"/>
          <w:sz w:val="2"/>
          <w:szCs w:val="2"/>
          <w:lang w:val="es-ES"/>
        </w:rPr>
        <w:t>84F</w:t>
      </w:r>
      <w:r w:rsidRPr="00672AC2">
        <w:rPr>
          <w:rStyle w:val="FootnoteReference"/>
          <w:bCs/>
          <w:szCs w:val="20"/>
          <w:lang w:val="es-ES"/>
        </w:rPr>
        <w:footnoteReference w:id="86"/>
      </w:r>
      <w:r w:rsidRPr="00672AC2">
        <w:rPr>
          <w:bCs/>
          <w:szCs w:val="20"/>
          <w:lang w:val="es-ES"/>
        </w:rPr>
        <w:t xml:space="preserve">. Para la Comisión, es esencial resaltar este criterio con la finalidad de hacer notar que, en tanto la red de salud pública no cuente con mecanismos de priorización para las víctimas, estos servicios serán poco accesibles para personas que se encuentran en una situación de vulnerabilidad. En la misma línea, se requiere información sobre la atención psicológica brindada a las víctimas, ya que solo se tendría información de las cinco reuniones Macro Regionales por medio virtual, dirigidas a profesionales de la salud, para brindar acompañamiento psicosocial y atención en salud mental. Por ello, </w:t>
      </w:r>
      <w:r w:rsidRPr="00672AC2">
        <w:rPr>
          <w:bCs/>
          <w:szCs w:val="20"/>
          <w:lang w:val="es-US"/>
        </w:rPr>
        <w:t xml:space="preserve">la Comisión </w:t>
      </w:r>
      <w:r w:rsidR="009369F0" w:rsidRPr="00672AC2">
        <w:rPr>
          <w:bCs/>
          <w:szCs w:val="20"/>
          <w:lang w:val="es-US"/>
        </w:rPr>
        <w:t xml:space="preserve">advierte </w:t>
      </w:r>
      <w:r w:rsidRPr="00672AC2">
        <w:rPr>
          <w:bCs/>
          <w:szCs w:val="20"/>
          <w:lang w:val="es-US"/>
        </w:rPr>
        <w:t xml:space="preserve">que, a partir de la información a la que ha tenido acceso, esta recomendación tiene un </w:t>
      </w:r>
      <w:r w:rsidRPr="00672AC2">
        <w:rPr>
          <w:szCs w:val="20"/>
          <w:lang w:val="es-US"/>
        </w:rPr>
        <w:t xml:space="preserve">nivel </w:t>
      </w:r>
      <w:r w:rsidRPr="00E558D8">
        <w:rPr>
          <w:b/>
          <w:bCs/>
          <w:szCs w:val="20"/>
          <w:lang w:val="es-US"/>
        </w:rPr>
        <w:t>parcial de cumplimiento</w:t>
      </w:r>
      <w:r w:rsidRPr="00672AC2">
        <w:rPr>
          <w:bCs/>
          <w:szCs w:val="20"/>
          <w:lang w:val="es-US"/>
        </w:rPr>
        <w:t>.</w:t>
      </w:r>
    </w:p>
    <w:p w14:paraId="7709E2A4" w14:textId="7450F1A6" w:rsidR="00E43471" w:rsidRPr="00672AC2" w:rsidRDefault="00E43471" w:rsidP="00CF5080">
      <w:pPr>
        <w:ind w:firstLine="720"/>
        <w:jc w:val="both"/>
        <w:rPr>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5148A35D" w14:textId="77777777" w:rsidR="00E43471" w:rsidRPr="00672AC2" w:rsidRDefault="00E43471" w:rsidP="00E43471">
      <w:pPr>
        <w:jc w:val="both"/>
        <w:rPr>
          <w:lang w:val="es-US"/>
        </w:rPr>
      </w:pPr>
    </w:p>
    <w:p w14:paraId="6AB0154D" w14:textId="6CBFCFA1" w:rsidR="00E43471" w:rsidRPr="00672AC2" w:rsidRDefault="00E43471" w:rsidP="00E83710">
      <w:pPr>
        <w:pStyle w:val="IAPrrafo"/>
        <w:rPr>
          <w:rFonts w:eastAsia="Calibri" w:cs="Times New Roman"/>
          <w:b/>
          <w:bCs/>
          <w:color w:val="000000" w:themeColor="text1"/>
          <w:szCs w:val="20"/>
        </w:rPr>
      </w:pPr>
      <w:r w:rsidRPr="00672AC2">
        <w:rPr>
          <w:bCs/>
          <w:color w:val="000000" w:themeColor="text1"/>
          <w:szCs w:val="20"/>
          <w:lang w:val="es-US"/>
        </w:rPr>
        <w:t xml:space="preserve">Para determinar que se ha avanzado en el cumplimiento de la presente recomendación, es fundamental que el Estado </w:t>
      </w:r>
      <w:r w:rsidR="00EB358A" w:rsidRPr="00672AC2">
        <w:rPr>
          <w:bCs/>
          <w:color w:val="000000" w:themeColor="text1"/>
          <w:szCs w:val="20"/>
          <w:lang w:val="es-US"/>
        </w:rPr>
        <w:t xml:space="preserve">asegure </w:t>
      </w:r>
      <w:r w:rsidRPr="00672AC2">
        <w:rPr>
          <w:bCs/>
          <w:color w:val="000000" w:themeColor="text1"/>
          <w:szCs w:val="20"/>
          <w:lang w:val="es-US"/>
        </w:rPr>
        <w:t xml:space="preserve">la prestación de atención médica inmediata e integral incluye la salud física y psicosocial, que implica la satisfacción de los elementos esenciales de </w:t>
      </w:r>
      <w:r w:rsidRPr="00672AC2">
        <w:rPr>
          <w:rFonts w:eastAsia="Calibri" w:cs="Times New Roman"/>
          <w:bCs/>
          <w:color w:val="000000" w:themeColor="text1"/>
          <w:szCs w:val="20"/>
        </w:rPr>
        <w:t>disponibilidad, accesibilidad, aceptabilidad y calidad</w:t>
      </w:r>
      <w:r w:rsidRPr="00672AC2">
        <w:rPr>
          <w:bCs/>
          <w:color w:val="000000" w:themeColor="text1"/>
          <w:szCs w:val="20"/>
          <w:lang w:val="es-US"/>
        </w:rPr>
        <w:t xml:space="preserve">. En ese sentido, la CIDH insta al Estado a establecer medidas específicas de acceso y seguimiento a cada una de las personas afectadas y sus familiares, </w:t>
      </w:r>
      <w:r w:rsidR="00075185" w:rsidRPr="00672AC2">
        <w:rPr>
          <w:bCs/>
          <w:color w:val="000000" w:themeColor="text1"/>
          <w:szCs w:val="20"/>
          <w:lang w:val="es-US"/>
        </w:rPr>
        <w:t xml:space="preserve">ponderando </w:t>
      </w:r>
      <w:r w:rsidRPr="00672AC2">
        <w:rPr>
          <w:bCs/>
          <w:color w:val="000000" w:themeColor="text1"/>
          <w:szCs w:val="20"/>
          <w:lang w:val="es-US"/>
        </w:rPr>
        <w:t xml:space="preserve">las barreras económicas, sociales y culturales que puedan existir. Es </w:t>
      </w:r>
      <w:r w:rsidR="001644D6" w:rsidRPr="00672AC2">
        <w:rPr>
          <w:bCs/>
          <w:color w:val="000000" w:themeColor="text1"/>
          <w:szCs w:val="20"/>
          <w:lang w:val="es-US"/>
        </w:rPr>
        <w:t xml:space="preserve">esencial </w:t>
      </w:r>
      <w:r w:rsidRPr="00672AC2">
        <w:rPr>
          <w:bCs/>
          <w:color w:val="000000" w:themeColor="text1"/>
          <w:szCs w:val="20"/>
          <w:lang w:val="es-US"/>
        </w:rPr>
        <w:t xml:space="preserve">que dichas medidas </w:t>
      </w:r>
      <w:r w:rsidR="001644D6" w:rsidRPr="00672AC2">
        <w:rPr>
          <w:bCs/>
          <w:color w:val="000000" w:themeColor="text1"/>
          <w:szCs w:val="20"/>
          <w:lang w:val="es-US"/>
        </w:rPr>
        <w:t xml:space="preserve">contemplen </w:t>
      </w:r>
      <w:r w:rsidRPr="00672AC2">
        <w:rPr>
          <w:bCs/>
          <w:color w:val="000000" w:themeColor="text1"/>
          <w:szCs w:val="20"/>
          <w:lang w:val="es-US"/>
        </w:rPr>
        <w:t>mecanismos de apoyo psicológico adecuados</w:t>
      </w:r>
      <w:r w:rsidR="003A0EE0">
        <w:rPr>
          <w:bCs/>
          <w:color w:val="000000" w:themeColor="text1"/>
          <w:szCs w:val="20"/>
          <w:lang w:val="es-US"/>
        </w:rPr>
        <w:t>,</w:t>
      </w:r>
      <w:r w:rsidRPr="00672AC2">
        <w:rPr>
          <w:bCs/>
          <w:color w:val="000000" w:themeColor="text1"/>
          <w:szCs w:val="20"/>
          <w:lang w:val="es-US"/>
        </w:rPr>
        <w:t xml:space="preserve"> sostenibles</w:t>
      </w:r>
      <w:r w:rsidR="003A0EE0" w:rsidRPr="00DD4FEE">
        <w:rPr>
          <w:lang w:val="es-ES"/>
        </w:rPr>
        <w:t xml:space="preserve">, </w:t>
      </w:r>
      <w:r w:rsidR="003A0EE0" w:rsidRPr="00DD4FEE">
        <w:rPr>
          <w:bCs/>
          <w:lang w:val="es-ES"/>
        </w:rPr>
        <w:t>y</w:t>
      </w:r>
      <w:r w:rsidR="003A0EE0" w:rsidRPr="00DD4FEE">
        <w:rPr>
          <w:lang w:val="es-ES"/>
        </w:rPr>
        <w:t xml:space="preserve"> </w:t>
      </w:r>
      <w:r w:rsidR="003A0EE0" w:rsidRPr="003A0EE0">
        <w:rPr>
          <w:bCs/>
          <w:color w:val="000000" w:themeColor="text1"/>
          <w:szCs w:val="20"/>
          <w:lang w:val="es-US"/>
        </w:rPr>
        <w:t>con enfoque intercultural</w:t>
      </w:r>
      <w:r w:rsidR="000B7822" w:rsidRPr="00672AC2">
        <w:rPr>
          <w:bCs/>
          <w:color w:val="000000" w:themeColor="text1"/>
          <w:szCs w:val="20"/>
          <w:lang w:val="es-US"/>
        </w:rPr>
        <w:t xml:space="preserve">, y que </w:t>
      </w:r>
      <w:r w:rsidR="003A0EE0">
        <w:rPr>
          <w:bCs/>
          <w:color w:val="000000" w:themeColor="text1"/>
          <w:szCs w:val="20"/>
          <w:lang w:val="es-US"/>
        </w:rPr>
        <w:t xml:space="preserve">se </w:t>
      </w:r>
      <w:r w:rsidR="000B7822" w:rsidRPr="00672AC2">
        <w:rPr>
          <w:bCs/>
          <w:color w:val="000000" w:themeColor="text1"/>
          <w:szCs w:val="20"/>
          <w:lang w:val="es-US"/>
        </w:rPr>
        <w:t>brinde</w:t>
      </w:r>
      <w:r w:rsidRPr="00672AC2">
        <w:rPr>
          <w:bCs/>
          <w:color w:val="000000" w:themeColor="text1"/>
          <w:szCs w:val="20"/>
          <w:lang w:val="es-US"/>
        </w:rPr>
        <w:t xml:space="preserve"> información que dé cuenta del cumplimiento de estos criterios.</w:t>
      </w:r>
    </w:p>
    <w:p w14:paraId="6AE32965" w14:textId="77777777" w:rsidR="00E43471" w:rsidRPr="00672AC2" w:rsidRDefault="00E43471" w:rsidP="00737D00">
      <w:pPr>
        <w:pStyle w:val="IASubttulo2"/>
        <w:numPr>
          <w:ilvl w:val="0"/>
          <w:numId w:val="0"/>
        </w:numPr>
        <w:spacing w:after="0"/>
        <w:jc w:val="both"/>
        <w:rPr>
          <w:rFonts w:eastAsia="Calibri" w:cs="Times New Roman"/>
          <w:b w:val="0"/>
          <w:bCs/>
          <w:sz w:val="20"/>
          <w:szCs w:val="20"/>
          <w:lang w:val="es-419"/>
        </w:rPr>
      </w:pPr>
    </w:p>
    <w:tbl>
      <w:tblPr>
        <w:tblStyle w:val="TableGrid"/>
        <w:tblW w:w="0" w:type="auto"/>
        <w:tblLook w:val="04A0" w:firstRow="1" w:lastRow="0" w:firstColumn="1" w:lastColumn="0" w:noHBand="0" w:noVBand="1"/>
      </w:tblPr>
      <w:tblGrid>
        <w:gridCol w:w="9350"/>
      </w:tblGrid>
      <w:tr w:rsidR="003422A8" w:rsidRPr="00F51AED" w14:paraId="0E4ABFEC" w14:textId="77777777">
        <w:tc>
          <w:tcPr>
            <w:tcW w:w="9350" w:type="dxa"/>
            <w:tcBorders>
              <w:top w:val="nil"/>
              <w:left w:val="nil"/>
              <w:bottom w:val="nil"/>
              <w:right w:val="nil"/>
            </w:tcBorders>
            <w:shd w:val="clear" w:color="auto" w:fill="D0CECE" w:themeFill="background2" w:themeFillShade="E6"/>
          </w:tcPr>
          <w:p w14:paraId="0D86FAA8" w14:textId="4E934EF0" w:rsidR="003422A8" w:rsidRPr="00CF5080" w:rsidRDefault="003422A8" w:rsidP="00CF5080">
            <w:pPr>
              <w:pStyle w:val="IASubttulo2"/>
              <w:numPr>
                <w:ilvl w:val="0"/>
                <w:numId w:val="0"/>
              </w:numPr>
              <w:spacing w:after="0"/>
              <w:ind w:left="154"/>
              <w:jc w:val="both"/>
              <w:rPr>
                <w:b w:val="0"/>
                <w:sz w:val="20"/>
                <w:szCs w:val="20"/>
                <w:lang w:val="es-CO"/>
              </w:rPr>
            </w:pPr>
            <w:bookmarkStart w:id="11" w:name="_Toc195618277"/>
            <w:r w:rsidRPr="00672AC2">
              <w:rPr>
                <w:sz w:val="20"/>
                <w:szCs w:val="20"/>
                <w:lang w:val="es-CO"/>
              </w:rPr>
              <w:t xml:space="preserve">Recomendación </w:t>
            </w:r>
            <w:proofErr w:type="spellStart"/>
            <w:r w:rsidR="00824795" w:rsidRPr="00672AC2">
              <w:rPr>
                <w:sz w:val="20"/>
                <w:szCs w:val="20"/>
                <w:lang w:val="es-CO"/>
              </w:rPr>
              <w:t>Nº</w:t>
            </w:r>
            <w:proofErr w:type="spellEnd"/>
            <w:r w:rsidRPr="00672AC2">
              <w:rPr>
                <w:sz w:val="20"/>
                <w:szCs w:val="20"/>
                <w:lang w:val="es-CO"/>
              </w:rPr>
              <w:t xml:space="preserve"> 1</w:t>
            </w:r>
            <w:r w:rsidR="004D1506" w:rsidRPr="00672AC2">
              <w:rPr>
                <w:sz w:val="20"/>
                <w:szCs w:val="20"/>
                <w:lang w:val="es-CO"/>
              </w:rPr>
              <w:t>2</w:t>
            </w:r>
            <w:r w:rsidRPr="00672AC2">
              <w:rPr>
                <w:sz w:val="20"/>
                <w:szCs w:val="20"/>
                <w:lang w:val="es-CO"/>
              </w:rPr>
              <w:t xml:space="preserve">. </w:t>
            </w:r>
            <w:proofErr w:type="gramStart"/>
            <w:r w:rsidR="004D1506" w:rsidRPr="00672AC2">
              <w:rPr>
                <w:b w:val="0"/>
                <w:sz w:val="20"/>
                <w:szCs w:val="20"/>
                <w:lang w:val="es-CO"/>
              </w:rPr>
              <w:t>Asegurar</w:t>
            </w:r>
            <w:proofErr w:type="gramEnd"/>
            <w:r w:rsidR="004D1506" w:rsidRPr="00672AC2">
              <w:rPr>
                <w:b w:val="0"/>
                <w:sz w:val="20"/>
                <w:szCs w:val="20"/>
                <w:lang w:val="es-CO"/>
              </w:rPr>
              <w:t xml:space="preserve"> que las medidas de reparación tengan un enfoque de pertinencia cultural, de género e interseccionalidad en derechos humanos, que tengan en cuenta tanto los daños individuales sufridos como los efectos colectivos diferenciados en sus respectivas familias, comunidades y pueblos, así como los impactos diferenciados en las mujeres; niñas, niños y adolescentes; personas indígenas; personas mayores y personas con discapacidad.</w:t>
            </w:r>
            <w:bookmarkEnd w:id="11"/>
          </w:p>
        </w:tc>
      </w:tr>
    </w:tbl>
    <w:p w14:paraId="6E2E643B" w14:textId="77777777" w:rsidR="00ED5E6C" w:rsidRPr="00672AC2" w:rsidRDefault="00ED5E6C" w:rsidP="00907171">
      <w:pPr>
        <w:pStyle w:val="IASubttulo2"/>
        <w:numPr>
          <w:ilvl w:val="0"/>
          <w:numId w:val="0"/>
        </w:numPr>
        <w:spacing w:after="0"/>
        <w:jc w:val="both"/>
        <w:rPr>
          <w:b w:val="0"/>
          <w:bCs/>
          <w:sz w:val="20"/>
          <w:szCs w:val="20"/>
          <w:lang w:val="es-419" w:eastAsia="es-US"/>
        </w:rPr>
      </w:pPr>
    </w:p>
    <w:p w14:paraId="535387DE" w14:textId="36E0F24B" w:rsidR="005B081B" w:rsidRPr="00672AC2" w:rsidRDefault="005B081B" w:rsidP="00CF5080">
      <w:pPr>
        <w:pBdr>
          <w:top w:val="nil"/>
          <w:left w:val="nil"/>
          <w:bottom w:val="nil"/>
          <w:right w:val="nil"/>
          <w:between w:val="nil"/>
        </w:pBdr>
        <w:ind w:firstLine="720"/>
        <w:jc w:val="both"/>
        <w:rPr>
          <w:lang w:val="es-ES"/>
        </w:rPr>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469033C1" w14:textId="77777777" w:rsidR="005B081B" w:rsidRPr="00672AC2" w:rsidRDefault="005B081B" w:rsidP="005B081B">
      <w:pPr>
        <w:shd w:val="clear" w:color="auto" w:fill="FFFFFF" w:themeFill="background1"/>
        <w:suppressAutoHyphens w:val="0"/>
        <w:jc w:val="both"/>
        <w:rPr>
          <w:rFonts w:eastAsia="Cambria" w:cs="Cambria"/>
          <w:sz w:val="20"/>
          <w:szCs w:val="20"/>
          <w:lang w:val="es-CO"/>
        </w:rPr>
      </w:pPr>
    </w:p>
    <w:p w14:paraId="251E405E" w14:textId="5B217014" w:rsidR="005B081B" w:rsidRPr="00672AC2" w:rsidRDefault="04C947FA" w:rsidP="00E83710">
      <w:pPr>
        <w:pStyle w:val="IAPrrafo"/>
        <w:rPr>
          <w:szCs w:val="20"/>
          <w:lang w:val="es-ES"/>
        </w:rPr>
      </w:pPr>
      <w:r w:rsidRPr="00672AC2">
        <w:rPr>
          <w:rFonts w:eastAsia="Cambria" w:cs="Cambria"/>
          <w:szCs w:val="20"/>
          <w:lang w:val="es-CO"/>
        </w:rPr>
        <w:t xml:space="preserve">En el año 2024, el Estado reportó que la entidad a cargo de la </w:t>
      </w:r>
      <w:r w:rsidR="00BC3763" w:rsidRPr="00672AC2">
        <w:rPr>
          <w:rFonts w:eastAsia="Cambria" w:cs="Cambria"/>
          <w:szCs w:val="20"/>
          <w:lang w:val="es-CO"/>
        </w:rPr>
        <w:t xml:space="preserve">puesta en marcha </w:t>
      </w:r>
      <w:r w:rsidRPr="00672AC2">
        <w:rPr>
          <w:rFonts w:eastAsia="Cambria" w:cs="Cambria"/>
          <w:szCs w:val="20"/>
          <w:lang w:val="es-CO"/>
        </w:rPr>
        <w:t xml:space="preserve">de medidas con un enfoque de pertinencia cultural es el Ministerio de Cultura, el cual cuenta con diversas normas previamente diseñadas para la implementación del enfoque intercultural en la prestación de los servicios públicos, a saber: i) </w:t>
      </w:r>
      <w:r w:rsidRPr="00672AC2">
        <w:rPr>
          <w:szCs w:val="20"/>
          <w:lang w:val="es-ES"/>
        </w:rPr>
        <w:t>Política Nacional para la Transversalización del Enfoque Intercultural</w:t>
      </w:r>
      <w:r w:rsidR="00CE72F6" w:rsidRPr="00672AC2">
        <w:rPr>
          <w:szCs w:val="20"/>
          <w:lang w:val="es-ES"/>
        </w:rPr>
        <w:t xml:space="preserve"> (2015)</w:t>
      </w:r>
      <w:r w:rsidR="00F36B41">
        <w:rPr>
          <w:rFonts w:ascii="ZWAdobeF" w:hAnsi="ZWAdobeF" w:cs="ZWAdobeF"/>
          <w:color w:val="auto"/>
          <w:sz w:val="2"/>
          <w:szCs w:val="2"/>
          <w:lang w:val="es-ES"/>
        </w:rPr>
        <w:t>85F</w:t>
      </w:r>
      <w:r w:rsidR="005B081B" w:rsidRPr="00672AC2">
        <w:rPr>
          <w:rStyle w:val="FootnoteReference"/>
          <w:szCs w:val="20"/>
          <w:lang w:val="es-ES"/>
        </w:rPr>
        <w:footnoteReference w:id="87"/>
      </w:r>
      <w:r w:rsidRPr="00672AC2">
        <w:rPr>
          <w:szCs w:val="20"/>
          <w:lang w:val="es-ES"/>
        </w:rPr>
        <w:t xml:space="preserve">; </w:t>
      </w:r>
      <w:proofErr w:type="spellStart"/>
      <w:r w:rsidRPr="00672AC2">
        <w:rPr>
          <w:szCs w:val="20"/>
          <w:lang w:val="es-ES"/>
        </w:rPr>
        <w:t>ii</w:t>
      </w:r>
      <w:proofErr w:type="spellEnd"/>
      <w:r w:rsidRPr="00672AC2">
        <w:rPr>
          <w:szCs w:val="20"/>
          <w:lang w:val="es-ES"/>
        </w:rPr>
        <w:t>) Guía para la aplicación del enfoque intercultural en la gestión de servicios públicos</w:t>
      </w:r>
      <w:r w:rsidR="00CE72F6" w:rsidRPr="00672AC2">
        <w:rPr>
          <w:szCs w:val="20"/>
          <w:lang w:val="es-ES"/>
        </w:rPr>
        <w:t xml:space="preserve"> (2015)</w:t>
      </w:r>
      <w:r w:rsidR="00F36B41">
        <w:rPr>
          <w:rFonts w:ascii="ZWAdobeF" w:hAnsi="ZWAdobeF" w:cs="ZWAdobeF"/>
          <w:color w:val="auto"/>
          <w:sz w:val="2"/>
          <w:szCs w:val="2"/>
          <w:lang w:val="es-ES"/>
        </w:rPr>
        <w:t>86F</w:t>
      </w:r>
      <w:r w:rsidR="005B081B" w:rsidRPr="00672AC2">
        <w:rPr>
          <w:rStyle w:val="FootnoteReference"/>
          <w:szCs w:val="20"/>
          <w:lang w:val="es-ES"/>
        </w:rPr>
        <w:footnoteReference w:id="88"/>
      </w:r>
      <w:r w:rsidRPr="00672AC2">
        <w:rPr>
          <w:szCs w:val="20"/>
          <w:lang w:val="es-ES"/>
        </w:rPr>
        <w:t xml:space="preserve">; </w:t>
      </w:r>
      <w:proofErr w:type="spellStart"/>
      <w:r w:rsidRPr="00672AC2">
        <w:rPr>
          <w:szCs w:val="20"/>
          <w:lang w:val="es-ES"/>
        </w:rPr>
        <w:t>iii</w:t>
      </w:r>
      <w:proofErr w:type="spellEnd"/>
      <w:r w:rsidRPr="00672AC2">
        <w:rPr>
          <w:szCs w:val="20"/>
          <w:lang w:val="es-ES"/>
        </w:rPr>
        <w:t>) Lineamientos para incorporar el enfoque intercultural en la prevención, atención y protección frente a la violencia sexual contra niñas, niños, adolescentes y mujeres indígenas u originarias</w:t>
      </w:r>
      <w:r w:rsidR="00CE72F6" w:rsidRPr="00672AC2">
        <w:rPr>
          <w:szCs w:val="20"/>
          <w:lang w:val="es-ES"/>
        </w:rPr>
        <w:t xml:space="preserve"> (2019)</w:t>
      </w:r>
      <w:r w:rsidR="00F36B41">
        <w:rPr>
          <w:rFonts w:ascii="ZWAdobeF" w:hAnsi="ZWAdobeF" w:cs="ZWAdobeF"/>
          <w:color w:val="auto"/>
          <w:sz w:val="2"/>
          <w:szCs w:val="2"/>
          <w:lang w:val="es-ES"/>
        </w:rPr>
        <w:t>87F</w:t>
      </w:r>
      <w:r w:rsidR="005B081B" w:rsidRPr="00672AC2">
        <w:rPr>
          <w:rStyle w:val="FootnoteReference"/>
          <w:szCs w:val="20"/>
          <w:lang w:val="es-ES"/>
        </w:rPr>
        <w:footnoteReference w:id="89"/>
      </w:r>
      <w:r w:rsidRPr="00672AC2">
        <w:rPr>
          <w:szCs w:val="20"/>
          <w:lang w:val="es-ES"/>
        </w:rPr>
        <w:t xml:space="preserve">; y </w:t>
      </w:r>
      <w:proofErr w:type="spellStart"/>
      <w:r w:rsidRPr="00672AC2">
        <w:rPr>
          <w:szCs w:val="20"/>
          <w:lang w:val="es-ES"/>
        </w:rPr>
        <w:t>iv</w:t>
      </w:r>
      <w:proofErr w:type="spellEnd"/>
      <w:r w:rsidRPr="00672AC2">
        <w:rPr>
          <w:szCs w:val="20"/>
          <w:lang w:val="es-ES"/>
        </w:rPr>
        <w:t>) la Base de Datos de Pueblos Indígenas</w:t>
      </w:r>
      <w:r w:rsidR="00CE72F6" w:rsidRPr="00672AC2">
        <w:rPr>
          <w:szCs w:val="20"/>
          <w:lang w:val="es-ES"/>
        </w:rPr>
        <w:t xml:space="preserve"> (201</w:t>
      </w:r>
      <w:r w:rsidR="004845CA" w:rsidRPr="00672AC2">
        <w:rPr>
          <w:szCs w:val="20"/>
          <w:lang w:val="es-ES"/>
        </w:rPr>
        <w:t>1</w:t>
      </w:r>
      <w:r w:rsidR="00CE72F6" w:rsidRPr="00672AC2">
        <w:rPr>
          <w:szCs w:val="20"/>
          <w:lang w:val="es-ES"/>
        </w:rPr>
        <w:t>)</w:t>
      </w:r>
      <w:r w:rsidR="00F36B41">
        <w:rPr>
          <w:rFonts w:ascii="ZWAdobeF" w:hAnsi="ZWAdobeF" w:cs="ZWAdobeF"/>
          <w:color w:val="auto"/>
          <w:sz w:val="2"/>
          <w:szCs w:val="2"/>
          <w:lang w:val="es-ES"/>
        </w:rPr>
        <w:t>88F</w:t>
      </w:r>
      <w:r w:rsidR="005B081B" w:rsidRPr="00672AC2">
        <w:rPr>
          <w:rStyle w:val="FootnoteReference"/>
          <w:szCs w:val="20"/>
          <w:lang w:val="es-ES"/>
        </w:rPr>
        <w:footnoteReference w:id="90"/>
      </w:r>
      <w:r w:rsidRPr="00672AC2">
        <w:rPr>
          <w:szCs w:val="20"/>
          <w:lang w:val="es-ES"/>
        </w:rPr>
        <w:t>.</w:t>
      </w:r>
    </w:p>
    <w:p w14:paraId="1498140B" w14:textId="77777777" w:rsidR="005B081B" w:rsidRPr="00672AC2" w:rsidRDefault="005B081B" w:rsidP="005B081B">
      <w:pPr>
        <w:pStyle w:val="IASubttulo2"/>
        <w:numPr>
          <w:ilvl w:val="0"/>
          <w:numId w:val="0"/>
        </w:numPr>
        <w:spacing w:after="0"/>
        <w:ind w:left="720"/>
        <w:jc w:val="both"/>
        <w:rPr>
          <w:sz w:val="20"/>
          <w:szCs w:val="20"/>
          <w:lang w:val="es-ES"/>
        </w:rPr>
      </w:pPr>
    </w:p>
    <w:p w14:paraId="6EEABA4C" w14:textId="20913F5D" w:rsidR="005B081B" w:rsidRPr="00CF5080" w:rsidRDefault="4297E2E4" w:rsidP="005B081B">
      <w:pPr>
        <w:pStyle w:val="IAPrrafo"/>
        <w:rPr>
          <w:b/>
          <w:bCs/>
          <w:szCs w:val="20"/>
          <w:lang w:val="es-ES"/>
        </w:rPr>
      </w:pPr>
      <w:r w:rsidRPr="00672AC2">
        <w:rPr>
          <w:szCs w:val="20"/>
          <w:lang w:val="es-ES"/>
        </w:rPr>
        <w:t>E</w:t>
      </w:r>
      <w:r w:rsidR="04C947FA" w:rsidRPr="00672AC2">
        <w:rPr>
          <w:szCs w:val="20"/>
          <w:lang w:val="es-ES"/>
        </w:rPr>
        <w:t xml:space="preserve">l Estado manifestó que realizó un listado de beneficiarios de reparación, atendiendo a las particularidades de cada persona, con el objetivo de diseñar e implementar mecanismos que respondan a sus </w:t>
      </w:r>
      <w:r w:rsidR="00625A68" w:rsidRPr="00672AC2">
        <w:rPr>
          <w:szCs w:val="20"/>
          <w:lang w:val="es-ES"/>
        </w:rPr>
        <w:t>características</w:t>
      </w:r>
      <w:r w:rsidR="04C947FA" w:rsidRPr="00672AC2">
        <w:rPr>
          <w:szCs w:val="20"/>
          <w:lang w:val="es-ES"/>
        </w:rPr>
        <w:t xml:space="preserve">. Al respecto, señaló que se tomaron criterios como </w:t>
      </w:r>
      <w:r w:rsidR="04C947FA" w:rsidRPr="00672AC2">
        <w:rPr>
          <w:rFonts w:eastAsia="Calibri" w:cs="Times New Roman"/>
          <w:szCs w:val="20"/>
          <w:lang w:val="es-US"/>
        </w:rPr>
        <w:t>la composición familiar, la situación económica, de vivienda, de salud, de educación, entre otros.</w:t>
      </w:r>
    </w:p>
    <w:p w14:paraId="39A87AB0" w14:textId="63D4DB6B" w:rsidR="005B081B" w:rsidRPr="00CF5080" w:rsidRDefault="04C947FA" w:rsidP="00CF5080">
      <w:pPr>
        <w:pStyle w:val="IAPrrafo"/>
        <w:rPr>
          <w:rFonts w:eastAsia="Calibri" w:cs="Calibri"/>
          <w:b/>
          <w:szCs w:val="20"/>
          <w:lang w:val="es-US"/>
        </w:rPr>
      </w:pPr>
      <w:r w:rsidRPr="00672AC2">
        <w:rPr>
          <w:szCs w:val="20"/>
          <w:lang w:val="es-US"/>
        </w:rPr>
        <w:t xml:space="preserve">Por su parte, la Comisión </w:t>
      </w:r>
      <w:r w:rsidR="007E78CC" w:rsidRPr="00672AC2">
        <w:rPr>
          <w:szCs w:val="20"/>
          <w:lang w:val="es-US"/>
        </w:rPr>
        <w:t xml:space="preserve">recibió </w:t>
      </w:r>
      <w:r w:rsidRPr="00672AC2">
        <w:rPr>
          <w:szCs w:val="20"/>
          <w:lang w:val="es-US"/>
        </w:rPr>
        <w:t>información de sociedad civil</w:t>
      </w:r>
      <w:r w:rsidR="004845CA" w:rsidRPr="00672AC2">
        <w:rPr>
          <w:szCs w:val="20"/>
          <w:lang w:val="es-US"/>
        </w:rPr>
        <w:t xml:space="preserve"> </w:t>
      </w:r>
      <w:r w:rsidRPr="00672AC2">
        <w:rPr>
          <w:szCs w:val="20"/>
          <w:lang w:val="es-US"/>
        </w:rPr>
        <w:t>según la cual no se conocen medidas con fines reparatorios que respondan a l</w:t>
      </w:r>
      <w:r w:rsidR="00625A68" w:rsidRPr="00672AC2">
        <w:rPr>
          <w:szCs w:val="20"/>
          <w:lang w:val="es-US"/>
        </w:rPr>
        <w:t>o</w:t>
      </w:r>
      <w:r w:rsidRPr="00672AC2">
        <w:rPr>
          <w:szCs w:val="20"/>
          <w:lang w:val="es-US"/>
        </w:rPr>
        <w:t xml:space="preserve">s </w:t>
      </w:r>
      <w:r w:rsidR="00625A68" w:rsidRPr="00672AC2">
        <w:rPr>
          <w:szCs w:val="20"/>
          <w:lang w:val="es-US"/>
        </w:rPr>
        <w:t>desafíos</w:t>
      </w:r>
      <w:r w:rsidRPr="00672AC2">
        <w:rPr>
          <w:szCs w:val="20"/>
          <w:lang w:val="es-US"/>
        </w:rPr>
        <w:t xml:space="preserve"> específic</w:t>
      </w:r>
      <w:r w:rsidR="00625A68" w:rsidRPr="00672AC2">
        <w:rPr>
          <w:szCs w:val="20"/>
          <w:lang w:val="es-US"/>
        </w:rPr>
        <w:t>o</w:t>
      </w:r>
      <w:r w:rsidRPr="00672AC2">
        <w:rPr>
          <w:szCs w:val="20"/>
          <w:lang w:val="es-US"/>
        </w:rPr>
        <w:t xml:space="preserve">s de mujeres, niños, personas mayores o con discapacidad. Asimismo, fue </w:t>
      </w:r>
      <w:r w:rsidR="00E31BE1" w:rsidRPr="00672AC2">
        <w:rPr>
          <w:szCs w:val="20"/>
          <w:lang w:val="es-US"/>
        </w:rPr>
        <w:t xml:space="preserve">precisado </w:t>
      </w:r>
      <w:r w:rsidRPr="00672AC2">
        <w:rPr>
          <w:szCs w:val="20"/>
          <w:lang w:val="es-US"/>
        </w:rPr>
        <w:t xml:space="preserve">a la Comisión que no se conoce ningún mecanismo que responda a las </w:t>
      </w:r>
      <w:r w:rsidR="00625A68" w:rsidRPr="00672AC2">
        <w:rPr>
          <w:szCs w:val="20"/>
          <w:lang w:val="es-US"/>
        </w:rPr>
        <w:t>exigencias</w:t>
      </w:r>
      <w:r w:rsidRPr="00672AC2">
        <w:rPr>
          <w:szCs w:val="20"/>
          <w:lang w:val="es-US"/>
        </w:rPr>
        <w:t xml:space="preserve"> colectivas de los grupos afectados, incluyendo las comunidades. Además, la sociedad civil </w:t>
      </w:r>
      <w:r w:rsidR="002257F3" w:rsidRPr="00672AC2">
        <w:rPr>
          <w:szCs w:val="20"/>
          <w:lang w:val="es-US"/>
        </w:rPr>
        <w:t>insistió en</w:t>
      </w:r>
      <w:r w:rsidRPr="00672AC2">
        <w:rPr>
          <w:szCs w:val="20"/>
          <w:lang w:val="es-US"/>
        </w:rPr>
        <w:t xml:space="preserve"> la ausencia de mecanismos independientes de supervisión</w:t>
      </w:r>
      <w:r w:rsidR="002257F3" w:rsidRPr="00672AC2">
        <w:rPr>
          <w:szCs w:val="20"/>
          <w:lang w:val="es-US"/>
        </w:rPr>
        <w:t xml:space="preserve"> sobre las medidas que se vayan a adoptar </w:t>
      </w:r>
      <w:proofErr w:type="gramStart"/>
      <w:r w:rsidR="002257F3" w:rsidRPr="00672AC2">
        <w:rPr>
          <w:szCs w:val="20"/>
          <w:lang w:val="es-US"/>
        </w:rPr>
        <w:t>en relación a</w:t>
      </w:r>
      <w:proofErr w:type="gramEnd"/>
      <w:r w:rsidR="002257F3" w:rsidRPr="00672AC2">
        <w:rPr>
          <w:szCs w:val="20"/>
          <w:lang w:val="es-US"/>
        </w:rPr>
        <w:t xml:space="preserve"> los mecanismos de reparación</w:t>
      </w:r>
      <w:r w:rsidRPr="00672AC2">
        <w:rPr>
          <w:szCs w:val="20"/>
          <w:lang w:val="es-US"/>
        </w:rPr>
        <w:t>.</w:t>
      </w:r>
    </w:p>
    <w:p w14:paraId="0F779200" w14:textId="77777777" w:rsidR="005B081B" w:rsidRPr="00672AC2" w:rsidRDefault="005B081B" w:rsidP="00CF5080">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7928B83A" w14:textId="77777777" w:rsidR="005B081B" w:rsidRPr="00672AC2" w:rsidRDefault="005B081B" w:rsidP="005B081B">
      <w:pPr>
        <w:jc w:val="both"/>
        <w:rPr>
          <w:sz w:val="20"/>
          <w:szCs w:val="20"/>
          <w:lang w:val="es-CO"/>
        </w:rPr>
      </w:pPr>
    </w:p>
    <w:p w14:paraId="23796F52" w14:textId="0C8C4F1D" w:rsidR="005B081B" w:rsidRPr="00CF5080" w:rsidRDefault="005B081B" w:rsidP="00CF5080">
      <w:pPr>
        <w:pStyle w:val="IAPrrafo"/>
        <w:rPr>
          <w:b/>
          <w:szCs w:val="20"/>
          <w:lang w:val="es-CO"/>
        </w:rPr>
      </w:pPr>
      <w:r w:rsidRPr="00672AC2">
        <w:rPr>
          <w:rFonts w:eastAsia="Cambria" w:cs="Cambria"/>
          <w:bCs/>
          <w:szCs w:val="20"/>
          <w:lang w:val="es-CO"/>
        </w:rPr>
        <w:t xml:space="preserve">La Comisión identifica que no se han reportado medidas específicas que permitan concluir el avance en el cumplimiento de esta recomendación. La información reportada por el Estado en torno a las diversas normas para la implementación del enfoque intercultural </w:t>
      </w:r>
      <w:r w:rsidR="001349CE" w:rsidRPr="00672AC2">
        <w:rPr>
          <w:rFonts w:eastAsia="Cambria" w:cs="Cambria"/>
          <w:bCs/>
          <w:szCs w:val="20"/>
          <w:lang w:val="es-CO"/>
        </w:rPr>
        <w:t xml:space="preserve">es </w:t>
      </w:r>
      <w:r w:rsidRPr="00672AC2">
        <w:rPr>
          <w:rFonts w:eastAsia="Cambria" w:cs="Cambria"/>
          <w:bCs/>
          <w:szCs w:val="20"/>
          <w:lang w:val="es-CO"/>
        </w:rPr>
        <w:t xml:space="preserve">pertinente para el marco en el que se debe aplicar la recomendación, pero no para analizar en sí mismo su cumplimiento, ya que fueron aprobadas con anterioridad a los hechos materia del Informe de País y a la emisión de la presente recomendación. Finalmente, es importante resaltar que para el avance de esta medida es </w:t>
      </w:r>
      <w:r w:rsidR="0063086A" w:rsidRPr="00672AC2">
        <w:rPr>
          <w:rFonts w:eastAsia="Cambria" w:cs="Cambria"/>
          <w:bCs/>
          <w:szCs w:val="20"/>
          <w:lang w:val="es-CO"/>
        </w:rPr>
        <w:t>crucial</w:t>
      </w:r>
      <w:r w:rsidRPr="00672AC2">
        <w:rPr>
          <w:rFonts w:eastAsia="Cambria" w:cs="Cambria"/>
          <w:bCs/>
          <w:szCs w:val="20"/>
          <w:lang w:val="es-CO"/>
        </w:rPr>
        <w:t xml:space="preserve"> contar con mecanismos de reparación diseñad</w:t>
      </w:r>
      <w:r w:rsidR="0063086A" w:rsidRPr="00672AC2">
        <w:rPr>
          <w:rFonts w:eastAsia="Cambria" w:cs="Cambria"/>
          <w:bCs/>
          <w:szCs w:val="20"/>
          <w:lang w:val="es-CO"/>
        </w:rPr>
        <w:t>o</w:t>
      </w:r>
      <w:r w:rsidRPr="00672AC2">
        <w:rPr>
          <w:rFonts w:eastAsia="Cambria" w:cs="Cambria"/>
          <w:bCs/>
          <w:szCs w:val="20"/>
          <w:lang w:val="es-CO"/>
        </w:rPr>
        <w:t>s o implementad</w:t>
      </w:r>
      <w:r w:rsidR="0063086A" w:rsidRPr="00672AC2">
        <w:rPr>
          <w:rFonts w:eastAsia="Cambria" w:cs="Cambria"/>
          <w:bCs/>
          <w:szCs w:val="20"/>
          <w:lang w:val="es-CO"/>
        </w:rPr>
        <w:t>o</w:t>
      </w:r>
      <w:r w:rsidRPr="00672AC2">
        <w:rPr>
          <w:rFonts w:eastAsia="Cambria" w:cs="Cambria"/>
          <w:bCs/>
          <w:szCs w:val="20"/>
          <w:lang w:val="es-CO"/>
        </w:rPr>
        <w:t xml:space="preserve">s. </w:t>
      </w:r>
      <w:r w:rsidRPr="00672AC2">
        <w:rPr>
          <w:szCs w:val="20"/>
          <w:lang w:val="es-CO"/>
        </w:rPr>
        <w:t xml:space="preserve">Considerando lo anterior, la Comisión </w:t>
      </w:r>
      <w:r w:rsidR="0063086A" w:rsidRPr="00672AC2">
        <w:rPr>
          <w:szCs w:val="20"/>
          <w:lang w:val="es-CO"/>
        </w:rPr>
        <w:t xml:space="preserve">advierte </w:t>
      </w:r>
      <w:r w:rsidRPr="00672AC2">
        <w:rPr>
          <w:szCs w:val="20"/>
          <w:lang w:val="es-CO"/>
        </w:rPr>
        <w:t xml:space="preserve">que esta recomendación continúa </w:t>
      </w:r>
      <w:r w:rsidRPr="00672AC2">
        <w:rPr>
          <w:bCs/>
          <w:szCs w:val="20"/>
          <w:lang w:val="es-CO"/>
        </w:rPr>
        <w:t>pendiente de cumplimiento</w:t>
      </w:r>
      <w:r w:rsidRPr="00672AC2">
        <w:rPr>
          <w:szCs w:val="20"/>
          <w:lang w:val="es-CO"/>
        </w:rPr>
        <w:t>.</w:t>
      </w:r>
    </w:p>
    <w:p w14:paraId="04B050CB" w14:textId="66699F6C" w:rsidR="005B081B" w:rsidRPr="00672AC2" w:rsidRDefault="005B081B" w:rsidP="00CF5080">
      <w:pPr>
        <w:ind w:firstLine="720"/>
        <w:jc w:val="both"/>
        <w:rPr>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7B183177" w14:textId="77777777" w:rsidR="005B081B" w:rsidRPr="00672AC2" w:rsidRDefault="005B081B" w:rsidP="005B081B">
      <w:pPr>
        <w:jc w:val="both"/>
        <w:rPr>
          <w:lang w:val="es-US"/>
        </w:rPr>
      </w:pPr>
    </w:p>
    <w:p w14:paraId="6A2EAB7F" w14:textId="4A1FF11B" w:rsidR="005B081B" w:rsidRPr="00672AC2" w:rsidRDefault="005B081B" w:rsidP="00E83710">
      <w:pPr>
        <w:pStyle w:val="IAPrrafo"/>
        <w:rPr>
          <w:rFonts w:eastAsia="Calibri" w:cs="Calibri"/>
          <w:b/>
          <w:bCs/>
          <w:szCs w:val="20"/>
          <w:lang w:val="es-US"/>
        </w:rPr>
      </w:pPr>
      <w:r w:rsidRPr="00672AC2">
        <w:rPr>
          <w:bCs/>
          <w:szCs w:val="20"/>
          <w:lang w:val="es-US"/>
        </w:rPr>
        <w:t>La CIDH solicita al Estado que las medidas de reparación que sean implementadas de manera adecuada y oportuna sean diseñadas</w:t>
      </w:r>
      <w:r w:rsidR="001E5003" w:rsidRPr="00672AC2">
        <w:rPr>
          <w:bCs/>
          <w:szCs w:val="20"/>
          <w:lang w:val="es-US"/>
        </w:rPr>
        <w:t xml:space="preserve"> </w:t>
      </w:r>
      <w:r w:rsidR="00BE411A" w:rsidRPr="00672AC2">
        <w:rPr>
          <w:bCs/>
          <w:szCs w:val="20"/>
          <w:lang w:val="es-US"/>
        </w:rPr>
        <w:t>y adoptadas</w:t>
      </w:r>
      <w:r w:rsidRPr="00672AC2">
        <w:rPr>
          <w:bCs/>
          <w:szCs w:val="20"/>
          <w:lang w:val="es-US"/>
        </w:rPr>
        <w:t xml:space="preserve"> tomando en cuenta los </w:t>
      </w:r>
      <w:r w:rsidRPr="00672AC2">
        <w:rPr>
          <w:szCs w:val="20"/>
          <w:lang w:val="es-CO"/>
        </w:rPr>
        <w:t>enfoques de pertinencia cultural, de género e interseccionalidad en derechos humanos. Para ello, debe haber una consideración de la dimensión de los daños ocasionados a cada persona, tomando en cuenta sus características particulares.</w:t>
      </w:r>
    </w:p>
    <w:p w14:paraId="1B761E5A" w14:textId="77777777" w:rsidR="005B081B" w:rsidRPr="00672AC2" w:rsidRDefault="005B081B" w:rsidP="005B081B">
      <w:pPr>
        <w:shd w:val="clear" w:color="auto" w:fill="FFFFFF" w:themeFill="background1"/>
        <w:jc w:val="both"/>
        <w:rPr>
          <w:rFonts w:eastAsia="Calibri" w:cs="Times New Roman"/>
          <w:sz w:val="18"/>
          <w:szCs w:val="18"/>
          <w:lang w:val="es-419"/>
        </w:rPr>
      </w:pPr>
    </w:p>
    <w:tbl>
      <w:tblPr>
        <w:tblStyle w:val="TableGrid"/>
        <w:tblW w:w="0" w:type="auto"/>
        <w:tblLook w:val="04A0" w:firstRow="1" w:lastRow="0" w:firstColumn="1" w:lastColumn="0" w:noHBand="0" w:noVBand="1"/>
      </w:tblPr>
      <w:tblGrid>
        <w:gridCol w:w="9350"/>
      </w:tblGrid>
      <w:tr w:rsidR="005B081B" w:rsidRPr="00F51AED" w14:paraId="23275FF8" w14:textId="77777777">
        <w:tc>
          <w:tcPr>
            <w:tcW w:w="9350" w:type="dxa"/>
            <w:tcBorders>
              <w:top w:val="nil"/>
              <w:left w:val="nil"/>
              <w:bottom w:val="nil"/>
              <w:right w:val="nil"/>
            </w:tcBorders>
            <w:shd w:val="clear" w:color="auto" w:fill="D0CECE" w:themeFill="background2" w:themeFillShade="E6"/>
          </w:tcPr>
          <w:p w14:paraId="7C8C084D" w14:textId="467178A4" w:rsidR="005B081B" w:rsidRPr="00672AC2" w:rsidRDefault="005B081B" w:rsidP="00CF5080">
            <w:pPr>
              <w:pStyle w:val="IASubttulo2"/>
              <w:numPr>
                <w:ilvl w:val="0"/>
                <w:numId w:val="0"/>
              </w:numPr>
              <w:spacing w:after="0"/>
              <w:ind w:left="176"/>
              <w:jc w:val="both"/>
              <w:rPr>
                <w:b w:val="0"/>
                <w:sz w:val="20"/>
                <w:szCs w:val="20"/>
                <w:lang w:val="es-CO"/>
              </w:rPr>
            </w:pPr>
            <w:bookmarkStart w:id="12" w:name="_Toc195618278"/>
            <w:r w:rsidRPr="00672AC2">
              <w:rPr>
                <w:sz w:val="20"/>
                <w:szCs w:val="20"/>
                <w:lang w:val="es-CO"/>
              </w:rPr>
              <w:t xml:space="preserve">Recomendación </w:t>
            </w:r>
            <w:proofErr w:type="spellStart"/>
            <w:r w:rsidR="00824795" w:rsidRPr="00672AC2">
              <w:rPr>
                <w:sz w:val="20"/>
                <w:szCs w:val="20"/>
                <w:lang w:val="es-CO"/>
              </w:rPr>
              <w:t>Nº</w:t>
            </w:r>
            <w:proofErr w:type="spellEnd"/>
            <w:r w:rsidRPr="00672AC2">
              <w:rPr>
                <w:sz w:val="20"/>
                <w:szCs w:val="20"/>
                <w:lang w:val="es-CO"/>
              </w:rPr>
              <w:t xml:space="preserve"> 13. </w:t>
            </w:r>
            <w:proofErr w:type="gramStart"/>
            <w:r w:rsidRPr="00672AC2">
              <w:rPr>
                <w:b w:val="0"/>
                <w:sz w:val="20"/>
                <w:szCs w:val="20"/>
                <w:lang w:val="es-CO"/>
              </w:rPr>
              <w:t>Asegurar</w:t>
            </w:r>
            <w:proofErr w:type="gramEnd"/>
            <w:r w:rsidRPr="00672AC2">
              <w:rPr>
                <w:b w:val="0"/>
                <w:sz w:val="20"/>
                <w:szCs w:val="20"/>
                <w:lang w:val="es-CO"/>
              </w:rPr>
              <w:t xml:space="preserve"> que las medidas de reparación adopten un enfoque de género que reconozca los impactos diferenciados de las pérdidas de vidas humanas en las mujeres que</w:t>
            </w:r>
            <w:r w:rsidR="000D5EC7" w:rsidRPr="00672AC2">
              <w:rPr>
                <w:b w:val="0"/>
                <w:sz w:val="20"/>
                <w:szCs w:val="20"/>
                <w:lang w:val="es-CO"/>
              </w:rPr>
              <w:t>,</w:t>
            </w:r>
            <w:r w:rsidRPr="00672AC2">
              <w:rPr>
                <w:b w:val="0"/>
                <w:sz w:val="20"/>
                <w:szCs w:val="20"/>
                <w:lang w:val="es-CO"/>
              </w:rPr>
              <w:t xml:space="preserve"> como consecuencia de los hechos</w:t>
            </w:r>
            <w:r w:rsidR="000D5EC7" w:rsidRPr="00672AC2">
              <w:rPr>
                <w:b w:val="0"/>
                <w:sz w:val="20"/>
                <w:szCs w:val="20"/>
                <w:lang w:val="es-CO"/>
              </w:rPr>
              <w:t>,</w:t>
            </w:r>
            <w:r w:rsidRPr="00672AC2">
              <w:rPr>
                <w:b w:val="0"/>
                <w:sz w:val="20"/>
                <w:szCs w:val="20"/>
                <w:lang w:val="es-CO"/>
              </w:rPr>
              <w:t xml:space="preserve"> quedaron a cargo del sustento familiar y la búsqueda de justicia.</w:t>
            </w:r>
            <w:bookmarkEnd w:id="12"/>
          </w:p>
        </w:tc>
      </w:tr>
    </w:tbl>
    <w:p w14:paraId="0D1D5890" w14:textId="77777777" w:rsidR="00ED5E6C" w:rsidRPr="00672AC2" w:rsidRDefault="00ED5E6C" w:rsidP="005B081B">
      <w:pPr>
        <w:shd w:val="clear" w:color="auto" w:fill="FFFFFF" w:themeFill="background1"/>
        <w:suppressAutoHyphens w:val="0"/>
        <w:jc w:val="both"/>
        <w:rPr>
          <w:bCs/>
          <w:sz w:val="20"/>
          <w:szCs w:val="20"/>
          <w:lang w:val="es-419" w:eastAsia="es-US"/>
        </w:rPr>
      </w:pPr>
    </w:p>
    <w:p w14:paraId="72D4E7C6" w14:textId="6B03C232" w:rsidR="005B081B" w:rsidRPr="00672AC2" w:rsidRDefault="005B081B" w:rsidP="00CF5080">
      <w:pPr>
        <w:pBdr>
          <w:top w:val="nil"/>
          <w:left w:val="nil"/>
          <w:bottom w:val="nil"/>
          <w:right w:val="nil"/>
          <w:between w:val="nil"/>
        </w:pBdr>
        <w:suppressAutoHyphens w:val="0"/>
        <w:ind w:firstLine="720"/>
        <w:jc w:val="both"/>
        <w:rPr>
          <w:sz w:val="20"/>
          <w:szCs w:val="20"/>
        </w:rPr>
      </w:pPr>
      <w:r w:rsidRPr="00672AC2">
        <w:rPr>
          <w:rFonts w:eastAsia="Cambria" w:cs="Cambria"/>
          <w:i/>
          <w:iCs/>
          <w:color w:val="000000" w:themeColor="text1"/>
          <w:sz w:val="20"/>
          <w:szCs w:val="20"/>
          <w:lang w:val="es-ES"/>
        </w:rPr>
        <w:t>Información sobre el cumplimiento</w:t>
      </w:r>
    </w:p>
    <w:p w14:paraId="6CCC7D34" w14:textId="77777777" w:rsidR="005B081B" w:rsidRPr="00672AC2" w:rsidRDefault="005B081B" w:rsidP="005B081B">
      <w:pPr>
        <w:shd w:val="clear" w:color="auto" w:fill="FFFFFF" w:themeFill="background1"/>
        <w:suppressAutoHyphens w:val="0"/>
        <w:jc w:val="both"/>
        <w:rPr>
          <w:sz w:val="20"/>
          <w:szCs w:val="20"/>
          <w:lang w:val="es-419" w:eastAsia="es-US"/>
        </w:rPr>
      </w:pPr>
    </w:p>
    <w:p w14:paraId="2F411259" w14:textId="2CD5959F" w:rsidR="005B081B" w:rsidRPr="00B42794" w:rsidRDefault="04C947FA" w:rsidP="00E83710">
      <w:pPr>
        <w:pStyle w:val="IAPrrafo"/>
        <w:rPr>
          <w:rFonts w:cs="AppleSystemUIFont"/>
          <w:b/>
          <w:bCs/>
          <w:szCs w:val="20"/>
          <w:lang w:val="es-ES"/>
        </w:rPr>
      </w:pPr>
      <w:r w:rsidRPr="00B42794">
        <w:rPr>
          <w:rFonts w:eastAsia="Calibri" w:cs="Times New Roman"/>
          <w:bCs/>
          <w:szCs w:val="20"/>
        </w:rPr>
        <w:t xml:space="preserve">Para el año 2024, el Estado informó a la CIDH </w:t>
      </w:r>
      <w:r w:rsidRPr="00B42794">
        <w:rPr>
          <w:rFonts w:cs="AppleSystemUIFont"/>
          <w:bCs/>
          <w:szCs w:val="20"/>
          <w:lang w:val="es-ES"/>
        </w:rPr>
        <w:t xml:space="preserve">que el Equipo de Trabajo de Asistencia Económica del Ministerio de la Mujer y Poblaciones Vulnerables registró 53 personas fallecidas en el contexto de las movilizaciones realizadas a nivel nacional: seis en Apurímac; cuatro en Arequipa; 10 en Ayacucho; tres en Cusco; tres en Junín; tres en La Libertad; dos en Lima y 22 en Puno. De estos casos, se identificaron a 33 niños, niñas y adolescentes (NNA) en situación de orfandad producto del fallecimiento de su madre, padre, ambos, o tutor legal en el contexto de las movilizaciones iniciadas en diciembre del 2022, con el objetivo de que puedan contar con la información para presentar solicitudes de asistencia económica en cumplimiento de la </w:t>
      </w:r>
      <w:r w:rsidR="00E433DF" w:rsidRPr="00B42794">
        <w:rPr>
          <w:rFonts w:cs="AppleSystemUIFont"/>
          <w:bCs/>
          <w:szCs w:val="20"/>
          <w:lang w:val="es-ES"/>
        </w:rPr>
        <w:t>l</w:t>
      </w:r>
      <w:r w:rsidRPr="00B42794">
        <w:rPr>
          <w:rFonts w:cs="AppleSystemUIFont"/>
          <w:bCs/>
          <w:szCs w:val="20"/>
          <w:lang w:val="es-ES"/>
        </w:rPr>
        <w:t>ey que promueve la protección y desarrollo integral de las niñas, niños y adolescentes</w:t>
      </w:r>
      <w:r w:rsidR="00F36B41">
        <w:rPr>
          <w:rFonts w:ascii="ZWAdobeF" w:hAnsi="ZWAdobeF" w:cs="ZWAdobeF"/>
          <w:bCs/>
          <w:color w:val="auto"/>
          <w:sz w:val="2"/>
          <w:szCs w:val="2"/>
          <w:lang w:val="es-ES"/>
        </w:rPr>
        <w:t>89F</w:t>
      </w:r>
      <w:r w:rsidR="005B081B" w:rsidRPr="00B42794">
        <w:rPr>
          <w:rStyle w:val="FootnoteReference"/>
          <w:rFonts w:cs="AppleSystemUIFont"/>
          <w:bCs/>
          <w:szCs w:val="20"/>
          <w:lang w:val="es-ES"/>
        </w:rPr>
        <w:footnoteReference w:id="91"/>
      </w:r>
      <w:r w:rsidRPr="00B42794">
        <w:rPr>
          <w:rFonts w:cs="AppleSystemUIFont"/>
          <w:bCs/>
          <w:szCs w:val="20"/>
          <w:lang w:val="es-ES"/>
        </w:rPr>
        <w:t>. El Estado señaló que</w:t>
      </w:r>
      <w:r w:rsidR="00720AFE" w:rsidRPr="00B42794">
        <w:rPr>
          <w:rFonts w:cs="AppleSystemUIFont"/>
          <w:bCs/>
          <w:szCs w:val="20"/>
          <w:lang w:val="es-ES"/>
        </w:rPr>
        <w:t>, al momento,</w:t>
      </w:r>
      <w:r w:rsidR="001E5003" w:rsidRPr="00B42794">
        <w:rPr>
          <w:rFonts w:cs="AppleSystemUIFont"/>
          <w:bCs/>
          <w:szCs w:val="20"/>
          <w:lang w:val="es-ES"/>
        </w:rPr>
        <w:t xml:space="preserve"> </w:t>
      </w:r>
      <w:r w:rsidRPr="00B42794">
        <w:rPr>
          <w:rFonts w:cs="AppleSystemUIFont"/>
          <w:bCs/>
          <w:szCs w:val="20"/>
          <w:lang w:val="es-ES"/>
        </w:rPr>
        <w:t>han aceptado las solicitudes de 19 de los 33 NNA para ser beneficiarios de la asistencia económica</w:t>
      </w:r>
      <w:r w:rsidR="003A0EE0" w:rsidRPr="00B42794">
        <w:rPr>
          <w:rFonts w:cs="AppleSystemUIFont"/>
          <w:bCs/>
          <w:szCs w:val="20"/>
          <w:lang w:val="es-ES"/>
        </w:rPr>
        <w:t xml:space="preserve">, por razones administrativas, tales como: haber alcanzado la mayoría de edad, recibir una pensión por orfandad de otra institución, errores en la solicitud o la falta de clasificación socioeconómica. El Estado </w:t>
      </w:r>
      <w:r w:rsidR="00D97A56" w:rsidRPr="00B42794">
        <w:rPr>
          <w:rFonts w:cs="AppleSystemUIFont"/>
          <w:bCs/>
          <w:szCs w:val="20"/>
          <w:lang w:val="es-ES"/>
        </w:rPr>
        <w:t>remarcó</w:t>
      </w:r>
      <w:r w:rsidR="003A0EE0" w:rsidRPr="00B42794">
        <w:rPr>
          <w:rFonts w:cs="AppleSystemUIFont"/>
          <w:bCs/>
          <w:szCs w:val="20"/>
          <w:lang w:val="es-ES"/>
        </w:rPr>
        <w:t xml:space="preserve"> que se viene dando la información para que las familias puedan subsanar las observaciones.</w:t>
      </w:r>
    </w:p>
    <w:p w14:paraId="659CE3BF" w14:textId="27CB03AC" w:rsidR="005B081B" w:rsidRPr="00672AC2" w:rsidRDefault="04C947FA" w:rsidP="00E83710">
      <w:pPr>
        <w:pStyle w:val="IAPrrafo"/>
        <w:rPr>
          <w:b/>
          <w:bCs/>
          <w:szCs w:val="20"/>
        </w:rPr>
      </w:pPr>
      <w:r w:rsidRPr="00672AC2">
        <w:rPr>
          <w:rFonts w:cs="AppleSystemUIFont"/>
          <w:bCs/>
          <w:szCs w:val="20"/>
          <w:lang w:val="es-ES"/>
        </w:rPr>
        <w:t>De acuerdo con la información proporcionada por el Estado, las 19 personas beneficiarias de la asistencia económica y sus familias</w:t>
      </w:r>
      <w:r w:rsidR="00EB358A" w:rsidRPr="00672AC2">
        <w:rPr>
          <w:rFonts w:cs="AppleSystemUIFont"/>
          <w:bCs/>
          <w:szCs w:val="20"/>
          <w:lang w:val="es-ES"/>
        </w:rPr>
        <w:t>,</w:t>
      </w:r>
      <w:r w:rsidRPr="00672AC2">
        <w:rPr>
          <w:rFonts w:cs="AppleSystemUIFont"/>
          <w:bCs/>
          <w:szCs w:val="20"/>
          <w:lang w:val="es-ES"/>
        </w:rPr>
        <w:t xml:space="preserve"> </w:t>
      </w:r>
      <w:r w:rsidR="00625A68" w:rsidRPr="00672AC2">
        <w:rPr>
          <w:rFonts w:cs="AppleSystemUIFont"/>
          <w:bCs/>
          <w:szCs w:val="20"/>
          <w:lang w:val="es-ES"/>
        </w:rPr>
        <w:t>recogidas</w:t>
      </w:r>
      <w:r w:rsidRPr="00672AC2">
        <w:rPr>
          <w:rFonts w:cs="AppleSystemUIFont"/>
          <w:bCs/>
          <w:szCs w:val="20"/>
          <w:lang w:val="es-ES"/>
        </w:rPr>
        <w:t xml:space="preserve"> en el párrafo anterior</w:t>
      </w:r>
      <w:r w:rsidR="00EB358A" w:rsidRPr="00672AC2">
        <w:rPr>
          <w:rFonts w:cs="AppleSystemUIFont"/>
          <w:bCs/>
          <w:szCs w:val="20"/>
          <w:lang w:val="es-ES"/>
        </w:rPr>
        <w:t>,</w:t>
      </w:r>
      <w:r w:rsidRPr="00672AC2">
        <w:rPr>
          <w:rFonts w:cs="AppleSystemUIFont"/>
          <w:bCs/>
          <w:szCs w:val="20"/>
          <w:lang w:val="es-ES"/>
        </w:rPr>
        <w:t xml:space="preserve"> cuentan con el acompañamiento profesional priorizado, el cual consiste en contribuir a garantizar el acceso a la salud, continuidad educativa, a los servicios de protección y al desarrollo del proyecto de vida del NNA. Para ello, según el Estado, se </w:t>
      </w:r>
      <w:r w:rsidR="00625A68" w:rsidRPr="00672AC2">
        <w:rPr>
          <w:rFonts w:cs="AppleSystemUIFont"/>
          <w:bCs/>
          <w:szCs w:val="20"/>
          <w:lang w:val="es-ES"/>
        </w:rPr>
        <w:t>realiza</w:t>
      </w:r>
      <w:r w:rsidRPr="00672AC2">
        <w:rPr>
          <w:rFonts w:cs="AppleSystemUIFont"/>
          <w:bCs/>
          <w:szCs w:val="20"/>
          <w:lang w:val="es-ES"/>
        </w:rPr>
        <w:t xml:space="preserve"> la identificación de actores, aplicación de instrumentos para el diagnóstico, la medición de la vulnerabilidad, la aplicación de los planes de bienestar familiar y la gestión para el acceso a los servicios</w:t>
      </w:r>
      <w:r w:rsidRPr="00672AC2">
        <w:rPr>
          <w:rFonts w:eastAsia="Calibri" w:cs="Times New Roman"/>
          <w:bCs/>
          <w:szCs w:val="20"/>
        </w:rPr>
        <w:t xml:space="preserve">. Además, se reportó que el seguimiento de las medidas otorgadas se </w:t>
      </w:r>
      <w:r w:rsidR="00857424" w:rsidRPr="00672AC2">
        <w:rPr>
          <w:rFonts w:eastAsia="Calibri" w:cs="Times New Roman"/>
          <w:bCs/>
          <w:szCs w:val="20"/>
        </w:rPr>
        <w:t xml:space="preserve">lleva a cabo </w:t>
      </w:r>
      <w:r w:rsidRPr="00672AC2">
        <w:rPr>
          <w:rFonts w:eastAsia="Calibri" w:cs="Times New Roman"/>
          <w:bCs/>
          <w:szCs w:val="20"/>
        </w:rPr>
        <w:t>a través de las visitas presenciales y no presenciales a cargo de un profesional capacitado para brindar el acompañamiento.</w:t>
      </w:r>
    </w:p>
    <w:p w14:paraId="1B8B1F9B" w14:textId="06DDBEA7" w:rsidR="005B081B" w:rsidRPr="00672AC2" w:rsidRDefault="04C947FA" w:rsidP="00E83710">
      <w:pPr>
        <w:pStyle w:val="IAPrrafo"/>
        <w:rPr>
          <w:b/>
          <w:bCs/>
          <w:szCs w:val="20"/>
        </w:rPr>
      </w:pPr>
      <w:r w:rsidRPr="00672AC2">
        <w:rPr>
          <w:bCs/>
          <w:szCs w:val="20"/>
          <w:lang w:val="es-US"/>
        </w:rPr>
        <w:t xml:space="preserve">Por su parte, sociedad civil </w:t>
      </w:r>
      <w:r w:rsidR="00902879" w:rsidRPr="00672AC2">
        <w:rPr>
          <w:bCs/>
          <w:szCs w:val="20"/>
          <w:lang w:val="es-US"/>
        </w:rPr>
        <w:t xml:space="preserve">transmitió </w:t>
      </w:r>
      <w:r w:rsidRPr="00672AC2">
        <w:rPr>
          <w:bCs/>
          <w:szCs w:val="20"/>
          <w:lang w:val="es-US"/>
        </w:rPr>
        <w:t>a la CIDH que no conoce medidas de reparación proporcionadas por el Estado que respondan a las necesidades específicas de mujeres y NNA.</w:t>
      </w:r>
    </w:p>
    <w:p w14:paraId="4348343B" w14:textId="77777777" w:rsidR="005B081B" w:rsidRPr="00672AC2" w:rsidRDefault="005B081B" w:rsidP="00576778">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44089ABE" w14:textId="77777777" w:rsidR="005B081B" w:rsidRPr="00672AC2" w:rsidRDefault="005B081B" w:rsidP="005B081B">
      <w:pPr>
        <w:jc w:val="both"/>
        <w:rPr>
          <w:lang w:val="es-CO"/>
        </w:rPr>
      </w:pPr>
    </w:p>
    <w:p w14:paraId="79C949AB" w14:textId="626338D5" w:rsidR="00747B7C" w:rsidRPr="00DF01DC" w:rsidRDefault="005B081B" w:rsidP="00DF01DC">
      <w:pPr>
        <w:pStyle w:val="IAPrrafo"/>
        <w:rPr>
          <w:b/>
          <w:bCs/>
          <w:szCs w:val="20"/>
          <w:lang w:val="es-US"/>
        </w:rPr>
      </w:pPr>
      <w:r w:rsidRPr="00672AC2">
        <w:rPr>
          <w:rFonts w:eastAsia="Calibri" w:cs="Times New Roman"/>
          <w:szCs w:val="20"/>
          <w:lang w:val="es-CO"/>
        </w:rPr>
        <w:t xml:space="preserve">La Comisión agradece la información presentada por el Estado y toma nota de los avances para la cobertura de los </w:t>
      </w:r>
      <w:r w:rsidR="00747B7C" w:rsidRPr="00672AC2">
        <w:rPr>
          <w:rFonts w:eastAsia="Calibri" w:cs="Times New Roman"/>
          <w:szCs w:val="20"/>
          <w:lang w:val="es-CO"/>
        </w:rPr>
        <w:t>19</w:t>
      </w:r>
      <w:r w:rsidRPr="00672AC2">
        <w:rPr>
          <w:rFonts w:eastAsia="Calibri" w:cs="Times New Roman"/>
          <w:szCs w:val="20"/>
          <w:lang w:val="es-CO"/>
        </w:rPr>
        <w:t xml:space="preserve"> NNA que quedaron en situación de orfandad a raíz de los hechos relacionados a las protestas desarrolladas entre diciembre del 2022 y marzo del 2023. En ese sentido, la CIDH saluda la adopción de medidas de protección y asistencia económica por la situación particular en la que se encuentran estas personas.</w:t>
      </w:r>
      <w:r w:rsidR="00747B7C" w:rsidRPr="00672AC2">
        <w:rPr>
          <w:rFonts w:eastAsia="Calibri" w:cs="Times New Roman"/>
          <w:szCs w:val="20"/>
          <w:lang w:val="es-CO"/>
        </w:rPr>
        <w:t xml:space="preserve"> </w:t>
      </w:r>
    </w:p>
    <w:p w14:paraId="4614A0DA" w14:textId="5B8D379F" w:rsidR="005B081B" w:rsidRPr="00DF01DC" w:rsidRDefault="005B081B" w:rsidP="00DF01DC">
      <w:pPr>
        <w:pStyle w:val="IAPrrafo"/>
        <w:rPr>
          <w:b/>
          <w:bCs/>
          <w:color w:val="auto"/>
          <w:szCs w:val="20"/>
          <w:lang w:val="es-US"/>
        </w:rPr>
      </w:pPr>
      <w:r w:rsidRPr="00DF01DC">
        <w:rPr>
          <w:rFonts w:eastAsia="Calibri" w:cs="Times New Roman"/>
          <w:color w:val="auto"/>
          <w:szCs w:val="20"/>
          <w:lang w:val="es-CO"/>
        </w:rPr>
        <w:t xml:space="preserve">Sin embargo, </w:t>
      </w:r>
      <w:r w:rsidR="00747B7C" w:rsidRPr="00DF01DC">
        <w:rPr>
          <w:rFonts w:eastAsia="Calibri" w:cs="Times New Roman"/>
          <w:color w:val="auto"/>
          <w:szCs w:val="20"/>
          <w:lang w:val="es-CO"/>
        </w:rPr>
        <w:t xml:space="preserve">la CIDH resalta la obligación del Estado de adoptar medidas urgentes para que se realice una cobertura que alcance al total de los y las NNA afectadas, </w:t>
      </w:r>
      <w:r w:rsidR="003A0EE0" w:rsidRPr="00DF01DC">
        <w:rPr>
          <w:rFonts w:eastAsia="Calibri" w:cs="Times New Roman"/>
          <w:color w:val="auto"/>
          <w:szCs w:val="20"/>
          <w:lang w:val="es-CO"/>
        </w:rPr>
        <w:t>considerando las barreras económicas, sociales, culturales o de otra índole que restrinjan su acceso</w:t>
      </w:r>
      <w:r w:rsidRPr="00DF01DC">
        <w:rPr>
          <w:rFonts w:eastAsia="Calibri" w:cs="Times New Roman"/>
          <w:color w:val="auto"/>
          <w:szCs w:val="20"/>
          <w:lang w:val="es-CO"/>
        </w:rPr>
        <w:t xml:space="preserve">. </w:t>
      </w:r>
      <w:r w:rsidR="00747B7C" w:rsidRPr="00DF01DC">
        <w:rPr>
          <w:rFonts w:eastAsia="Calibri" w:cs="Times New Roman"/>
          <w:color w:val="auto"/>
          <w:szCs w:val="20"/>
          <w:lang w:val="es-CO"/>
        </w:rPr>
        <w:t>Esto implica no esperar la presentación de solicitudes</w:t>
      </w:r>
      <w:r w:rsidR="00274271" w:rsidRPr="00DF01DC">
        <w:rPr>
          <w:rFonts w:eastAsia="Calibri" w:cs="Times New Roman"/>
          <w:color w:val="auto"/>
          <w:szCs w:val="20"/>
          <w:lang w:val="es-CO"/>
        </w:rPr>
        <w:t xml:space="preserve"> específicas</w:t>
      </w:r>
      <w:r w:rsidR="004845CA" w:rsidRPr="00DF01DC">
        <w:rPr>
          <w:rFonts w:eastAsia="Calibri" w:cs="Times New Roman"/>
          <w:color w:val="auto"/>
          <w:szCs w:val="20"/>
          <w:lang w:val="es-CO"/>
        </w:rPr>
        <w:t xml:space="preserve">, </w:t>
      </w:r>
      <w:r w:rsidR="00274271" w:rsidRPr="00DF01DC">
        <w:rPr>
          <w:rFonts w:eastAsia="Calibri" w:cs="Times New Roman"/>
          <w:color w:val="auto"/>
          <w:szCs w:val="20"/>
          <w:lang w:val="es-CO"/>
        </w:rPr>
        <w:t>pues se trata de un</w:t>
      </w:r>
      <w:r w:rsidR="00747B7C" w:rsidRPr="00DF01DC">
        <w:rPr>
          <w:rFonts w:eastAsia="Calibri" w:cs="Times New Roman"/>
          <w:color w:val="auto"/>
          <w:szCs w:val="20"/>
          <w:lang w:val="es-CO"/>
        </w:rPr>
        <w:t xml:space="preserve"> grupo en situación de vulnerabilidad como los NNA en situación de orfandad. </w:t>
      </w:r>
      <w:r w:rsidRPr="00DF01DC">
        <w:rPr>
          <w:rFonts w:eastAsia="Calibri" w:cs="Times New Roman"/>
          <w:color w:val="auto"/>
          <w:szCs w:val="20"/>
          <w:lang w:val="es-CO"/>
        </w:rPr>
        <w:t xml:space="preserve">Asimismo, </w:t>
      </w:r>
      <w:r w:rsidR="00747B7C" w:rsidRPr="00DF01DC">
        <w:rPr>
          <w:rFonts w:eastAsia="Calibri" w:cs="Times New Roman"/>
          <w:color w:val="auto"/>
          <w:szCs w:val="20"/>
          <w:lang w:val="es-CO"/>
        </w:rPr>
        <w:t xml:space="preserve">la CIDH </w:t>
      </w:r>
      <w:r w:rsidR="00CC5D18" w:rsidRPr="00DF01DC">
        <w:rPr>
          <w:rFonts w:eastAsia="Calibri" w:cs="Times New Roman"/>
          <w:color w:val="auto"/>
          <w:szCs w:val="20"/>
          <w:lang w:val="es-CO"/>
        </w:rPr>
        <w:t xml:space="preserve">destaca </w:t>
      </w:r>
      <w:r w:rsidRPr="00DF01DC">
        <w:rPr>
          <w:rFonts w:eastAsia="Calibri" w:cs="Times New Roman"/>
          <w:color w:val="auto"/>
          <w:szCs w:val="20"/>
          <w:lang w:val="es-CO"/>
        </w:rPr>
        <w:t xml:space="preserve">que se </w:t>
      </w:r>
      <w:r w:rsidR="00747B7C" w:rsidRPr="00DF01DC">
        <w:rPr>
          <w:rFonts w:eastAsia="Calibri" w:cs="Times New Roman"/>
          <w:color w:val="auto"/>
          <w:szCs w:val="20"/>
          <w:lang w:val="es-CO"/>
        </w:rPr>
        <w:t xml:space="preserve">deben </w:t>
      </w:r>
      <w:r w:rsidRPr="00DF01DC">
        <w:rPr>
          <w:rFonts w:eastAsia="Calibri" w:cs="Times New Roman"/>
          <w:color w:val="auto"/>
          <w:szCs w:val="20"/>
          <w:lang w:val="es-CO"/>
        </w:rPr>
        <w:t>adopt</w:t>
      </w:r>
      <w:r w:rsidR="00747B7C" w:rsidRPr="00DF01DC">
        <w:rPr>
          <w:rFonts w:eastAsia="Calibri" w:cs="Times New Roman"/>
          <w:color w:val="auto"/>
          <w:szCs w:val="20"/>
          <w:lang w:val="es-CO"/>
        </w:rPr>
        <w:t>ar</w:t>
      </w:r>
      <w:r w:rsidRPr="00DF01DC">
        <w:rPr>
          <w:rFonts w:eastAsia="Calibri" w:cs="Times New Roman"/>
          <w:color w:val="auto"/>
          <w:szCs w:val="20"/>
          <w:lang w:val="es-CO"/>
        </w:rPr>
        <w:t xml:space="preserve"> medidas de reparación integral</w:t>
      </w:r>
      <w:r w:rsidR="00747B7C" w:rsidRPr="00DF01DC">
        <w:rPr>
          <w:rFonts w:eastAsia="Calibri" w:cs="Times New Roman"/>
          <w:color w:val="auto"/>
          <w:szCs w:val="20"/>
          <w:lang w:val="es-CO"/>
        </w:rPr>
        <w:t>, que no solo consist</w:t>
      </w:r>
      <w:r w:rsidR="0073717F" w:rsidRPr="00DF01DC">
        <w:rPr>
          <w:rFonts w:eastAsia="Calibri" w:cs="Times New Roman"/>
          <w:color w:val="auto"/>
          <w:szCs w:val="20"/>
          <w:lang w:val="es-CO"/>
        </w:rPr>
        <w:t>an</w:t>
      </w:r>
      <w:r w:rsidR="00747B7C" w:rsidRPr="00DF01DC">
        <w:rPr>
          <w:rFonts w:eastAsia="Calibri" w:cs="Times New Roman"/>
          <w:color w:val="auto"/>
          <w:szCs w:val="20"/>
          <w:lang w:val="es-CO"/>
        </w:rPr>
        <w:t xml:space="preserve"> en la asistencia económica esencial</w:t>
      </w:r>
      <w:r w:rsidRPr="00DF01DC">
        <w:rPr>
          <w:rFonts w:eastAsia="Calibri" w:cs="Times New Roman"/>
          <w:color w:val="auto"/>
          <w:szCs w:val="20"/>
          <w:lang w:val="es-CO"/>
        </w:rPr>
        <w:t xml:space="preserve">. </w:t>
      </w:r>
      <w:r w:rsidR="00422F40" w:rsidRPr="00DF01DC">
        <w:rPr>
          <w:rFonts w:eastAsia="Calibri" w:cs="Times New Roman"/>
          <w:color w:val="auto"/>
          <w:szCs w:val="20"/>
          <w:lang w:val="es-CO"/>
        </w:rPr>
        <w:t xml:space="preserve">Por ello, </w:t>
      </w:r>
      <w:r w:rsidR="003A2075" w:rsidRPr="00DF01DC">
        <w:rPr>
          <w:rFonts w:eastAsia="Calibri" w:cs="Times New Roman"/>
          <w:color w:val="auto"/>
          <w:szCs w:val="20"/>
          <w:lang w:val="es-CO"/>
        </w:rPr>
        <w:t>pondera</w:t>
      </w:r>
      <w:r w:rsidR="00DD4FEE" w:rsidRPr="00DF01DC">
        <w:rPr>
          <w:rFonts w:eastAsia="Calibri" w:cs="Times New Roman"/>
          <w:color w:val="auto"/>
          <w:szCs w:val="20"/>
          <w:lang w:val="es-CO"/>
        </w:rPr>
        <w:t>n</w:t>
      </w:r>
      <w:r w:rsidR="003A2075" w:rsidRPr="00DF01DC">
        <w:rPr>
          <w:rFonts w:eastAsia="Calibri" w:cs="Times New Roman"/>
          <w:color w:val="auto"/>
          <w:szCs w:val="20"/>
          <w:lang w:val="es-CO"/>
        </w:rPr>
        <w:t>do</w:t>
      </w:r>
      <w:r w:rsidR="00422F40" w:rsidRPr="00DF01DC">
        <w:rPr>
          <w:rFonts w:eastAsia="Calibri" w:cs="Times New Roman"/>
          <w:color w:val="auto"/>
          <w:szCs w:val="20"/>
          <w:lang w:val="es-CO"/>
        </w:rPr>
        <w:t xml:space="preserve"> que son mecanismos de reparación implementados a un grupo particular de alta vulnerabilidad social, </w:t>
      </w:r>
      <w:r w:rsidRPr="00DF01DC">
        <w:rPr>
          <w:rFonts w:eastAsia="Calibri" w:cs="Times New Roman"/>
          <w:color w:val="auto"/>
          <w:szCs w:val="20"/>
          <w:lang w:val="es-CO"/>
        </w:rPr>
        <w:t xml:space="preserve">la Comisión </w:t>
      </w:r>
      <w:r w:rsidR="003A2075" w:rsidRPr="00DF01DC">
        <w:rPr>
          <w:rFonts w:eastAsia="Calibri" w:cs="Times New Roman"/>
          <w:color w:val="auto"/>
          <w:szCs w:val="20"/>
          <w:lang w:val="es-CO"/>
        </w:rPr>
        <w:t xml:space="preserve">advierte </w:t>
      </w:r>
      <w:r w:rsidRPr="00DF01DC">
        <w:rPr>
          <w:rFonts w:eastAsia="Calibri" w:cs="Times New Roman"/>
          <w:color w:val="auto"/>
          <w:szCs w:val="20"/>
          <w:lang w:val="es-CO"/>
        </w:rPr>
        <w:t xml:space="preserve">que esta recomendación se encuentra </w:t>
      </w:r>
      <w:r w:rsidR="00B93946" w:rsidRPr="00DF01DC">
        <w:rPr>
          <w:rFonts w:eastAsia="Calibri" w:cs="Times New Roman"/>
          <w:color w:val="auto"/>
          <w:szCs w:val="20"/>
          <w:lang w:val="es-CO"/>
        </w:rPr>
        <w:t>como</w:t>
      </w:r>
      <w:r w:rsidR="00B93946" w:rsidRPr="00DF01DC">
        <w:rPr>
          <w:color w:val="auto"/>
          <w:lang w:val="es-CO"/>
        </w:rPr>
        <w:t xml:space="preserve"> </w:t>
      </w:r>
      <w:r w:rsidR="00B93946" w:rsidRPr="00826ED8">
        <w:rPr>
          <w:rFonts w:eastAsia="Calibri" w:cs="Times New Roman"/>
          <w:b/>
          <w:color w:val="auto"/>
          <w:szCs w:val="20"/>
          <w:lang w:val="es-CO"/>
        </w:rPr>
        <w:t xml:space="preserve">cumplimiento </w:t>
      </w:r>
      <w:r w:rsidR="00EC53B5" w:rsidRPr="00826ED8">
        <w:rPr>
          <w:rFonts w:eastAsia="Calibri" w:cs="Times New Roman"/>
          <w:b/>
          <w:color w:val="auto"/>
          <w:szCs w:val="20"/>
          <w:lang w:val="es-CO"/>
        </w:rPr>
        <w:t>parcial</w:t>
      </w:r>
      <w:r w:rsidRPr="00DF01DC">
        <w:rPr>
          <w:rFonts w:eastAsia="Calibri" w:cs="Times New Roman"/>
          <w:bCs/>
          <w:color w:val="auto"/>
          <w:szCs w:val="20"/>
          <w:lang w:val="es-CO"/>
        </w:rPr>
        <w:t>.</w:t>
      </w:r>
    </w:p>
    <w:p w14:paraId="206BB4C6" w14:textId="1CEA3DEA" w:rsidR="005B081B" w:rsidRPr="00672AC2" w:rsidRDefault="005B081B" w:rsidP="00DF01DC">
      <w:pPr>
        <w:ind w:firstLine="720"/>
        <w:jc w:val="both"/>
        <w:rPr>
          <w:lang w:val="es-US"/>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5F02C0C8" w14:textId="77777777" w:rsidR="005B081B" w:rsidRPr="00672AC2" w:rsidRDefault="005B081B" w:rsidP="005B081B">
      <w:pPr>
        <w:ind w:firstLine="360"/>
        <w:jc w:val="both"/>
        <w:rPr>
          <w:lang w:val="es-CO"/>
        </w:rPr>
      </w:pPr>
    </w:p>
    <w:p w14:paraId="383B475C" w14:textId="16DBF859" w:rsidR="005B081B" w:rsidRPr="004C0632" w:rsidRDefault="005B081B" w:rsidP="004C0632">
      <w:pPr>
        <w:pStyle w:val="IAPrrafo"/>
        <w:rPr>
          <w:rFonts w:eastAsia="Calibri" w:cs="Times New Roman"/>
          <w:b/>
          <w:bCs/>
          <w:sz w:val="18"/>
          <w:szCs w:val="18"/>
        </w:rPr>
      </w:pPr>
      <w:r w:rsidRPr="00672AC2">
        <w:rPr>
          <w:bCs/>
          <w:szCs w:val="20"/>
          <w:lang w:val="es-US"/>
        </w:rPr>
        <w:t xml:space="preserve">Para avanzar en el cumplimiento de esta recomendación es importante </w:t>
      </w:r>
      <w:r w:rsidR="00747B7C" w:rsidRPr="00672AC2">
        <w:rPr>
          <w:bCs/>
          <w:szCs w:val="20"/>
          <w:lang w:val="es-US"/>
        </w:rPr>
        <w:t xml:space="preserve">reportar el </w:t>
      </w:r>
      <w:r w:rsidRPr="00672AC2">
        <w:rPr>
          <w:bCs/>
          <w:szCs w:val="20"/>
          <w:lang w:val="es-US"/>
        </w:rPr>
        <w:t>diseñ</w:t>
      </w:r>
      <w:r w:rsidR="00747B7C" w:rsidRPr="00672AC2">
        <w:rPr>
          <w:bCs/>
          <w:szCs w:val="20"/>
          <w:lang w:val="es-US"/>
        </w:rPr>
        <w:t>o</w:t>
      </w:r>
      <w:r w:rsidRPr="00672AC2">
        <w:rPr>
          <w:bCs/>
          <w:szCs w:val="20"/>
          <w:lang w:val="es-US"/>
        </w:rPr>
        <w:t xml:space="preserve"> e implementa</w:t>
      </w:r>
      <w:r w:rsidR="00747B7C" w:rsidRPr="00672AC2">
        <w:rPr>
          <w:bCs/>
          <w:szCs w:val="20"/>
          <w:lang w:val="es-US"/>
        </w:rPr>
        <w:t>ción de</w:t>
      </w:r>
      <w:r w:rsidRPr="00672AC2">
        <w:rPr>
          <w:bCs/>
          <w:szCs w:val="20"/>
          <w:lang w:val="es-US"/>
        </w:rPr>
        <w:t xml:space="preserve"> las medidas de reparación integral que se van a otorgar para responder a la situación en particular de las personas afectadas. Asimismo, </w:t>
      </w:r>
      <w:r w:rsidR="00773AF1" w:rsidRPr="00672AC2">
        <w:rPr>
          <w:bCs/>
          <w:szCs w:val="20"/>
          <w:lang w:val="es-US"/>
        </w:rPr>
        <w:t xml:space="preserve">el Estado debe precisar </w:t>
      </w:r>
      <w:r w:rsidR="00747B7C" w:rsidRPr="00672AC2">
        <w:rPr>
          <w:bCs/>
          <w:szCs w:val="20"/>
          <w:lang w:val="es-US"/>
        </w:rPr>
        <w:t xml:space="preserve">cómo </w:t>
      </w:r>
      <w:r w:rsidRPr="00672AC2">
        <w:rPr>
          <w:bCs/>
          <w:szCs w:val="20"/>
          <w:lang w:val="es-US"/>
        </w:rPr>
        <w:t>dichas medidas han sido adaptadas a las necesidades de las mujeres que</w:t>
      </w:r>
      <w:r w:rsidRPr="00672AC2">
        <w:rPr>
          <w:szCs w:val="20"/>
          <w:lang w:val="es-CO"/>
        </w:rPr>
        <w:t>, como consecuencia de los hechos, quedaron a cargo del sustento familiar y la búsqueda de justicia.</w:t>
      </w:r>
      <w:r w:rsidR="00747B7C" w:rsidRPr="00672AC2">
        <w:rPr>
          <w:szCs w:val="20"/>
          <w:lang w:val="es-CO"/>
        </w:rPr>
        <w:t xml:space="preserve"> Finalmente, la CIDH espera recoger información sobre el avance en la cobertura de los NNA que han sido identificados en situación de orfandad a causa de los hechos ocurridos en las protestas del 2022 y 2023.</w:t>
      </w:r>
    </w:p>
    <w:p w14:paraId="6D50C2F1" w14:textId="77777777" w:rsidR="00ED5E6C" w:rsidRPr="00672AC2" w:rsidRDefault="00ED5E6C" w:rsidP="005B081B">
      <w:pPr>
        <w:pStyle w:val="IASubttulo2"/>
        <w:numPr>
          <w:ilvl w:val="0"/>
          <w:numId w:val="0"/>
        </w:numPr>
        <w:spacing w:after="0"/>
        <w:jc w:val="both"/>
        <w:rPr>
          <w:rFonts w:eastAsia="Calibri" w:cs="Times New Roman"/>
          <w:b w:val="0"/>
          <w:bCs/>
          <w:sz w:val="18"/>
          <w:szCs w:val="18"/>
          <w:lang w:val="es-419"/>
        </w:rPr>
      </w:pPr>
    </w:p>
    <w:tbl>
      <w:tblPr>
        <w:tblStyle w:val="TableGrid"/>
        <w:tblW w:w="0" w:type="auto"/>
        <w:tblLook w:val="04A0" w:firstRow="1" w:lastRow="0" w:firstColumn="1" w:lastColumn="0" w:noHBand="0" w:noVBand="1"/>
      </w:tblPr>
      <w:tblGrid>
        <w:gridCol w:w="9350"/>
      </w:tblGrid>
      <w:tr w:rsidR="005B081B" w:rsidRPr="00F51AED" w14:paraId="430E57FF" w14:textId="77777777">
        <w:tc>
          <w:tcPr>
            <w:tcW w:w="9350" w:type="dxa"/>
            <w:tcBorders>
              <w:top w:val="nil"/>
              <w:left w:val="nil"/>
              <w:bottom w:val="nil"/>
              <w:right w:val="nil"/>
            </w:tcBorders>
            <w:shd w:val="clear" w:color="auto" w:fill="D0CECE" w:themeFill="background2" w:themeFillShade="E6"/>
          </w:tcPr>
          <w:p w14:paraId="2D201690" w14:textId="2DE9E869" w:rsidR="005B081B" w:rsidRPr="00DF01DC" w:rsidRDefault="005B081B" w:rsidP="00DF01DC">
            <w:pPr>
              <w:pStyle w:val="IASubttulo2"/>
              <w:numPr>
                <w:ilvl w:val="0"/>
                <w:numId w:val="0"/>
              </w:numPr>
              <w:spacing w:after="0"/>
              <w:ind w:left="154"/>
              <w:jc w:val="both"/>
              <w:rPr>
                <w:b w:val="0"/>
                <w:sz w:val="20"/>
                <w:szCs w:val="20"/>
                <w:lang w:val="es-CO"/>
              </w:rPr>
            </w:pPr>
            <w:bookmarkStart w:id="13" w:name="_Toc195618279"/>
            <w:r w:rsidRPr="00672AC2">
              <w:rPr>
                <w:sz w:val="20"/>
                <w:szCs w:val="20"/>
                <w:lang w:val="es-CO"/>
              </w:rPr>
              <w:t xml:space="preserve">Recomendación </w:t>
            </w:r>
            <w:proofErr w:type="spellStart"/>
            <w:r w:rsidR="00226E60" w:rsidRPr="00672AC2">
              <w:rPr>
                <w:sz w:val="20"/>
                <w:szCs w:val="20"/>
                <w:lang w:val="es-CO"/>
              </w:rPr>
              <w:t>Nº</w:t>
            </w:r>
            <w:proofErr w:type="spellEnd"/>
            <w:r w:rsidRPr="00672AC2">
              <w:rPr>
                <w:sz w:val="20"/>
                <w:szCs w:val="20"/>
                <w:lang w:val="es-CO"/>
              </w:rPr>
              <w:t xml:space="preserve"> 14. </w:t>
            </w:r>
            <w:r w:rsidRPr="00672AC2">
              <w:rPr>
                <w:b w:val="0"/>
                <w:sz w:val="20"/>
                <w:szCs w:val="20"/>
                <w:lang w:val="es-CO"/>
              </w:rPr>
              <w:t>Adoptar las medidas necesarias para incorporar el enfoque de interés superior de la niñez tanto en las políticas, protocolos y planes operativos referidos al control de la seguridad ciudadana, como en su aplicación práctica, en particular en casos de atención de conflictividad social.</w:t>
            </w:r>
            <w:bookmarkEnd w:id="13"/>
          </w:p>
        </w:tc>
      </w:tr>
    </w:tbl>
    <w:p w14:paraId="1852A8A2" w14:textId="77777777" w:rsidR="005B081B" w:rsidRPr="00672AC2" w:rsidRDefault="005B081B" w:rsidP="005B081B">
      <w:pPr>
        <w:pStyle w:val="IASubttulo2"/>
        <w:numPr>
          <w:ilvl w:val="0"/>
          <w:numId w:val="0"/>
        </w:numPr>
        <w:spacing w:after="0"/>
        <w:jc w:val="both"/>
        <w:rPr>
          <w:sz w:val="20"/>
          <w:szCs w:val="20"/>
          <w:lang w:val="es-US"/>
        </w:rPr>
      </w:pPr>
    </w:p>
    <w:p w14:paraId="361BFDE8" w14:textId="77777777" w:rsidR="005B081B" w:rsidRPr="00672AC2" w:rsidRDefault="005B081B" w:rsidP="004C0632">
      <w:pPr>
        <w:pBdr>
          <w:top w:val="nil"/>
          <w:left w:val="nil"/>
          <w:bottom w:val="nil"/>
          <w:right w:val="nil"/>
          <w:between w:val="nil"/>
        </w:pBdr>
        <w:ind w:firstLine="720"/>
        <w:jc w:val="both"/>
        <w:rPr>
          <w:lang w:val="es-419"/>
        </w:rPr>
      </w:pPr>
      <w:r w:rsidRPr="00672AC2">
        <w:rPr>
          <w:rFonts w:eastAsia="Cambria" w:cs="Cambria"/>
          <w:i/>
          <w:iCs/>
          <w:color w:val="000000" w:themeColor="text1"/>
          <w:sz w:val="20"/>
          <w:szCs w:val="20"/>
          <w:lang w:val="es-ES"/>
        </w:rPr>
        <w:t>Información sobre el cumplimiento</w:t>
      </w:r>
    </w:p>
    <w:p w14:paraId="6AE889D1" w14:textId="77777777" w:rsidR="005B081B" w:rsidRPr="00672AC2" w:rsidRDefault="005B081B" w:rsidP="005B081B">
      <w:pPr>
        <w:pBdr>
          <w:top w:val="nil"/>
          <w:left w:val="nil"/>
          <w:bottom w:val="nil"/>
          <w:right w:val="nil"/>
          <w:between w:val="nil"/>
        </w:pBdr>
        <w:jc w:val="both"/>
      </w:pPr>
    </w:p>
    <w:p w14:paraId="75FBFD46" w14:textId="18D9ACE3" w:rsidR="005B081B" w:rsidRPr="00672AC2" w:rsidRDefault="04C947FA" w:rsidP="00E83710">
      <w:pPr>
        <w:pStyle w:val="IAPrrafo"/>
        <w:rPr>
          <w:rFonts w:eastAsia="Calibri" w:cs="Times New Roman"/>
          <w:b/>
          <w:bCs/>
          <w:szCs w:val="20"/>
          <w:lang w:val="es-US"/>
        </w:rPr>
      </w:pPr>
      <w:r w:rsidRPr="00672AC2">
        <w:rPr>
          <w:rFonts w:eastAsia="Calibri" w:cs="Times New Roman"/>
          <w:szCs w:val="20"/>
        </w:rPr>
        <w:t>Para el año 2024, el Estado informó la aprobación del “</w:t>
      </w:r>
      <w:r w:rsidRPr="00672AC2">
        <w:rPr>
          <w:szCs w:val="20"/>
          <w:lang w:val="es-ES"/>
        </w:rPr>
        <w:t>Protocolo de actuación conjunta del Estado para la articulación de servicios en contextos de detención, retención e intervención policial a mujeres y personas en condición de vulnerabilidad”</w:t>
      </w:r>
      <w:r w:rsidR="004845CA" w:rsidRPr="00672AC2">
        <w:rPr>
          <w:szCs w:val="20"/>
          <w:lang w:val="es-ES"/>
        </w:rPr>
        <w:t xml:space="preserve"> (2023)</w:t>
      </w:r>
      <w:r w:rsidR="00F36B41">
        <w:rPr>
          <w:rFonts w:ascii="ZWAdobeF" w:hAnsi="ZWAdobeF" w:cs="ZWAdobeF"/>
          <w:color w:val="auto"/>
          <w:sz w:val="2"/>
          <w:szCs w:val="2"/>
          <w:lang w:val="es-ES"/>
        </w:rPr>
        <w:t>90F</w:t>
      </w:r>
      <w:r w:rsidR="005B081B" w:rsidRPr="00672AC2">
        <w:rPr>
          <w:rStyle w:val="FootnoteReference"/>
          <w:szCs w:val="20"/>
          <w:lang w:val="es-ES"/>
        </w:rPr>
        <w:footnoteReference w:id="92"/>
      </w:r>
      <w:r w:rsidRPr="00672AC2">
        <w:rPr>
          <w:szCs w:val="20"/>
          <w:lang w:val="es-ES"/>
        </w:rPr>
        <w:t>, que establece que, frente a situaciones de negligencia y afectación de derechos por los cuidados parentales en las protestas sociales, los NNA afectados deben ser trasladados a la Unidad de Protección Especial. Asimismo, indicó que se ha realizado un curso anual desde el año 2022 sobre Derechos de las Personas en Situación de Vulnerabilidad para el personal policial de manera descentralizada, donde se discuten las situaciones de las personas con discapacidad, adultas mayores, LGBTI, niñas, niños y adolescentes, así como sus repercusiones en el ejercicio de sus derechos fundamentales y la labor policial.</w:t>
      </w:r>
    </w:p>
    <w:p w14:paraId="5F905E94" w14:textId="71CA35D0" w:rsidR="005B081B" w:rsidRPr="00672AC2" w:rsidRDefault="00F81D77" w:rsidP="00E83710">
      <w:pPr>
        <w:pStyle w:val="IAPrrafo"/>
        <w:rPr>
          <w:b/>
          <w:bCs/>
          <w:szCs w:val="20"/>
          <w:lang w:val="es-ES"/>
        </w:rPr>
      </w:pPr>
      <w:r w:rsidRPr="00672AC2">
        <w:rPr>
          <w:bCs/>
          <w:szCs w:val="20"/>
          <w:lang w:val="es-ES"/>
        </w:rPr>
        <w:t>E</w:t>
      </w:r>
      <w:r w:rsidR="04C947FA" w:rsidRPr="00672AC2">
        <w:rPr>
          <w:bCs/>
          <w:szCs w:val="20"/>
          <w:lang w:val="es-ES"/>
        </w:rPr>
        <w:t>l Estado manifestó que, en el marco de los “Lineamientos administrativos y operativos para el planeamiento, dirección, conducción y ejecución de las operaciones policiales de control, mantenimiento y restablecimiento del orden público”</w:t>
      </w:r>
      <w:r w:rsidR="004845CA" w:rsidRPr="00672AC2">
        <w:rPr>
          <w:bCs/>
          <w:szCs w:val="20"/>
          <w:lang w:val="es-ES"/>
        </w:rPr>
        <w:t xml:space="preserve"> (2022)</w:t>
      </w:r>
      <w:r w:rsidR="00F36B41">
        <w:rPr>
          <w:rFonts w:ascii="ZWAdobeF" w:hAnsi="ZWAdobeF" w:cs="ZWAdobeF"/>
          <w:bCs/>
          <w:color w:val="auto"/>
          <w:sz w:val="2"/>
          <w:szCs w:val="2"/>
          <w:lang w:val="es-ES"/>
        </w:rPr>
        <w:t>91F</w:t>
      </w:r>
      <w:r w:rsidR="005B081B" w:rsidRPr="00672AC2">
        <w:rPr>
          <w:rStyle w:val="FootnoteReference"/>
          <w:bCs/>
          <w:szCs w:val="20"/>
          <w:lang w:val="es-ES"/>
        </w:rPr>
        <w:footnoteReference w:id="93"/>
      </w:r>
      <w:r w:rsidR="04C947FA" w:rsidRPr="00672AC2">
        <w:rPr>
          <w:bCs/>
          <w:szCs w:val="20"/>
          <w:lang w:val="es-ES"/>
        </w:rPr>
        <w:t xml:space="preserve">, el personal policial </w:t>
      </w:r>
      <w:r w:rsidR="00C5778D" w:rsidRPr="00672AC2">
        <w:rPr>
          <w:bCs/>
          <w:szCs w:val="20"/>
          <w:lang w:val="es-ES"/>
        </w:rPr>
        <w:t xml:space="preserve">cuenta con criterios acorde con las obligaciones internacionales para adoptar los medios de disuasión, protección y/o controles más adecuados en el contexto de las protestas sociales, donde se </w:t>
      </w:r>
      <w:r w:rsidR="04C947FA" w:rsidRPr="00672AC2">
        <w:rPr>
          <w:bCs/>
          <w:szCs w:val="20"/>
          <w:lang w:val="es-ES"/>
        </w:rPr>
        <w:t>evalúa la participación de mujeres, niños, ancianos, personas con discapacidad u otros grupos vulnerables dentro de las manifestaciones.</w:t>
      </w:r>
    </w:p>
    <w:p w14:paraId="6C95A339" w14:textId="757F52FD" w:rsidR="005B081B" w:rsidRPr="004C0632" w:rsidRDefault="04C947FA" w:rsidP="004C0632">
      <w:pPr>
        <w:pStyle w:val="IAPrrafo"/>
        <w:rPr>
          <w:rFonts w:eastAsia="Calibri" w:cs="Calibri"/>
          <w:b/>
          <w:bCs/>
          <w:szCs w:val="20"/>
          <w:lang w:val="es-US"/>
        </w:rPr>
      </w:pPr>
      <w:r w:rsidRPr="00672AC2">
        <w:rPr>
          <w:szCs w:val="20"/>
          <w:lang w:val="es-US"/>
        </w:rPr>
        <w:t>Por su parte, la Comisión conoció información proporcionada por sociedad civil según la cual no se habrían evidenciado políticas concretas para proteger a NNA en el contexto de protestas sociales. Por el contrario, se reportó la aprobación de un proyecto de ley sobre una reforma legal que permite juzgar adolescentes de 16 y 17 años como adultos por delitos graves, entre los que están los delitos de terrorismo, homicidio calificado, secuestro, extorsión, entre otros</w:t>
      </w:r>
      <w:r w:rsidR="00F36B41">
        <w:rPr>
          <w:rFonts w:ascii="ZWAdobeF" w:hAnsi="ZWAdobeF" w:cs="ZWAdobeF"/>
          <w:color w:val="auto"/>
          <w:sz w:val="2"/>
          <w:szCs w:val="2"/>
          <w:lang w:val="es-US"/>
        </w:rPr>
        <w:t>92F</w:t>
      </w:r>
      <w:r w:rsidR="005B081B" w:rsidRPr="00672AC2">
        <w:rPr>
          <w:rStyle w:val="FootnoteReference"/>
          <w:szCs w:val="20"/>
          <w:lang w:val="es-US"/>
        </w:rPr>
        <w:footnoteReference w:id="94"/>
      </w:r>
      <w:r w:rsidRPr="00672AC2">
        <w:rPr>
          <w:szCs w:val="20"/>
          <w:lang w:val="es-US"/>
        </w:rPr>
        <w:t xml:space="preserve">. Al respecto, fue </w:t>
      </w:r>
      <w:r w:rsidR="00625A68" w:rsidRPr="00672AC2">
        <w:rPr>
          <w:szCs w:val="20"/>
          <w:lang w:val="es-US"/>
        </w:rPr>
        <w:t>informado</w:t>
      </w:r>
      <w:r w:rsidRPr="00672AC2">
        <w:rPr>
          <w:szCs w:val="20"/>
          <w:lang w:val="es-US"/>
        </w:rPr>
        <w:t xml:space="preserve"> a la Comisión que la aprobación de esta reforma agrava las situaciones de detenciones de NNA y estigmatiza a ciertos grupos en situación de vulnerabilidad (indígenas, población afroperuana, adolescentes en situación de movilidad, entre otros). Según lo </w:t>
      </w:r>
      <w:r w:rsidR="00A54C19" w:rsidRPr="00672AC2">
        <w:rPr>
          <w:szCs w:val="20"/>
          <w:lang w:val="es-US"/>
        </w:rPr>
        <w:t xml:space="preserve">transmitido </w:t>
      </w:r>
      <w:r w:rsidRPr="00672AC2">
        <w:rPr>
          <w:szCs w:val="20"/>
          <w:lang w:val="es-US"/>
        </w:rPr>
        <w:t xml:space="preserve">por </w:t>
      </w:r>
      <w:r w:rsidR="009A0074" w:rsidRPr="00672AC2">
        <w:rPr>
          <w:szCs w:val="20"/>
          <w:lang w:val="es-US"/>
        </w:rPr>
        <w:t xml:space="preserve">organizaciones de la </w:t>
      </w:r>
      <w:r w:rsidRPr="00672AC2">
        <w:rPr>
          <w:szCs w:val="20"/>
          <w:lang w:val="es-US"/>
        </w:rPr>
        <w:t>sociedad civil, esta norma evidenciaría una falta de visión integral en la política de justicia juvenil.</w:t>
      </w:r>
    </w:p>
    <w:p w14:paraId="43A3C009" w14:textId="77777777" w:rsidR="005B081B" w:rsidRPr="00672AC2" w:rsidRDefault="005B081B" w:rsidP="004C0632">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7C0AFC8C" w14:textId="77777777" w:rsidR="005B081B" w:rsidRPr="00672AC2" w:rsidRDefault="005B081B" w:rsidP="005B081B">
      <w:pPr>
        <w:ind w:firstLine="360"/>
        <w:jc w:val="both"/>
        <w:rPr>
          <w:lang w:val="es-CO"/>
        </w:rPr>
      </w:pPr>
    </w:p>
    <w:p w14:paraId="4C877A8C" w14:textId="737458CB" w:rsidR="005B081B" w:rsidRPr="003864BC" w:rsidRDefault="005B081B" w:rsidP="00E83710">
      <w:pPr>
        <w:pStyle w:val="IAPrrafo"/>
        <w:rPr>
          <w:rFonts w:eastAsia="Calibri" w:cs="Times New Roman"/>
          <w:b/>
          <w:bCs/>
          <w:szCs w:val="20"/>
          <w:lang w:val="es-US"/>
        </w:rPr>
      </w:pPr>
      <w:r w:rsidRPr="00672AC2">
        <w:rPr>
          <w:rFonts w:eastAsia="Calibri" w:cs="Times New Roman"/>
          <w:bCs/>
          <w:szCs w:val="20"/>
        </w:rPr>
        <w:t>La CIDH agradece la información proporcionada por el Estado. Sin embargo, observa que el “</w:t>
      </w:r>
      <w:r w:rsidRPr="00672AC2">
        <w:rPr>
          <w:bCs/>
          <w:szCs w:val="20"/>
          <w:lang w:val="es-ES"/>
        </w:rPr>
        <w:t xml:space="preserve">Protocolo de actuación conjunta del Estado para la articulación de servicios en contextos de detención, retención e intervención policial a mujeres y personas en condición de vulnerabilidad” se aplica cuando se da la detención policial de estas personas, en cualquier tipo de contexto, pero una vez que la persona está detenida. Sin embargo, no estaría diseñada </w:t>
      </w:r>
      <w:r w:rsidR="00C2264C">
        <w:rPr>
          <w:bCs/>
          <w:szCs w:val="20"/>
          <w:lang w:val="es-ES"/>
        </w:rPr>
        <w:t xml:space="preserve">específicamente para evitar que ocurran situaciones de detención en el contexto de </w:t>
      </w:r>
      <w:r w:rsidRPr="00672AC2">
        <w:rPr>
          <w:bCs/>
          <w:szCs w:val="20"/>
          <w:lang w:val="es-ES"/>
        </w:rPr>
        <w:t xml:space="preserve">uso de la fuerza </w:t>
      </w:r>
      <w:r w:rsidR="00C2264C">
        <w:rPr>
          <w:bCs/>
          <w:szCs w:val="20"/>
          <w:lang w:val="es-ES"/>
        </w:rPr>
        <w:t>en</w:t>
      </w:r>
      <w:r w:rsidR="00C2264C" w:rsidRPr="00672AC2">
        <w:rPr>
          <w:bCs/>
          <w:szCs w:val="20"/>
          <w:lang w:val="es-ES"/>
        </w:rPr>
        <w:t xml:space="preserve"> </w:t>
      </w:r>
      <w:r w:rsidRPr="00672AC2">
        <w:rPr>
          <w:bCs/>
          <w:szCs w:val="20"/>
          <w:lang w:val="es-ES"/>
        </w:rPr>
        <w:t>protestas o manifestaciones</w:t>
      </w:r>
      <w:r w:rsidR="004845CA" w:rsidRPr="00672AC2">
        <w:rPr>
          <w:bCs/>
          <w:szCs w:val="20"/>
          <w:lang w:val="es-ES"/>
        </w:rPr>
        <w:t>.</w:t>
      </w:r>
      <w:r w:rsidRPr="00672AC2">
        <w:rPr>
          <w:bCs/>
          <w:szCs w:val="20"/>
          <w:lang w:val="es-ES"/>
        </w:rPr>
        <w:t xml:space="preserve"> </w:t>
      </w:r>
      <w:r w:rsidR="004845CA" w:rsidRPr="00672AC2">
        <w:rPr>
          <w:bCs/>
          <w:szCs w:val="20"/>
          <w:lang w:val="es-ES"/>
        </w:rPr>
        <w:t>E</w:t>
      </w:r>
      <w:r w:rsidRPr="00672AC2">
        <w:rPr>
          <w:bCs/>
          <w:szCs w:val="20"/>
          <w:lang w:val="es-ES"/>
        </w:rPr>
        <w:t xml:space="preserve">n ese </w:t>
      </w:r>
      <w:proofErr w:type="gramStart"/>
      <w:r w:rsidRPr="00672AC2">
        <w:rPr>
          <w:bCs/>
          <w:szCs w:val="20"/>
          <w:lang w:val="es-ES"/>
        </w:rPr>
        <w:t>sentido,</w:t>
      </w:r>
      <w:r w:rsidR="007D03FC">
        <w:rPr>
          <w:bCs/>
          <w:szCs w:val="20"/>
          <w:lang w:val="es-ES"/>
        </w:rPr>
        <w:t xml:space="preserve"> </w:t>
      </w:r>
      <w:r w:rsidRPr="00672AC2">
        <w:rPr>
          <w:bCs/>
          <w:szCs w:val="20"/>
          <w:lang w:val="es-ES"/>
        </w:rPr>
        <w:t xml:space="preserve"> </w:t>
      </w:r>
      <w:r w:rsidR="00C2264C">
        <w:rPr>
          <w:bCs/>
          <w:szCs w:val="20"/>
          <w:lang w:val="es-ES"/>
        </w:rPr>
        <w:t>en</w:t>
      </w:r>
      <w:proofErr w:type="gramEnd"/>
      <w:r w:rsidR="00C2264C">
        <w:rPr>
          <w:bCs/>
          <w:szCs w:val="20"/>
          <w:lang w:val="es-ES"/>
        </w:rPr>
        <w:t xml:space="preserve"> el contexto de la recomendación, </w:t>
      </w:r>
      <w:r w:rsidR="00AE6A98">
        <w:rPr>
          <w:bCs/>
          <w:szCs w:val="20"/>
          <w:lang w:val="es-ES"/>
        </w:rPr>
        <w:t xml:space="preserve"> </w:t>
      </w:r>
      <w:r w:rsidRPr="00672AC2">
        <w:rPr>
          <w:bCs/>
          <w:szCs w:val="20"/>
          <w:lang w:val="es-ES"/>
        </w:rPr>
        <w:t xml:space="preserve">la medida </w:t>
      </w:r>
      <w:r w:rsidR="00C2264C">
        <w:rPr>
          <w:bCs/>
          <w:szCs w:val="20"/>
          <w:lang w:val="es-ES"/>
        </w:rPr>
        <w:t>se aplica solo</w:t>
      </w:r>
      <w:r w:rsidRPr="00672AC2">
        <w:rPr>
          <w:bCs/>
          <w:szCs w:val="20"/>
          <w:lang w:val="es-ES"/>
        </w:rPr>
        <w:t xml:space="preserve"> para los casos de las personas detenidas en el marco de protestas</w:t>
      </w:r>
      <w:r w:rsidRPr="00672AC2">
        <w:rPr>
          <w:rFonts w:eastAsia="Calibri" w:cs="Times New Roman"/>
          <w:bCs/>
          <w:szCs w:val="20"/>
          <w:lang w:val="es-ES"/>
        </w:rPr>
        <w:t xml:space="preserve">. Asimismo, la CIDH toma nota de la aplicación </w:t>
      </w:r>
      <w:r w:rsidRPr="00672AC2">
        <w:rPr>
          <w:bCs/>
          <w:szCs w:val="20"/>
          <w:lang w:val="es-ES"/>
        </w:rPr>
        <w:t>de los “Lineamientos administrativos y operativos para el planeamiento, dirección, conducción y ejecución de las operaciones policiales de control, mantenimiento y restablecimiento del orden público”</w:t>
      </w:r>
      <w:r w:rsidR="00C2264C">
        <w:rPr>
          <w:bCs/>
          <w:szCs w:val="20"/>
          <w:lang w:val="es-ES"/>
        </w:rPr>
        <w:t xml:space="preserve"> y su regulación sobre </w:t>
      </w:r>
      <w:r w:rsidR="00C2264C" w:rsidRPr="00C2264C">
        <w:rPr>
          <w:bCs/>
          <w:szCs w:val="20"/>
          <w:lang w:val="es-ES"/>
        </w:rPr>
        <w:t>medidas específicas para la protección de poblaciones en condición de vulnerabilidad durante y después de las citadas operaciones</w:t>
      </w:r>
      <w:r w:rsidRPr="00672AC2">
        <w:rPr>
          <w:bCs/>
          <w:szCs w:val="20"/>
          <w:lang w:val="es-ES"/>
        </w:rPr>
        <w:t>, aunque identifica que estos fueron aprobados en meses previos a las protestas realizadas entre diciembre de 2022 a marzo del 2023.</w:t>
      </w:r>
    </w:p>
    <w:p w14:paraId="2B5758D5" w14:textId="309F9970" w:rsidR="003864BC" w:rsidRPr="003864BC" w:rsidRDefault="003864BC" w:rsidP="00E83710">
      <w:pPr>
        <w:pStyle w:val="IAPrrafo"/>
        <w:rPr>
          <w:rFonts w:eastAsia="Calibri" w:cs="Times New Roman"/>
          <w:b/>
          <w:bCs/>
          <w:szCs w:val="20"/>
          <w:lang w:val="es-US"/>
        </w:rPr>
      </w:pPr>
      <w:r w:rsidRPr="24019998">
        <w:rPr>
          <w:rFonts w:eastAsia="Calibri" w:cs="Times New Roman"/>
          <w:szCs w:val="20"/>
          <w:lang w:val="es-US"/>
        </w:rPr>
        <w:t>La Comisión ha establecido que “una política pública sobre seguridad ciudadana con enfoque de derechos humanos es aquella que incorpora el desarrollo de acciones simultáneas en tres áreas estratégicas: el área institucional, el área normativa y el área preventiva”. En ese sentido, el área normativa de la política pública de seguridad ciudadana se refiere a la “adecuación del marco jurídico, tanto a las necesidades para la prevención o represión del delito y la violencia, como para el desarrollo del procedimiento penal o la gestión penitenciaria”</w:t>
      </w:r>
      <w:r w:rsidR="00F36B41">
        <w:rPr>
          <w:rFonts w:ascii="ZWAdobeF" w:eastAsia="Calibri" w:hAnsi="ZWAdobeF" w:cs="ZWAdobeF"/>
          <w:color w:val="auto"/>
          <w:sz w:val="2"/>
          <w:szCs w:val="2"/>
          <w:lang w:val="es-US"/>
        </w:rPr>
        <w:t>93F</w:t>
      </w:r>
      <w:r w:rsidRPr="24019998">
        <w:rPr>
          <w:rStyle w:val="FootnoteReference"/>
          <w:rFonts w:eastAsia="Calibri" w:cs="Times New Roman"/>
          <w:szCs w:val="20"/>
          <w:lang w:val="es-US"/>
        </w:rPr>
        <w:footnoteReference w:id="95"/>
      </w:r>
      <w:r w:rsidRPr="24019998">
        <w:rPr>
          <w:rFonts w:eastAsia="Calibri" w:cs="Times New Roman"/>
          <w:szCs w:val="20"/>
          <w:lang w:val="es-US"/>
        </w:rPr>
        <w:t>.</w:t>
      </w:r>
    </w:p>
    <w:p w14:paraId="04753816" w14:textId="75CE3C52" w:rsidR="005B081B" w:rsidRPr="00120AB5" w:rsidRDefault="0009402C" w:rsidP="00E83710">
      <w:pPr>
        <w:pStyle w:val="IAPrrafo"/>
        <w:rPr>
          <w:rFonts w:eastAsia="Calibri" w:cs="Times New Roman"/>
          <w:b/>
          <w:szCs w:val="20"/>
          <w:lang w:val="es-US"/>
        </w:rPr>
      </w:pPr>
      <w:r>
        <w:rPr>
          <w:szCs w:val="20"/>
          <w:lang w:val="es-ES"/>
        </w:rPr>
        <w:t>Por ello</w:t>
      </w:r>
      <w:r w:rsidR="6B436EDA" w:rsidRPr="00672AC2">
        <w:rPr>
          <w:szCs w:val="20"/>
          <w:lang w:val="es-ES"/>
        </w:rPr>
        <w:t xml:space="preserve">, la CIDH muestra su preocupación por la información </w:t>
      </w:r>
      <w:r w:rsidR="002D096F" w:rsidRPr="00672AC2">
        <w:rPr>
          <w:szCs w:val="20"/>
          <w:lang w:val="es-ES"/>
        </w:rPr>
        <w:t xml:space="preserve">aportada </w:t>
      </w:r>
      <w:r w:rsidR="6B436EDA" w:rsidRPr="00672AC2">
        <w:rPr>
          <w:szCs w:val="20"/>
          <w:lang w:val="es-ES"/>
        </w:rPr>
        <w:t>por sociedad civil relativa a las medidas normativas que están en proceso de aprobación y que indican que las personas menores de edad deben ser juzgados</w:t>
      </w:r>
      <w:r w:rsidR="6B436EDA" w:rsidRPr="00672AC2">
        <w:rPr>
          <w:szCs w:val="20"/>
          <w:lang w:val="es-US"/>
        </w:rPr>
        <w:t xml:space="preserve"> como adultos por delitos graves</w:t>
      </w:r>
      <w:r w:rsidR="6B436EDA" w:rsidRPr="00672AC2">
        <w:rPr>
          <w:szCs w:val="20"/>
          <w:lang w:val="es-ES"/>
        </w:rPr>
        <w:t>.</w:t>
      </w:r>
      <w:r w:rsidR="001E5003" w:rsidRPr="00672AC2">
        <w:rPr>
          <w:szCs w:val="20"/>
          <w:lang w:val="es-ES"/>
        </w:rPr>
        <w:t xml:space="preserve"> </w:t>
      </w:r>
      <w:r w:rsidR="6B436EDA" w:rsidRPr="00672AC2">
        <w:rPr>
          <w:szCs w:val="20"/>
          <w:lang w:val="es-ES"/>
        </w:rPr>
        <w:t xml:space="preserve">La CIDH identifica que esta medida podría contradecir los estándares internacionales de derechos humanos, en los cuales se establece que toda persona menor de 18 años en el momento de la presunta comisión de un delito debe recibir un trato diferenciado </w:t>
      </w:r>
      <w:r w:rsidR="005F0AA4" w:rsidRPr="00672AC2">
        <w:rPr>
          <w:szCs w:val="20"/>
          <w:lang w:val="es-ES"/>
        </w:rPr>
        <w:t>de las personas mayores</w:t>
      </w:r>
      <w:r w:rsidR="002D096F" w:rsidRPr="00672AC2">
        <w:rPr>
          <w:szCs w:val="20"/>
          <w:lang w:val="es-ES"/>
        </w:rPr>
        <w:t xml:space="preserve"> de edad</w:t>
      </w:r>
      <w:r w:rsidR="00F36B41">
        <w:rPr>
          <w:rFonts w:ascii="ZWAdobeF" w:hAnsi="ZWAdobeF" w:cs="ZWAdobeF"/>
          <w:color w:val="auto"/>
          <w:sz w:val="2"/>
          <w:szCs w:val="2"/>
          <w:lang w:val="es-ES"/>
        </w:rPr>
        <w:t>94F</w:t>
      </w:r>
      <w:r w:rsidR="005B081B" w:rsidRPr="00672AC2">
        <w:rPr>
          <w:rStyle w:val="FootnoteReference"/>
          <w:szCs w:val="20"/>
          <w:lang w:val="es-ES"/>
        </w:rPr>
        <w:footnoteReference w:id="96"/>
      </w:r>
      <w:r w:rsidR="6B436EDA" w:rsidRPr="00672AC2">
        <w:rPr>
          <w:szCs w:val="20"/>
          <w:lang w:val="es-ES"/>
        </w:rPr>
        <w:t xml:space="preserve">. </w:t>
      </w:r>
      <w:r w:rsidR="00625A68" w:rsidRPr="00672AC2">
        <w:rPr>
          <w:szCs w:val="20"/>
          <w:lang w:val="es-ES"/>
        </w:rPr>
        <w:t>L</w:t>
      </w:r>
      <w:r w:rsidR="6B436EDA" w:rsidRPr="00672AC2">
        <w:rPr>
          <w:szCs w:val="20"/>
          <w:lang w:val="es-ES"/>
        </w:rPr>
        <w:t xml:space="preserve">a CIDH hace un llamado al Estado </w:t>
      </w:r>
      <w:r w:rsidR="272795F8" w:rsidRPr="00672AC2">
        <w:rPr>
          <w:szCs w:val="20"/>
          <w:lang w:val="es-ES"/>
        </w:rPr>
        <w:t>a evitar</w:t>
      </w:r>
      <w:r w:rsidR="6B436EDA" w:rsidRPr="00672AC2">
        <w:rPr>
          <w:szCs w:val="20"/>
          <w:lang w:val="es-ES"/>
        </w:rPr>
        <w:t xml:space="preserve"> aprobar normas que criminalicen a los menores de edad. Por lo anterior, la Comisión </w:t>
      </w:r>
      <w:r w:rsidR="005F0AA4" w:rsidRPr="00672AC2">
        <w:rPr>
          <w:szCs w:val="20"/>
          <w:lang w:val="es-ES"/>
        </w:rPr>
        <w:t xml:space="preserve">concluye </w:t>
      </w:r>
      <w:r w:rsidR="6B436EDA" w:rsidRPr="00672AC2">
        <w:rPr>
          <w:szCs w:val="20"/>
          <w:lang w:val="es-ES"/>
        </w:rPr>
        <w:t xml:space="preserve">que la presente recomendación se encuentra </w:t>
      </w:r>
      <w:r w:rsidR="6B436EDA" w:rsidRPr="00AA6FCF">
        <w:rPr>
          <w:b/>
          <w:bCs/>
          <w:szCs w:val="20"/>
          <w:lang w:val="es-ES"/>
        </w:rPr>
        <w:t>pendiente de cumplimiento</w:t>
      </w:r>
      <w:r w:rsidR="6B436EDA" w:rsidRPr="00672AC2">
        <w:rPr>
          <w:szCs w:val="20"/>
          <w:lang w:val="es-ES"/>
        </w:rPr>
        <w:t>.</w:t>
      </w:r>
    </w:p>
    <w:p w14:paraId="247E0FBA" w14:textId="48E3728B" w:rsidR="00120AB5" w:rsidRPr="00120AB5" w:rsidRDefault="00120AB5" w:rsidP="00120AB5">
      <w:pPr>
        <w:pStyle w:val="ListParagraph"/>
        <w:jc w:val="both"/>
        <w:rPr>
          <w:lang w:val="es-CO"/>
        </w:rPr>
      </w:pPr>
      <w:r w:rsidRPr="00120AB5">
        <w:rPr>
          <w:rFonts w:eastAsia="Cambria" w:cs="Cambria"/>
          <w:i/>
          <w:iCs/>
          <w:color w:val="000000" w:themeColor="text1"/>
          <w:sz w:val="20"/>
          <w:szCs w:val="20"/>
          <w:lang w:val="es-ES"/>
        </w:rPr>
        <w:t xml:space="preserve">Medidas e información para avanzar en el cumplimiento de la recomendación </w:t>
      </w:r>
    </w:p>
    <w:p w14:paraId="280E2DB8" w14:textId="77777777" w:rsidR="00120AB5" w:rsidRPr="00120AB5" w:rsidRDefault="00120AB5" w:rsidP="00120AB5">
      <w:pPr>
        <w:pStyle w:val="ListParagraph"/>
        <w:jc w:val="both"/>
        <w:rPr>
          <w:lang w:val="es-CO"/>
        </w:rPr>
      </w:pPr>
    </w:p>
    <w:p w14:paraId="602E1971" w14:textId="25AEA160" w:rsidR="005B081B" w:rsidRPr="007228B7" w:rsidRDefault="00120AB5" w:rsidP="007228B7">
      <w:pPr>
        <w:pStyle w:val="IAPrrafo"/>
        <w:rPr>
          <w:rFonts w:eastAsia="Calibri" w:cs="Times New Roman"/>
          <w:b/>
          <w:bCs/>
          <w:szCs w:val="20"/>
        </w:rPr>
      </w:pPr>
      <w:r w:rsidRPr="00672AC2">
        <w:rPr>
          <w:bCs/>
          <w:szCs w:val="20"/>
          <w:lang w:val="es-US"/>
        </w:rPr>
        <w:t>La CIDH sostiene que para avanzar en el cumplimiento de esta recomendación es necesario que se incorporen medidas estatales especiales relacionadas a</w:t>
      </w:r>
      <w:r w:rsidRPr="00672AC2">
        <w:rPr>
          <w:szCs w:val="20"/>
          <w:lang w:val="es-CO"/>
        </w:rPr>
        <w:t>l enfoque de interés superior de la niñez en las políticas, protocolos y planes operativos referidos al control de la seguridad ciudadana, en particular en casos de atención de conflictividad social. Para ello, es fundamental que las normas que se aprueben, relacionadas al ejercicio del derecho a la protesta o a la responsabilidad penal de los NNA, estén acordes a los estándares internacionales en la materia.</w:t>
      </w:r>
    </w:p>
    <w:p w14:paraId="6392DF03" w14:textId="30D875B2" w:rsidR="005B081B" w:rsidRPr="00672AC2" w:rsidRDefault="005B081B" w:rsidP="007228B7">
      <w:pPr>
        <w:pStyle w:val="IASubttulo2"/>
        <w:numPr>
          <w:ilvl w:val="0"/>
          <w:numId w:val="0"/>
        </w:numPr>
        <w:ind w:left="1440" w:hanging="720"/>
        <w:rPr>
          <w:lang w:val="es-419"/>
        </w:rPr>
      </w:pPr>
      <w:bookmarkStart w:id="14" w:name="_Toc195618280"/>
      <w:r w:rsidRPr="00672AC2">
        <w:rPr>
          <w:lang w:val="es-419"/>
        </w:rPr>
        <w:t xml:space="preserve">D. </w:t>
      </w:r>
      <w:r w:rsidR="007228B7">
        <w:rPr>
          <w:lang w:val="es-419"/>
        </w:rPr>
        <w:tab/>
      </w:r>
      <w:r w:rsidRPr="00672AC2">
        <w:rPr>
          <w:lang w:val="es-419"/>
        </w:rPr>
        <w:t>Lucha contra la impunidad</w:t>
      </w:r>
      <w:bookmarkEnd w:id="14"/>
    </w:p>
    <w:tbl>
      <w:tblPr>
        <w:tblStyle w:val="TableGrid"/>
        <w:tblW w:w="0" w:type="auto"/>
        <w:tblLook w:val="04A0" w:firstRow="1" w:lastRow="0" w:firstColumn="1" w:lastColumn="0" w:noHBand="0" w:noVBand="1"/>
      </w:tblPr>
      <w:tblGrid>
        <w:gridCol w:w="9350"/>
      </w:tblGrid>
      <w:tr w:rsidR="005B081B" w:rsidRPr="00F51AED" w14:paraId="746ED05F" w14:textId="77777777">
        <w:tc>
          <w:tcPr>
            <w:tcW w:w="9350" w:type="dxa"/>
            <w:tcBorders>
              <w:top w:val="nil"/>
              <w:left w:val="nil"/>
              <w:bottom w:val="nil"/>
              <w:right w:val="nil"/>
            </w:tcBorders>
            <w:shd w:val="clear" w:color="auto" w:fill="D0CECE" w:themeFill="background2" w:themeFillShade="E6"/>
          </w:tcPr>
          <w:p w14:paraId="49CA6418" w14:textId="45C2D5AE" w:rsidR="005B081B" w:rsidRPr="007228B7" w:rsidRDefault="005B081B" w:rsidP="007228B7">
            <w:pPr>
              <w:pStyle w:val="IASubttulo2"/>
              <w:numPr>
                <w:ilvl w:val="0"/>
                <w:numId w:val="0"/>
              </w:numPr>
              <w:spacing w:after="0"/>
              <w:ind w:left="154"/>
              <w:jc w:val="both"/>
              <w:rPr>
                <w:b w:val="0"/>
                <w:sz w:val="20"/>
                <w:szCs w:val="20"/>
                <w:lang w:val="es-CO"/>
              </w:rPr>
            </w:pPr>
            <w:bookmarkStart w:id="15" w:name="_Toc195618281"/>
            <w:r w:rsidRPr="00672AC2">
              <w:rPr>
                <w:sz w:val="20"/>
                <w:szCs w:val="20"/>
                <w:lang w:val="es-CO"/>
              </w:rPr>
              <w:t xml:space="preserve">Recomendación </w:t>
            </w:r>
            <w:proofErr w:type="spellStart"/>
            <w:r w:rsidRPr="00672AC2">
              <w:rPr>
                <w:sz w:val="20"/>
                <w:szCs w:val="20"/>
                <w:lang w:val="es-CO"/>
              </w:rPr>
              <w:t>N</w:t>
            </w:r>
            <w:r w:rsidR="00AE7F3F" w:rsidRPr="00672AC2">
              <w:rPr>
                <w:sz w:val="20"/>
                <w:szCs w:val="20"/>
                <w:lang w:val="es-CO"/>
              </w:rPr>
              <w:t>º</w:t>
            </w:r>
            <w:proofErr w:type="spellEnd"/>
            <w:r w:rsidRPr="00672AC2">
              <w:rPr>
                <w:sz w:val="20"/>
                <w:szCs w:val="20"/>
                <w:lang w:val="es-CO"/>
              </w:rPr>
              <w:t xml:space="preserve"> 15. </w:t>
            </w:r>
            <w:r w:rsidRPr="00672AC2">
              <w:rPr>
                <w:b w:val="0"/>
                <w:sz w:val="20"/>
                <w:szCs w:val="20"/>
                <w:lang w:val="es-CO"/>
              </w:rPr>
              <w:t>Investigar todos los hechos registrados en el presente informe, en particular las presuntas violaciones de derechos humanos de manera célere, seria, eficaz, independiente y con atención a las debidas garantías judiciales. Para ello, el Estado podrá evaluar y solicitar a la CIDH asistencia técnica por medio de capacitaciones a personas funcionarias públicas, mecanismos de seguimientos de recomendaciones, o la creación incluso de un grupo interdisciplinario de expertos independientes.</w:t>
            </w:r>
            <w:bookmarkEnd w:id="15"/>
          </w:p>
        </w:tc>
      </w:tr>
    </w:tbl>
    <w:p w14:paraId="5A3CBCAE" w14:textId="77777777" w:rsidR="005B081B" w:rsidRPr="00672AC2" w:rsidRDefault="005B081B" w:rsidP="005B081B">
      <w:pPr>
        <w:shd w:val="clear" w:color="auto" w:fill="FFFFFF" w:themeFill="background1"/>
        <w:jc w:val="both"/>
        <w:rPr>
          <w:sz w:val="20"/>
          <w:szCs w:val="20"/>
          <w:lang w:val="es-US" w:eastAsia="es-US"/>
        </w:rPr>
      </w:pPr>
    </w:p>
    <w:p w14:paraId="671F35E7" w14:textId="683F9A38" w:rsidR="005B081B" w:rsidRPr="00672AC2" w:rsidRDefault="005B081B" w:rsidP="007228B7">
      <w:pPr>
        <w:pBdr>
          <w:top w:val="nil"/>
          <w:left w:val="nil"/>
          <w:bottom w:val="nil"/>
          <w:right w:val="nil"/>
          <w:between w:val="nil"/>
        </w:pBdr>
        <w:ind w:firstLine="720"/>
        <w:jc w:val="both"/>
        <w:rPr>
          <w:lang w:val="es-US"/>
        </w:rPr>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3363BED4" w14:textId="77777777" w:rsidR="005B081B" w:rsidRPr="00672AC2" w:rsidRDefault="005B081B" w:rsidP="005B081B">
      <w:pPr>
        <w:pBdr>
          <w:top w:val="nil"/>
          <w:left w:val="nil"/>
          <w:bottom w:val="nil"/>
          <w:right w:val="nil"/>
          <w:between w:val="nil"/>
        </w:pBdr>
        <w:ind w:firstLine="360"/>
        <w:jc w:val="both"/>
        <w:rPr>
          <w:lang w:val="es-419"/>
        </w:rPr>
      </w:pPr>
    </w:p>
    <w:p w14:paraId="558D5856" w14:textId="03ECFF71" w:rsidR="005B081B" w:rsidRPr="00672AC2" w:rsidRDefault="04C947FA" w:rsidP="00E83710">
      <w:pPr>
        <w:pStyle w:val="IAPrrafo"/>
        <w:rPr>
          <w:rFonts w:eastAsia="Calibri" w:cs="Times New Roman"/>
          <w:b/>
          <w:bCs/>
          <w:szCs w:val="20"/>
          <w:lang w:val="es-US"/>
        </w:rPr>
      </w:pPr>
      <w:r w:rsidRPr="00672AC2">
        <w:rPr>
          <w:rFonts w:eastAsia="Calibri" w:cs="Times New Roman"/>
          <w:szCs w:val="20"/>
        </w:rPr>
        <w:t>Para el año 2024, e</w:t>
      </w:r>
      <w:r w:rsidRPr="00672AC2">
        <w:rPr>
          <w:szCs w:val="20"/>
          <w:lang w:val="es-US"/>
        </w:rPr>
        <w:t xml:space="preserve">l Estado informó la creación del </w:t>
      </w:r>
      <w:r w:rsidRPr="00672AC2">
        <w:rPr>
          <w:szCs w:val="20"/>
          <w:lang w:val="es-ES"/>
        </w:rPr>
        <w:t>Equipo Especial de Fiscales para casos con víctimas durante las protestas sociales (EFICAVIP)</w:t>
      </w:r>
      <w:r w:rsidR="00F36B41">
        <w:rPr>
          <w:rFonts w:ascii="ZWAdobeF" w:hAnsi="ZWAdobeF" w:cs="ZWAdobeF"/>
          <w:color w:val="auto"/>
          <w:sz w:val="2"/>
          <w:szCs w:val="2"/>
          <w:lang w:val="es-ES"/>
        </w:rPr>
        <w:t>95F</w:t>
      </w:r>
      <w:r w:rsidR="005B081B" w:rsidRPr="00672AC2">
        <w:rPr>
          <w:rStyle w:val="FootnoteReference"/>
          <w:szCs w:val="20"/>
          <w:lang w:val="es-ES"/>
        </w:rPr>
        <w:footnoteReference w:id="97"/>
      </w:r>
      <w:r w:rsidRPr="00672AC2">
        <w:rPr>
          <w:szCs w:val="20"/>
          <w:lang w:val="es-ES"/>
        </w:rPr>
        <w:t xml:space="preserve"> y los siguientes indicadores de avance a diciembre del 2024:</w:t>
      </w:r>
    </w:p>
    <w:p w14:paraId="2A82C7D1" w14:textId="6B0C3FEA" w:rsidR="005B081B" w:rsidRPr="00672AC2" w:rsidRDefault="005B081B" w:rsidP="00510A9F">
      <w:pPr>
        <w:pStyle w:val="Default"/>
        <w:numPr>
          <w:ilvl w:val="1"/>
          <w:numId w:val="16"/>
        </w:numPr>
        <w:ind w:left="1080"/>
        <w:jc w:val="both"/>
        <w:rPr>
          <w:rFonts w:ascii="Cambria" w:hAnsi="Cambria"/>
          <w:sz w:val="20"/>
          <w:szCs w:val="20"/>
          <w:lang w:val="es-ES"/>
        </w:rPr>
      </w:pPr>
      <w:r w:rsidRPr="00672AC2">
        <w:rPr>
          <w:rFonts w:ascii="Cambria" w:hAnsi="Cambria"/>
          <w:sz w:val="20"/>
          <w:szCs w:val="20"/>
          <w:lang w:val="es-ES"/>
        </w:rPr>
        <w:t xml:space="preserve">72 carpetas fiscales: 20 formalizadas, 46 en etapa de investigación preliminar y seis en proceso de calificación. Al respecto, señaló que las carpetas están referidas a 50 personas fallecidas y 729 personas agraviadas por otros delitos (lesiones, abuso de autoridad, tortura, etc.). Además, se señaló que el Equipo Especial tiene a su cargo 16 casos emblemáticos y de </w:t>
      </w:r>
      <w:r w:rsidR="00CC5A77" w:rsidRPr="00672AC2">
        <w:rPr>
          <w:rFonts w:ascii="Cambria" w:hAnsi="Cambria"/>
          <w:sz w:val="20"/>
          <w:szCs w:val="20"/>
          <w:lang w:val="es-ES"/>
        </w:rPr>
        <w:t xml:space="preserve">gran </w:t>
      </w:r>
      <w:r w:rsidRPr="00672AC2">
        <w:rPr>
          <w:rFonts w:ascii="Cambria" w:hAnsi="Cambria"/>
          <w:sz w:val="20"/>
          <w:szCs w:val="20"/>
          <w:lang w:val="es-ES"/>
        </w:rPr>
        <w:t>complejidad.</w:t>
      </w:r>
    </w:p>
    <w:p w14:paraId="763857F7" w14:textId="77777777" w:rsidR="005B081B" w:rsidRPr="00672AC2" w:rsidRDefault="005B081B" w:rsidP="00510A9F">
      <w:pPr>
        <w:pStyle w:val="Default"/>
        <w:numPr>
          <w:ilvl w:val="1"/>
          <w:numId w:val="16"/>
        </w:numPr>
        <w:ind w:left="1080"/>
        <w:jc w:val="both"/>
        <w:rPr>
          <w:rFonts w:ascii="Cambria" w:hAnsi="Cambria"/>
          <w:sz w:val="20"/>
          <w:szCs w:val="20"/>
          <w:lang w:val="es-ES"/>
        </w:rPr>
      </w:pPr>
      <w:r w:rsidRPr="00672AC2">
        <w:rPr>
          <w:rFonts w:ascii="Cambria" w:hAnsi="Cambria"/>
          <w:sz w:val="20"/>
          <w:szCs w:val="20"/>
          <w:lang w:val="es-ES"/>
        </w:rPr>
        <w:t>338 imputados, de los cuales 35 son miembros de las Fuerzas Armadas del Perú y 303 son miembros de la Policía Nacional del Perú.</w:t>
      </w:r>
    </w:p>
    <w:p w14:paraId="6A93A407" w14:textId="77777777" w:rsidR="005B081B" w:rsidRPr="00672AC2" w:rsidRDefault="005B081B" w:rsidP="00510A9F">
      <w:pPr>
        <w:pStyle w:val="Default"/>
        <w:numPr>
          <w:ilvl w:val="1"/>
          <w:numId w:val="16"/>
        </w:numPr>
        <w:ind w:left="1080"/>
        <w:jc w:val="both"/>
        <w:rPr>
          <w:rFonts w:ascii="Cambria" w:hAnsi="Cambria"/>
          <w:sz w:val="20"/>
          <w:szCs w:val="20"/>
          <w:lang w:val="es-ES"/>
        </w:rPr>
      </w:pPr>
      <w:r w:rsidRPr="00672AC2">
        <w:rPr>
          <w:rFonts w:ascii="Cambria" w:hAnsi="Cambria"/>
          <w:sz w:val="20"/>
          <w:szCs w:val="20"/>
          <w:lang w:val="es-ES"/>
        </w:rPr>
        <w:t xml:space="preserve">14.611 actos de investigación realizados, incluyendo declaraciones, inspecciones, pericias, recreaciones, exhibiciones, incautaciones, entre otras. </w:t>
      </w:r>
    </w:p>
    <w:p w14:paraId="3D087FC7" w14:textId="77777777" w:rsidR="005B081B" w:rsidRPr="00672AC2" w:rsidRDefault="005B081B" w:rsidP="00510A9F">
      <w:pPr>
        <w:pStyle w:val="Default"/>
        <w:numPr>
          <w:ilvl w:val="1"/>
          <w:numId w:val="16"/>
        </w:numPr>
        <w:ind w:left="1080"/>
        <w:jc w:val="both"/>
        <w:rPr>
          <w:rFonts w:ascii="Cambria" w:hAnsi="Cambria"/>
          <w:sz w:val="20"/>
          <w:szCs w:val="20"/>
          <w:lang w:val="es-ES"/>
        </w:rPr>
      </w:pPr>
      <w:r w:rsidRPr="00672AC2">
        <w:rPr>
          <w:rFonts w:ascii="Cambria" w:hAnsi="Cambria"/>
          <w:sz w:val="20"/>
          <w:szCs w:val="20"/>
          <w:lang w:val="es-ES"/>
        </w:rPr>
        <w:t>Se señaló que los fiscales del Equipo Especial se han desplazado a los lugares donde se suscitaron los hechos, incluyendo las regiones de Ayacucho, La Libertad, Cusco, Puno, Apurímac, Junín, Arequipa y Ucayali.</w:t>
      </w:r>
    </w:p>
    <w:p w14:paraId="0A1AC9F7" w14:textId="77777777" w:rsidR="005B081B" w:rsidRPr="00672AC2" w:rsidRDefault="005B081B" w:rsidP="005B081B">
      <w:pPr>
        <w:pStyle w:val="Default"/>
        <w:jc w:val="both"/>
        <w:rPr>
          <w:rFonts w:ascii="Cambria" w:hAnsi="Cambria"/>
          <w:sz w:val="20"/>
          <w:szCs w:val="20"/>
          <w:lang w:val="es-ES"/>
        </w:rPr>
      </w:pPr>
    </w:p>
    <w:p w14:paraId="0B30BE1E" w14:textId="51C1226D" w:rsidR="005B081B" w:rsidRPr="00672AC2" w:rsidRDefault="19C23EEB" w:rsidP="00E83710">
      <w:pPr>
        <w:pStyle w:val="IAPrrafo"/>
        <w:rPr>
          <w:b/>
          <w:bCs/>
          <w:szCs w:val="20"/>
          <w:lang w:val="es-ES"/>
        </w:rPr>
      </w:pPr>
      <w:r w:rsidRPr="00672AC2">
        <w:rPr>
          <w:bCs/>
          <w:szCs w:val="20"/>
          <w:lang w:val="es-ES"/>
        </w:rPr>
        <w:t>E</w:t>
      </w:r>
      <w:r w:rsidR="04C947FA" w:rsidRPr="00672AC2">
        <w:rPr>
          <w:bCs/>
          <w:szCs w:val="20"/>
          <w:lang w:val="es-ES"/>
        </w:rPr>
        <w:t xml:space="preserve">l Estado reportó que la Oficina del Área de Enriquecimiento Ilícito y Denuncias Constitucionales de la Fiscalía de la Nación formuló ante la Presidencia del Congreso de la República una denuncia constitucional por delitos contra la vida de las personas afectadas en el marco de las protestas en contra de la actual </w:t>
      </w:r>
      <w:proofErr w:type="gramStart"/>
      <w:r w:rsidR="04C947FA" w:rsidRPr="00672AC2">
        <w:rPr>
          <w:bCs/>
          <w:szCs w:val="20"/>
          <w:lang w:val="es-ES"/>
        </w:rPr>
        <w:t>Presidenta</w:t>
      </w:r>
      <w:proofErr w:type="gramEnd"/>
      <w:r w:rsidR="04C947FA" w:rsidRPr="00672AC2">
        <w:rPr>
          <w:bCs/>
          <w:szCs w:val="20"/>
          <w:lang w:val="es-ES"/>
        </w:rPr>
        <w:t xml:space="preserve"> de la República y otros altos funcionarios del Estado. Además, informó de 19 expedientes administrativo-disciplinarios relacionados al fallecimiento o lesiones de personas civiles y personal policial, en el co</w:t>
      </w:r>
      <w:r w:rsidR="00C5778D" w:rsidRPr="00672AC2">
        <w:rPr>
          <w:bCs/>
          <w:szCs w:val="20"/>
          <w:lang w:val="es-ES"/>
        </w:rPr>
        <w:t>n</w:t>
      </w:r>
      <w:r w:rsidR="04C947FA" w:rsidRPr="00672AC2">
        <w:rPr>
          <w:bCs/>
          <w:szCs w:val="20"/>
          <w:lang w:val="es-ES"/>
        </w:rPr>
        <w:t xml:space="preserve">texto de las protestas sociales actualizadas a octubre del 2023, a saber: </w:t>
      </w:r>
    </w:p>
    <w:p w14:paraId="67FA3945" w14:textId="4FFCF196" w:rsidR="005B081B" w:rsidRPr="00672AC2" w:rsidRDefault="005B081B" w:rsidP="00D50611">
      <w:pPr>
        <w:pStyle w:val="Default"/>
        <w:numPr>
          <w:ilvl w:val="0"/>
          <w:numId w:val="35"/>
        </w:numPr>
        <w:ind w:left="1620"/>
        <w:jc w:val="both"/>
        <w:rPr>
          <w:rFonts w:ascii="Cambria" w:hAnsi="Cambria"/>
          <w:sz w:val="20"/>
          <w:szCs w:val="20"/>
          <w:lang w:val="es-ES"/>
        </w:rPr>
      </w:pPr>
      <w:r w:rsidRPr="00672AC2">
        <w:rPr>
          <w:rFonts w:ascii="Cambria" w:hAnsi="Cambria"/>
          <w:sz w:val="20"/>
          <w:szCs w:val="20"/>
          <w:lang w:val="es-ES"/>
        </w:rPr>
        <w:t xml:space="preserve">Ocho pendientes en “Acciones previas”: </w:t>
      </w:r>
      <w:r w:rsidR="00E92348" w:rsidRPr="00672AC2">
        <w:rPr>
          <w:rFonts w:ascii="Cambria" w:hAnsi="Cambria"/>
          <w:sz w:val="20"/>
          <w:szCs w:val="20"/>
          <w:lang w:val="es-ES"/>
        </w:rPr>
        <w:t>u</w:t>
      </w:r>
      <w:r w:rsidRPr="00672AC2">
        <w:rPr>
          <w:rFonts w:ascii="Cambria" w:hAnsi="Cambria"/>
          <w:sz w:val="20"/>
          <w:szCs w:val="20"/>
          <w:lang w:val="es-ES"/>
        </w:rPr>
        <w:t xml:space="preserve">no en la región de Apurímac, dos en Arequipa, dos en Junín, dos en Cusco y uno en Puno. </w:t>
      </w:r>
    </w:p>
    <w:p w14:paraId="05740B00" w14:textId="35CCF1D1" w:rsidR="005B081B" w:rsidRPr="00672AC2" w:rsidRDefault="005B081B" w:rsidP="00D50611">
      <w:pPr>
        <w:pStyle w:val="Default"/>
        <w:numPr>
          <w:ilvl w:val="0"/>
          <w:numId w:val="35"/>
        </w:numPr>
        <w:ind w:left="1620"/>
        <w:jc w:val="both"/>
        <w:rPr>
          <w:rFonts w:ascii="Cambria" w:hAnsi="Cambria"/>
          <w:sz w:val="20"/>
          <w:szCs w:val="20"/>
          <w:lang w:val="es-ES"/>
        </w:rPr>
      </w:pPr>
      <w:r w:rsidRPr="00672AC2">
        <w:rPr>
          <w:rFonts w:ascii="Cambria" w:hAnsi="Cambria"/>
          <w:sz w:val="20"/>
          <w:szCs w:val="20"/>
          <w:lang w:val="es-ES"/>
        </w:rPr>
        <w:t xml:space="preserve">Siete derivados a la Oficina de Asuntos Internos del MININTER: </w:t>
      </w:r>
      <w:r w:rsidR="003031E1" w:rsidRPr="00672AC2">
        <w:rPr>
          <w:rFonts w:ascii="Cambria" w:hAnsi="Cambria"/>
          <w:sz w:val="20"/>
          <w:szCs w:val="20"/>
          <w:lang w:val="es-ES"/>
        </w:rPr>
        <w:t>t</w:t>
      </w:r>
      <w:r w:rsidRPr="00672AC2">
        <w:rPr>
          <w:rFonts w:ascii="Cambria" w:hAnsi="Cambria"/>
          <w:sz w:val="20"/>
          <w:szCs w:val="20"/>
          <w:lang w:val="es-ES"/>
        </w:rPr>
        <w:t xml:space="preserve">res en la región de Apurímac, uno en Ayacucho y tres en Puno. </w:t>
      </w:r>
    </w:p>
    <w:p w14:paraId="4FD6A6F0" w14:textId="1265AF1A" w:rsidR="005B081B" w:rsidRPr="00672AC2" w:rsidRDefault="005B081B" w:rsidP="00D50611">
      <w:pPr>
        <w:pStyle w:val="Default"/>
        <w:numPr>
          <w:ilvl w:val="0"/>
          <w:numId w:val="35"/>
        </w:numPr>
        <w:ind w:left="1620"/>
        <w:jc w:val="both"/>
        <w:rPr>
          <w:rFonts w:ascii="Cambria" w:hAnsi="Cambria"/>
          <w:sz w:val="20"/>
          <w:szCs w:val="20"/>
          <w:lang w:val="es-ES"/>
        </w:rPr>
      </w:pPr>
      <w:r w:rsidRPr="00672AC2">
        <w:rPr>
          <w:rFonts w:ascii="Cambria" w:hAnsi="Cambria"/>
          <w:sz w:val="20"/>
          <w:szCs w:val="20"/>
          <w:lang w:val="es-ES"/>
        </w:rPr>
        <w:t xml:space="preserve">Cuatro resueltos y archivados en las Oficinas de Disciplina y Área de Archivo: </w:t>
      </w:r>
      <w:r w:rsidR="003031E1" w:rsidRPr="00672AC2">
        <w:rPr>
          <w:rFonts w:ascii="Cambria" w:hAnsi="Cambria"/>
          <w:sz w:val="20"/>
          <w:szCs w:val="20"/>
          <w:lang w:val="es-ES"/>
        </w:rPr>
        <w:t>d</w:t>
      </w:r>
      <w:r w:rsidRPr="00672AC2">
        <w:rPr>
          <w:rFonts w:ascii="Cambria" w:hAnsi="Cambria"/>
          <w:sz w:val="20"/>
          <w:szCs w:val="20"/>
          <w:lang w:val="es-ES"/>
        </w:rPr>
        <w:t>os en La Libertad, uno en Arequipa y uno en Lima.</w:t>
      </w:r>
    </w:p>
    <w:p w14:paraId="78CF17E8" w14:textId="77777777" w:rsidR="005B081B" w:rsidRPr="00672AC2" w:rsidRDefault="005B081B" w:rsidP="005B081B">
      <w:pPr>
        <w:pStyle w:val="ListParagraph"/>
        <w:rPr>
          <w:sz w:val="20"/>
          <w:szCs w:val="20"/>
          <w:lang w:val="es-ES"/>
        </w:rPr>
      </w:pPr>
    </w:p>
    <w:p w14:paraId="7773C8D4" w14:textId="36104A06" w:rsidR="005B081B" w:rsidRPr="00672AC2" w:rsidRDefault="440246F2" w:rsidP="00E83710">
      <w:pPr>
        <w:pStyle w:val="IAPrrafo"/>
        <w:rPr>
          <w:b/>
          <w:bCs/>
          <w:szCs w:val="20"/>
          <w:lang w:val="es-ES"/>
        </w:rPr>
      </w:pPr>
      <w:r w:rsidRPr="00672AC2">
        <w:rPr>
          <w:bCs/>
          <w:szCs w:val="20"/>
          <w:lang w:val="es-ES"/>
        </w:rPr>
        <w:t>E</w:t>
      </w:r>
      <w:r w:rsidR="04C947FA" w:rsidRPr="00672AC2">
        <w:rPr>
          <w:bCs/>
          <w:szCs w:val="20"/>
          <w:lang w:val="es-ES"/>
        </w:rPr>
        <w:t>n relación con el componente de asistencia técnica al que se refiere la recomendación bajo seguimiento, el Estado manifestó que se suscribió el “Memorándum de Entendimiento (</w:t>
      </w:r>
      <w:proofErr w:type="spellStart"/>
      <w:r w:rsidR="04C947FA" w:rsidRPr="00672AC2">
        <w:rPr>
          <w:bCs/>
          <w:szCs w:val="20"/>
          <w:lang w:val="es-ES"/>
        </w:rPr>
        <w:t>MoU</w:t>
      </w:r>
      <w:proofErr w:type="spellEnd"/>
      <w:r w:rsidR="04C947FA" w:rsidRPr="00672AC2">
        <w:rPr>
          <w:bCs/>
          <w:szCs w:val="20"/>
          <w:lang w:val="es-ES"/>
        </w:rPr>
        <w:t>) sobre un Plan de Trabajo entre la República del Perú y la Oficina del Alto Comisionado de las Naciones Unidas para los Derechos Humanos”</w:t>
      </w:r>
      <w:r w:rsidR="00F36B41">
        <w:rPr>
          <w:rFonts w:ascii="ZWAdobeF" w:hAnsi="ZWAdobeF" w:cs="ZWAdobeF"/>
          <w:bCs/>
          <w:color w:val="auto"/>
          <w:sz w:val="2"/>
          <w:szCs w:val="2"/>
          <w:lang w:val="es-ES"/>
        </w:rPr>
        <w:t>96F</w:t>
      </w:r>
      <w:r w:rsidR="005B081B" w:rsidRPr="00672AC2">
        <w:rPr>
          <w:rStyle w:val="FootnoteReference"/>
          <w:bCs/>
          <w:szCs w:val="20"/>
          <w:lang w:val="es-ES"/>
        </w:rPr>
        <w:footnoteReference w:id="98"/>
      </w:r>
      <w:r w:rsidR="04C947FA" w:rsidRPr="00672AC2">
        <w:rPr>
          <w:bCs/>
          <w:szCs w:val="20"/>
          <w:lang w:val="es-ES"/>
        </w:rPr>
        <w:t>. Al respecto, señaló que, en el marco de esta medida, se han realizado capacitaciones a fiscales enfocadas en derechos humanos, estándares internacionales para la actuación fiscal, técnicas procesales, interculturalidad y enfoques en las investigaciones por el abuso de la fuerza.</w:t>
      </w:r>
      <w:r w:rsidR="00B0604E">
        <w:rPr>
          <w:bCs/>
          <w:szCs w:val="20"/>
          <w:lang w:val="es-ES"/>
        </w:rPr>
        <w:t xml:space="preserve"> Adicionalmente, el Estado informó de otras acciones de fortalecimiento de capacidades a personas funcionarias del Ministerio Público.</w:t>
      </w:r>
    </w:p>
    <w:p w14:paraId="1BDEF240" w14:textId="5320F3C8" w:rsidR="005B081B" w:rsidRPr="00D50611" w:rsidRDefault="005B081B" w:rsidP="005B081B">
      <w:pPr>
        <w:pStyle w:val="IAPrrafo"/>
        <w:rPr>
          <w:b/>
          <w:bCs/>
          <w:szCs w:val="20"/>
          <w:lang w:val="es-US"/>
        </w:rPr>
      </w:pPr>
      <w:r w:rsidRPr="00672AC2">
        <w:rPr>
          <w:bCs/>
          <w:szCs w:val="20"/>
          <w:lang w:val="es-US"/>
        </w:rPr>
        <w:t xml:space="preserve">Por su lado, sociedad civil remitió a la CIDH la siguiente información sobre el seguimiento que ha dado a los procesos judiciales en curso por los hechos vinculados a las protestas registradas en el Informe de País: </w:t>
      </w:r>
    </w:p>
    <w:tbl>
      <w:tblPr>
        <w:tblStyle w:val="TableGrid"/>
        <w:tblW w:w="0" w:type="auto"/>
        <w:tblLook w:val="04A0" w:firstRow="1" w:lastRow="0" w:firstColumn="1" w:lastColumn="0" w:noHBand="0" w:noVBand="1"/>
      </w:tblPr>
      <w:tblGrid>
        <w:gridCol w:w="1053"/>
        <w:gridCol w:w="4389"/>
        <w:gridCol w:w="2268"/>
        <w:gridCol w:w="1391"/>
      </w:tblGrid>
      <w:tr w:rsidR="005B081B" w:rsidRPr="00672AC2" w14:paraId="4BB86EDA" w14:textId="77777777" w:rsidTr="2A563637">
        <w:trPr>
          <w:trHeight w:val="276"/>
        </w:trPr>
        <w:tc>
          <w:tcPr>
            <w:tcW w:w="993" w:type="dxa"/>
          </w:tcPr>
          <w:p w14:paraId="53004E93" w14:textId="77777777" w:rsidR="005B081B" w:rsidRPr="00672AC2" w:rsidRDefault="005B081B">
            <w:pPr>
              <w:jc w:val="center"/>
              <w:rPr>
                <w:b/>
                <w:bCs/>
                <w:sz w:val="18"/>
                <w:szCs w:val="18"/>
              </w:rPr>
            </w:pPr>
            <w:proofErr w:type="spellStart"/>
            <w:r w:rsidRPr="00672AC2">
              <w:rPr>
                <w:b/>
                <w:bCs/>
                <w:sz w:val="18"/>
                <w:szCs w:val="18"/>
              </w:rPr>
              <w:t>Región</w:t>
            </w:r>
            <w:proofErr w:type="spellEnd"/>
          </w:p>
        </w:tc>
        <w:tc>
          <w:tcPr>
            <w:tcW w:w="4389" w:type="dxa"/>
          </w:tcPr>
          <w:p w14:paraId="4DD348A0" w14:textId="77777777" w:rsidR="005B081B" w:rsidRPr="00672AC2" w:rsidRDefault="005B081B">
            <w:pPr>
              <w:jc w:val="center"/>
              <w:rPr>
                <w:b/>
                <w:bCs/>
                <w:sz w:val="18"/>
                <w:szCs w:val="18"/>
              </w:rPr>
            </w:pPr>
            <w:r w:rsidRPr="00672AC2">
              <w:rPr>
                <w:b/>
                <w:bCs/>
                <w:sz w:val="18"/>
                <w:szCs w:val="18"/>
              </w:rPr>
              <w:t>Caso</w:t>
            </w:r>
          </w:p>
        </w:tc>
        <w:tc>
          <w:tcPr>
            <w:tcW w:w="2268" w:type="dxa"/>
          </w:tcPr>
          <w:p w14:paraId="3D95F931" w14:textId="77777777" w:rsidR="005B081B" w:rsidRPr="00672AC2" w:rsidRDefault="005B081B">
            <w:pPr>
              <w:jc w:val="center"/>
              <w:rPr>
                <w:b/>
                <w:bCs/>
                <w:sz w:val="18"/>
                <w:szCs w:val="18"/>
              </w:rPr>
            </w:pPr>
            <w:proofErr w:type="spellStart"/>
            <w:r w:rsidRPr="00672AC2">
              <w:rPr>
                <w:b/>
                <w:bCs/>
                <w:sz w:val="18"/>
                <w:szCs w:val="18"/>
              </w:rPr>
              <w:t>Imputados</w:t>
            </w:r>
            <w:proofErr w:type="spellEnd"/>
          </w:p>
        </w:tc>
        <w:tc>
          <w:tcPr>
            <w:tcW w:w="1391" w:type="dxa"/>
          </w:tcPr>
          <w:p w14:paraId="3D85A930" w14:textId="77777777" w:rsidR="005B081B" w:rsidRPr="00672AC2" w:rsidRDefault="005B081B">
            <w:pPr>
              <w:jc w:val="center"/>
              <w:rPr>
                <w:b/>
                <w:bCs/>
                <w:sz w:val="18"/>
                <w:szCs w:val="18"/>
              </w:rPr>
            </w:pPr>
            <w:r w:rsidRPr="00672AC2">
              <w:rPr>
                <w:b/>
                <w:bCs/>
                <w:sz w:val="18"/>
                <w:szCs w:val="18"/>
              </w:rPr>
              <w:t>Estado</w:t>
            </w:r>
          </w:p>
        </w:tc>
      </w:tr>
      <w:tr w:rsidR="005B081B" w:rsidRPr="00672AC2" w14:paraId="613DF362" w14:textId="77777777" w:rsidTr="2A563637">
        <w:trPr>
          <w:trHeight w:val="293"/>
        </w:trPr>
        <w:tc>
          <w:tcPr>
            <w:tcW w:w="993" w:type="dxa"/>
            <w:vMerge w:val="restart"/>
          </w:tcPr>
          <w:p w14:paraId="7D8187EB" w14:textId="77777777" w:rsidR="005B081B" w:rsidRPr="00D50611" w:rsidRDefault="005B081B">
            <w:pPr>
              <w:rPr>
                <w:sz w:val="20"/>
                <w:szCs w:val="20"/>
              </w:rPr>
            </w:pPr>
            <w:r w:rsidRPr="00D50611">
              <w:rPr>
                <w:sz w:val="20"/>
                <w:szCs w:val="20"/>
              </w:rPr>
              <w:t>Puno</w:t>
            </w:r>
          </w:p>
        </w:tc>
        <w:tc>
          <w:tcPr>
            <w:tcW w:w="4389" w:type="dxa"/>
          </w:tcPr>
          <w:p w14:paraId="6D4843B2" w14:textId="77777777" w:rsidR="005B081B" w:rsidRPr="00D50611" w:rsidRDefault="005B081B">
            <w:pPr>
              <w:rPr>
                <w:sz w:val="20"/>
                <w:szCs w:val="20"/>
                <w:lang w:val="es-ES"/>
              </w:rPr>
            </w:pPr>
            <w:r w:rsidRPr="00D50611">
              <w:rPr>
                <w:sz w:val="20"/>
                <w:szCs w:val="20"/>
                <w:lang w:val="es-US"/>
              </w:rPr>
              <w:t>Muerte de 18 personas y 108 heridos en las inmediaciones del Aeropuerto Inca Manco Cápac.</w:t>
            </w:r>
          </w:p>
        </w:tc>
        <w:tc>
          <w:tcPr>
            <w:tcW w:w="2268" w:type="dxa"/>
          </w:tcPr>
          <w:p w14:paraId="0859F123" w14:textId="77777777" w:rsidR="005B081B" w:rsidRPr="00D50611" w:rsidRDefault="005B081B">
            <w:pPr>
              <w:rPr>
                <w:sz w:val="20"/>
                <w:szCs w:val="20"/>
                <w:lang w:val="es-ES"/>
              </w:rPr>
            </w:pPr>
            <w:r w:rsidRPr="00D50611">
              <w:rPr>
                <w:sz w:val="20"/>
                <w:szCs w:val="20"/>
                <w:lang w:val="es-US"/>
              </w:rPr>
              <w:t>20 miembros del Ejército peruano y la Policía Nacional</w:t>
            </w:r>
          </w:p>
        </w:tc>
        <w:tc>
          <w:tcPr>
            <w:tcW w:w="1391" w:type="dxa"/>
          </w:tcPr>
          <w:p w14:paraId="7D848DB9" w14:textId="77777777" w:rsidR="005B081B" w:rsidRPr="00D50611" w:rsidRDefault="005B081B">
            <w:pPr>
              <w:rPr>
                <w:sz w:val="20"/>
                <w:szCs w:val="20"/>
              </w:rPr>
            </w:pPr>
            <w:r w:rsidRPr="00D50611">
              <w:rPr>
                <w:sz w:val="20"/>
                <w:szCs w:val="20"/>
                <w:lang w:val="es-US"/>
              </w:rPr>
              <w:t>Investigación preparatoria formalizada</w:t>
            </w:r>
          </w:p>
        </w:tc>
      </w:tr>
      <w:tr w:rsidR="005B081B" w:rsidRPr="00672AC2" w14:paraId="7B4CC1DD" w14:textId="77777777" w:rsidTr="2A563637">
        <w:trPr>
          <w:trHeight w:val="276"/>
        </w:trPr>
        <w:tc>
          <w:tcPr>
            <w:tcW w:w="993" w:type="dxa"/>
            <w:vMerge/>
          </w:tcPr>
          <w:p w14:paraId="20AED623" w14:textId="77777777" w:rsidR="005B081B" w:rsidRPr="00D50611" w:rsidRDefault="005B081B">
            <w:pPr>
              <w:rPr>
                <w:sz w:val="20"/>
                <w:szCs w:val="20"/>
              </w:rPr>
            </w:pPr>
          </w:p>
        </w:tc>
        <w:tc>
          <w:tcPr>
            <w:tcW w:w="4389" w:type="dxa"/>
          </w:tcPr>
          <w:p w14:paraId="6E59C6E4" w14:textId="77777777" w:rsidR="005B081B" w:rsidRPr="00D50611" w:rsidRDefault="005B081B">
            <w:pPr>
              <w:rPr>
                <w:sz w:val="20"/>
                <w:szCs w:val="20"/>
                <w:lang w:val="es-ES"/>
              </w:rPr>
            </w:pPr>
            <w:r w:rsidRPr="00D50611">
              <w:rPr>
                <w:sz w:val="20"/>
                <w:szCs w:val="20"/>
                <w:lang w:val="es-US"/>
              </w:rPr>
              <w:t xml:space="preserve">Muerte de Salomón Valenzuela </w:t>
            </w:r>
            <w:proofErr w:type="spellStart"/>
            <w:r w:rsidRPr="00D50611">
              <w:rPr>
                <w:sz w:val="20"/>
                <w:szCs w:val="20"/>
                <w:lang w:val="es-US"/>
              </w:rPr>
              <w:t>Chua</w:t>
            </w:r>
            <w:proofErr w:type="spellEnd"/>
            <w:r w:rsidRPr="00D50611">
              <w:rPr>
                <w:sz w:val="20"/>
                <w:szCs w:val="20"/>
                <w:lang w:val="es-US"/>
              </w:rPr>
              <w:t xml:space="preserve"> y Sonia Aguilar Quispe durante la protesta social registrada en </w:t>
            </w:r>
            <w:proofErr w:type="spellStart"/>
            <w:r w:rsidRPr="00D50611">
              <w:rPr>
                <w:sz w:val="20"/>
                <w:szCs w:val="20"/>
                <w:lang w:val="es-US"/>
              </w:rPr>
              <w:t>Macusani</w:t>
            </w:r>
            <w:proofErr w:type="spellEnd"/>
            <w:r w:rsidRPr="00D50611">
              <w:rPr>
                <w:sz w:val="20"/>
                <w:szCs w:val="20"/>
                <w:lang w:val="es-US"/>
              </w:rPr>
              <w:t>.</w:t>
            </w:r>
          </w:p>
        </w:tc>
        <w:tc>
          <w:tcPr>
            <w:tcW w:w="2268" w:type="dxa"/>
          </w:tcPr>
          <w:p w14:paraId="0530124A" w14:textId="77777777" w:rsidR="005B081B" w:rsidRPr="00D50611" w:rsidRDefault="005B081B">
            <w:pPr>
              <w:rPr>
                <w:sz w:val="20"/>
                <w:szCs w:val="20"/>
                <w:lang w:val="es-ES"/>
              </w:rPr>
            </w:pPr>
            <w:r w:rsidRPr="00D50611">
              <w:rPr>
                <w:sz w:val="20"/>
                <w:szCs w:val="20"/>
                <w:lang w:val="es-US"/>
              </w:rPr>
              <w:t>24 miembros de la Policía Nacional</w:t>
            </w:r>
          </w:p>
        </w:tc>
        <w:tc>
          <w:tcPr>
            <w:tcW w:w="1391" w:type="dxa"/>
          </w:tcPr>
          <w:p w14:paraId="203A654B" w14:textId="77777777" w:rsidR="005B081B" w:rsidRPr="00D50611" w:rsidRDefault="005B081B">
            <w:pPr>
              <w:rPr>
                <w:sz w:val="20"/>
                <w:szCs w:val="20"/>
              </w:rPr>
            </w:pPr>
            <w:r w:rsidRPr="00D50611">
              <w:rPr>
                <w:sz w:val="20"/>
                <w:szCs w:val="20"/>
                <w:lang w:val="es-US"/>
              </w:rPr>
              <w:t>Investigación preparatoria formalizada</w:t>
            </w:r>
          </w:p>
        </w:tc>
      </w:tr>
      <w:tr w:rsidR="005B081B" w:rsidRPr="00672AC2" w14:paraId="0579F858" w14:textId="77777777" w:rsidTr="2A563637">
        <w:trPr>
          <w:trHeight w:val="293"/>
        </w:trPr>
        <w:tc>
          <w:tcPr>
            <w:tcW w:w="993" w:type="dxa"/>
            <w:vMerge/>
          </w:tcPr>
          <w:p w14:paraId="4AB63066" w14:textId="77777777" w:rsidR="005B081B" w:rsidRPr="00D50611" w:rsidRDefault="005B081B">
            <w:pPr>
              <w:rPr>
                <w:sz w:val="20"/>
                <w:szCs w:val="20"/>
              </w:rPr>
            </w:pPr>
          </w:p>
        </w:tc>
        <w:tc>
          <w:tcPr>
            <w:tcW w:w="4389" w:type="dxa"/>
          </w:tcPr>
          <w:p w14:paraId="4A6B8F4C" w14:textId="77777777" w:rsidR="005B081B" w:rsidRPr="00D50611" w:rsidRDefault="005B081B">
            <w:pPr>
              <w:rPr>
                <w:sz w:val="20"/>
                <w:szCs w:val="20"/>
                <w:lang w:val="es-ES"/>
              </w:rPr>
            </w:pPr>
            <w:r w:rsidRPr="00D50611">
              <w:rPr>
                <w:sz w:val="20"/>
                <w:szCs w:val="20"/>
                <w:lang w:val="es-US"/>
              </w:rPr>
              <w:t>Hechos registrados en la av. Independencia, en la localidad de San Román (Juliaca).</w:t>
            </w:r>
          </w:p>
        </w:tc>
        <w:tc>
          <w:tcPr>
            <w:tcW w:w="2268" w:type="dxa"/>
          </w:tcPr>
          <w:p w14:paraId="1B653313" w14:textId="77777777" w:rsidR="005B081B" w:rsidRPr="00D50611" w:rsidRDefault="005B081B">
            <w:pPr>
              <w:rPr>
                <w:sz w:val="20"/>
                <w:szCs w:val="20"/>
                <w:lang w:val="es-ES"/>
              </w:rPr>
            </w:pPr>
            <w:r w:rsidRPr="00D50611">
              <w:rPr>
                <w:sz w:val="20"/>
                <w:szCs w:val="20"/>
                <w:lang w:val="es-US"/>
              </w:rPr>
              <w:t>Tres miembros de la Policía Nacional</w:t>
            </w:r>
          </w:p>
        </w:tc>
        <w:tc>
          <w:tcPr>
            <w:tcW w:w="1391" w:type="dxa"/>
          </w:tcPr>
          <w:p w14:paraId="146518ED" w14:textId="77777777" w:rsidR="005B081B" w:rsidRPr="00D50611" w:rsidRDefault="005B081B">
            <w:pPr>
              <w:rPr>
                <w:sz w:val="20"/>
                <w:szCs w:val="20"/>
              </w:rPr>
            </w:pPr>
            <w:r w:rsidRPr="00D50611">
              <w:rPr>
                <w:sz w:val="20"/>
                <w:szCs w:val="20"/>
                <w:lang w:val="es-US"/>
              </w:rPr>
              <w:t>Investigación preparatoria formalizada</w:t>
            </w:r>
          </w:p>
        </w:tc>
      </w:tr>
      <w:tr w:rsidR="005B081B" w:rsidRPr="00672AC2" w14:paraId="233DAFAD" w14:textId="77777777" w:rsidTr="2A563637">
        <w:trPr>
          <w:trHeight w:val="276"/>
        </w:trPr>
        <w:tc>
          <w:tcPr>
            <w:tcW w:w="993" w:type="dxa"/>
          </w:tcPr>
          <w:p w14:paraId="3338FCF2" w14:textId="77777777" w:rsidR="005B081B" w:rsidRPr="00D50611" w:rsidRDefault="005B081B">
            <w:pPr>
              <w:rPr>
                <w:sz w:val="20"/>
                <w:szCs w:val="20"/>
              </w:rPr>
            </w:pPr>
            <w:r w:rsidRPr="00D50611">
              <w:rPr>
                <w:sz w:val="20"/>
                <w:szCs w:val="20"/>
                <w:lang w:val="es-US"/>
              </w:rPr>
              <w:t>Ayacucho</w:t>
            </w:r>
          </w:p>
        </w:tc>
        <w:tc>
          <w:tcPr>
            <w:tcW w:w="4389" w:type="dxa"/>
          </w:tcPr>
          <w:p w14:paraId="2C4C9380" w14:textId="61FB398E" w:rsidR="005B081B" w:rsidRPr="00D50611" w:rsidRDefault="005B081B">
            <w:pPr>
              <w:rPr>
                <w:sz w:val="20"/>
                <w:szCs w:val="20"/>
                <w:lang w:val="es-US"/>
              </w:rPr>
            </w:pPr>
            <w:r w:rsidRPr="00D50611">
              <w:rPr>
                <w:sz w:val="20"/>
                <w:szCs w:val="20"/>
                <w:lang w:val="es-US"/>
              </w:rPr>
              <w:t xml:space="preserve">Carpeta Fiscal </w:t>
            </w:r>
            <w:proofErr w:type="spellStart"/>
            <w:r w:rsidR="00226E60" w:rsidRPr="00D50611">
              <w:rPr>
                <w:sz w:val="20"/>
                <w:szCs w:val="20"/>
                <w:lang w:val="es-US"/>
              </w:rPr>
              <w:t>Nº</w:t>
            </w:r>
            <w:proofErr w:type="spellEnd"/>
            <w:r w:rsidRPr="00D50611">
              <w:rPr>
                <w:i/>
                <w:iCs/>
                <w:sz w:val="20"/>
                <w:szCs w:val="20"/>
                <w:lang w:val="es-US"/>
              </w:rPr>
              <w:t xml:space="preserve"> 25-2023</w:t>
            </w:r>
            <w:r w:rsidRPr="00D50611">
              <w:rPr>
                <w:sz w:val="20"/>
                <w:szCs w:val="20"/>
                <w:lang w:val="es-US"/>
              </w:rPr>
              <w:t xml:space="preserve"> </w:t>
            </w:r>
          </w:p>
          <w:p w14:paraId="10C36933" w14:textId="77777777" w:rsidR="005B081B" w:rsidRPr="00D50611" w:rsidRDefault="005B081B">
            <w:pPr>
              <w:rPr>
                <w:sz w:val="20"/>
                <w:szCs w:val="20"/>
                <w:lang w:val="es-ES"/>
              </w:rPr>
            </w:pPr>
            <w:r w:rsidRPr="00D50611">
              <w:rPr>
                <w:sz w:val="20"/>
                <w:szCs w:val="20"/>
                <w:lang w:val="es-US"/>
              </w:rPr>
              <w:t>Hechos cometidos en agravio de 10 víctimas mortales y 40 víctimas de lesiones.</w:t>
            </w:r>
          </w:p>
        </w:tc>
        <w:tc>
          <w:tcPr>
            <w:tcW w:w="2268" w:type="dxa"/>
          </w:tcPr>
          <w:p w14:paraId="33A778E2" w14:textId="77777777" w:rsidR="005B081B" w:rsidRPr="00D50611" w:rsidRDefault="005B081B">
            <w:pPr>
              <w:rPr>
                <w:sz w:val="20"/>
                <w:szCs w:val="20"/>
              </w:rPr>
            </w:pPr>
            <w:r w:rsidRPr="00D50611">
              <w:rPr>
                <w:sz w:val="20"/>
                <w:szCs w:val="20"/>
                <w:lang w:val="es-US"/>
              </w:rPr>
              <w:t>36 presuntos responsables</w:t>
            </w:r>
          </w:p>
        </w:tc>
        <w:tc>
          <w:tcPr>
            <w:tcW w:w="1391" w:type="dxa"/>
          </w:tcPr>
          <w:p w14:paraId="3AD54826" w14:textId="77777777" w:rsidR="005B081B" w:rsidRPr="00D50611" w:rsidRDefault="005B081B">
            <w:pPr>
              <w:rPr>
                <w:sz w:val="20"/>
                <w:szCs w:val="20"/>
                <w:lang w:val="es-ES"/>
              </w:rPr>
            </w:pPr>
            <w:r w:rsidRPr="00D50611">
              <w:rPr>
                <w:sz w:val="20"/>
                <w:szCs w:val="20"/>
                <w:lang w:val="es-US"/>
              </w:rPr>
              <w:t>Investigación preparatoria formalizada</w:t>
            </w:r>
          </w:p>
        </w:tc>
      </w:tr>
      <w:tr w:rsidR="005B081B" w:rsidRPr="00672AC2" w14:paraId="02834511" w14:textId="77777777" w:rsidTr="2A563637">
        <w:trPr>
          <w:trHeight w:val="276"/>
        </w:trPr>
        <w:tc>
          <w:tcPr>
            <w:tcW w:w="993" w:type="dxa"/>
            <w:vMerge w:val="restart"/>
          </w:tcPr>
          <w:p w14:paraId="10893979" w14:textId="77777777" w:rsidR="005B081B" w:rsidRPr="00D50611" w:rsidRDefault="005B081B">
            <w:pPr>
              <w:rPr>
                <w:sz w:val="20"/>
                <w:szCs w:val="20"/>
                <w:lang w:val="es-US"/>
              </w:rPr>
            </w:pPr>
            <w:r w:rsidRPr="00D50611">
              <w:rPr>
                <w:sz w:val="20"/>
                <w:szCs w:val="20"/>
                <w:lang w:val="es-US"/>
              </w:rPr>
              <w:t>Apurímac</w:t>
            </w:r>
          </w:p>
        </w:tc>
        <w:tc>
          <w:tcPr>
            <w:tcW w:w="4389" w:type="dxa"/>
          </w:tcPr>
          <w:p w14:paraId="7B6E7E37" w14:textId="7DDBF6DE" w:rsidR="005B081B" w:rsidRPr="00D50611" w:rsidRDefault="005B081B">
            <w:pPr>
              <w:rPr>
                <w:sz w:val="20"/>
                <w:szCs w:val="20"/>
                <w:lang w:val="es-US"/>
              </w:rPr>
            </w:pPr>
            <w:r w:rsidRPr="00D50611">
              <w:rPr>
                <w:sz w:val="20"/>
                <w:szCs w:val="20"/>
                <w:lang w:val="es-US"/>
              </w:rPr>
              <w:t xml:space="preserve">Carpeta Fiscal </w:t>
            </w:r>
            <w:proofErr w:type="spellStart"/>
            <w:r w:rsidR="00226E60" w:rsidRPr="00D50611">
              <w:rPr>
                <w:sz w:val="20"/>
                <w:szCs w:val="20"/>
                <w:lang w:val="es-US"/>
              </w:rPr>
              <w:t>Nº</w:t>
            </w:r>
            <w:proofErr w:type="spellEnd"/>
            <w:r w:rsidRPr="00D50611">
              <w:rPr>
                <w:sz w:val="20"/>
                <w:szCs w:val="20"/>
                <w:lang w:val="es-US"/>
              </w:rPr>
              <w:t xml:space="preserve"> 8-2023 </w:t>
            </w:r>
          </w:p>
          <w:p w14:paraId="58ED0B13" w14:textId="77777777" w:rsidR="005B081B" w:rsidRPr="00D50611" w:rsidRDefault="005B081B">
            <w:pPr>
              <w:rPr>
                <w:sz w:val="20"/>
                <w:szCs w:val="20"/>
                <w:lang w:val="es-ES"/>
              </w:rPr>
            </w:pPr>
            <w:r w:rsidRPr="00D50611">
              <w:rPr>
                <w:sz w:val="20"/>
                <w:szCs w:val="20"/>
                <w:lang w:val="es-US"/>
              </w:rPr>
              <w:t xml:space="preserve">Homicidio de </w:t>
            </w:r>
            <w:proofErr w:type="spellStart"/>
            <w:r w:rsidRPr="00D50611">
              <w:rPr>
                <w:sz w:val="20"/>
                <w:szCs w:val="20"/>
                <w:lang w:val="es-US"/>
              </w:rPr>
              <w:t>Denilson</w:t>
            </w:r>
            <w:proofErr w:type="spellEnd"/>
            <w:r w:rsidRPr="00D50611">
              <w:rPr>
                <w:sz w:val="20"/>
                <w:szCs w:val="20"/>
                <w:lang w:val="es-US"/>
              </w:rPr>
              <w:t xml:space="preserve"> Huaraca Vílchez y lesiones graves en agravio de 4 ciudadanos en Andahuaylas durante las protestas del 8 de febrero de 2023.</w:t>
            </w:r>
          </w:p>
        </w:tc>
        <w:tc>
          <w:tcPr>
            <w:tcW w:w="2268" w:type="dxa"/>
          </w:tcPr>
          <w:p w14:paraId="18CEC4ED" w14:textId="77777777" w:rsidR="005B081B" w:rsidRPr="00D50611" w:rsidRDefault="005B081B">
            <w:pPr>
              <w:rPr>
                <w:sz w:val="20"/>
                <w:szCs w:val="20"/>
                <w:lang w:val="es-ES"/>
              </w:rPr>
            </w:pPr>
            <w:r w:rsidRPr="00D50611">
              <w:rPr>
                <w:sz w:val="20"/>
                <w:szCs w:val="20"/>
                <w:lang w:val="es-US"/>
              </w:rPr>
              <w:t>Gral. PNP Luis Flores Solis y otros 14 policías</w:t>
            </w:r>
          </w:p>
        </w:tc>
        <w:tc>
          <w:tcPr>
            <w:tcW w:w="1391" w:type="dxa"/>
          </w:tcPr>
          <w:p w14:paraId="4F657696" w14:textId="77777777" w:rsidR="005B081B" w:rsidRPr="00D50611" w:rsidRDefault="005B081B">
            <w:pPr>
              <w:rPr>
                <w:sz w:val="20"/>
                <w:szCs w:val="20"/>
                <w:lang w:val="es-ES"/>
              </w:rPr>
            </w:pPr>
            <w:r w:rsidRPr="00D50611">
              <w:rPr>
                <w:sz w:val="20"/>
                <w:szCs w:val="20"/>
                <w:lang w:val="es-US"/>
              </w:rPr>
              <w:t>Investigación preparatoria formalizada</w:t>
            </w:r>
          </w:p>
        </w:tc>
      </w:tr>
      <w:tr w:rsidR="005B081B" w:rsidRPr="00672AC2" w14:paraId="0BEFFAD2" w14:textId="77777777" w:rsidTr="2A563637">
        <w:trPr>
          <w:trHeight w:val="276"/>
        </w:trPr>
        <w:tc>
          <w:tcPr>
            <w:tcW w:w="993" w:type="dxa"/>
            <w:vMerge/>
          </w:tcPr>
          <w:p w14:paraId="00FD5839" w14:textId="77777777" w:rsidR="005B081B" w:rsidRPr="00D50611" w:rsidRDefault="005B081B">
            <w:pPr>
              <w:rPr>
                <w:sz w:val="20"/>
                <w:szCs w:val="20"/>
                <w:lang w:val="es-US"/>
              </w:rPr>
            </w:pPr>
          </w:p>
        </w:tc>
        <w:tc>
          <w:tcPr>
            <w:tcW w:w="4389" w:type="dxa"/>
          </w:tcPr>
          <w:p w14:paraId="122E3B49" w14:textId="7A9A8D45" w:rsidR="005B081B" w:rsidRPr="00D50611" w:rsidRDefault="005B081B">
            <w:pPr>
              <w:rPr>
                <w:sz w:val="20"/>
                <w:szCs w:val="20"/>
                <w:lang w:val="es-US"/>
              </w:rPr>
            </w:pPr>
            <w:r w:rsidRPr="00D50611">
              <w:rPr>
                <w:sz w:val="20"/>
                <w:szCs w:val="20"/>
                <w:lang w:val="es-US"/>
              </w:rPr>
              <w:t xml:space="preserve">Carpeta Fiscal </w:t>
            </w:r>
            <w:proofErr w:type="spellStart"/>
            <w:r w:rsidR="002B0B88" w:rsidRPr="00D50611">
              <w:rPr>
                <w:sz w:val="20"/>
                <w:szCs w:val="20"/>
                <w:lang w:val="es-US"/>
              </w:rPr>
              <w:t>Nº</w:t>
            </w:r>
            <w:proofErr w:type="spellEnd"/>
            <w:r w:rsidRPr="00D50611">
              <w:rPr>
                <w:sz w:val="20"/>
                <w:szCs w:val="20"/>
                <w:lang w:val="es-US"/>
              </w:rPr>
              <w:t xml:space="preserve"> 04-2024 </w:t>
            </w:r>
          </w:p>
          <w:p w14:paraId="12A508F4" w14:textId="77777777" w:rsidR="005B081B" w:rsidRPr="00D50611" w:rsidRDefault="005B081B">
            <w:pPr>
              <w:rPr>
                <w:sz w:val="20"/>
                <w:szCs w:val="20"/>
                <w:lang w:val="es-ES"/>
              </w:rPr>
            </w:pPr>
            <w:r w:rsidRPr="00D50611">
              <w:rPr>
                <w:sz w:val="20"/>
                <w:szCs w:val="20"/>
                <w:lang w:val="es-US"/>
              </w:rPr>
              <w:t>Homicidio calificado del menor R.P.M.L. y las lesiones cometidas en agravio del menor E.G.Q.N. y de Alcides Barzola Huamán.</w:t>
            </w:r>
          </w:p>
        </w:tc>
        <w:tc>
          <w:tcPr>
            <w:tcW w:w="2268" w:type="dxa"/>
          </w:tcPr>
          <w:p w14:paraId="60552A26" w14:textId="77777777" w:rsidR="005B081B" w:rsidRPr="00D50611" w:rsidRDefault="005B081B">
            <w:pPr>
              <w:rPr>
                <w:sz w:val="20"/>
                <w:szCs w:val="20"/>
                <w:lang w:val="es-ES"/>
              </w:rPr>
            </w:pPr>
            <w:r w:rsidRPr="00D50611">
              <w:rPr>
                <w:sz w:val="20"/>
                <w:szCs w:val="20"/>
                <w:lang w:val="es-US"/>
              </w:rPr>
              <w:t>Cinco efectivos policiales</w:t>
            </w:r>
          </w:p>
        </w:tc>
        <w:tc>
          <w:tcPr>
            <w:tcW w:w="1391" w:type="dxa"/>
          </w:tcPr>
          <w:p w14:paraId="3E3ED7F7" w14:textId="77777777" w:rsidR="005B081B" w:rsidRPr="00D50611" w:rsidRDefault="005B081B">
            <w:pPr>
              <w:rPr>
                <w:sz w:val="20"/>
                <w:szCs w:val="20"/>
                <w:lang w:val="es-ES"/>
              </w:rPr>
            </w:pPr>
            <w:r w:rsidRPr="00D50611">
              <w:rPr>
                <w:sz w:val="20"/>
                <w:szCs w:val="20"/>
                <w:lang w:val="es-US"/>
              </w:rPr>
              <w:t>Investigación preparatoria formalizada</w:t>
            </w:r>
          </w:p>
        </w:tc>
      </w:tr>
      <w:tr w:rsidR="005B081B" w:rsidRPr="00672AC2" w14:paraId="38817323" w14:textId="77777777" w:rsidTr="2A563637">
        <w:trPr>
          <w:trHeight w:val="276"/>
        </w:trPr>
        <w:tc>
          <w:tcPr>
            <w:tcW w:w="993" w:type="dxa"/>
            <w:vMerge/>
          </w:tcPr>
          <w:p w14:paraId="107606D6" w14:textId="77777777" w:rsidR="005B081B" w:rsidRPr="00D50611" w:rsidRDefault="005B081B">
            <w:pPr>
              <w:rPr>
                <w:sz w:val="20"/>
                <w:szCs w:val="20"/>
                <w:lang w:val="es-US"/>
              </w:rPr>
            </w:pPr>
          </w:p>
        </w:tc>
        <w:tc>
          <w:tcPr>
            <w:tcW w:w="4389" w:type="dxa"/>
          </w:tcPr>
          <w:p w14:paraId="1AF0EA3B" w14:textId="162A7C31" w:rsidR="005B081B" w:rsidRPr="00D50611" w:rsidRDefault="005B081B">
            <w:pPr>
              <w:rPr>
                <w:sz w:val="20"/>
                <w:szCs w:val="20"/>
                <w:lang w:val="es-US"/>
              </w:rPr>
            </w:pPr>
            <w:r w:rsidRPr="00D50611">
              <w:rPr>
                <w:sz w:val="20"/>
                <w:szCs w:val="20"/>
                <w:lang w:val="es-US"/>
              </w:rPr>
              <w:t xml:space="preserve">Carpeta Fiscal </w:t>
            </w:r>
            <w:proofErr w:type="spellStart"/>
            <w:r w:rsidR="002B0B88" w:rsidRPr="00D50611">
              <w:rPr>
                <w:sz w:val="20"/>
                <w:szCs w:val="20"/>
                <w:lang w:val="es-US"/>
              </w:rPr>
              <w:t>Nº</w:t>
            </w:r>
            <w:proofErr w:type="spellEnd"/>
            <w:r w:rsidRPr="00D50611">
              <w:rPr>
                <w:sz w:val="20"/>
                <w:szCs w:val="20"/>
                <w:lang w:val="es-US"/>
              </w:rPr>
              <w:t xml:space="preserve"> 10-2023</w:t>
            </w:r>
          </w:p>
          <w:p w14:paraId="27568C89" w14:textId="77777777" w:rsidR="005B081B" w:rsidRPr="00D50611" w:rsidRDefault="005B081B">
            <w:pPr>
              <w:rPr>
                <w:sz w:val="20"/>
                <w:szCs w:val="20"/>
                <w:lang w:val="es-ES"/>
              </w:rPr>
            </w:pPr>
            <w:r w:rsidRPr="00D50611">
              <w:rPr>
                <w:sz w:val="20"/>
                <w:szCs w:val="20"/>
                <w:lang w:val="es-US"/>
              </w:rPr>
              <w:t>Homicidio calificado de cinco personas, de las cuales al menos dos eran menores de edad, y las lesiones de otros 33 ciudadanos.</w:t>
            </w:r>
          </w:p>
        </w:tc>
        <w:tc>
          <w:tcPr>
            <w:tcW w:w="2268" w:type="dxa"/>
          </w:tcPr>
          <w:p w14:paraId="3E5A38F7" w14:textId="77777777" w:rsidR="005B081B" w:rsidRPr="00D50611" w:rsidRDefault="005B081B">
            <w:pPr>
              <w:rPr>
                <w:sz w:val="20"/>
                <w:szCs w:val="20"/>
                <w:lang w:val="es-ES"/>
              </w:rPr>
            </w:pPr>
            <w:r w:rsidRPr="00D50611">
              <w:rPr>
                <w:sz w:val="20"/>
                <w:szCs w:val="20"/>
                <w:lang w:val="es-US"/>
              </w:rPr>
              <w:t>24 efectivos policiales</w:t>
            </w:r>
          </w:p>
        </w:tc>
        <w:tc>
          <w:tcPr>
            <w:tcW w:w="1391" w:type="dxa"/>
          </w:tcPr>
          <w:p w14:paraId="2648235D" w14:textId="77777777" w:rsidR="005B081B" w:rsidRPr="00D50611" w:rsidRDefault="005B081B">
            <w:pPr>
              <w:rPr>
                <w:sz w:val="20"/>
                <w:szCs w:val="20"/>
                <w:lang w:val="es-ES"/>
              </w:rPr>
            </w:pPr>
            <w:r w:rsidRPr="00D50611">
              <w:rPr>
                <w:sz w:val="20"/>
                <w:szCs w:val="20"/>
                <w:lang w:val="es-US"/>
              </w:rPr>
              <w:t>Investigación preparatoria formalizada</w:t>
            </w:r>
          </w:p>
        </w:tc>
      </w:tr>
      <w:tr w:rsidR="005B081B" w:rsidRPr="00672AC2" w14:paraId="6C8E7DF8" w14:textId="77777777" w:rsidTr="2A563637">
        <w:trPr>
          <w:trHeight w:val="276"/>
        </w:trPr>
        <w:tc>
          <w:tcPr>
            <w:tcW w:w="993" w:type="dxa"/>
            <w:vMerge w:val="restart"/>
          </w:tcPr>
          <w:p w14:paraId="592AE313" w14:textId="77777777" w:rsidR="005B081B" w:rsidRPr="00D50611" w:rsidRDefault="005B081B">
            <w:pPr>
              <w:rPr>
                <w:sz w:val="20"/>
                <w:szCs w:val="20"/>
                <w:lang w:val="es-US"/>
              </w:rPr>
            </w:pPr>
            <w:r w:rsidRPr="00D50611">
              <w:rPr>
                <w:sz w:val="20"/>
                <w:szCs w:val="20"/>
                <w:lang w:val="es-US"/>
              </w:rPr>
              <w:t>Cusco</w:t>
            </w:r>
          </w:p>
        </w:tc>
        <w:tc>
          <w:tcPr>
            <w:tcW w:w="4389" w:type="dxa"/>
          </w:tcPr>
          <w:p w14:paraId="5D56362E" w14:textId="77777777" w:rsidR="005B081B" w:rsidRPr="00D50611" w:rsidRDefault="005B081B">
            <w:pPr>
              <w:rPr>
                <w:sz w:val="20"/>
                <w:szCs w:val="20"/>
                <w:lang w:val="es-US"/>
              </w:rPr>
            </w:pPr>
            <w:r w:rsidRPr="00D50611">
              <w:rPr>
                <w:sz w:val="20"/>
                <w:szCs w:val="20"/>
                <w:lang w:val="es-US"/>
              </w:rPr>
              <w:t>Sin información.</w:t>
            </w:r>
          </w:p>
        </w:tc>
        <w:tc>
          <w:tcPr>
            <w:tcW w:w="2268" w:type="dxa"/>
          </w:tcPr>
          <w:p w14:paraId="4F695A3A" w14:textId="77777777" w:rsidR="005B081B" w:rsidRPr="00D50611" w:rsidRDefault="005B081B">
            <w:pPr>
              <w:rPr>
                <w:sz w:val="20"/>
                <w:szCs w:val="20"/>
                <w:lang w:val="es-US"/>
              </w:rPr>
            </w:pPr>
            <w:r w:rsidRPr="00D50611">
              <w:rPr>
                <w:sz w:val="20"/>
                <w:szCs w:val="20"/>
                <w:lang w:val="es-US"/>
              </w:rPr>
              <w:t>20 efectivos de la Policía Nacional</w:t>
            </w:r>
          </w:p>
        </w:tc>
        <w:tc>
          <w:tcPr>
            <w:tcW w:w="1391" w:type="dxa"/>
          </w:tcPr>
          <w:p w14:paraId="17B742E8" w14:textId="77777777" w:rsidR="005B081B" w:rsidRPr="00D50611" w:rsidRDefault="005B081B">
            <w:pPr>
              <w:rPr>
                <w:sz w:val="20"/>
                <w:szCs w:val="20"/>
                <w:lang w:val="es-US"/>
              </w:rPr>
            </w:pPr>
            <w:r w:rsidRPr="00D50611">
              <w:rPr>
                <w:sz w:val="20"/>
                <w:szCs w:val="20"/>
                <w:lang w:val="es-US"/>
              </w:rPr>
              <w:t>Sin información</w:t>
            </w:r>
          </w:p>
        </w:tc>
      </w:tr>
      <w:tr w:rsidR="005B081B" w:rsidRPr="00672AC2" w14:paraId="290AA78F" w14:textId="77777777" w:rsidTr="2A563637">
        <w:trPr>
          <w:trHeight w:val="276"/>
        </w:trPr>
        <w:tc>
          <w:tcPr>
            <w:tcW w:w="993" w:type="dxa"/>
            <w:vMerge/>
          </w:tcPr>
          <w:p w14:paraId="31837C12" w14:textId="77777777" w:rsidR="005B081B" w:rsidRPr="00D50611" w:rsidRDefault="005B081B">
            <w:pPr>
              <w:rPr>
                <w:sz w:val="20"/>
                <w:szCs w:val="20"/>
                <w:lang w:val="es-US"/>
              </w:rPr>
            </w:pPr>
          </w:p>
        </w:tc>
        <w:tc>
          <w:tcPr>
            <w:tcW w:w="4389" w:type="dxa"/>
          </w:tcPr>
          <w:p w14:paraId="1C3B8473" w14:textId="77777777" w:rsidR="005B081B" w:rsidRPr="00D50611" w:rsidRDefault="005B081B">
            <w:pPr>
              <w:rPr>
                <w:sz w:val="20"/>
                <w:szCs w:val="20"/>
                <w:lang w:val="es-US"/>
              </w:rPr>
            </w:pPr>
            <w:r w:rsidRPr="00D50611">
              <w:rPr>
                <w:sz w:val="20"/>
                <w:szCs w:val="20"/>
                <w:lang w:val="es-US"/>
              </w:rPr>
              <w:t>Hechos cometidos en agravio de unos 30 ciudadanos durante las protestas ocurridas en la avenida 28 de Julio, el 11 de enero de 2023.</w:t>
            </w:r>
          </w:p>
        </w:tc>
        <w:tc>
          <w:tcPr>
            <w:tcW w:w="2268" w:type="dxa"/>
          </w:tcPr>
          <w:p w14:paraId="3254F550" w14:textId="77777777" w:rsidR="005B081B" w:rsidRPr="00D50611" w:rsidRDefault="005B081B">
            <w:pPr>
              <w:rPr>
                <w:sz w:val="20"/>
                <w:szCs w:val="20"/>
                <w:lang w:val="es-US"/>
              </w:rPr>
            </w:pPr>
            <w:r w:rsidRPr="00D50611">
              <w:rPr>
                <w:sz w:val="20"/>
                <w:szCs w:val="20"/>
                <w:lang w:val="es-US"/>
              </w:rPr>
              <w:t>Dos efectivos policiales</w:t>
            </w:r>
          </w:p>
        </w:tc>
        <w:tc>
          <w:tcPr>
            <w:tcW w:w="1391" w:type="dxa"/>
          </w:tcPr>
          <w:p w14:paraId="0053C71F" w14:textId="77777777" w:rsidR="005B081B" w:rsidRPr="00D50611" w:rsidRDefault="005B081B">
            <w:pPr>
              <w:rPr>
                <w:sz w:val="20"/>
                <w:szCs w:val="20"/>
                <w:lang w:val="es-US"/>
              </w:rPr>
            </w:pPr>
            <w:r w:rsidRPr="00D50611">
              <w:rPr>
                <w:sz w:val="20"/>
                <w:szCs w:val="20"/>
                <w:lang w:val="es-US"/>
              </w:rPr>
              <w:t>Sin información</w:t>
            </w:r>
          </w:p>
        </w:tc>
      </w:tr>
      <w:tr w:rsidR="005B081B" w:rsidRPr="00672AC2" w14:paraId="5985D223" w14:textId="77777777" w:rsidTr="2A563637">
        <w:trPr>
          <w:trHeight w:val="276"/>
        </w:trPr>
        <w:tc>
          <w:tcPr>
            <w:tcW w:w="993" w:type="dxa"/>
            <w:vMerge w:val="restart"/>
          </w:tcPr>
          <w:p w14:paraId="18CAF4BE" w14:textId="77777777" w:rsidR="005B081B" w:rsidRPr="00D50611" w:rsidRDefault="005B081B">
            <w:pPr>
              <w:rPr>
                <w:sz w:val="20"/>
                <w:szCs w:val="20"/>
                <w:lang w:val="es-US"/>
              </w:rPr>
            </w:pPr>
            <w:r w:rsidRPr="00D50611">
              <w:rPr>
                <w:sz w:val="20"/>
                <w:szCs w:val="20"/>
                <w:lang w:val="es-US"/>
              </w:rPr>
              <w:t>Lima</w:t>
            </w:r>
          </w:p>
        </w:tc>
        <w:tc>
          <w:tcPr>
            <w:tcW w:w="4389" w:type="dxa"/>
          </w:tcPr>
          <w:p w14:paraId="3D1BCC14" w14:textId="77777777" w:rsidR="005B081B" w:rsidRPr="00D50611" w:rsidRDefault="005B081B">
            <w:pPr>
              <w:rPr>
                <w:sz w:val="20"/>
                <w:szCs w:val="20"/>
                <w:lang w:val="es-US"/>
              </w:rPr>
            </w:pPr>
            <w:r w:rsidRPr="00D50611">
              <w:rPr>
                <w:sz w:val="20"/>
                <w:szCs w:val="20"/>
                <w:lang w:val="es-US"/>
              </w:rPr>
              <w:t xml:space="preserve">Muerte de Víctor Raúl Santisteban </w:t>
            </w:r>
            <w:proofErr w:type="spellStart"/>
            <w:r w:rsidRPr="00D50611">
              <w:rPr>
                <w:sz w:val="20"/>
                <w:szCs w:val="20"/>
                <w:lang w:val="es-US"/>
              </w:rPr>
              <w:t>Yacsavilca</w:t>
            </w:r>
            <w:proofErr w:type="spellEnd"/>
            <w:r w:rsidRPr="00D50611">
              <w:rPr>
                <w:sz w:val="20"/>
                <w:szCs w:val="20"/>
                <w:lang w:val="es-US"/>
              </w:rPr>
              <w:t>, ocurrida el 28 de enero de 2023 así como por las lesiones en agravio de tres personas.</w:t>
            </w:r>
          </w:p>
        </w:tc>
        <w:tc>
          <w:tcPr>
            <w:tcW w:w="2268" w:type="dxa"/>
          </w:tcPr>
          <w:p w14:paraId="6E70F7CD" w14:textId="77777777" w:rsidR="005B081B" w:rsidRPr="00D50611" w:rsidRDefault="005B081B">
            <w:pPr>
              <w:rPr>
                <w:sz w:val="20"/>
                <w:szCs w:val="20"/>
                <w:lang w:val="es-US"/>
              </w:rPr>
            </w:pPr>
            <w:r w:rsidRPr="00D50611">
              <w:rPr>
                <w:sz w:val="20"/>
                <w:szCs w:val="20"/>
                <w:lang w:val="es-US"/>
              </w:rPr>
              <w:t>Cuatro agentes policiales</w:t>
            </w:r>
          </w:p>
        </w:tc>
        <w:tc>
          <w:tcPr>
            <w:tcW w:w="1391" w:type="dxa"/>
          </w:tcPr>
          <w:p w14:paraId="7EDF59D2" w14:textId="77777777" w:rsidR="005B081B" w:rsidRPr="00D50611" w:rsidRDefault="005B081B">
            <w:pPr>
              <w:rPr>
                <w:sz w:val="20"/>
                <w:szCs w:val="20"/>
                <w:lang w:val="es-US"/>
              </w:rPr>
            </w:pPr>
            <w:r w:rsidRPr="00D50611">
              <w:rPr>
                <w:sz w:val="20"/>
                <w:szCs w:val="20"/>
                <w:lang w:val="es-US"/>
              </w:rPr>
              <w:t>Sin información</w:t>
            </w:r>
          </w:p>
        </w:tc>
      </w:tr>
      <w:tr w:rsidR="005B081B" w:rsidRPr="00672AC2" w14:paraId="3A2CC639" w14:textId="77777777" w:rsidTr="2A563637">
        <w:trPr>
          <w:trHeight w:val="276"/>
        </w:trPr>
        <w:tc>
          <w:tcPr>
            <w:tcW w:w="993" w:type="dxa"/>
            <w:vMerge/>
          </w:tcPr>
          <w:p w14:paraId="7DDB6480" w14:textId="77777777" w:rsidR="005B081B" w:rsidRPr="00D50611" w:rsidRDefault="005B081B">
            <w:pPr>
              <w:rPr>
                <w:sz w:val="20"/>
                <w:szCs w:val="20"/>
                <w:lang w:val="es-US"/>
              </w:rPr>
            </w:pPr>
          </w:p>
        </w:tc>
        <w:tc>
          <w:tcPr>
            <w:tcW w:w="4389" w:type="dxa"/>
          </w:tcPr>
          <w:p w14:paraId="64AB6FE5" w14:textId="55700E66" w:rsidR="005B081B" w:rsidRPr="00D50611" w:rsidRDefault="7F692C15">
            <w:pPr>
              <w:rPr>
                <w:sz w:val="20"/>
                <w:szCs w:val="20"/>
                <w:lang w:val="es-US"/>
              </w:rPr>
            </w:pPr>
            <w:r w:rsidRPr="00D50611">
              <w:rPr>
                <w:sz w:val="20"/>
                <w:szCs w:val="20"/>
                <w:lang w:val="es-US"/>
              </w:rPr>
              <w:t xml:space="preserve">Hechos de violencia ocurridos el 12 de diciembre de 2022, y el 4 de enero y el 2 de marzo de </w:t>
            </w:r>
            <w:r w:rsidR="234688A6" w:rsidRPr="00D50611">
              <w:rPr>
                <w:sz w:val="20"/>
                <w:szCs w:val="20"/>
                <w:lang w:val="es-US"/>
              </w:rPr>
              <w:t>2023 en</w:t>
            </w:r>
            <w:r w:rsidRPr="00D50611">
              <w:rPr>
                <w:sz w:val="20"/>
                <w:szCs w:val="20"/>
                <w:lang w:val="es-US"/>
              </w:rPr>
              <w:t xml:space="preserve"> la intersección de la av. Bolivia con Paseo de la República en la ciudad de Lima.</w:t>
            </w:r>
          </w:p>
        </w:tc>
        <w:tc>
          <w:tcPr>
            <w:tcW w:w="2268" w:type="dxa"/>
          </w:tcPr>
          <w:p w14:paraId="1FF08587" w14:textId="77777777" w:rsidR="005B081B" w:rsidRPr="00D50611" w:rsidRDefault="005B081B">
            <w:pPr>
              <w:rPr>
                <w:sz w:val="20"/>
                <w:szCs w:val="20"/>
                <w:lang w:val="es-US"/>
              </w:rPr>
            </w:pPr>
            <w:r w:rsidRPr="00D50611">
              <w:rPr>
                <w:sz w:val="20"/>
                <w:szCs w:val="20"/>
                <w:lang w:val="es-US"/>
              </w:rPr>
              <w:t>Ocho efectivos policiales</w:t>
            </w:r>
          </w:p>
        </w:tc>
        <w:tc>
          <w:tcPr>
            <w:tcW w:w="1391" w:type="dxa"/>
          </w:tcPr>
          <w:p w14:paraId="693F3DA5" w14:textId="77777777" w:rsidR="005B081B" w:rsidRPr="00D50611" w:rsidRDefault="005B081B">
            <w:pPr>
              <w:rPr>
                <w:sz w:val="20"/>
                <w:szCs w:val="20"/>
                <w:lang w:val="es-US"/>
              </w:rPr>
            </w:pPr>
            <w:r w:rsidRPr="00D50611">
              <w:rPr>
                <w:sz w:val="20"/>
                <w:szCs w:val="20"/>
                <w:lang w:val="es-US"/>
              </w:rPr>
              <w:t>Investigación preparatoria formalizada</w:t>
            </w:r>
          </w:p>
        </w:tc>
      </w:tr>
      <w:tr w:rsidR="005B081B" w:rsidRPr="00672AC2" w14:paraId="4DAE885F" w14:textId="77777777" w:rsidTr="2A563637">
        <w:trPr>
          <w:trHeight w:val="276"/>
        </w:trPr>
        <w:tc>
          <w:tcPr>
            <w:tcW w:w="993" w:type="dxa"/>
          </w:tcPr>
          <w:p w14:paraId="62BD4608" w14:textId="77777777" w:rsidR="005B081B" w:rsidRPr="00D50611" w:rsidRDefault="005B081B">
            <w:pPr>
              <w:rPr>
                <w:sz w:val="20"/>
                <w:szCs w:val="20"/>
                <w:lang w:val="es-US"/>
              </w:rPr>
            </w:pPr>
            <w:r w:rsidRPr="00D50611">
              <w:rPr>
                <w:sz w:val="20"/>
                <w:szCs w:val="20"/>
                <w:lang w:val="es-US"/>
              </w:rPr>
              <w:t>Junín</w:t>
            </w:r>
          </w:p>
        </w:tc>
        <w:tc>
          <w:tcPr>
            <w:tcW w:w="4389" w:type="dxa"/>
          </w:tcPr>
          <w:p w14:paraId="12348C22" w14:textId="77777777" w:rsidR="005B081B" w:rsidRPr="00D50611" w:rsidRDefault="005B081B">
            <w:pPr>
              <w:rPr>
                <w:sz w:val="20"/>
                <w:szCs w:val="20"/>
                <w:lang w:val="es-US"/>
              </w:rPr>
            </w:pPr>
            <w:r w:rsidRPr="00D50611">
              <w:rPr>
                <w:sz w:val="20"/>
                <w:szCs w:val="20"/>
                <w:lang w:val="es-US"/>
              </w:rPr>
              <w:t xml:space="preserve">Homicidio calificado del menor J.W.T.C. (17 años), Diego Armando Galindo Vizcarra y Ronaldo </w:t>
            </w:r>
            <w:proofErr w:type="spellStart"/>
            <w:r w:rsidRPr="00D50611">
              <w:rPr>
                <w:sz w:val="20"/>
                <w:szCs w:val="20"/>
                <w:lang w:val="es-US"/>
              </w:rPr>
              <w:t>Franly</w:t>
            </w:r>
            <w:proofErr w:type="spellEnd"/>
            <w:r w:rsidRPr="00D50611">
              <w:rPr>
                <w:sz w:val="20"/>
                <w:szCs w:val="20"/>
                <w:lang w:val="es-US"/>
              </w:rPr>
              <w:t xml:space="preserve"> Barra Leiva; así como lesiones graves en contra de siete personas y lesiones leves en agravio de 14 ciudadanos, ocurridas el 16 diciembre de 2022, en el distrito de </w:t>
            </w:r>
            <w:proofErr w:type="spellStart"/>
            <w:r w:rsidRPr="00D50611">
              <w:rPr>
                <w:sz w:val="20"/>
                <w:szCs w:val="20"/>
                <w:lang w:val="es-US"/>
              </w:rPr>
              <w:t>Pichanaqui</w:t>
            </w:r>
            <w:proofErr w:type="spellEnd"/>
            <w:r w:rsidRPr="00D50611">
              <w:rPr>
                <w:sz w:val="20"/>
                <w:szCs w:val="20"/>
                <w:lang w:val="es-US"/>
              </w:rPr>
              <w:t>.</w:t>
            </w:r>
          </w:p>
        </w:tc>
        <w:tc>
          <w:tcPr>
            <w:tcW w:w="2268" w:type="dxa"/>
          </w:tcPr>
          <w:p w14:paraId="04F0A50F" w14:textId="77777777" w:rsidR="005B081B" w:rsidRPr="00D50611" w:rsidRDefault="005B081B">
            <w:pPr>
              <w:rPr>
                <w:sz w:val="20"/>
                <w:szCs w:val="20"/>
                <w:lang w:val="es-US"/>
              </w:rPr>
            </w:pPr>
            <w:r w:rsidRPr="00D50611">
              <w:rPr>
                <w:sz w:val="20"/>
                <w:szCs w:val="20"/>
                <w:lang w:val="es-US"/>
              </w:rPr>
              <w:t xml:space="preserve">Tres efectivos que incluyen al jefe de la VI Macro Región Policial de Junín, Gregorio Villalón Trillo; el jefe de la División Policial de Chanchamayo, César Chávez Navarro, y el comisario de </w:t>
            </w:r>
            <w:proofErr w:type="spellStart"/>
            <w:r w:rsidRPr="00D50611">
              <w:rPr>
                <w:sz w:val="20"/>
                <w:szCs w:val="20"/>
                <w:lang w:val="es-US"/>
              </w:rPr>
              <w:t>Pichanaqui</w:t>
            </w:r>
            <w:proofErr w:type="spellEnd"/>
            <w:r w:rsidRPr="00D50611">
              <w:rPr>
                <w:sz w:val="20"/>
                <w:szCs w:val="20"/>
                <w:lang w:val="es-US"/>
              </w:rPr>
              <w:t xml:space="preserve">, Jonny Vargas </w:t>
            </w:r>
            <w:proofErr w:type="spellStart"/>
            <w:r w:rsidRPr="00D50611">
              <w:rPr>
                <w:sz w:val="20"/>
                <w:szCs w:val="20"/>
                <w:lang w:val="es-US"/>
              </w:rPr>
              <w:t>Ontón</w:t>
            </w:r>
            <w:proofErr w:type="spellEnd"/>
          </w:p>
        </w:tc>
        <w:tc>
          <w:tcPr>
            <w:tcW w:w="1391" w:type="dxa"/>
          </w:tcPr>
          <w:p w14:paraId="1EF8E67A" w14:textId="77777777" w:rsidR="005B081B" w:rsidRPr="00D50611" w:rsidRDefault="005B081B">
            <w:pPr>
              <w:rPr>
                <w:sz w:val="20"/>
                <w:szCs w:val="20"/>
                <w:lang w:val="es-US"/>
              </w:rPr>
            </w:pPr>
            <w:r w:rsidRPr="00D50611">
              <w:rPr>
                <w:sz w:val="20"/>
                <w:szCs w:val="20"/>
                <w:lang w:val="es-US"/>
              </w:rPr>
              <w:t>Investigación preparatoria formalizada</w:t>
            </w:r>
          </w:p>
        </w:tc>
      </w:tr>
      <w:tr w:rsidR="005B081B" w:rsidRPr="00672AC2" w14:paraId="0A345FA5" w14:textId="77777777" w:rsidTr="2A563637">
        <w:trPr>
          <w:trHeight w:val="276"/>
        </w:trPr>
        <w:tc>
          <w:tcPr>
            <w:tcW w:w="993" w:type="dxa"/>
          </w:tcPr>
          <w:p w14:paraId="3BB28B3D" w14:textId="77777777" w:rsidR="005B081B" w:rsidRPr="00672AC2" w:rsidRDefault="005B081B">
            <w:pPr>
              <w:rPr>
                <w:sz w:val="18"/>
                <w:szCs w:val="18"/>
                <w:lang w:val="es-US"/>
              </w:rPr>
            </w:pPr>
            <w:r w:rsidRPr="00672AC2">
              <w:rPr>
                <w:sz w:val="18"/>
                <w:szCs w:val="18"/>
                <w:lang w:val="es-US"/>
              </w:rPr>
              <w:t>Ucayali</w:t>
            </w:r>
          </w:p>
        </w:tc>
        <w:tc>
          <w:tcPr>
            <w:tcW w:w="4389" w:type="dxa"/>
          </w:tcPr>
          <w:p w14:paraId="4B947E1F" w14:textId="77777777" w:rsidR="005B081B" w:rsidRPr="00672AC2" w:rsidRDefault="005B081B">
            <w:pPr>
              <w:rPr>
                <w:sz w:val="18"/>
                <w:szCs w:val="18"/>
                <w:lang w:val="es-US"/>
              </w:rPr>
            </w:pPr>
            <w:r w:rsidRPr="00672AC2">
              <w:rPr>
                <w:sz w:val="18"/>
                <w:szCs w:val="18"/>
                <w:lang w:val="es-US"/>
              </w:rPr>
              <w:t xml:space="preserve">Autores (comisión por omisión) de los presuntos delitos de lesiones graves, lesiones leves y abuso de autoridad contra ocho personas durante los hechos registrados el 17 de diciembre del 2022, en el distrito de </w:t>
            </w:r>
            <w:proofErr w:type="spellStart"/>
            <w:r w:rsidRPr="00672AC2">
              <w:rPr>
                <w:sz w:val="18"/>
                <w:szCs w:val="18"/>
                <w:lang w:val="es-US"/>
              </w:rPr>
              <w:t>Huipoca</w:t>
            </w:r>
            <w:proofErr w:type="spellEnd"/>
            <w:r w:rsidRPr="00672AC2">
              <w:rPr>
                <w:sz w:val="18"/>
                <w:szCs w:val="18"/>
                <w:lang w:val="es-US"/>
              </w:rPr>
              <w:t>, provincia de Padre Abad.</w:t>
            </w:r>
          </w:p>
        </w:tc>
        <w:tc>
          <w:tcPr>
            <w:tcW w:w="2268" w:type="dxa"/>
          </w:tcPr>
          <w:p w14:paraId="1AB758BC" w14:textId="77777777" w:rsidR="005B081B" w:rsidRPr="00672AC2" w:rsidRDefault="005B081B">
            <w:pPr>
              <w:rPr>
                <w:sz w:val="18"/>
                <w:szCs w:val="18"/>
                <w:lang w:val="es-US"/>
              </w:rPr>
            </w:pPr>
            <w:proofErr w:type="spellStart"/>
            <w:r w:rsidRPr="00672AC2">
              <w:rPr>
                <w:sz w:val="18"/>
                <w:szCs w:val="18"/>
                <w:lang w:val="es-US"/>
              </w:rPr>
              <w:t>ExJefe</w:t>
            </w:r>
            <w:proofErr w:type="spellEnd"/>
            <w:r w:rsidRPr="00672AC2">
              <w:rPr>
                <w:sz w:val="18"/>
                <w:szCs w:val="18"/>
                <w:lang w:val="es-US"/>
              </w:rPr>
              <w:t xml:space="preserve"> de la Dirección de Unidades Especiales (DUE) de la Policía Nacional de Pucallpa, Manuel Barreto Gonzales, y el exjefe del Departamento de Operaciones Especiales 02 - PNP, Juan Pablo Tardío Alarcón</w:t>
            </w:r>
          </w:p>
        </w:tc>
        <w:tc>
          <w:tcPr>
            <w:tcW w:w="1391" w:type="dxa"/>
          </w:tcPr>
          <w:p w14:paraId="06D3E63D" w14:textId="77777777" w:rsidR="005B081B" w:rsidRPr="00672AC2" w:rsidRDefault="005B081B">
            <w:pPr>
              <w:rPr>
                <w:sz w:val="18"/>
                <w:szCs w:val="18"/>
                <w:lang w:val="es-US"/>
              </w:rPr>
            </w:pPr>
            <w:r w:rsidRPr="00672AC2">
              <w:rPr>
                <w:sz w:val="18"/>
                <w:szCs w:val="18"/>
                <w:lang w:val="es-US"/>
              </w:rPr>
              <w:t>Sin información</w:t>
            </w:r>
          </w:p>
        </w:tc>
      </w:tr>
      <w:tr w:rsidR="005B081B" w:rsidRPr="00672AC2" w14:paraId="2256D865" w14:textId="77777777" w:rsidTr="2A563637">
        <w:trPr>
          <w:trHeight w:val="276"/>
        </w:trPr>
        <w:tc>
          <w:tcPr>
            <w:tcW w:w="993" w:type="dxa"/>
            <w:vMerge w:val="restart"/>
          </w:tcPr>
          <w:p w14:paraId="1645FA3C" w14:textId="77777777" w:rsidR="005B081B" w:rsidRPr="00701479" w:rsidRDefault="005B081B">
            <w:pPr>
              <w:rPr>
                <w:sz w:val="20"/>
                <w:szCs w:val="20"/>
                <w:lang w:val="es-US"/>
              </w:rPr>
            </w:pPr>
            <w:r w:rsidRPr="00701479">
              <w:rPr>
                <w:sz w:val="20"/>
                <w:szCs w:val="20"/>
                <w:lang w:val="es-US"/>
              </w:rPr>
              <w:t>Arequipa</w:t>
            </w:r>
          </w:p>
        </w:tc>
        <w:tc>
          <w:tcPr>
            <w:tcW w:w="4389" w:type="dxa"/>
          </w:tcPr>
          <w:p w14:paraId="159D999B" w14:textId="77777777" w:rsidR="005B081B" w:rsidRPr="00701479" w:rsidRDefault="005B081B">
            <w:pPr>
              <w:rPr>
                <w:sz w:val="20"/>
                <w:szCs w:val="20"/>
                <w:lang w:val="es-US"/>
              </w:rPr>
            </w:pPr>
            <w:r w:rsidRPr="00701479">
              <w:rPr>
                <w:sz w:val="20"/>
                <w:szCs w:val="20"/>
                <w:lang w:val="es-US"/>
              </w:rPr>
              <w:t>Muerte de Miguel Arcana ocurrida el 12 de diciembre de 2022, en el distrito de Cerro Colorado.</w:t>
            </w:r>
          </w:p>
        </w:tc>
        <w:tc>
          <w:tcPr>
            <w:tcW w:w="2268" w:type="dxa"/>
          </w:tcPr>
          <w:p w14:paraId="5A1A7F90" w14:textId="77777777" w:rsidR="005B081B" w:rsidRPr="00701479" w:rsidRDefault="005B081B">
            <w:pPr>
              <w:rPr>
                <w:sz w:val="20"/>
                <w:szCs w:val="20"/>
                <w:lang w:val="es-US"/>
              </w:rPr>
            </w:pPr>
            <w:r w:rsidRPr="00701479">
              <w:rPr>
                <w:sz w:val="20"/>
                <w:szCs w:val="20"/>
                <w:lang w:val="es-US"/>
              </w:rPr>
              <w:t xml:space="preserve">Comisario de Ciudad Municipal, Marvin Antonio Vergaray Saldarriaga, y el SO2 PNP Paúl </w:t>
            </w:r>
            <w:proofErr w:type="spellStart"/>
            <w:r w:rsidRPr="00701479">
              <w:rPr>
                <w:sz w:val="20"/>
                <w:szCs w:val="20"/>
                <w:lang w:val="es-US"/>
              </w:rPr>
              <w:t>Qquenta</w:t>
            </w:r>
            <w:proofErr w:type="spellEnd"/>
            <w:r w:rsidRPr="00701479">
              <w:rPr>
                <w:sz w:val="20"/>
                <w:szCs w:val="20"/>
                <w:lang w:val="es-US"/>
              </w:rPr>
              <w:t xml:space="preserve"> Huamán</w:t>
            </w:r>
          </w:p>
        </w:tc>
        <w:tc>
          <w:tcPr>
            <w:tcW w:w="1391" w:type="dxa"/>
          </w:tcPr>
          <w:p w14:paraId="459C9041" w14:textId="77777777" w:rsidR="005B081B" w:rsidRPr="00701479" w:rsidRDefault="005B081B">
            <w:pPr>
              <w:rPr>
                <w:sz w:val="20"/>
                <w:szCs w:val="20"/>
                <w:lang w:val="es-US"/>
              </w:rPr>
            </w:pPr>
            <w:r w:rsidRPr="00701479">
              <w:rPr>
                <w:sz w:val="20"/>
                <w:szCs w:val="20"/>
                <w:lang w:val="es-US"/>
              </w:rPr>
              <w:t>Sin información</w:t>
            </w:r>
          </w:p>
        </w:tc>
      </w:tr>
      <w:tr w:rsidR="005B081B" w:rsidRPr="00672AC2" w14:paraId="6656E333" w14:textId="77777777" w:rsidTr="2A563637">
        <w:trPr>
          <w:trHeight w:val="276"/>
        </w:trPr>
        <w:tc>
          <w:tcPr>
            <w:tcW w:w="993" w:type="dxa"/>
            <w:vMerge/>
          </w:tcPr>
          <w:p w14:paraId="78B858CE" w14:textId="77777777" w:rsidR="005B081B" w:rsidRPr="00701479" w:rsidRDefault="005B081B">
            <w:pPr>
              <w:rPr>
                <w:sz w:val="20"/>
                <w:szCs w:val="20"/>
                <w:lang w:val="es-US"/>
              </w:rPr>
            </w:pPr>
          </w:p>
        </w:tc>
        <w:tc>
          <w:tcPr>
            <w:tcW w:w="4389" w:type="dxa"/>
          </w:tcPr>
          <w:p w14:paraId="5333C6EE" w14:textId="77777777" w:rsidR="005B081B" w:rsidRPr="00701479" w:rsidRDefault="005B081B">
            <w:pPr>
              <w:rPr>
                <w:sz w:val="20"/>
                <w:szCs w:val="20"/>
                <w:lang w:val="es-US"/>
              </w:rPr>
            </w:pPr>
            <w:r w:rsidRPr="00701479">
              <w:rPr>
                <w:sz w:val="20"/>
                <w:szCs w:val="20"/>
                <w:lang w:val="es-US"/>
              </w:rPr>
              <w:t>Cuatro ciudadanos por los hechos ocurridos durante las protestas del 17 de diciembre de 2022 en el distrito de Ocoña.</w:t>
            </w:r>
          </w:p>
        </w:tc>
        <w:tc>
          <w:tcPr>
            <w:tcW w:w="2268" w:type="dxa"/>
          </w:tcPr>
          <w:p w14:paraId="0463681D" w14:textId="77777777" w:rsidR="005B081B" w:rsidRPr="00701479" w:rsidRDefault="005B081B">
            <w:pPr>
              <w:rPr>
                <w:sz w:val="20"/>
                <w:szCs w:val="20"/>
                <w:lang w:val="es-US"/>
              </w:rPr>
            </w:pPr>
            <w:r w:rsidRPr="00701479">
              <w:rPr>
                <w:sz w:val="20"/>
                <w:szCs w:val="20"/>
                <w:lang w:val="es-US"/>
              </w:rPr>
              <w:t>Coronel PNP Francis Javier Alarcón Gallegos</w:t>
            </w:r>
          </w:p>
        </w:tc>
        <w:tc>
          <w:tcPr>
            <w:tcW w:w="1391" w:type="dxa"/>
          </w:tcPr>
          <w:p w14:paraId="749DD73B" w14:textId="77777777" w:rsidR="005B081B" w:rsidRPr="00701479" w:rsidRDefault="005B081B">
            <w:pPr>
              <w:rPr>
                <w:sz w:val="20"/>
                <w:szCs w:val="20"/>
                <w:lang w:val="es-US"/>
              </w:rPr>
            </w:pPr>
            <w:r w:rsidRPr="00701479">
              <w:rPr>
                <w:sz w:val="20"/>
                <w:szCs w:val="20"/>
                <w:lang w:val="es-US"/>
              </w:rPr>
              <w:t>Sin información</w:t>
            </w:r>
          </w:p>
        </w:tc>
      </w:tr>
      <w:tr w:rsidR="005B081B" w:rsidRPr="00672AC2" w14:paraId="082B4A8E" w14:textId="77777777" w:rsidTr="2A563637">
        <w:trPr>
          <w:trHeight w:val="276"/>
        </w:trPr>
        <w:tc>
          <w:tcPr>
            <w:tcW w:w="993" w:type="dxa"/>
            <w:vMerge/>
          </w:tcPr>
          <w:p w14:paraId="2E57039B" w14:textId="77777777" w:rsidR="005B081B" w:rsidRPr="00701479" w:rsidRDefault="005B081B">
            <w:pPr>
              <w:rPr>
                <w:sz w:val="20"/>
                <w:szCs w:val="20"/>
                <w:lang w:val="es-US"/>
              </w:rPr>
            </w:pPr>
          </w:p>
        </w:tc>
        <w:tc>
          <w:tcPr>
            <w:tcW w:w="4389" w:type="dxa"/>
          </w:tcPr>
          <w:p w14:paraId="5B32103F" w14:textId="77777777" w:rsidR="005B081B" w:rsidRPr="00701479" w:rsidRDefault="005B081B">
            <w:pPr>
              <w:rPr>
                <w:sz w:val="20"/>
                <w:szCs w:val="20"/>
                <w:lang w:val="es-US"/>
              </w:rPr>
            </w:pPr>
            <w:r w:rsidRPr="00701479">
              <w:rPr>
                <w:sz w:val="20"/>
                <w:szCs w:val="20"/>
                <w:lang w:val="es-US"/>
              </w:rPr>
              <w:t>Dos heridos registrados en las manifestaciones del 19 de enero de 2023, en la Variante de Uchumayo.</w:t>
            </w:r>
          </w:p>
        </w:tc>
        <w:tc>
          <w:tcPr>
            <w:tcW w:w="2268" w:type="dxa"/>
          </w:tcPr>
          <w:p w14:paraId="2AA630E8" w14:textId="77777777" w:rsidR="005B081B" w:rsidRPr="00701479" w:rsidRDefault="005B081B">
            <w:pPr>
              <w:rPr>
                <w:sz w:val="20"/>
                <w:szCs w:val="20"/>
                <w:lang w:val="es-US"/>
              </w:rPr>
            </w:pPr>
            <w:r w:rsidRPr="00701479">
              <w:rPr>
                <w:sz w:val="20"/>
                <w:szCs w:val="20"/>
                <w:lang w:val="es-US"/>
              </w:rPr>
              <w:t>Sin información</w:t>
            </w:r>
          </w:p>
        </w:tc>
        <w:tc>
          <w:tcPr>
            <w:tcW w:w="1391" w:type="dxa"/>
          </w:tcPr>
          <w:p w14:paraId="44AEFCF6" w14:textId="77777777" w:rsidR="005B081B" w:rsidRPr="00701479" w:rsidRDefault="005B081B">
            <w:pPr>
              <w:rPr>
                <w:sz w:val="20"/>
                <w:szCs w:val="20"/>
                <w:lang w:val="es-US"/>
              </w:rPr>
            </w:pPr>
            <w:r w:rsidRPr="00701479">
              <w:rPr>
                <w:sz w:val="20"/>
                <w:szCs w:val="20"/>
                <w:lang w:val="es-US"/>
              </w:rPr>
              <w:t>Sin información</w:t>
            </w:r>
          </w:p>
        </w:tc>
      </w:tr>
      <w:tr w:rsidR="005B081B" w:rsidRPr="00672AC2" w14:paraId="7B361FCA" w14:textId="77777777" w:rsidTr="2A563637">
        <w:trPr>
          <w:trHeight w:val="276"/>
        </w:trPr>
        <w:tc>
          <w:tcPr>
            <w:tcW w:w="993" w:type="dxa"/>
          </w:tcPr>
          <w:p w14:paraId="7FD7CD40" w14:textId="77777777" w:rsidR="005B081B" w:rsidRPr="00701479" w:rsidRDefault="005B081B">
            <w:pPr>
              <w:rPr>
                <w:sz w:val="20"/>
                <w:szCs w:val="20"/>
                <w:lang w:val="es-US"/>
              </w:rPr>
            </w:pPr>
            <w:r w:rsidRPr="00701479">
              <w:rPr>
                <w:sz w:val="20"/>
                <w:szCs w:val="20"/>
                <w:lang w:val="es-US"/>
              </w:rPr>
              <w:t>La Libertad</w:t>
            </w:r>
          </w:p>
        </w:tc>
        <w:tc>
          <w:tcPr>
            <w:tcW w:w="4389" w:type="dxa"/>
          </w:tcPr>
          <w:p w14:paraId="14E9FBC6" w14:textId="77777777" w:rsidR="005B081B" w:rsidRPr="00701479" w:rsidRDefault="005B081B">
            <w:pPr>
              <w:rPr>
                <w:sz w:val="20"/>
                <w:szCs w:val="20"/>
                <w:lang w:val="es-US"/>
              </w:rPr>
            </w:pPr>
            <w:r w:rsidRPr="00701479">
              <w:rPr>
                <w:sz w:val="20"/>
                <w:szCs w:val="20"/>
                <w:lang w:val="es-US"/>
              </w:rPr>
              <w:t xml:space="preserve">Muerte de Carlos Huamán Cabrera y Segundo Sánchez </w:t>
            </w:r>
            <w:proofErr w:type="spellStart"/>
            <w:r w:rsidRPr="00701479">
              <w:rPr>
                <w:sz w:val="20"/>
                <w:szCs w:val="20"/>
                <w:lang w:val="es-US"/>
              </w:rPr>
              <w:t>Huaynacari</w:t>
            </w:r>
            <w:proofErr w:type="spellEnd"/>
            <w:r w:rsidRPr="00701479">
              <w:rPr>
                <w:sz w:val="20"/>
                <w:szCs w:val="20"/>
                <w:lang w:val="es-US"/>
              </w:rPr>
              <w:t>, y las lesiones en agravio de tres personas ocurridas durante las movilizaciones del 13 de enero y el 20 de enero de 2023, en el distrito de Chao.</w:t>
            </w:r>
          </w:p>
        </w:tc>
        <w:tc>
          <w:tcPr>
            <w:tcW w:w="2268" w:type="dxa"/>
          </w:tcPr>
          <w:p w14:paraId="6F6CA794" w14:textId="77777777" w:rsidR="005B081B" w:rsidRPr="00701479" w:rsidRDefault="005B081B">
            <w:pPr>
              <w:rPr>
                <w:sz w:val="20"/>
                <w:szCs w:val="20"/>
                <w:lang w:val="es-US"/>
              </w:rPr>
            </w:pPr>
            <w:r w:rsidRPr="00701479">
              <w:rPr>
                <w:sz w:val="20"/>
                <w:szCs w:val="20"/>
                <w:lang w:val="es-US"/>
              </w:rPr>
              <w:t>Dos agentes policiales</w:t>
            </w:r>
          </w:p>
        </w:tc>
        <w:tc>
          <w:tcPr>
            <w:tcW w:w="1391" w:type="dxa"/>
          </w:tcPr>
          <w:p w14:paraId="3665D200" w14:textId="77777777" w:rsidR="005B081B" w:rsidRPr="00701479" w:rsidRDefault="005B081B">
            <w:pPr>
              <w:rPr>
                <w:sz w:val="20"/>
                <w:szCs w:val="20"/>
                <w:lang w:val="es-US"/>
              </w:rPr>
            </w:pPr>
            <w:r w:rsidRPr="00701479">
              <w:rPr>
                <w:sz w:val="20"/>
                <w:szCs w:val="20"/>
                <w:lang w:val="es-US"/>
              </w:rPr>
              <w:t>Investigación preparatoria Formalizada</w:t>
            </w:r>
          </w:p>
        </w:tc>
      </w:tr>
    </w:tbl>
    <w:p w14:paraId="666E87C2" w14:textId="6B613096" w:rsidR="005B081B" w:rsidRPr="00672AC2" w:rsidRDefault="005B081B" w:rsidP="00701479">
      <w:pPr>
        <w:pStyle w:val="ListParagraph"/>
        <w:ind w:left="0"/>
        <w:jc w:val="center"/>
        <w:rPr>
          <w:i/>
          <w:iCs/>
          <w:sz w:val="18"/>
          <w:szCs w:val="18"/>
          <w:lang w:val="es-US"/>
        </w:rPr>
      </w:pPr>
      <w:r w:rsidRPr="00672AC2">
        <w:rPr>
          <w:i/>
          <w:iCs/>
          <w:sz w:val="18"/>
          <w:szCs w:val="18"/>
          <w:lang w:val="es-US"/>
        </w:rPr>
        <w:t>Cuadro 1. Resumen de la información por casos presentada por sociedad civil en el marco del seguimiento de la</w:t>
      </w:r>
      <w:r w:rsidR="00701479">
        <w:rPr>
          <w:i/>
          <w:iCs/>
          <w:sz w:val="18"/>
          <w:szCs w:val="18"/>
          <w:lang w:val="es-US"/>
        </w:rPr>
        <w:t xml:space="preserve"> </w:t>
      </w:r>
      <w:r w:rsidRPr="00672AC2">
        <w:rPr>
          <w:i/>
          <w:iCs/>
          <w:sz w:val="18"/>
          <w:szCs w:val="18"/>
          <w:lang w:val="es-US"/>
        </w:rPr>
        <w:t>recomendación</w:t>
      </w:r>
    </w:p>
    <w:p w14:paraId="395B1596" w14:textId="77777777" w:rsidR="005B081B" w:rsidRPr="00672AC2" w:rsidRDefault="005B081B" w:rsidP="005B081B">
      <w:pPr>
        <w:pStyle w:val="ListParagraph"/>
        <w:rPr>
          <w:b/>
          <w:bCs/>
          <w:sz w:val="20"/>
          <w:szCs w:val="20"/>
          <w:lang w:val="es-US"/>
        </w:rPr>
      </w:pPr>
    </w:p>
    <w:p w14:paraId="2865A44D" w14:textId="2DF93F20" w:rsidR="005B081B" w:rsidRPr="00672AC2" w:rsidRDefault="04C947FA" w:rsidP="00E83710">
      <w:pPr>
        <w:pStyle w:val="IAPrrafo"/>
        <w:rPr>
          <w:b/>
          <w:bCs/>
          <w:szCs w:val="20"/>
          <w:lang w:val="es-US"/>
        </w:rPr>
      </w:pPr>
      <w:r w:rsidRPr="00672AC2">
        <w:rPr>
          <w:bCs/>
          <w:szCs w:val="20"/>
          <w:lang w:val="es-US"/>
        </w:rPr>
        <w:t>A partir de la anterior información, sociedad civil manifestó a la CIDH que la gran mayoría de las investigaciones se encuentran en etapa preliminar, y solo algunas se han formalizado. Como consecuencia, señaló que no se habría acusado penalmente aún a ninguna persona funcionaria pública y que las investigaciones habrían excluido elementos de la cadena de mando, en particular respecto a los más altos cargos.</w:t>
      </w:r>
    </w:p>
    <w:p w14:paraId="2D908FC6" w14:textId="641F06D4" w:rsidR="005B081B" w:rsidRPr="00672AC2" w:rsidRDefault="787F8273" w:rsidP="00E83710">
      <w:pPr>
        <w:pStyle w:val="IAPrrafo"/>
        <w:rPr>
          <w:b/>
          <w:bCs/>
          <w:szCs w:val="20"/>
          <w:lang w:val="es-US"/>
        </w:rPr>
      </w:pPr>
      <w:r w:rsidRPr="00672AC2">
        <w:rPr>
          <w:bCs/>
          <w:color w:val="000000" w:themeColor="text1"/>
          <w:szCs w:val="20"/>
          <w:lang w:val="es-US"/>
        </w:rPr>
        <w:t>E</w:t>
      </w:r>
      <w:r w:rsidR="04C947FA" w:rsidRPr="00672AC2">
        <w:rPr>
          <w:bCs/>
          <w:szCs w:val="20"/>
          <w:lang w:val="es-US"/>
        </w:rPr>
        <w:t xml:space="preserve">n relación con la denuncia constitucional presentada, sociedad civil </w:t>
      </w:r>
      <w:r w:rsidR="00DF42D4" w:rsidRPr="00672AC2">
        <w:rPr>
          <w:bCs/>
          <w:szCs w:val="20"/>
          <w:lang w:val="es-US"/>
        </w:rPr>
        <w:t xml:space="preserve">remarcó </w:t>
      </w:r>
      <w:r w:rsidR="04C947FA" w:rsidRPr="00672AC2">
        <w:rPr>
          <w:bCs/>
          <w:szCs w:val="20"/>
          <w:lang w:val="es-US"/>
        </w:rPr>
        <w:t xml:space="preserve">a la CIDH que adolecería de errores de forma y de fondo, puesto que no se estarían incluyendo el total de víctimas mortales y heridos graves, aunque habría material probatorio suficiente para hacerlo. Según lo </w:t>
      </w:r>
      <w:r w:rsidR="002762D8" w:rsidRPr="00672AC2">
        <w:rPr>
          <w:bCs/>
          <w:szCs w:val="20"/>
          <w:lang w:val="es-US"/>
        </w:rPr>
        <w:t>expresado</w:t>
      </w:r>
      <w:r w:rsidR="04C947FA" w:rsidRPr="00672AC2">
        <w:rPr>
          <w:bCs/>
          <w:szCs w:val="20"/>
          <w:lang w:val="es-US"/>
        </w:rPr>
        <w:t xml:space="preserve"> a la Comisión, esto respondería a la falta de investigación seria, ya que se habría presentado previo a la suspensión</w:t>
      </w:r>
      <w:r w:rsidR="002762D8" w:rsidRPr="00672AC2">
        <w:rPr>
          <w:bCs/>
          <w:szCs w:val="20"/>
          <w:lang w:val="es-US"/>
        </w:rPr>
        <w:t xml:space="preserve"> de la fiscal que la interpuso</w:t>
      </w:r>
      <w:r w:rsidR="04C947FA" w:rsidRPr="00672AC2">
        <w:rPr>
          <w:bCs/>
          <w:szCs w:val="20"/>
          <w:lang w:val="es-US"/>
        </w:rPr>
        <w:t xml:space="preserve"> por acusaciones de corrupción.</w:t>
      </w:r>
      <w:r w:rsidR="04C947FA" w:rsidRPr="00672AC2">
        <w:rPr>
          <w:bCs/>
          <w:szCs w:val="20"/>
          <w:lang w:val="es-ES"/>
        </w:rPr>
        <w:t xml:space="preserve"> </w:t>
      </w:r>
      <w:r w:rsidR="00F53186" w:rsidRPr="00672AC2">
        <w:rPr>
          <w:bCs/>
          <w:szCs w:val="20"/>
          <w:lang w:val="es-ES"/>
        </w:rPr>
        <w:t xml:space="preserve">Se aclaró que la denuncia constitucional </w:t>
      </w:r>
      <w:r w:rsidR="04C947FA" w:rsidRPr="00672AC2">
        <w:rPr>
          <w:bCs/>
          <w:szCs w:val="20"/>
          <w:lang w:val="es-ES"/>
        </w:rPr>
        <w:t xml:space="preserve">fue rechazada en julio del 2024 por la Subcomisión de Acusaciones Constitucional del Congreso de la República del Perú. Sin embargo, en julio del 2024, se presentó una nueva denuncia constitucional contra la </w:t>
      </w:r>
      <w:proofErr w:type="gramStart"/>
      <w:r w:rsidR="04C947FA" w:rsidRPr="00672AC2">
        <w:rPr>
          <w:bCs/>
          <w:szCs w:val="20"/>
          <w:lang w:val="es-ES"/>
        </w:rPr>
        <w:t>Presidenta</w:t>
      </w:r>
      <w:proofErr w:type="gramEnd"/>
      <w:r w:rsidR="04C947FA" w:rsidRPr="00672AC2">
        <w:rPr>
          <w:bCs/>
          <w:szCs w:val="20"/>
          <w:lang w:val="es-ES"/>
        </w:rPr>
        <w:t xml:space="preserve"> Dina </w:t>
      </w:r>
      <w:proofErr w:type="spellStart"/>
      <w:r w:rsidR="04C947FA" w:rsidRPr="00672AC2">
        <w:rPr>
          <w:bCs/>
          <w:szCs w:val="20"/>
          <w:lang w:val="es-ES"/>
        </w:rPr>
        <w:t>Boluarte</w:t>
      </w:r>
      <w:proofErr w:type="spellEnd"/>
      <w:r w:rsidR="04C947FA" w:rsidRPr="00672AC2">
        <w:rPr>
          <w:bCs/>
          <w:szCs w:val="20"/>
          <w:lang w:val="es-ES"/>
        </w:rPr>
        <w:t>, el ex Premier Pedro Angulo y el ex Premier y ex Ministro de Defensa Luis Otárola, y otros tres ex ministros, la que fue admitida a trámite en noviembre del 2024 por la misma Subcomisión del Congreso.</w:t>
      </w:r>
    </w:p>
    <w:p w14:paraId="255F942A" w14:textId="4CABCC52" w:rsidR="003F1C7E" w:rsidRPr="00856A45" w:rsidRDefault="0049651C" w:rsidP="00856A45">
      <w:pPr>
        <w:pStyle w:val="IAPrrafo"/>
        <w:rPr>
          <w:b/>
          <w:szCs w:val="20"/>
          <w:lang w:val="es-US"/>
        </w:rPr>
      </w:pPr>
      <w:r>
        <w:rPr>
          <w:lang w:val="es-US"/>
        </w:rPr>
        <w:t>A su vez</w:t>
      </w:r>
      <w:r w:rsidR="6B436EDA" w:rsidRPr="00DD4FEE">
        <w:rPr>
          <w:lang w:val="es-US"/>
        </w:rPr>
        <w:t xml:space="preserve">, la Comisión conoció información proporcionada por sociedad civil </w:t>
      </w:r>
      <w:r w:rsidR="0D736EFC" w:rsidRPr="00DD4FEE">
        <w:rPr>
          <w:lang w:val="es-US"/>
        </w:rPr>
        <w:t>según la</w:t>
      </w:r>
      <w:r w:rsidR="6B436EDA" w:rsidRPr="00DD4FEE">
        <w:rPr>
          <w:lang w:val="es-US"/>
        </w:rPr>
        <w:t xml:space="preserve"> cual, en enero del año 2023</w:t>
      </w:r>
      <w:r w:rsidR="001C4F3E" w:rsidRPr="00DD4FEE">
        <w:rPr>
          <w:lang w:val="es-US"/>
        </w:rPr>
        <w:t>,</w:t>
      </w:r>
      <w:r w:rsidR="6B436EDA" w:rsidRPr="00DD4FEE">
        <w:rPr>
          <w:lang w:val="es-US"/>
        </w:rPr>
        <w:t xml:space="preserve"> se creó una Comisión Investigadora Multipartidaria en el Congreso para determinar las presuntas responsabilidades penales y políticas por las graves afectaciones a los derechos humanos cometidas desde el 7 de diciembre de 2022. Sin embargo, no se conocen aún avances en los resultados de la Comisión del Congreso.</w:t>
      </w:r>
    </w:p>
    <w:p w14:paraId="7967AF2F" w14:textId="02F7DB68" w:rsidR="003F1C7E" w:rsidRPr="00856A45" w:rsidRDefault="003F1C7E" w:rsidP="003F1C7E">
      <w:pPr>
        <w:pStyle w:val="IAPrrafo"/>
        <w:rPr>
          <w:rFonts w:eastAsia="Calibri" w:cs="Calibri"/>
          <w:szCs w:val="20"/>
          <w:lang w:val="es-US"/>
        </w:rPr>
      </w:pPr>
      <w:r w:rsidRPr="00DD4FEE">
        <w:rPr>
          <w:szCs w:val="20"/>
          <w:lang w:val="es-US"/>
        </w:rPr>
        <w:t>La sociedad civil, por su parte, informó se siguen aprobando o discutiendo normas que tendrían como consecuencia la reducción de mecanismos de control de la actuación de la policía</w:t>
      </w:r>
      <w:r w:rsidR="00414D76" w:rsidRPr="00DD4FEE">
        <w:rPr>
          <w:szCs w:val="20"/>
          <w:lang w:val="es-US"/>
        </w:rPr>
        <w:t>,</w:t>
      </w:r>
      <w:r w:rsidRPr="00DD4FEE">
        <w:rPr>
          <w:szCs w:val="20"/>
          <w:lang w:val="es-US"/>
        </w:rPr>
        <w:t xml:space="preserve"> tanto en el contexto de protestas y manifestaciones, como en el marco de investigaciones contra personas detenidas. En ese sentido, se reportó de la aprobación de la Ley </w:t>
      </w:r>
      <w:proofErr w:type="spellStart"/>
      <w:r w:rsidRPr="00DD4FEE">
        <w:rPr>
          <w:szCs w:val="20"/>
          <w:lang w:val="es-US"/>
        </w:rPr>
        <w:t>Nº</w:t>
      </w:r>
      <w:proofErr w:type="spellEnd"/>
      <w:r w:rsidRPr="00DD4FEE">
        <w:rPr>
          <w:szCs w:val="20"/>
          <w:lang w:val="es-US"/>
        </w:rPr>
        <w:t xml:space="preserve"> 32130</w:t>
      </w:r>
      <w:r w:rsidR="00F36B41">
        <w:rPr>
          <w:rFonts w:ascii="ZWAdobeF" w:hAnsi="ZWAdobeF" w:cs="ZWAdobeF"/>
          <w:color w:val="auto"/>
          <w:sz w:val="2"/>
          <w:szCs w:val="2"/>
          <w:lang w:val="es-US"/>
        </w:rPr>
        <w:t>97F</w:t>
      </w:r>
      <w:r w:rsidRPr="00DD4FEE">
        <w:rPr>
          <w:rStyle w:val="FootnoteReference"/>
          <w:szCs w:val="20"/>
        </w:rPr>
        <w:footnoteReference w:id="99"/>
      </w:r>
      <w:r w:rsidRPr="00DD4FEE">
        <w:rPr>
          <w:szCs w:val="20"/>
          <w:lang w:val="es-US"/>
        </w:rPr>
        <w:t>, que otorga a la PNP la facultad de la investigación preliminar del delito, subordinando el quehacer fiscal a la actividad policial, tal como ha sido expresado en el pedido de inconstitucionalidad presentado por la Fiscal de la Nación contra dicha ley</w:t>
      </w:r>
      <w:r w:rsidR="00F36B41">
        <w:rPr>
          <w:rFonts w:ascii="ZWAdobeF" w:hAnsi="ZWAdobeF" w:cs="ZWAdobeF"/>
          <w:color w:val="auto"/>
          <w:sz w:val="2"/>
          <w:szCs w:val="2"/>
          <w:lang w:val="es-US"/>
        </w:rPr>
        <w:t>98F</w:t>
      </w:r>
      <w:r w:rsidRPr="00DD4FEE">
        <w:rPr>
          <w:rStyle w:val="FootnoteReference"/>
          <w:rFonts w:eastAsiaTheme="minorEastAsia"/>
          <w:szCs w:val="20"/>
        </w:rPr>
        <w:footnoteReference w:id="100"/>
      </w:r>
      <w:r w:rsidRPr="00DD4FEE">
        <w:rPr>
          <w:szCs w:val="20"/>
          <w:lang w:val="es-US"/>
        </w:rPr>
        <w:t xml:space="preserve">. También se resaltó la aprobación y promulgación de la Ley </w:t>
      </w:r>
      <w:proofErr w:type="spellStart"/>
      <w:r w:rsidRPr="00DD4FEE">
        <w:rPr>
          <w:szCs w:val="20"/>
          <w:lang w:val="es-US"/>
        </w:rPr>
        <w:t>Nº</w:t>
      </w:r>
      <w:proofErr w:type="spellEnd"/>
      <w:r w:rsidRPr="00DD4FEE">
        <w:rPr>
          <w:szCs w:val="20"/>
          <w:lang w:val="es-US"/>
        </w:rPr>
        <w:t xml:space="preserve"> 32181</w:t>
      </w:r>
      <w:r w:rsidR="00F36B41">
        <w:rPr>
          <w:rFonts w:ascii="ZWAdobeF" w:hAnsi="ZWAdobeF" w:cs="ZWAdobeF"/>
          <w:color w:val="auto"/>
          <w:sz w:val="2"/>
          <w:szCs w:val="2"/>
          <w:lang w:val="es-US"/>
        </w:rPr>
        <w:t>99F</w:t>
      </w:r>
      <w:r w:rsidRPr="00DD4FEE">
        <w:rPr>
          <w:rStyle w:val="FootnoteReference"/>
          <w:szCs w:val="20"/>
        </w:rPr>
        <w:footnoteReference w:id="101"/>
      </w:r>
      <w:r w:rsidRPr="00DD4FEE">
        <w:rPr>
          <w:szCs w:val="20"/>
          <w:lang w:val="es-US"/>
        </w:rPr>
        <w:t>, por la cual el Ministerio Público, bajo responsabilidad funcional, no puede solicitar la detención preliminar judicial o prisión preventiva contra el personal policial en situación de actividad cuando hace uso de sus armas o medios de defensa en forma reglamentaria, aunque se hayan generado lesiones o muertes a terceros.</w:t>
      </w:r>
    </w:p>
    <w:p w14:paraId="77C78DC2" w14:textId="79A8DD0D" w:rsidR="005B081B" w:rsidRPr="009E68E3" w:rsidRDefault="003F1C7E" w:rsidP="009E68E3">
      <w:pPr>
        <w:pStyle w:val="IAPrrafo"/>
        <w:rPr>
          <w:rFonts w:eastAsia="Calibri" w:cs="Calibri"/>
          <w:iCs/>
          <w:szCs w:val="20"/>
          <w:lang w:val="es-US"/>
        </w:rPr>
      </w:pPr>
      <w:r w:rsidRPr="00DD4FEE">
        <w:rPr>
          <w:rFonts w:eastAsia="Calibri" w:cs="Calibri"/>
          <w:szCs w:val="20"/>
          <w:lang w:val="es-US"/>
        </w:rPr>
        <w:t xml:space="preserve">Sociedad civil, asimismo, informó a la Comisión sobre el Consejo de Estado realizado en noviembre del 2024 entre los distintos poderes e instituciones públicas, </w:t>
      </w:r>
      <w:r w:rsidR="001B2565" w:rsidRPr="00DD4FEE">
        <w:rPr>
          <w:rFonts w:eastAsia="Calibri" w:cs="Calibri"/>
          <w:szCs w:val="20"/>
          <w:lang w:val="es-US"/>
        </w:rPr>
        <w:t xml:space="preserve">en el que </w:t>
      </w:r>
      <w:r w:rsidRPr="00DD4FEE">
        <w:rPr>
          <w:rFonts w:eastAsia="Calibri" w:cs="Calibri"/>
          <w:szCs w:val="20"/>
          <w:lang w:val="es-US"/>
        </w:rPr>
        <w:t>se acordó, como medida para combatir la delincuencia y el crimen organizado, la formulación de un marco legal que permitiría a la Policía y las Fuerzas Armadas el uso de la fuerza en el cumplimiento de sus funciones</w:t>
      </w:r>
      <w:r w:rsidR="009C14EA" w:rsidRPr="00DD4FEE">
        <w:rPr>
          <w:rFonts w:eastAsia="Calibri" w:cs="Calibri"/>
          <w:szCs w:val="20"/>
          <w:lang w:val="es-US"/>
        </w:rPr>
        <w:t>. Y que establecería</w:t>
      </w:r>
      <w:r w:rsidRPr="00DD4FEE">
        <w:rPr>
          <w:rFonts w:eastAsia="Calibri" w:cs="Calibri"/>
          <w:szCs w:val="20"/>
          <w:lang w:val="es-US"/>
        </w:rPr>
        <w:t xml:space="preserve"> juzgados en el fuero militar policial al emplear sus armas de reglamento, bajo el control de la Inspectoría General de la Policía. A partir de ello, se presentó un proyecto de ley que se encuentra en debate en el Congreso</w:t>
      </w:r>
      <w:r w:rsidR="00F36B41">
        <w:rPr>
          <w:rFonts w:ascii="ZWAdobeF" w:eastAsia="Calibri" w:hAnsi="ZWAdobeF" w:cs="ZWAdobeF"/>
          <w:color w:val="auto"/>
          <w:sz w:val="2"/>
          <w:szCs w:val="2"/>
          <w:lang w:val="es-US"/>
        </w:rPr>
        <w:t>100F</w:t>
      </w:r>
      <w:r w:rsidRPr="00DD4FEE">
        <w:rPr>
          <w:rStyle w:val="FootnoteReference"/>
          <w:rFonts w:eastAsia="Calibri" w:cs="Calibri"/>
          <w:szCs w:val="20"/>
          <w:lang w:val="es-US"/>
        </w:rPr>
        <w:footnoteReference w:id="102"/>
      </w:r>
      <w:r w:rsidRPr="00DD4FEE">
        <w:rPr>
          <w:rFonts w:eastAsia="Calibri" w:cs="Calibri"/>
          <w:szCs w:val="20"/>
          <w:lang w:val="es-US"/>
        </w:rPr>
        <w:t>.</w:t>
      </w:r>
    </w:p>
    <w:p w14:paraId="3D96325B" w14:textId="77777777" w:rsidR="005B081B" w:rsidRPr="00DD4FEE" w:rsidRDefault="005B081B" w:rsidP="009E68E3">
      <w:pPr>
        <w:pStyle w:val="IASubttulo2"/>
        <w:numPr>
          <w:ilvl w:val="0"/>
          <w:numId w:val="0"/>
        </w:numPr>
        <w:ind w:left="360" w:firstLine="360"/>
        <w:jc w:val="both"/>
        <w:rPr>
          <w:b w:val="0"/>
          <w:sz w:val="20"/>
          <w:szCs w:val="20"/>
          <w:lang w:val="es-419" w:eastAsia="es-US"/>
        </w:rPr>
      </w:pPr>
      <w:bookmarkStart w:id="16" w:name="_Toc195618282"/>
      <w:r w:rsidRPr="00DD4FEE">
        <w:rPr>
          <w:rFonts w:eastAsia="Cambria" w:cs="Cambria"/>
          <w:b w:val="0"/>
          <w:i/>
          <w:iCs/>
          <w:color w:val="000000" w:themeColor="text1"/>
          <w:sz w:val="20"/>
          <w:szCs w:val="20"/>
          <w:lang w:val="es-ES"/>
        </w:rPr>
        <w:t>Análisis y nivel de cumplimiento de la recomendación</w:t>
      </w:r>
      <w:bookmarkEnd w:id="16"/>
    </w:p>
    <w:p w14:paraId="7BA58CE2" w14:textId="04BB052B" w:rsidR="003F1C7E" w:rsidRPr="009E68E3" w:rsidRDefault="005B081B" w:rsidP="009E68E3">
      <w:pPr>
        <w:pStyle w:val="IAPrrafo"/>
        <w:rPr>
          <w:lang w:val="es-US"/>
        </w:rPr>
      </w:pPr>
      <w:r w:rsidRPr="00DD4FEE">
        <w:rPr>
          <w:lang w:val="es-US"/>
        </w:rPr>
        <w:t xml:space="preserve">La Comisión agradece la información recibida por parte del Estado y de sociedad civil sobre el estado de los distintos procesos judiciales e investigaciones fiscales. En ese sentido, valora los avances en cada uno de dichos procesos. Sin embargo, es importante resaltar que el acceso a la justicia para las personas víctimas debe darse de manera célere, considerando las complejidades de los casos, y tratando de determinar las responsabilidades penales correspondientes. Por ello, resulta </w:t>
      </w:r>
      <w:r w:rsidR="00AE371D" w:rsidRPr="00DD4FEE">
        <w:rPr>
          <w:lang w:val="es-US"/>
        </w:rPr>
        <w:t xml:space="preserve">esencial </w:t>
      </w:r>
      <w:r w:rsidRPr="00DD4FEE">
        <w:rPr>
          <w:lang w:val="es-US"/>
        </w:rPr>
        <w:t xml:space="preserve">que el Estado pueda tomar las medidas para garantizar los recursos logísticos y de personal </w:t>
      </w:r>
      <w:r w:rsidR="001C50D9" w:rsidRPr="00DD4FEE">
        <w:rPr>
          <w:lang w:val="es-US"/>
        </w:rPr>
        <w:t xml:space="preserve">indispensables </w:t>
      </w:r>
      <w:r w:rsidRPr="00DD4FEE">
        <w:rPr>
          <w:lang w:val="es-US"/>
        </w:rPr>
        <w:t>para avanzar con dichas investigaciones.</w:t>
      </w:r>
    </w:p>
    <w:p w14:paraId="6A927F51" w14:textId="316FE821" w:rsidR="005B081B" w:rsidRPr="009E68E3" w:rsidRDefault="003F1C7E" w:rsidP="009E68E3">
      <w:pPr>
        <w:pStyle w:val="IAPrrafo"/>
        <w:rPr>
          <w:lang w:val="es-CO"/>
        </w:rPr>
      </w:pPr>
      <w:r w:rsidRPr="00DD4FEE">
        <w:rPr>
          <w:lang w:val="es-CO"/>
        </w:rPr>
        <w:t xml:space="preserve">Asimismo, la Comisión identifica que las medidas legislativas aprobadas resaltadas por sociedad civil tendrían como efecto reducir los mecanismos de control externo e interno a las actuaciones de la </w:t>
      </w:r>
      <w:r w:rsidR="009C14EA" w:rsidRPr="00DD4FEE">
        <w:rPr>
          <w:lang w:val="es-CO"/>
        </w:rPr>
        <w:t>P</w:t>
      </w:r>
      <w:r w:rsidRPr="00DD4FEE">
        <w:rPr>
          <w:lang w:val="es-CO"/>
        </w:rPr>
        <w:t>olicía en el contexto de conflictos sociales, en tanto reducen la capacidad de asegurar la aplicación de los principios de legalidad, necesidad y, especialmente, el de proporcionalidad. De esa manera, tienen un impacto directo en el cumplimiento de la recomendación bajo análisis.</w:t>
      </w:r>
      <w:r w:rsidR="005B081B" w:rsidRPr="009E68E3">
        <w:rPr>
          <w:bCs/>
          <w:szCs w:val="20"/>
          <w:lang w:val="es-US"/>
        </w:rPr>
        <w:t xml:space="preserve"> </w:t>
      </w:r>
    </w:p>
    <w:p w14:paraId="402B0F3C" w14:textId="18E6E5D6" w:rsidR="005B081B" w:rsidRPr="009E68E3" w:rsidRDefault="00714F2A" w:rsidP="009E68E3">
      <w:pPr>
        <w:pStyle w:val="IAPrrafo"/>
        <w:rPr>
          <w:b/>
          <w:bCs/>
          <w:szCs w:val="20"/>
          <w:lang w:val="es-US"/>
        </w:rPr>
      </w:pPr>
      <w:r w:rsidRPr="00DD4FEE">
        <w:rPr>
          <w:bCs/>
          <w:szCs w:val="20"/>
          <w:lang w:val="es-US"/>
        </w:rPr>
        <w:t>A su vez</w:t>
      </w:r>
      <w:r w:rsidR="005B081B" w:rsidRPr="00DD4FEE">
        <w:rPr>
          <w:bCs/>
          <w:szCs w:val="20"/>
          <w:lang w:val="es-US"/>
        </w:rPr>
        <w:t>, cabe resaltar que uno de los objetivos de las investigaciones es otorgar un mecanismo de verdad</w:t>
      </w:r>
      <w:r w:rsidR="00D2136F" w:rsidRPr="00DD4FEE">
        <w:rPr>
          <w:bCs/>
          <w:szCs w:val="20"/>
          <w:lang w:val="es-US"/>
        </w:rPr>
        <w:t>,</w:t>
      </w:r>
      <w:r w:rsidR="005B081B" w:rsidRPr="00DD4FEE">
        <w:rPr>
          <w:bCs/>
          <w:szCs w:val="20"/>
          <w:lang w:val="es-US"/>
        </w:rPr>
        <w:t xml:space="preserve"> justicia</w:t>
      </w:r>
      <w:r w:rsidR="00D2136F" w:rsidRPr="00DD4FEE">
        <w:rPr>
          <w:bCs/>
          <w:szCs w:val="20"/>
          <w:lang w:val="es-US"/>
        </w:rPr>
        <w:t xml:space="preserve"> y reparación</w:t>
      </w:r>
      <w:r w:rsidR="001E5003" w:rsidRPr="00DD4FEE">
        <w:rPr>
          <w:bCs/>
          <w:szCs w:val="20"/>
          <w:lang w:val="es-US"/>
        </w:rPr>
        <w:t xml:space="preserve"> </w:t>
      </w:r>
      <w:r w:rsidR="005B081B" w:rsidRPr="00DD4FEE">
        <w:rPr>
          <w:bCs/>
          <w:szCs w:val="20"/>
          <w:lang w:val="es-US"/>
        </w:rPr>
        <w:t>a las víctimas</w:t>
      </w:r>
      <w:r w:rsidR="00D2136F" w:rsidRPr="00DD4FEE">
        <w:rPr>
          <w:bCs/>
          <w:szCs w:val="20"/>
          <w:lang w:val="es-US"/>
        </w:rPr>
        <w:t>, dentro de un plazo razonable</w:t>
      </w:r>
      <w:r w:rsidR="005B081B" w:rsidRPr="00DD4FEE">
        <w:rPr>
          <w:bCs/>
          <w:szCs w:val="20"/>
          <w:lang w:val="es-US"/>
        </w:rPr>
        <w:t xml:space="preserve">, por lo que es </w:t>
      </w:r>
      <w:r w:rsidR="00625A68" w:rsidRPr="00DD4FEE">
        <w:rPr>
          <w:bCs/>
          <w:szCs w:val="20"/>
          <w:lang w:val="es-US"/>
        </w:rPr>
        <w:t>indispensable</w:t>
      </w:r>
      <w:r w:rsidR="005B081B" w:rsidRPr="00DD4FEE">
        <w:rPr>
          <w:bCs/>
          <w:szCs w:val="20"/>
          <w:lang w:val="es-US"/>
        </w:rPr>
        <w:t xml:space="preserve"> que ellas participen de las etapas de investigación y tengan la información</w:t>
      </w:r>
      <w:r w:rsidR="005B081B" w:rsidRPr="00672AC2">
        <w:rPr>
          <w:bCs/>
          <w:szCs w:val="20"/>
          <w:lang w:val="es-US"/>
        </w:rPr>
        <w:t xml:space="preserve"> clara y accesible sobre los avances del proceso. Consecuentemente, la Comisión concluye que esta recomendación se considera </w:t>
      </w:r>
      <w:r w:rsidR="005B081B" w:rsidRPr="00E11B3D">
        <w:rPr>
          <w:b/>
          <w:bCs/>
          <w:szCs w:val="20"/>
          <w:lang w:val="es-US"/>
        </w:rPr>
        <w:t>pendiente de cumplimiento</w:t>
      </w:r>
      <w:r w:rsidR="005B081B" w:rsidRPr="00672AC2">
        <w:rPr>
          <w:szCs w:val="20"/>
          <w:lang w:val="es-US"/>
        </w:rPr>
        <w:t>.</w:t>
      </w:r>
    </w:p>
    <w:p w14:paraId="4EF44E15" w14:textId="463A013C" w:rsidR="005B081B" w:rsidRPr="00672AC2" w:rsidRDefault="005B081B" w:rsidP="009E68E3">
      <w:pPr>
        <w:ind w:firstLine="720"/>
        <w:jc w:val="both"/>
        <w:rPr>
          <w:lang w:val="es-US"/>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0D645AF1" w14:textId="77777777" w:rsidR="005B081B" w:rsidRPr="00672AC2" w:rsidRDefault="005B081B" w:rsidP="005B081B">
      <w:pPr>
        <w:ind w:firstLine="360"/>
        <w:jc w:val="both"/>
        <w:rPr>
          <w:lang w:val="es-CO"/>
        </w:rPr>
      </w:pPr>
    </w:p>
    <w:p w14:paraId="7B51721C" w14:textId="5E35255F" w:rsidR="005B081B" w:rsidRPr="00FA524F" w:rsidRDefault="005B081B" w:rsidP="00FA524F">
      <w:pPr>
        <w:pStyle w:val="IAPrrafo"/>
        <w:rPr>
          <w:rFonts w:eastAsia="Calibri" w:cs="Times New Roman"/>
          <w:b/>
          <w:bCs/>
          <w:sz w:val="18"/>
          <w:szCs w:val="18"/>
        </w:rPr>
      </w:pPr>
      <w:r w:rsidRPr="00672AC2">
        <w:rPr>
          <w:bCs/>
          <w:szCs w:val="20"/>
          <w:lang w:val="es-US"/>
        </w:rPr>
        <w:t xml:space="preserve">La CIDH considerará un avance en el cumplimiento de esta recomendación cuando cuente con información suficiente y clara para concluir que el Estado está avanzando en el proceso de investigación de los diferentes casos, la individualización de responsables y apertura de procesos judiciales. Para ello, la CIDH solicita que se remita la información detallada de todos los procesos judiciales y de sus avances. Además, para la CIDH es fundamental que el Estado aborde las necesidades logísticas y de personal que puedan generar retrasos en el procesamiento de estos casos y que cuente con mecanismos que permitan prever las barreras económicas o tecnológicas para </w:t>
      </w:r>
      <w:r w:rsidR="00EB49C2" w:rsidRPr="00672AC2">
        <w:rPr>
          <w:bCs/>
          <w:szCs w:val="20"/>
          <w:lang w:val="es-US"/>
        </w:rPr>
        <w:t xml:space="preserve">que </w:t>
      </w:r>
      <w:r w:rsidRPr="00672AC2">
        <w:rPr>
          <w:bCs/>
          <w:szCs w:val="20"/>
          <w:lang w:val="es-US"/>
        </w:rPr>
        <w:t xml:space="preserve">las personas afectadas </w:t>
      </w:r>
      <w:r w:rsidR="00EB49C2" w:rsidRPr="00672AC2">
        <w:rPr>
          <w:bCs/>
          <w:szCs w:val="20"/>
          <w:lang w:val="es-US"/>
        </w:rPr>
        <w:t xml:space="preserve">participen activamente </w:t>
      </w:r>
      <w:r w:rsidRPr="00672AC2">
        <w:rPr>
          <w:bCs/>
          <w:szCs w:val="20"/>
          <w:lang w:val="es-US"/>
        </w:rPr>
        <w:t>en el desarrollo de los procesos.</w:t>
      </w:r>
      <w:r w:rsidRPr="00672AC2">
        <w:rPr>
          <w:bCs/>
          <w:szCs w:val="20"/>
          <w:lang w:val="es-CO"/>
        </w:rPr>
        <w:t xml:space="preserve"> </w:t>
      </w:r>
      <w:r w:rsidR="001B7EE0" w:rsidRPr="00672AC2">
        <w:rPr>
          <w:szCs w:val="20"/>
          <w:lang w:val="es-US"/>
        </w:rPr>
        <w:t>Finalmente, la CIDH recuerda que, en un Estado democrático de Derecho, la jurisdicción penal militar ha de ser “restrictiva y excepcional de manera que se aplique únicamente en la protección de bienes jurídicos especiales, de carácter castrense, y que hayan sido vulnerados por miembros de las fuerzas militares en el ejercicio de sus funciones...”; y que “no es el fuero competente para investigar y, en su caso, juzgar y sancionar a los autores de violaciones de derechos humanos, sino que el procesamiento de los responsables corresponde siempre a la justicia ordinaria”</w:t>
      </w:r>
      <w:r w:rsidR="00F36B41">
        <w:rPr>
          <w:rFonts w:ascii="ZWAdobeF" w:hAnsi="ZWAdobeF" w:cs="ZWAdobeF"/>
          <w:color w:val="auto"/>
          <w:sz w:val="2"/>
          <w:szCs w:val="2"/>
          <w:lang w:val="es-US"/>
        </w:rPr>
        <w:t>101F</w:t>
      </w:r>
      <w:r w:rsidR="001B7EE0" w:rsidRPr="00672AC2">
        <w:rPr>
          <w:rStyle w:val="FootnoteReference"/>
          <w:rFonts w:eastAsiaTheme="minorEastAsia"/>
          <w:color w:val="auto"/>
          <w:szCs w:val="20"/>
          <w:lang w:val="es-US"/>
        </w:rPr>
        <w:footnoteReference w:id="103"/>
      </w:r>
      <w:r w:rsidR="001B7EE0" w:rsidRPr="00672AC2">
        <w:rPr>
          <w:szCs w:val="20"/>
          <w:lang w:val="es-US"/>
        </w:rPr>
        <w:t>. Por ello, queda atenta a la información sobre los proyectos de ley presentados en ese sentido.</w:t>
      </w:r>
    </w:p>
    <w:tbl>
      <w:tblPr>
        <w:tblStyle w:val="TableGrid"/>
        <w:tblW w:w="0" w:type="auto"/>
        <w:tblLook w:val="04A0" w:firstRow="1" w:lastRow="0" w:firstColumn="1" w:lastColumn="0" w:noHBand="0" w:noVBand="1"/>
      </w:tblPr>
      <w:tblGrid>
        <w:gridCol w:w="9350"/>
      </w:tblGrid>
      <w:tr w:rsidR="005B081B" w:rsidRPr="00F51AED" w14:paraId="0E9CF614" w14:textId="77777777">
        <w:tc>
          <w:tcPr>
            <w:tcW w:w="9350" w:type="dxa"/>
            <w:tcBorders>
              <w:top w:val="nil"/>
              <w:left w:val="nil"/>
              <w:bottom w:val="nil"/>
              <w:right w:val="nil"/>
            </w:tcBorders>
            <w:shd w:val="clear" w:color="auto" w:fill="D0CECE" w:themeFill="background2" w:themeFillShade="E6"/>
          </w:tcPr>
          <w:p w14:paraId="26BF2937" w14:textId="6E64F223" w:rsidR="005B081B" w:rsidRPr="00FA524F" w:rsidRDefault="005B081B" w:rsidP="00FA524F">
            <w:pPr>
              <w:pStyle w:val="IASubttulo2"/>
              <w:numPr>
                <w:ilvl w:val="0"/>
                <w:numId w:val="0"/>
              </w:numPr>
              <w:spacing w:after="0"/>
              <w:ind w:left="154"/>
              <w:jc w:val="both"/>
              <w:rPr>
                <w:b w:val="0"/>
                <w:sz w:val="20"/>
                <w:szCs w:val="20"/>
                <w:lang w:val="es-CO"/>
              </w:rPr>
            </w:pPr>
            <w:bookmarkStart w:id="17" w:name="_Toc195618283"/>
            <w:r w:rsidRPr="00672AC2">
              <w:rPr>
                <w:sz w:val="20"/>
                <w:szCs w:val="20"/>
                <w:lang w:val="es-CO"/>
              </w:rPr>
              <w:t xml:space="preserve">Recomendación </w:t>
            </w:r>
            <w:proofErr w:type="spellStart"/>
            <w:r w:rsidR="002B0B88" w:rsidRPr="00672AC2">
              <w:rPr>
                <w:sz w:val="20"/>
                <w:szCs w:val="20"/>
                <w:lang w:val="es-CO"/>
              </w:rPr>
              <w:t>Nº</w:t>
            </w:r>
            <w:proofErr w:type="spellEnd"/>
            <w:r w:rsidRPr="00672AC2">
              <w:rPr>
                <w:sz w:val="20"/>
                <w:szCs w:val="20"/>
                <w:lang w:val="es-CO"/>
              </w:rPr>
              <w:t xml:space="preserve"> 16. </w:t>
            </w:r>
            <w:r w:rsidRPr="00672AC2">
              <w:rPr>
                <w:b w:val="0"/>
                <w:sz w:val="20"/>
                <w:szCs w:val="20"/>
                <w:lang w:val="es-CO"/>
              </w:rPr>
              <w:t>Incrementar los recursos del Ministerio Público para asegurar el cabal desempeño de sus funciones de prevención e investigación del delito.</w:t>
            </w:r>
            <w:bookmarkEnd w:id="17"/>
          </w:p>
        </w:tc>
      </w:tr>
    </w:tbl>
    <w:p w14:paraId="3699219A" w14:textId="77777777" w:rsidR="005B081B" w:rsidRPr="00672AC2" w:rsidRDefault="005B081B" w:rsidP="005B081B">
      <w:pPr>
        <w:shd w:val="clear" w:color="auto" w:fill="FFFFFF" w:themeFill="background1"/>
        <w:suppressAutoHyphens w:val="0"/>
        <w:jc w:val="both"/>
        <w:rPr>
          <w:sz w:val="20"/>
          <w:szCs w:val="20"/>
          <w:lang w:val="es-US"/>
        </w:rPr>
      </w:pPr>
    </w:p>
    <w:p w14:paraId="2BAADD99" w14:textId="680A5E38" w:rsidR="005B081B" w:rsidRPr="00672AC2" w:rsidRDefault="005B081B" w:rsidP="00FA524F">
      <w:pPr>
        <w:pBdr>
          <w:top w:val="nil"/>
          <w:left w:val="nil"/>
          <w:bottom w:val="nil"/>
          <w:right w:val="nil"/>
          <w:between w:val="nil"/>
        </w:pBdr>
        <w:ind w:firstLine="720"/>
        <w:jc w:val="both"/>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55040974" w14:textId="77777777" w:rsidR="005B081B" w:rsidRPr="00672AC2" w:rsidRDefault="005B081B" w:rsidP="005B081B">
      <w:pPr>
        <w:shd w:val="clear" w:color="auto" w:fill="FFFFFF" w:themeFill="background1"/>
        <w:suppressAutoHyphens w:val="0"/>
        <w:jc w:val="both"/>
        <w:rPr>
          <w:b/>
          <w:bCs/>
          <w:sz w:val="20"/>
          <w:szCs w:val="20"/>
          <w:lang w:val="es-419" w:eastAsia="es-US"/>
        </w:rPr>
      </w:pPr>
    </w:p>
    <w:p w14:paraId="6324B5D6" w14:textId="37E7A2C6" w:rsidR="005B081B" w:rsidRPr="00FA524F" w:rsidRDefault="6B436EDA" w:rsidP="005B081B">
      <w:pPr>
        <w:pStyle w:val="IAPrrafo"/>
        <w:rPr>
          <w:rFonts w:eastAsia="Calibri" w:cs="Times New Roman"/>
          <w:b/>
          <w:szCs w:val="20"/>
          <w:lang w:val="es-US"/>
        </w:rPr>
      </w:pPr>
      <w:r w:rsidRPr="00672AC2">
        <w:rPr>
          <w:rFonts w:eastAsia="Calibri" w:cs="Times New Roman"/>
          <w:szCs w:val="20"/>
        </w:rPr>
        <w:t xml:space="preserve">Para el año 2024, el Estado informó que, en el 2023, </w:t>
      </w:r>
      <w:r w:rsidRPr="00672AC2">
        <w:rPr>
          <w:szCs w:val="20"/>
          <w:lang w:val="es-ES"/>
        </w:rPr>
        <w:t>realizó una transferencia adicional de partidas</w:t>
      </w:r>
      <w:r w:rsidR="00F36B41">
        <w:rPr>
          <w:rFonts w:ascii="ZWAdobeF" w:hAnsi="ZWAdobeF" w:cs="ZWAdobeF"/>
          <w:color w:val="auto"/>
          <w:sz w:val="2"/>
          <w:szCs w:val="2"/>
          <w:lang w:val="es-ES"/>
        </w:rPr>
        <w:t>102F</w:t>
      </w:r>
      <w:r w:rsidR="005B081B" w:rsidRPr="00672AC2">
        <w:rPr>
          <w:rStyle w:val="FootnoteReference"/>
          <w:szCs w:val="20"/>
          <w:lang w:val="es-ES"/>
        </w:rPr>
        <w:footnoteReference w:id="104"/>
      </w:r>
      <w:r w:rsidRPr="00672AC2">
        <w:rPr>
          <w:szCs w:val="20"/>
          <w:lang w:val="es-ES"/>
        </w:rPr>
        <w:t xml:space="preserve"> en el Presupuesto del Sector Público ascendente a 99.001.010 soles a favor del Ministerio Público, para financiar la creación de Despachos Fiscales de Derechos Humanos e Interculturalidad en cada Distrito Fiscal a nivel nacional. Asimismo, reportó que el presupuesto para el EFICAVIP es de 474.135 </w:t>
      </w:r>
      <w:r w:rsidR="2EA83184" w:rsidRPr="00672AC2">
        <w:rPr>
          <w:szCs w:val="20"/>
          <w:lang w:val="es-ES"/>
        </w:rPr>
        <w:t>soles,</w:t>
      </w:r>
      <w:r w:rsidRPr="00672AC2">
        <w:rPr>
          <w:szCs w:val="20"/>
          <w:lang w:val="es-ES"/>
        </w:rPr>
        <w:t xml:space="preserve"> así </w:t>
      </w:r>
      <w:r w:rsidR="117AA611" w:rsidRPr="00672AC2">
        <w:rPr>
          <w:szCs w:val="20"/>
          <w:lang w:val="es-ES"/>
        </w:rPr>
        <w:t>como de</w:t>
      </w:r>
      <w:r w:rsidRPr="00672AC2">
        <w:rPr>
          <w:szCs w:val="20"/>
          <w:lang w:val="es-ES"/>
        </w:rPr>
        <w:t xml:space="preserve"> 25.865,02 soles adicionales.</w:t>
      </w:r>
    </w:p>
    <w:p w14:paraId="2652ED8E" w14:textId="00D27DAE" w:rsidR="005B081B" w:rsidRPr="00FA524F" w:rsidRDefault="04C947FA" w:rsidP="00FA524F">
      <w:pPr>
        <w:pStyle w:val="IAPrrafo"/>
        <w:rPr>
          <w:rFonts w:eastAsia="Calibri" w:cs="Times New Roman"/>
          <w:b/>
          <w:bCs/>
          <w:szCs w:val="20"/>
          <w:lang w:val="es-US"/>
        </w:rPr>
      </w:pPr>
      <w:r w:rsidRPr="00672AC2">
        <w:rPr>
          <w:rFonts w:eastAsia="Calibri" w:cs="Times New Roman"/>
          <w:szCs w:val="20"/>
          <w:lang w:val="es-US"/>
        </w:rPr>
        <w:t xml:space="preserve">Por su parte, sociedad civil </w:t>
      </w:r>
      <w:r w:rsidR="00C3146C" w:rsidRPr="00672AC2">
        <w:rPr>
          <w:rFonts w:eastAsia="Calibri" w:cs="Times New Roman"/>
          <w:szCs w:val="20"/>
          <w:lang w:val="es-US"/>
        </w:rPr>
        <w:t xml:space="preserve">transmitió </w:t>
      </w:r>
      <w:r w:rsidRPr="00672AC2">
        <w:rPr>
          <w:rFonts w:eastAsia="Calibri" w:cs="Times New Roman"/>
          <w:szCs w:val="20"/>
          <w:lang w:val="es-US"/>
        </w:rPr>
        <w:t xml:space="preserve">a la CIDH </w:t>
      </w:r>
      <w:r w:rsidR="00492470" w:rsidRPr="00672AC2">
        <w:rPr>
          <w:rFonts w:eastAsia="Calibri" w:cs="Times New Roman"/>
          <w:szCs w:val="20"/>
          <w:lang w:val="es-US"/>
        </w:rPr>
        <w:t xml:space="preserve">la </w:t>
      </w:r>
      <w:r w:rsidR="008817C6" w:rsidRPr="00672AC2">
        <w:rPr>
          <w:rFonts w:eastAsia="Calibri" w:cs="Times New Roman"/>
          <w:szCs w:val="20"/>
          <w:lang w:val="es-US"/>
        </w:rPr>
        <w:t xml:space="preserve">importancia </w:t>
      </w:r>
      <w:r w:rsidR="00492470" w:rsidRPr="00672AC2">
        <w:rPr>
          <w:rFonts w:eastAsia="Calibri" w:cs="Times New Roman"/>
          <w:szCs w:val="20"/>
          <w:lang w:val="es-US"/>
        </w:rPr>
        <w:t xml:space="preserve">de que el EFICAVIP pueda tener mayor presencia en todas las regiones donde se realizan las investigaciones, en particular en zonas rurales e indígenas donde se encuentran las víctimas. </w:t>
      </w:r>
      <w:r w:rsidRPr="00672AC2">
        <w:rPr>
          <w:rFonts w:eastAsia="Calibri" w:cs="Times New Roman"/>
          <w:szCs w:val="20"/>
          <w:lang w:val="es-US"/>
        </w:rPr>
        <w:t xml:space="preserve">Asimismo, indicó que habría dificultades para </w:t>
      </w:r>
      <w:r w:rsidR="68ABF5A4" w:rsidRPr="00672AC2">
        <w:rPr>
          <w:rFonts w:eastAsia="Calibri" w:cs="Times New Roman"/>
          <w:szCs w:val="20"/>
          <w:lang w:val="es-US"/>
        </w:rPr>
        <w:t xml:space="preserve">que </w:t>
      </w:r>
      <w:r w:rsidRPr="00672AC2">
        <w:rPr>
          <w:rFonts w:eastAsia="Calibri" w:cs="Times New Roman"/>
          <w:szCs w:val="20"/>
          <w:lang w:val="es-US"/>
        </w:rPr>
        <w:t>el Ministerio Público coordine con instituciones claves como la Policía Nacional y el Poder Judicial</w:t>
      </w:r>
      <w:r w:rsidR="00625A68" w:rsidRPr="00672AC2">
        <w:rPr>
          <w:rFonts w:eastAsia="Calibri" w:cs="Times New Roman"/>
          <w:szCs w:val="20"/>
          <w:lang w:val="es-US"/>
        </w:rPr>
        <w:t>, y</w:t>
      </w:r>
      <w:r w:rsidRPr="00672AC2">
        <w:rPr>
          <w:rFonts w:eastAsia="Calibri" w:cs="Times New Roman"/>
          <w:szCs w:val="20"/>
          <w:lang w:val="es-US"/>
        </w:rPr>
        <w:t xml:space="preserve"> señaló que estas falencias tendrían un impacto en la celeridad y la calidad de las investigaciones.</w:t>
      </w:r>
    </w:p>
    <w:p w14:paraId="56702AB0" w14:textId="77777777" w:rsidR="005B081B" w:rsidRPr="00672AC2" w:rsidRDefault="005B081B" w:rsidP="0099472C">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2822946E" w14:textId="77777777" w:rsidR="005B081B" w:rsidRPr="00672AC2" w:rsidRDefault="005B081B" w:rsidP="005B081B">
      <w:pPr>
        <w:jc w:val="both"/>
        <w:rPr>
          <w:lang w:val="es-CO"/>
        </w:rPr>
      </w:pPr>
    </w:p>
    <w:p w14:paraId="222BAD07" w14:textId="7A688759" w:rsidR="00A1165E" w:rsidRPr="00DA61BE" w:rsidRDefault="008817C6" w:rsidP="00DA61BE">
      <w:pPr>
        <w:pStyle w:val="IAPrrafo"/>
        <w:rPr>
          <w:rFonts w:eastAsia="Calibri" w:cs="Times New Roman"/>
          <w:b/>
          <w:bCs/>
          <w:szCs w:val="20"/>
          <w:lang w:val="es-US"/>
        </w:rPr>
      </w:pPr>
      <w:r w:rsidRPr="00672AC2">
        <w:rPr>
          <w:rFonts w:eastAsia="Calibri" w:cs="Times New Roman"/>
          <w:bCs/>
          <w:szCs w:val="20"/>
        </w:rPr>
        <w:t xml:space="preserve">En cuanto a </w:t>
      </w:r>
      <w:r w:rsidR="005B081B" w:rsidRPr="00672AC2">
        <w:rPr>
          <w:rFonts w:eastAsia="Calibri" w:cs="Times New Roman"/>
          <w:bCs/>
          <w:szCs w:val="20"/>
        </w:rPr>
        <w:t xml:space="preserve">la creación y asignación presupuestaria específica para el EFICAVIP, la CIDH considera que esta medida constituye un avance para asegurar el desempeño de sus funciones de prevención e investigación del delito. Como se ha mencionado previamente, para la Comisión, es </w:t>
      </w:r>
      <w:r w:rsidR="00C96DBC" w:rsidRPr="00672AC2">
        <w:rPr>
          <w:rFonts w:eastAsia="Calibri" w:cs="Times New Roman"/>
          <w:bCs/>
          <w:szCs w:val="20"/>
        </w:rPr>
        <w:t xml:space="preserve">indispensable </w:t>
      </w:r>
      <w:r w:rsidR="005B081B" w:rsidRPr="00672AC2">
        <w:rPr>
          <w:rFonts w:eastAsia="Calibri" w:cs="Times New Roman"/>
          <w:bCs/>
          <w:szCs w:val="20"/>
        </w:rPr>
        <w:t xml:space="preserve">que los recursos que se otorguen sean suficientes y adecuados. De esa manera, el Estado debe garantizar el uso </w:t>
      </w:r>
      <w:r w:rsidR="00C96DBC" w:rsidRPr="00672AC2">
        <w:rPr>
          <w:rFonts w:eastAsia="Calibri" w:cs="Times New Roman"/>
          <w:bCs/>
          <w:szCs w:val="20"/>
        </w:rPr>
        <w:t xml:space="preserve">correcto </w:t>
      </w:r>
      <w:r w:rsidR="005B081B" w:rsidRPr="00672AC2">
        <w:rPr>
          <w:rFonts w:eastAsia="Calibri" w:cs="Times New Roman"/>
          <w:bCs/>
          <w:szCs w:val="20"/>
        </w:rPr>
        <w:t xml:space="preserve">de estos recursos o que se desarrolle la adaptación presupuestaria pertinente que permita cubrir las </w:t>
      </w:r>
      <w:r w:rsidR="00B0604E">
        <w:rPr>
          <w:rFonts w:eastAsia="Calibri" w:cs="Times New Roman"/>
          <w:bCs/>
          <w:szCs w:val="20"/>
        </w:rPr>
        <w:t xml:space="preserve">posibles </w:t>
      </w:r>
      <w:r w:rsidR="00EC5AC2" w:rsidRPr="00672AC2">
        <w:rPr>
          <w:rFonts w:eastAsia="Calibri" w:cs="Times New Roman"/>
          <w:bCs/>
          <w:szCs w:val="20"/>
        </w:rPr>
        <w:t>carencias</w:t>
      </w:r>
      <w:r w:rsidR="005B081B" w:rsidRPr="00672AC2">
        <w:rPr>
          <w:rFonts w:eastAsia="Calibri" w:cs="Times New Roman"/>
          <w:bCs/>
          <w:szCs w:val="20"/>
        </w:rPr>
        <w:t xml:space="preserve"> logísticas y de personal para la investigación de los casos. Por ello, se </w:t>
      </w:r>
      <w:r w:rsidR="00C96DBC" w:rsidRPr="00672AC2">
        <w:rPr>
          <w:rFonts w:eastAsia="Calibri" w:cs="Times New Roman"/>
          <w:bCs/>
          <w:szCs w:val="20"/>
        </w:rPr>
        <w:t xml:space="preserve">concluye </w:t>
      </w:r>
      <w:r w:rsidR="004C5B87" w:rsidRPr="00672AC2">
        <w:rPr>
          <w:rFonts w:eastAsia="Calibri" w:cs="Times New Roman"/>
          <w:bCs/>
          <w:szCs w:val="20"/>
        </w:rPr>
        <w:t xml:space="preserve">que </w:t>
      </w:r>
      <w:r w:rsidR="005B081B" w:rsidRPr="00672AC2">
        <w:rPr>
          <w:rFonts w:eastAsia="Calibri" w:cs="Times New Roman"/>
          <w:bCs/>
          <w:szCs w:val="20"/>
        </w:rPr>
        <w:t xml:space="preserve">la recomendación </w:t>
      </w:r>
      <w:r w:rsidR="004C5B87" w:rsidRPr="00672AC2">
        <w:rPr>
          <w:rFonts w:eastAsia="Calibri" w:cs="Times New Roman"/>
          <w:bCs/>
          <w:szCs w:val="20"/>
        </w:rPr>
        <w:t xml:space="preserve">tiene </w:t>
      </w:r>
      <w:r w:rsidR="005B081B" w:rsidRPr="00672AC2">
        <w:rPr>
          <w:rFonts w:eastAsia="Calibri" w:cs="Times New Roman"/>
          <w:bCs/>
          <w:szCs w:val="20"/>
        </w:rPr>
        <w:t xml:space="preserve">un </w:t>
      </w:r>
      <w:r w:rsidR="005B081B" w:rsidRPr="00704E2E">
        <w:rPr>
          <w:rFonts w:eastAsia="Calibri" w:cs="Times New Roman"/>
          <w:b/>
          <w:bCs/>
          <w:szCs w:val="20"/>
        </w:rPr>
        <w:t>cumplimiento parcial</w:t>
      </w:r>
      <w:r w:rsidR="005B081B" w:rsidRPr="00672AC2">
        <w:rPr>
          <w:rFonts w:eastAsia="Calibri" w:cs="Times New Roman"/>
          <w:bCs/>
          <w:szCs w:val="20"/>
        </w:rPr>
        <w:t>.</w:t>
      </w:r>
    </w:p>
    <w:p w14:paraId="47DECBEA" w14:textId="77777777" w:rsidR="0086614D" w:rsidRDefault="0086614D" w:rsidP="0099472C">
      <w:pPr>
        <w:ind w:firstLine="720"/>
        <w:jc w:val="both"/>
        <w:rPr>
          <w:rFonts w:eastAsia="Cambria" w:cs="Cambria"/>
          <w:i/>
          <w:iCs/>
          <w:color w:val="000000" w:themeColor="text1"/>
          <w:sz w:val="20"/>
          <w:szCs w:val="20"/>
          <w:lang w:val="es-ES"/>
        </w:rPr>
      </w:pPr>
    </w:p>
    <w:p w14:paraId="753DB119" w14:textId="77777777" w:rsidR="0086614D" w:rsidRDefault="0086614D" w:rsidP="0099472C">
      <w:pPr>
        <w:ind w:firstLine="720"/>
        <w:jc w:val="both"/>
        <w:rPr>
          <w:rFonts w:eastAsia="Cambria" w:cs="Cambria"/>
          <w:i/>
          <w:iCs/>
          <w:color w:val="000000" w:themeColor="text1"/>
          <w:sz w:val="20"/>
          <w:szCs w:val="20"/>
          <w:lang w:val="es-ES"/>
        </w:rPr>
      </w:pPr>
    </w:p>
    <w:p w14:paraId="1439C321" w14:textId="77777777" w:rsidR="0086614D" w:rsidRDefault="0086614D" w:rsidP="0099472C">
      <w:pPr>
        <w:ind w:firstLine="720"/>
        <w:jc w:val="both"/>
        <w:rPr>
          <w:rFonts w:eastAsia="Cambria" w:cs="Cambria"/>
          <w:i/>
          <w:iCs/>
          <w:color w:val="000000" w:themeColor="text1"/>
          <w:sz w:val="20"/>
          <w:szCs w:val="20"/>
          <w:lang w:val="es-ES"/>
        </w:rPr>
      </w:pPr>
    </w:p>
    <w:p w14:paraId="25A53133" w14:textId="5AC00983" w:rsidR="005B081B" w:rsidRPr="00672AC2" w:rsidRDefault="005B081B" w:rsidP="0099472C">
      <w:pPr>
        <w:ind w:firstLine="720"/>
        <w:jc w:val="both"/>
        <w:rPr>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4D5D3590" w14:textId="77777777" w:rsidR="005B081B" w:rsidRPr="00672AC2" w:rsidRDefault="005B081B" w:rsidP="005B081B">
      <w:pPr>
        <w:ind w:firstLine="360"/>
        <w:jc w:val="both"/>
        <w:rPr>
          <w:lang w:val="es-US"/>
        </w:rPr>
      </w:pPr>
    </w:p>
    <w:p w14:paraId="50D4ADD4" w14:textId="1638394B" w:rsidR="00737D00" w:rsidRPr="00E20E67" w:rsidRDefault="005B081B" w:rsidP="00E20E67">
      <w:pPr>
        <w:pStyle w:val="IAPrrafo"/>
        <w:rPr>
          <w:rFonts w:eastAsia="Calibri" w:cs="Times New Roman"/>
          <w:b/>
          <w:bCs/>
          <w:szCs w:val="20"/>
          <w:lang w:val="es-US"/>
        </w:rPr>
      </w:pPr>
      <w:r w:rsidRPr="00672AC2">
        <w:rPr>
          <w:bCs/>
          <w:szCs w:val="20"/>
          <w:lang w:val="es-US"/>
        </w:rPr>
        <w:t>La CIDH solicita que se pueda fortalecer la asignación de recursos, de manera que se asegure la atención a l</w:t>
      </w:r>
      <w:r w:rsidR="00965247" w:rsidRPr="00672AC2">
        <w:rPr>
          <w:bCs/>
          <w:szCs w:val="20"/>
          <w:lang w:val="es-US"/>
        </w:rPr>
        <w:t>os obstáculos</w:t>
      </w:r>
      <w:r w:rsidRPr="00672AC2">
        <w:rPr>
          <w:bCs/>
          <w:szCs w:val="20"/>
          <w:lang w:val="es-US"/>
        </w:rPr>
        <w:t xml:space="preserve"> que han surgido en los procesos de investigación y juzgamiento, atendiendo a las </w:t>
      </w:r>
      <w:r w:rsidR="00EC5AC2" w:rsidRPr="00672AC2">
        <w:rPr>
          <w:bCs/>
          <w:szCs w:val="20"/>
          <w:lang w:val="es-US"/>
        </w:rPr>
        <w:t>particularidades</w:t>
      </w:r>
      <w:r w:rsidRPr="00672AC2">
        <w:rPr>
          <w:bCs/>
          <w:szCs w:val="20"/>
          <w:lang w:val="es-US"/>
        </w:rPr>
        <w:t xml:space="preserve"> de las personas afectadas en las distintas regiones donde se dan los procesos de investigación. Asimismo, que se pueda garantizar su participación adecuada en los diferentes actos de los procesos.</w:t>
      </w:r>
    </w:p>
    <w:tbl>
      <w:tblPr>
        <w:tblStyle w:val="TableGrid"/>
        <w:tblW w:w="0" w:type="auto"/>
        <w:tblLook w:val="04A0" w:firstRow="1" w:lastRow="0" w:firstColumn="1" w:lastColumn="0" w:noHBand="0" w:noVBand="1"/>
      </w:tblPr>
      <w:tblGrid>
        <w:gridCol w:w="9350"/>
      </w:tblGrid>
      <w:tr w:rsidR="003422A8" w:rsidRPr="00F51AED" w14:paraId="527BDEB5" w14:textId="77777777" w:rsidTr="24019998">
        <w:tc>
          <w:tcPr>
            <w:tcW w:w="9350" w:type="dxa"/>
            <w:tcBorders>
              <w:top w:val="nil"/>
              <w:left w:val="nil"/>
              <w:bottom w:val="nil"/>
              <w:right w:val="nil"/>
            </w:tcBorders>
            <w:shd w:val="clear" w:color="auto" w:fill="D0CECE" w:themeFill="background2" w:themeFillShade="E6"/>
          </w:tcPr>
          <w:p w14:paraId="41AE3033" w14:textId="1AEFF934" w:rsidR="003422A8" w:rsidRPr="009A44C3" w:rsidRDefault="4148786E" w:rsidP="009A44C3">
            <w:pPr>
              <w:pStyle w:val="IASubttulo2"/>
              <w:numPr>
                <w:ilvl w:val="0"/>
                <w:numId w:val="0"/>
              </w:numPr>
              <w:spacing w:after="0"/>
              <w:ind w:left="154"/>
              <w:jc w:val="both"/>
              <w:rPr>
                <w:b w:val="0"/>
                <w:sz w:val="20"/>
                <w:szCs w:val="20"/>
                <w:lang w:val="es-CO"/>
              </w:rPr>
            </w:pPr>
            <w:bookmarkStart w:id="18" w:name="_Toc195618284"/>
            <w:r w:rsidRPr="24019998">
              <w:rPr>
                <w:sz w:val="20"/>
                <w:szCs w:val="20"/>
                <w:lang w:val="es-CO"/>
              </w:rPr>
              <w:t xml:space="preserve">Recomendación </w:t>
            </w:r>
            <w:proofErr w:type="spellStart"/>
            <w:r w:rsidR="191DF76D" w:rsidRPr="24019998">
              <w:rPr>
                <w:sz w:val="20"/>
                <w:szCs w:val="20"/>
                <w:lang w:val="es-CO"/>
              </w:rPr>
              <w:t>Nº</w:t>
            </w:r>
            <w:proofErr w:type="spellEnd"/>
            <w:r w:rsidRPr="24019998">
              <w:rPr>
                <w:sz w:val="20"/>
                <w:szCs w:val="20"/>
                <w:lang w:val="es-CO"/>
              </w:rPr>
              <w:t xml:space="preserve"> </w:t>
            </w:r>
            <w:r w:rsidR="06FE5EAF" w:rsidRPr="24019998">
              <w:rPr>
                <w:sz w:val="20"/>
                <w:szCs w:val="20"/>
                <w:lang w:val="es-CO"/>
              </w:rPr>
              <w:t>17</w:t>
            </w:r>
            <w:r w:rsidRPr="24019998">
              <w:rPr>
                <w:sz w:val="20"/>
                <w:szCs w:val="20"/>
                <w:lang w:val="es-CO"/>
              </w:rPr>
              <w:t xml:space="preserve">. </w:t>
            </w:r>
            <w:r w:rsidR="06FE5EAF" w:rsidRPr="24019998">
              <w:rPr>
                <w:b w:val="0"/>
                <w:sz w:val="20"/>
                <w:szCs w:val="20"/>
                <w:lang w:val="es-CO"/>
              </w:rPr>
              <w:t>Adoptar medidas de fortalecimiento institucional dirigidas a brindar condiciones de seguridad a las personas funcionarias del Ministerio Público para el cabal desempeño de sus funciones de prevención e investigación del delito.</w:t>
            </w:r>
            <w:bookmarkEnd w:id="18"/>
          </w:p>
        </w:tc>
      </w:tr>
    </w:tbl>
    <w:p w14:paraId="1C8B6DAB" w14:textId="77777777" w:rsidR="008316ED" w:rsidRPr="00672AC2" w:rsidRDefault="008316ED" w:rsidP="00737D00">
      <w:pPr>
        <w:pStyle w:val="IASubttulo2"/>
        <w:numPr>
          <w:ilvl w:val="0"/>
          <w:numId w:val="0"/>
        </w:numPr>
        <w:spacing w:after="0"/>
        <w:jc w:val="both"/>
        <w:rPr>
          <w:b w:val="0"/>
          <w:bCs/>
          <w:sz w:val="20"/>
          <w:szCs w:val="20"/>
          <w:lang w:val="es-419" w:eastAsia="es-US"/>
        </w:rPr>
      </w:pPr>
    </w:p>
    <w:p w14:paraId="7EA026BC" w14:textId="51704CEA" w:rsidR="000A4A0B" w:rsidRPr="00672AC2" w:rsidRDefault="000A4A0B" w:rsidP="00E20E67">
      <w:pPr>
        <w:pBdr>
          <w:top w:val="nil"/>
          <w:left w:val="nil"/>
          <w:bottom w:val="nil"/>
          <w:right w:val="nil"/>
          <w:between w:val="nil"/>
        </w:pBdr>
        <w:ind w:firstLine="720"/>
        <w:jc w:val="both"/>
        <w:rPr>
          <w:lang w:val="es-US"/>
        </w:rPr>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60FAE465" w14:textId="77777777" w:rsidR="000A4A0B" w:rsidRPr="00672AC2" w:rsidRDefault="000A4A0B" w:rsidP="000A4A0B">
      <w:pPr>
        <w:shd w:val="clear" w:color="auto" w:fill="FFFFFF" w:themeFill="background1"/>
        <w:suppressAutoHyphens w:val="0"/>
        <w:ind w:firstLine="709"/>
        <w:jc w:val="both"/>
        <w:rPr>
          <w:bCs/>
          <w:sz w:val="20"/>
          <w:szCs w:val="20"/>
          <w:lang w:val="es-419" w:eastAsia="es-US"/>
        </w:rPr>
      </w:pPr>
    </w:p>
    <w:p w14:paraId="1418D853" w14:textId="57664724" w:rsidR="000A4A0B" w:rsidRPr="007A323A" w:rsidRDefault="1561DDF7" w:rsidP="00E83710">
      <w:pPr>
        <w:pStyle w:val="IAPrrafo"/>
        <w:rPr>
          <w:b/>
          <w:bCs/>
          <w:szCs w:val="20"/>
          <w:lang w:val="es-ES"/>
        </w:rPr>
      </w:pPr>
      <w:r w:rsidRPr="00672AC2">
        <w:rPr>
          <w:color w:val="000000" w:themeColor="text1"/>
          <w:szCs w:val="20"/>
          <w:lang w:val="es-US" w:eastAsia="es-US"/>
        </w:rPr>
        <w:t>En el 2024, e</w:t>
      </w:r>
      <w:r w:rsidRPr="00672AC2">
        <w:rPr>
          <w:szCs w:val="20"/>
          <w:lang w:val="es-US"/>
        </w:rPr>
        <w:t>l Estado manifestó que, luego de los ataques sufridos en las protestas, el Ministerio Público</w:t>
      </w:r>
      <w:r w:rsidRPr="00672AC2">
        <w:rPr>
          <w:szCs w:val="20"/>
          <w:lang w:val="es-ES"/>
        </w:rPr>
        <w:t xml:space="preserve"> dirigió instrucciones sobre medidas de seguridad a los guardianes encargados de cubrir los puestos de control de ingreso y salida de la sede principal y sede central del Ministerio Público, así como las sedes de esta entidad en cada distrito fiscal. Asimismo, se informó que se está evaluando al personal de vigilancia privada que está a cargo de la seguridad de las sedes fiscales y que se están impartiendo charlas con personal capacitado en temas de seguridad, registros, control, verificaciones e identificaciones.</w:t>
      </w:r>
    </w:p>
    <w:p w14:paraId="2DBE80C3" w14:textId="4C5C6A09" w:rsidR="007A323A" w:rsidRPr="00672AC2" w:rsidRDefault="007A323A" w:rsidP="00E83710">
      <w:pPr>
        <w:pStyle w:val="IAPrrafo"/>
        <w:rPr>
          <w:b/>
          <w:bCs/>
          <w:szCs w:val="20"/>
          <w:lang w:val="es-ES"/>
        </w:rPr>
      </w:pPr>
      <w:r>
        <w:rPr>
          <w:color w:val="000000" w:themeColor="text1"/>
          <w:szCs w:val="20"/>
          <w:lang w:val="es-US" w:eastAsia="es-US"/>
        </w:rPr>
        <w:t xml:space="preserve">Además, el Estado informó sobre </w:t>
      </w:r>
      <w:r w:rsidRPr="007A323A">
        <w:rPr>
          <w:color w:val="000000" w:themeColor="text1"/>
          <w:szCs w:val="20"/>
          <w:lang w:val="es-US" w:eastAsia="es-US"/>
        </w:rPr>
        <w:t>el Reglamento de seguridad y protección a funcionarios/as públicos/as, dignatarios/as y personalidades</w:t>
      </w:r>
      <w:r w:rsidR="00F36B41">
        <w:rPr>
          <w:rFonts w:ascii="ZWAdobeF" w:hAnsi="ZWAdobeF" w:cs="ZWAdobeF"/>
          <w:color w:val="auto"/>
          <w:sz w:val="2"/>
          <w:szCs w:val="2"/>
          <w:lang w:val="es-US" w:eastAsia="es-US"/>
        </w:rPr>
        <w:t>103F</w:t>
      </w:r>
      <w:r>
        <w:rPr>
          <w:rStyle w:val="FootnoteReference"/>
          <w:color w:val="000000" w:themeColor="text1"/>
          <w:szCs w:val="20"/>
          <w:lang w:val="es-US" w:eastAsia="es-US"/>
        </w:rPr>
        <w:footnoteReference w:id="105"/>
      </w:r>
      <w:r>
        <w:rPr>
          <w:color w:val="000000" w:themeColor="text1"/>
          <w:szCs w:val="20"/>
          <w:lang w:val="es-US" w:eastAsia="es-US"/>
        </w:rPr>
        <w:t xml:space="preserve">, que establece </w:t>
      </w:r>
      <w:r w:rsidRPr="007A323A">
        <w:rPr>
          <w:color w:val="000000" w:themeColor="text1"/>
          <w:szCs w:val="20"/>
          <w:lang w:val="es-US" w:eastAsia="es-US"/>
        </w:rPr>
        <w:t xml:space="preserve">tres modalidades de protección dirigidas a garantizar la seguridad de diversas autoridades, como el </w:t>
      </w:r>
      <w:proofErr w:type="gramStart"/>
      <w:r w:rsidRPr="007A323A">
        <w:rPr>
          <w:color w:val="000000" w:themeColor="text1"/>
          <w:szCs w:val="20"/>
          <w:lang w:val="es-US" w:eastAsia="es-US"/>
        </w:rPr>
        <w:t>Presidente</w:t>
      </w:r>
      <w:proofErr w:type="gramEnd"/>
      <w:r w:rsidRPr="007A323A">
        <w:rPr>
          <w:color w:val="000000" w:themeColor="text1"/>
          <w:szCs w:val="20"/>
          <w:lang w:val="es-US" w:eastAsia="es-US"/>
        </w:rPr>
        <w:t xml:space="preserve"> de la República, el Presidente del Congreso de la República, el Presidente del Poder Judicial, los Vicepresidentes de la República, los Ministros de Estado, y los titulares de Organismos Constitucionales Autónomos. Además, puede extenderse a otros funcionarios públicos, dignatarios y personalidades, previa solicitud y evaluación</w:t>
      </w:r>
      <w:r>
        <w:rPr>
          <w:color w:val="000000" w:themeColor="text1"/>
          <w:szCs w:val="20"/>
          <w:lang w:val="es-US" w:eastAsia="es-US"/>
        </w:rPr>
        <w:t>.</w:t>
      </w:r>
    </w:p>
    <w:p w14:paraId="182FB5A2" w14:textId="2725B2A9" w:rsidR="000A4A0B" w:rsidRPr="00672AC2" w:rsidRDefault="1561DDF7" w:rsidP="00E83710">
      <w:pPr>
        <w:pStyle w:val="IAPrrafo"/>
        <w:rPr>
          <w:b/>
          <w:bCs/>
          <w:szCs w:val="20"/>
          <w:lang w:val="es-ES"/>
        </w:rPr>
      </w:pPr>
      <w:r w:rsidRPr="00672AC2">
        <w:rPr>
          <w:szCs w:val="20"/>
          <w:lang w:val="es-ES"/>
        </w:rPr>
        <w:t>Por su lado, sociedad civil expresó a la Comisión que, desde hace algunos años, las personas operador</w:t>
      </w:r>
      <w:r w:rsidR="002B57CB" w:rsidRPr="00672AC2">
        <w:rPr>
          <w:szCs w:val="20"/>
          <w:lang w:val="es-ES"/>
        </w:rPr>
        <w:t>a</w:t>
      </w:r>
      <w:r w:rsidRPr="00672AC2">
        <w:rPr>
          <w:szCs w:val="20"/>
          <w:lang w:val="es-ES"/>
        </w:rPr>
        <w:t xml:space="preserve">s de justicia estarían enfrentando un contexto hostil en el ejercicio de sus labores, </w:t>
      </w:r>
      <w:r w:rsidR="0006223C" w:rsidRPr="00672AC2">
        <w:rPr>
          <w:szCs w:val="20"/>
          <w:lang w:val="es-ES"/>
        </w:rPr>
        <w:t xml:space="preserve">exponiéndose </w:t>
      </w:r>
      <w:r w:rsidRPr="00672AC2">
        <w:rPr>
          <w:szCs w:val="20"/>
          <w:lang w:val="es-ES"/>
        </w:rPr>
        <w:t>a amenazas, ataques, plantones, campañas de desinformación, entre otros riesgos. Ante esta situación, alegó una supuesta falta de capacidad para realizar acciones concretas dirigidas a mejorar las condiciones de seguridad física y psicológica del funcionariado del Ministerio Público en situaciones de alta polarización.</w:t>
      </w:r>
    </w:p>
    <w:p w14:paraId="7957B448" w14:textId="77777777" w:rsidR="000A4A0B" w:rsidRPr="00672AC2" w:rsidRDefault="000A4A0B" w:rsidP="00E20E67">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34AC2358" w14:textId="77777777" w:rsidR="000A4A0B" w:rsidRPr="00672AC2" w:rsidRDefault="000A4A0B" w:rsidP="000A4A0B">
      <w:pPr>
        <w:ind w:firstLine="360"/>
        <w:jc w:val="both"/>
        <w:rPr>
          <w:lang w:val="es-CO"/>
        </w:rPr>
      </w:pPr>
    </w:p>
    <w:p w14:paraId="4AD4C41B" w14:textId="6C43B729" w:rsidR="000A4A0B" w:rsidRPr="00672AC2" w:rsidRDefault="000A4A0B" w:rsidP="00E83710">
      <w:pPr>
        <w:pStyle w:val="IAPrrafo"/>
        <w:rPr>
          <w:b/>
          <w:bCs/>
          <w:color w:val="000000" w:themeColor="text1"/>
          <w:szCs w:val="20"/>
          <w:lang w:val="es-US" w:eastAsia="es-US"/>
        </w:rPr>
      </w:pPr>
      <w:r w:rsidRPr="00672AC2">
        <w:rPr>
          <w:bCs/>
          <w:color w:val="000000" w:themeColor="text1"/>
          <w:szCs w:val="20"/>
          <w:lang w:val="es-CO" w:eastAsia="es-US"/>
        </w:rPr>
        <w:t>La Comisión agradece al Estado por la información reportada y toma nota de las medidas de seguridad interna que se han adoptado para la protección de las sedes del Ministerio Público, tanto a nivel central como a nivel descentralizado, las cu</w:t>
      </w:r>
      <w:r w:rsidR="000A0590" w:rsidRPr="00672AC2">
        <w:rPr>
          <w:bCs/>
          <w:color w:val="000000" w:themeColor="text1"/>
          <w:szCs w:val="20"/>
          <w:lang w:val="es-CO" w:eastAsia="es-US"/>
        </w:rPr>
        <w:t>a</w:t>
      </w:r>
      <w:r w:rsidRPr="00672AC2">
        <w:rPr>
          <w:bCs/>
          <w:color w:val="000000" w:themeColor="text1"/>
          <w:szCs w:val="20"/>
          <w:lang w:val="es-CO" w:eastAsia="es-US"/>
        </w:rPr>
        <w:t>les muestran un primer paso para brindar condiciones de seguridad a las personas funcionarias del Ministerio Público. En ese sentido, la CIDH enfatiza la necesidad de seguridad que deben tener las personas funcionarias de esta entidad</w:t>
      </w:r>
      <w:r w:rsidRPr="00672AC2">
        <w:rPr>
          <w:szCs w:val="20"/>
          <w:lang w:val="es-CO"/>
        </w:rPr>
        <w:t xml:space="preserve"> para el cabal desempeño de sus funciones de prevención e investigación del delito</w:t>
      </w:r>
      <w:r w:rsidRPr="00672AC2">
        <w:rPr>
          <w:bCs/>
          <w:color w:val="000000" w:themeColor="text1"/>
          <w:szCs w:val="20"/>
          <w:lang w:val="es-CO" w:eastAsia="es-US"/>
        </w:rPr>
        <w:t>.</w:t>
      </w:r>
    </w:p>
    <w:p w14:paraId="210015F0" w14:textId="40918FB7" w:rsidR="00A1165E" w:rsidRPr="000E2D30" w:rsidRDefault="1561DDF7" w:rsidP="000E2D30">
      <w:pPr>
        <w:pStyle w:val="IAPrrafo"/>
        <w:rPr>
          <w:b/>
          <w:bCs/>
          <w:color w:val="000000" w:themeColor="text1"/>
          <w:szCs w:val="20"/>
          <w:lang w:val="es-US" w:eastAsia="es-US"/>
        </w:rPr>
      </w:pPr>
      <w:r w:rsidRPr="00672AC2">
        <w:rPr>
          <w:color w:val="000000" w:themeColor="text1"/>
          <w:szCs w:val="20"/>
          <w:lang w:val="es-US" w:eastAsia="es-US"/>
        </w:rPr>
        <w:t xml:space="preserve">Al respecto, la CIDH muestra su preocupación por las denuncias sobre amenazas que se habrían dado en contra de fiscales que estarían investigando casos con una gran relevancia pública, tanto en el espacio físico de la fiscalía como fuera de ella. En ese sentido, la Comisión recuerda que se han otorgado distintas medidas cautelares relacionadas con la protección de dichos fiscales. Para la Comisión es necesario conocer las acciones que se han adoptado para implementar las medidas cautelares o de protección ya otorgadas a favor de los fiscales que han sufrido las amenazas, así como las que se han </w:t>
      </w:r>
      <w:r w:rsidR="002E6FD8" w:rsidRPr="00672AC2">
        <w:rPr>
          <w:color w:val="000000" w:themeColor="text1"/>
          <w:szCs w:val="20"/>
          <w:lang w:val="es-US" w:eastAsia="es-US"/>
        </w:rPr>
        <w:t xml:space="preserve">impulsado </w:t>
      </w:r>
      <w:r w:rsidRPr="00672AC2">
        <w:rPr>
          <w:color w:val="000000" w:themeColor="text1"/>
          <w:szCs w:val="20"/>
          <w:lang w:val="es-US" w:eastAsia="es-US"/>
        </w:rPr>
        <w:t xml:space="preserve">para prevenir cualquier acción futura. A la espera de esta información, la Comisión </w:t>
      </w:r>
      <w:r w:rsidR="00EC5AC2" w:rsidRPr="00672AC2">
        <w:rPr>
          <w:color w:val="000000" w:themeColor="text1"/>
          <w:szCs w:val="20"/>
          <w:lang w:val="es-US" w:eastAsia="es-US"/>
        </w:rPr>
        <w:t>estima</w:t>
      </w:r>
      <w:r w:rsidRPr="00672AC2">
        <w:rPr>
          <w:color w:val="000000" w:themeColor="text1"/>
          <w:szCs w:val="20"/>
          <w:lang w:val="es-US" w:eastAsia="es-US"/>
        </w:rPr>
        <w:t xml:space="preserve"> que esta recomendación está parcialmente cumplida. </w:t>
      </w:r>
    </w:p>
    <w:p w14:paraId="1436BD4F" w14:textId="77777777" w:rsidR="0086614D" w:rsidRDefault="0086614D" w:rsidP="00E20E67">
      <w:pPr>
        <w:shd w:val="clear" w:color="auto" w:fill="FFFFFF" w:themeFill="background1"/>
        <w:ind w:left="360" w:firstLine="360"/>
        <w:jc w:val="both"/>
        <w:rPr>
          <w:rFonts w:eastAsia="Cambria" w:cs="Cambria"/>
          <w:i/>
          <w:iCs/>
          <w:color w:val="000000" w:themeColor="text1"/>
          <w:sz w:val="20"/>
          <w:szCs w:val="20"/>
          <w:lang w:val="es-ES"/>
        </w:rPr>
      </w:pPr>
    </w:p>
    <w:p w14:paraId="02C3F598" w14:textId="06FF88FB" w:rsidR="000A4A0B" w:rsidRPr="00672AC2" w:rsidRDefault="000A4A0B" w:rsidP="00E20E67">
      <w:pPr>
        <w:shd w:val="clear" w:color="auto" w:fill="FFFFFF" w:themeFill="background1"/>
        <w:ind w:left="360" w:firstLine="360"/>
        <w:jc w:val="both"/>
        <w:rPr>
          <w:rFonts w:eastAsia="Calibri" w:cs="Times New Roman"/>
          <w:sz w:val="18"/>
          <w:szCs w:val="18"/>
          <w:lang w:val="es-419"/>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32B18091" w14:textId="77777777" w:rsidR="000A4A0B" w:rsidRPr="00672AC2" w:rsidRDefault="000A4A0B" w:rsidP="000A4A0B">
      <w:pPr>
        <w:ind w:firstLine="360"/>
        <w:jc w:val="both"/>
        <w:rPr>
          <w:lang w:val="es-CO"/>
        </w:rPr>
      </w:pPr>
    </w:p>
    <w:p w14:paraId="5E9E04EE" w14:textId="6D58159B" w:rsidR="000A4A0B" w:rsidRPr="00672AC2" w:rsidRDefault="000A4A0B" w:rsidP="00E83710">
      <w:pPr>
        <w:pStyle w:val="IAPrrafo"/>
        <w:rPr>
          <w:rFonts w:eastAsia="Calibri" w:cs="Times New Roman"/>
          <w:b/>
          <w:bCs/>
          <w:sz w:val="18"/>
          <w:szCs w:val="18"/>
        </w:rPr>
      </w:pPr>
      <w:r w:rsidRPr="00672AC2">
        <w:rPr>
          <w:bCs/>
          <w:szCs w:val="20"/>
          <w:lang w:val="es-US"/>
        </w:rPr>
        <w:t xml:space="preserve">La CIDH </w:t>
      </w:r>
      <w:r w:rsidR="008E1CD4" w:rsidRPr="00672AC2">
        <w:rPr>
          <w:bCs/>
          <w:szCs w:val="20"/>
          <w:lang w:val="es-US"/>
        </w:rPr>
        <w:t xml:space="preserve">advierte </w:t>
      </w:r>
      <w:r w:rsidRPr="00672AC2">
        <w:rPr>
          <w:bCs/>
          <w:szCs w:val="20"/>
          <w:lang w:val="es-US"/>
        </w:rPr>
        <w:t xml:space="preserve">que el avance en el cumplimiento de esta recomendación requiere de información detallada </w:t>
      </w:r>
      <w:r w:rsidR="00216857" w:rsidRPr="00672AC2">
        <w:rPr>
          <w:bCs/>
          <w:szCs w:val="20"/>
          <w:lang w:val="es-US"/>
        </w:rPr>
        <w:t xml:space="preserve">adicional </w:t>
      </w:r>
      <w:r w:rsidRPr="00672AC2">
        <w:rPr>
          <w:bCs/>
          <w:szCs w:val="20"/>
          <w:lang w:val="es-US"/>
        </w:rPr>
        <w:t>sobre las medidas adoptadas para garantizar la seguridad de las personas funcionarias del Ministerio Público</w:t>
      </w:r>
      <w:r w:rsidR="00A36959" w:rsidRPr="00672AC2">
        <w:rPr>
          <w:bCs/>
          <w:szCs w:val="20"/>
          <w:lang w:val="es-US"/>
        </w:rPr>
        <w:t>;</w:t>
      </w:r>
      <w:r w:rsidRPr="00672AC2">
        <w:rPr>
          <w:bCs/>
          <w:szCs w:val="20"/>
          <w:lang w:val="es-US"/>
        </w:rPr>
        <w:t xml:space="preserve"> en particular de aquellas personas que ocupan cargos que pueden ser sensibles para casos de alto riesgo y que han sufrido o pueden sufrir amenazas contra ellos o sus familiares</w:t>
      </w:r>
      <w:r w:rsidR="00216857" w:rsidRPr="00672AC2">
        <w:rPr>
          <w:bCs/>
          <w:szCs w:val="20"/>
          <w:lang w:val="es-US"/>
        </w:rPr>
        <w:t xml:space="preserve"> fuera del espacio del Ministerio Público</w:t>
      </w:r>
      <w:r w:rsidRPr="00672AC2">
        <w:rPr>
          <w:bCs/>
          <w:szCs w:val="20"/>
          <w:lang w:val="es-US"/>
        </w:rPr>
        <w:t xml:space="preserve">. En ese sentido, solicita conocer las medidas </w:t>
      </w:r>
      <w:r w:rsidR="000C3480" w:rsidRPr="00672AC2">
        <w:rPr>
          <w:bCs/>
          <w:szCs w:val="20"/>
          <w:lang w:val="es-US"/>
        </w:rPr>
        <w:t xml:space="preserve">impulsadas </w:t>
      </w:r>
      <w:r w:rsidRPr="00672AC2">
        <w:rPr>
          <w:bCs/>
          <w:szCs w:val="20"/>
          <w:lang w:val="es-US"/>
        </w:rPr>
        <w:t xml:space="preserve">para identificar los niveles de riesgo de las personas, así como los mecanismos tanto para denunciar dichas acciones como para dar respuesta y </w:t>
      </w:r>
      <w:r w:rsidR="000C3480" w:rsidRPr="00672AC2">
        <w:rPr>
          <w:bCs/>
          <w:szCs w:val="20"/>
          <w:lang w:val="es-US"/>
        </w:rPr>
        <w:t xml:space="preserve">las </w:t>
      </w:r>
      <w:r w:rsidRPr="00672AC2">
        <w:rPr>
          <w:bCs/>
          <w:szCs w:val="20"/>
          <w:lang w:val="es-US"/>
        </w:rPr>
        <w:t>que se activan luego de presentada la denuncia.</w:t>
      </w:r>
    </w:p>
    <w:p w14:paraId="5D7A8DC2" w14:textId="77777777" w:rsidR="00A66271" w:rsidRPr="00672AC2" w:rsidRDefault="00A66271" w:rsidP="000A4A0B">
      <w:pPr>
        <w:pStyle w:val="IASubttulo2"/>
        <w:numPr>
          <w:ilvl w:val="0"/>
          <w:numId w:val="0"/>
        </w:numPr>
        <w:spacing w:after="0"/>
        <w:jc w:val="both"/>
        <w:rPr>
          <w:rFonts w:eastAsia="Calibri" w:cs="Times New Roman"/>
          <w:b w:val="0"/>
          <w:bCs/>
          <w:sz w:val="18"/>
          <w:szCs w:val="18"/>
          <w:lang w:val="es-419"/>
        </w:rPr>
      </w:pPr>
    </w:p>
    <w:tbl>
      <w:tblPr>
        <w:tblStyle w:val="TableGrid"/>
        <w:tblW w:w="0" w:type="auto"/>
        <w:tblLook w:val="04A0" w:firstRow="1" w:lastRow="0" w:firstColumn="1" w:lastColumn="0" w:noHBand="0" w:noVBand="1"/>
      </w:tblPr>
      <w:tblGrid>
        <w:gridCol w:w="9350"/>
      </w:tblGrid>
      <w:tr w:rsidR="000A4A0B" w:rsidRPr="00F51AED" w14:paraId="2249CCF4" w14:textId="77777777">
        <w:tc>
          <w:tcPr>
            <w:tcW w:w="9350" w:type="dxa"/>
            <w:tcBorders>
              <w:top w:val="nil"/>
              <w:left w:val="nil"/>
              <w:bottom w:val="nil"/>
              <w:right w:val="nil"/>
            </w:tcBorders>
            <w:shd w:val="clear" w:color="auto" w:fill="D0CECE" w:themeFill="background2" w:themeFillShade="E6"/>
          </w:tcPr>
          <w:p w14:paraId="3DF95BF6" w14:textId="15D33D13" w:rsidR="000A4A0B" w:rsidRPr="00E20E67" w:rsidRDefault="000A4A0B" w:rsidP="00E20E67">
            <w:pPr>
              <w:pStyle w:val="IASubttulo2"/>
              <w:numPr>
                <w:ilvl w:val="0"/>
                <w:numId w:val="0"/>
              </w:numPr>
              <w:spacing w:after="0"/>
              <w:ind w:left="154"/>
              <w:jc w:val="both"/>
              <w:rPr>
                <w:b w:val="0"/>
                <w:sz w:val="20"/>
                <w:szCs w:val="20"/>
                <w:lang w:val="es-CO"/>
              </w:rPr>
            </w:pPr>
            <w:bookmarkStart w:id="19" w:name="_Toc195618285"/>
            <w:r w:rsidRPr="00672AC2">
              <w:rPr>
                <w:sz w:val="20"/>
                <w:szCs w:val="20"/>
                <w:lang w:val="es-CO"/>
              </w:rPr>
              <w:t xml:space="preserve">Recomendación </w:t>
            </w:r>
            <w:proofErr w:type="spellStart"/>
            <w:r w:rsidR="002B0B88" w:rsidRPr="00672AC2">
              <w:rPr>
                <w:sz w:val="20"/>
                <w:szCs w:val="20"/>
                <w:lang w:val="es-CO"/>
              </w:rPr>
              <w:t>Nº</w:t>
            </w:r>
            <w:proofErr w:type="spellEnd"/>
            <w:r w:rsidRPr="00672AC2">
              <w:rPr>
                <w:sz w:val="20"/>
                <w:szCs w:val="20"/>
                <w:lang w:val="es-CO"/>
              </w:rPr>
              <w:t xml:space="preserve"> 18. </w:t>
            </w:r>
            <w:r w:rsidRPr="00672AC2">
              <w:rPr>
                <w:b w:val="0"/>
                <w:sz w:val="20"/>
                <w:szCs w:val="20"/>
                <w:lang w:val="es-CO"/>
              </w:rPr>
              <w:t>Aumentar el número de fiscalías especializadas en derechos humanos para que tengan presencia en todo el país.</w:t>
            </w:r>
            <w:bookmarkEnd w:id="19"/>
          </w:p>
        </w:tc>
      </w:tr>
    </w:tbl>
    <w:p w14:paraId="0448654A" w14:textId="77777777" w:rsidR="000A4A0B" w:rsidRPr="00672AC2" w:rsidRDefault="000A4A0B" w:rsidP="000A4A0B">
      <w:pPr>
        <w:shd w:val="clear" w:color="auto" w:fill="FFFFFF"/>
        <w:suppressAutoHyphens w:val="0"/>
        <w:contextualSpacing/>
        <w:jc w:val="both"/>
        <w:rPr>
          <w:rFonts w:eastAsia="Calibri" w:cs="Times New Roman"/>
          <w:b/>
          <w:bCs/>
          <w:sz w:val="20"/>
          <w:szCs w:val="20"/>
          <w:lang w:val="es-419" w:eastAsia="es-US"/>
        </w:rPr>
      </w:pPr>
    </w:p>
    <w:p w14:paraId="686287A5" w14:textId="1A9B64BE" w:rsidR="000A4A0B" w:rsidRPr="00672AC2" w:rsidRDefault="000A4A0B" w:rsidP="00E20E67">
      <w:pPr>
        <w:pBdr>
          <w:top w:val="nil"/>
          <w:left w:val="nil"/>
          <w:bottom w:val="nil"/>
          <w:right w:val="nil"/>
          <w:between w:val="nil"/>
        </w:pBdr>
        <w:ind w:firstLine="720"/>
        <w:jc w:val="both"/>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26FAB4E3" w14:textId="77777777" w:rsidR="000A4A0B" w:rsidRPr="00672AC2" w:rsidRDefault="000A4A0B" w:rsidP="000A4A0B">
      <w:pPr>
        <w:shd w:val="clear" w:color="auto" w:fill="FFFFFF"/>
        <w:suppressAutoHyphens w:val="0"/>
        <w:jc w:val="both"/>
        <w:rPr>
          <w:rFonts w:eastAsia="Calibri" w:cs="Times New Roman"/>
          <w:b/>
          <w:bCs/>
          <w:sz w:val="20"/>
          <w:szCs w:val="20"/>
          <w:lang w:val="es-419" w:eastAsia="es-US"/>
        </w:rPr>
      </w:pPr>
    </w:p>
    <w:p w14:paraId="6A30E5A6" w14:textId="105CA886" w:rsidR="000A4A0B" w:rsidRPr="00E20E67" w:rsidRDefault="15B1BE21" w:rsidP="00E20E67">
      <w:pPr>
        <w:pStyle w:val="IAPrrafo"/>
        <w:rPr>
          <w:b/>
          <w:szCs w:val="20"/>
          <w:lang w:val="es-ES"/>
        </w:rPr>
      </w:pPr>
      <w:r w:rsidRPr="00672AC2">
        <w:rPr>
          <w:rFonts w:eastAsia="Calibri" w:cs="Times New Roman"/>
          <w:szCs w:val="20"/>
          <w:lang w:eastAsia="es-US"/>
        </w:rPr>
        <w:t>En el 2024, el Estado informó que</w:t>
      </w:r>
      <w:r w:rsidR="007A323A">
        <w:rPr>
          <w:rFonts w:eastAsia="Calibri" w:cs="Times New Roman"/>
          <w:szCs w:val="20"/>
          <w:lang w:eastAsia="es-US"/>
        </w:rPr>
        <w:t>,</w:t>
      </w:r>
      <w:r w:rsidRPr="00672AC2">
        <w:rPr>
          <w:rFonts w:eastAsia="Calibri" w:cs="Times New Roman"/>
          <w:szCs w:val="20"/>
          <w:lang w:eastAsia="es-US"/>
        </w:rPr>
        <w:t xml:space="preserve"> </w:t>
      </w:r>
      <w:r w:rsidR="007A323A">
        <w:rPr>
          <w:rFonts w:eastAsia="Calibri" w:cs="Times New Roman"/>
          <w:szCs w:val="20"/>
          <w:lang w:eastAsia="es-US"/>
        </w:rPr>
        <w:t>a</w:t>
      </w:r>
      <w:r w:rsidRPr="00672AC2">
        <w:rPr>
          <w:szCs w:val="20"/>
          <w:lang w:val="es-ES"/>
        </w:rPr>
        <w:t xml:space="preserve"> fin de reforzar el equipo de trabajo fiscal, la Junta de Fiscales Supremos creó 29 despachos fiscales, entre superiores y provinciales, y 216 plazas de fiscales con carácter permanente y transitorio</w:t>
      </w:r>
      <w:r w:rsidR="00F36B41">
        <w:rPr>
          <w:rFonts w:ascii="ZWAdobeF" w:hAnsi="ZWAdobeF" w:cs="ZWAdobeF"/>
          <w:color w:val="auto"/>
          <w:sz w:val="2"/>
          <w:szCs w:val="2"/>
          <w:lang w:val="es-ES"/>
        </w:rPr>
        <w:t>104F</w:t>
      </w:r>
      <w:r w:rsidR="000A4A0B" w:rsidRPr="00672AC2">
        <w:rPr>
          <w:rStyle w:val="FootnoteReference"/>
          <w:szCs w:val="20"/>
          <w:lang w:val="es-ES"/>
        </w:rPr>
        <w:footnoteReference w:id="106"/>
      </w:r>
      <w:r w:rsidRPr="00672AC2">
        <w:rPr>
          <w:szCs w:val="20"/>
          <w:lang w:val="es-ES"/>
        </w:rPr>
        <w:t xml:space="preserve">. En ese sentido, el Estado confirmó que se han implementado fiscalías especializadas en derechos humanos e interculturalidad en la mayor cantidad de distritos fiscales del país. Asimismo, señaló que aquellas plazas en calidad de provisionalidad serán cubiertas por fiscales titulares a través de tres concursos. </w:t>
      </w:r>
    </w:p>
    <w:p w14:paraId="692A95D5" w14:textId="2040725A" w:rsidR="000A4A0B" w:rsidRPr="00E20E67" w:rsidRDefault="1561DDF7" w:rsidP="000A4A0B">
      <w:pPr>
        <w:pStyle w:val="IAPrrafo"/>
        <w:rPr>
          <w:b/>
          <w:bCs/>
          <w:szCs w:val="20"/>
          <w:lang w:val="es-ES"/>
        </w:rPr>
      </w:pPr>
      <w:r w:rsidRPr="00672AC2">
        <w:rPr>
          <w:szCs w:val="20"/>
          <w:lang w:val="es-ES"/>
        </w:rPr>
        <w:t>Asimismo, el Estado reportó que se han inaugurado seis Fiscalías Penales Supraprovinciales Especializadas en Derechos Humanos (Arequipa, Lambayeque, La Libertad, Loreto, Ica y Cusco)</w:t>
      </w:r>
      <w:r w:rsidR="00086B8E" w:rsidRPr="00672AC2">
        <w:rPr>
          <w:szCs w:val="20"/>
          <w:lang w:val="es-ES"/>
        </w:rPr>
        <w:t>;</w:t>
      </w:r>
      <w:r w:rsidRPr="00672AC2">
        <w:rPr>
          <w:szCs w:val="20"/>
          <w:lang w:val="es-ES"/>
        </w:rPr>
        <w:t xml:space="preserve"> aunque afirmó que, en la actualidad, se encuentran en funcionamiento despachos fiscales especializados en derechos humanos e interculturalidad en los 34 distritos fiscales.</w:t>
      </w:r>
    </w:p>
    <w:p w14:paraId="4E207757" w14:textId="03EBCA5D" w:rsidR="000A4A0B" w:rsidRPr="00E20E67" w:rsidRDefault="1561DDF7" w:rsidP="000A4A0B">
      <w:pPr>
        <w:pStyle w:val="IAPrrafo"/>
        <w:rPr>
          <w:b/>
          <w:bCs/>
          <w:szCs w:val="20"/>
          <w:lang w:val="es-ES"/>
        </w:rPr>
      </w:pPr>
      <w:r w:rsidRPr="00672AC2">
        <w:rPr>
          <w:szCs w:val="20"/>
          <w:lang w:val="es-ES"/>
        </w:rPr>
        <w:t xml:space="preserve">Por su lado, sociedad civil </w:t>
      </w:r>
      <w:r w:rsidR="002E5971" w:rsidRPr="00672AC2">
        <w:rPr>
          <w:szCs w:val="20"/>
          <w:lang w:val="es-ES"/>
        </w:rPr>
        <w:t xml:space="preserve">destacó </w:t>
      </w:r>
      <w:r w:rsidRPr="00672AC2">
        <w:rPr>
          <w:szCs w:val="20"/>
          <w:lang w:val="es-ES"/>
        </w:rPr>
        <w:t xml:space="preserve">a la Comisión que, si bien se han creado las fiscalías especializadas, </w:t>
      </w:r>
      <w:r w:rsidR="00216857" w:rsidRPr="00672AC2">
        <w:rPr>
          <w:szCs w:val="20"/>
          <w:lang w:val="es-ES"/>
        </w:rPr>
        <w:t xml:space="preserve">aún existen barreras de acceso a la justicia relacionadas a la ausencia de las fiscalías en lugares alejados en el territorio, o a la necesidad de mejorar los </w:t>
      </w:r>
      <w:r w:rsidRPr="00672AC2">
        <w:rPr>
          <w:szCs w:val="20"/>
          <w:lang w:val="es-ES"/>
        </w:rPr>
        <w:t xml:space="preserve">mecanismos de capacitación </w:t>
      </w:r>
      <w:r w:rsidR="00216857" w:rsidRPr="00672AC2">
        <w:rPr>
          <w:szCs w:val="20"/>
          <w:lang w:val="es-ES"/>
        </w:rPr>
        <w:t>para los miembros de la Fiscalía</w:t>
      </w:r>
      <w:r w:rsidRPr="00672AC2">
        <w:rPr>
          <w:szCs w:val="20"/>
          <w:lang w:val="es-ES"/>
        </w:rPr>
        <w:t>.</w:t>
      </w:r>
    </w:p>
    <w:p w14:paraId="4E8F3021" w14:textId="77777777" w:rsidR="000A4A0B" w:rsidRPr="00672AC2" w:rsidRDefault="000A4A0B" w:rsidP="00E20E67">
      <w:pPr>
        <w:ind w:firstLine="720"/>
        <w:jc w:val="both"/>
        <w:rPr>
          <w:rFonts w:eastAsia="Cambria" w:cs="Cambria"/>
          <w:sz w:val="20"/>
          <w:szCs w:val="20"/>
          <w:lang w:val="es-CO"/>
        </w:rPr>
      </w:pPr>
      <w:r w:rsidRPr="00672AC2">
        <w:rPr>
          <w:rFonts w:eastAsia="Cambria" w:cs="Cambria"/>
          <w:i/>
          <w:iCs/>
          <w:color w:val="000000" w:themeColor="text1"/>
          <w:sz w:val="20"/>
          <w:szCs w:val="20"/>
          <w:lang w:val="es-ES"/>
        </w:rPr>
        <w:t>Análisis y nivel de cumplimiento de la recomendación</w:t>
      </w:r>
    </w:p>
    <w:p w14:paraId="66362E90" w14:textId="77777777" w:rsidR="000A4A0B" w:rsidRPr="00672AC2" w:rsidRDefault="000A4A0B" w:rsidP="000A4A0B">
      <w:pPr>
        <w:ind w:firstLine="360"/>
        <w:jc w:val="both"/>
        <w:rPr>
          <w:rFonts w:eastAsia="Cambria" w:cs="Cambria"/>
          <w:sz w:val="20"/>
          <w:szCs w:val="20"/>
          <w:lang w:val="es-CO"/>
        </w:rPr>
      </w:pPr>
    </w:p>
    <w:p w14:paraId="1B81DB5A" w14:textId="30D95A18" w:rsidR="00AA428C" w:rsidRPr="000E2D30" w:rsidRDefault="5511F9C0" w:rsidP="000E2D30">
      <w:pPr>
        <w:pStyle w:val="IAPrrafo"/>
        <w:rPr>
          <w:rFonts w:eastAsia="Calibri" w:cs="Times New Roman"/>
          <w:b/>
          <w:szCs w:val="20"/>
          <w:lang w:eastAsia="es-US"/>
        </w:rPr>
      </w:pPr>
      <w:r w:rsidRPr="00672AC2">
        <w:rPr>
          <w:szCs w:val="20"/>
          <w:lang w:val="es-US"/>
        </w:rPr>
        <w:t>La CIDH observa que el Estado ha avanzado en la cobertura de fiscalías especializadas en derechos humanos de manera descentralizada. En ese sentido, ha reportado la presencia de Fiscalías Penales Supraprovinciales Especializad</w:t>
      </w:r>
      <w:r w:rsidR="009012D6" w:rsidRPr="00672AC2">
        <w:rPr>
          <w:szCs w:val="20"/>
          <w:lang w:val="es-US"/>
        </w:rPr>
        <w:t>a</w:t>
      </w:r>
      <w:r w:rsidRPr="00672AC2">
        <w:rPr>
          <w:szCs w:val="20"/>
          <w:lang w:val="es-US"/>
        </w:rPr>
        <w:t>s en Derechos Humanos en siete regiones</w:t>
      </w:r>
      <w:r w:rsidR="00C23A96">
        <w:rPr>
          <w:szCs w:val="20"/>
          <w:lang w:val="es-US"/>
        </w:rPr>
        <w:t>;</w:t>
      </w:r>
      <w:r w:rsidRPr="00672AC2">
        <w:rPr>
          <w:szCs w:val="20"/>
          <w:lang w:val="es-US"/>
        </w:rPr>
        <w:t xml:space="preserve"> y </w:t>
      </w:r>
      <w:r w:rsidR="53522BFF" w:rsidRPr="00672AC2">
        <w:rPr>
          <w:szCs w:val="20"/>
          <w:lang w:val="es-US"/>
        </w:rPr>
        <w:t>que,</w:t>
      </w:r>
      <w:r w:rsidRPr="00672AC2">
        <w:rPr>
          <w:szCs w:val="20"/>
          <w:lang w:val="es-US"/>
        </w:rPr>
        <w:t xml:space="preserve"> en todos los 34 distritos fiscales, se encuentran despachos fiscales especializados. Además, la CIDH observa positivamente que, con la creación del EFICAVIP, se haya</w:t>
      </w:r>
      <w:r w:rsidR="00A7599C" w:rsidRPr="00672AC2">
        <w:rPr>
          <w:szCs w:val="20"/>
          <w:lang w:val="es-US"/>
        </w:rPr>
        <w:t>n</w:t>
      </w:r>
      <w:r w:rsidRPr="00672AC2">
        <w:rPr>
          <w:szCs w:val="20"/>
          <w:lang w:val="es-US"/>
        </w:rPr>
        <w:t xml:space="preserve"> podido atender casos complejos en situaciones que van más allá de jurisdicciones concretas. En ese sentido, la CIDH saluda los avances en relación con el objetivo de la recomendación. Por ende, </w:t>
      </w:r>
      <w:r w:rsidR="00EC5AC2" w:rsidRPr="00672AC2">
        <w:rPr>
          <w:szCs w:val="20"/>
          <w:lang w:val="es-US"/>
        </w:rPr>
        <w:t>sostiene</w:t>
      </w:r>
      <w:r w:rsidRPr="00672AC2">
        <w:rPr>
          <w:szCs w:val="20"/>
          <w:lang w:val="es-US"/>
        </w:rPr>
        <w:t xml:space="preserve"> que la presente recomendación se encuentra en </w:t>
      </w:r>
      <w:r w:rsidRPr="00A57979">
        <w:rPr>
          <w:b/>
          <w:bCs/>
          <w:szCs w:val="20"/>
          <w:lang w:val="es-US"/>
        </w:rPr>
        <w:t xml:space="preserve">cumplimiento </w:t>
      </w:r>
      <w:r w:rsidR="007A323A" w:rsidRPr="00A57979">
        <w:rPr>
          <w:b/>
          <w:bCs/>
          <w:szCs w:val="20"/>
          <w:lang w:val="es-US"/>
        </w:rPr>
        <w:t>total</w:t>
      </w:r>
      <w:r w:rsidRPr="00672AC2">
        <w:rPr>
          <w:szCs w:val="20"/>
          <w:lang w:val="es-US"/>
        </w:rPr>
        <w:t xml:space="preserve">. </w:t>
      </w:r>
    </w:p>
    <w:p w14:paraId="13F88A77" w14:textId="42CD7999" w:rsidR="000A4A0B" w:rsidRDefault="000A4A0B" w:rsidP="000E2D30">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593572B7" w14:textId="77777777" w:rsidR="000E2D30" w:rsidRPr="00672AC2" w:rsidRDefault="000E2D30" w:rsidP="000E2D30">
      <w:pPr>
        <w:ind w:firstLine="720"/>
        <w:jc w:val="both"/>
        <w:rPr>
          <w:lang w:val="es-US"/>
        </w:rPr>
      </w:pPr>
    </w:p>
    <w:p w14:paraId="2386449D" w14:textId="55A09ED2" w:rsidR="000A4A0B" w:rsidRPr="00A1165E" w:rsidRDefault="000A4A0B" w:rsidP="00A1165E">
      <w:pPr>
        <w:pStyle w:val="IAPrrafo"/>
        <w:rPr>
          <w:rFonts w:eastAsia="Calibri" w:cs="Times New Roman"/>
          <w:b/>
          <w:bCs/>
          <w:szCs w:val="20"/>
          <w:lang w:val="es-CO"/>
        </w:rPr>
      </w:pPr>
      <w:r w:rsidRPr="00672AC2">
        <w:rPr>
          <w:bCs/>
          <w:szCs w:val="20"/>
          <w:lang w:val="es-US"/>
        </w:rPr>
        <w:t xml:space="preserve">La CIDH </w:t>
      </w:r>
      <w:r w:rsidR="008E3E2E">
        <w:rPr>
          <w:bCs/>
          <w:szCs w:val="20"/>
          <w:lang w:val="es-US"/>
        </w:rPr>
        <w:t xml:space="preserve">saluda los esfuerzos del Estado para cumplir con esta recomendación, y </w:t>
      </w:r>
      <w:r w:rsidR="008E3E2E" w:rsidRPr="008E3E2E">
        <w:rPr>
          <w:bCs/>
          <w:szCs w:val="20"/>
          <w:lang w:val="es-US"/>
        </w:rPr>
        <w:t xml:space="preserve">resalta </w:t>
      </w:r>
      <w:r w:rsidR="008E3E2E">
        <w:rPr>
          <w:bCs/>
          <w:szCs w:val="20"/>
          <w:lang w:val="es-US"/>
        </w:rPr>
        <w:t>la necesidad de</w:t>
      </w:r>
      <w:r w:rsidR="008E3E2E" w:rsidRPr="008E3E2E">
        <w:rPr>
          <w:bCs/>
          <w:szCs w:val="20"/>
          <w:lang w:val="es-US"/>
        </w:rPr>
        <w:t xml:space="preserve"> </w:t>
      </w:r>
      <w:r w:rsidR="008E3E2E">
        <w:rPr>
          <w:bCs/>
          <w:szCs w:val="20"/>
          <w:lang w:val="es-US"/>
        </w:rPr>
        <w:t>asegurar y mantener</w:t>
      </w:r>
      <w:r w:rsidR="008E3E2E" w:rsidRPr="008E3E2E">
        <w:rPr>
          <w:bCs/>
          <w:szCs w:val="20"/>
          <w:lang w:val="es-US"/>
        </w:rPr>
        <w:t xml:space="preserve"> un presupuesto adecuado a las necesidades del Subsistema para Derechos Humanos e Interculturalidad</w:t>
      </w:r>
      <w:r w:rsidRPr="00672AC2">
        <w:rPr>
          <w:bCs/>
          <w:szCs w:val="20"/>
          <w:lang w:val="es-US"/>
        </w:rPr>
        <w:t>.</w:t>
      </w:r>
    </w:p>
    <w:tbl>
      <w:tblPr>
        <w:tblStyle w:val="TableGrid"/>
        <w:tblW w:w="0" w:type="auto"/>
        <w:tblLook w:val="04A0" w:firstRow="1" w:lastRow="0" w:firstColumn="1" w:lastColumn="0" w:noHBand="0" w:noVBand="1"/>
      </w:tblPr>
      <w:tblGrid>
        <w:gridCol w:w="9350"/>
      </w:tblGrid>
      <w:tr w:rsidR="000A4A0B" w:rsidRPr="00F51AED" w14:paraId="3B0B86B4" w14:textId="77777777">
        <w:tc>
          <w:tcPr>
            <w:tcW w:w="9350" w:type="dxa"/>
            <w:tcBorders>
              <w:top w:val="nil"/>
              <w:left w:val="nil"/>
              <w:bottom w:val="nil"/>
              <w:right w:val="nil"/>
            </w:tcBorders>
            <w:shd w:val="clear" w:color="auto" w:fill="D0CECE" w:themeFill="background2" w:themeFillShade="E6"/>
          </w:tcPr>
          <w:p w14:paraId="24430B0C" w14:textId="12337886" w:rsidR="000A4A0B" w:rsidRPr="004B6CEA" w:rsidRDefault="000A4A0B" w:rsidP="004B6CEA">
            <w:pPr>
              <w:pStyle w:val="IASubttulo2"/>
              <w:numPr>
                <w:ilvl w:val="0"/>
                <w:numId w:val="0"/>
              </w:numPr>
              <w:spacing w:after="0"/>
              <w:ind w:left="154"/>
              <w:jc w:val="both"/>
              <w:rPr>
                <w:b w:val="0"/>
                <w:sz w:val="20"/>
                <w:szCs w:val="20"/>
                <w:lang w:val="es-CO"/>
              </w:rPr>
            </w:pPr>
            <w:bookmarkStart w:id="20" w:name="_Toc195618286"/>
            <w:r w:rsidRPr="00672AC2">
              <w:rPr>
                <w:sz w:val="20"/>
                <w:szCs w:val="20"/>
                <w:lang w:val="es-CO"/>
              </w:rPr>
              <w:t xml:space="preserve">Recomendación </w:t>
            </w:r>
            <w:proofErr w:type="spellStart"/>
            <w:r w:rsidR="002B0B88" w:rsidRPr="00672AC2">
              <w:rPr>
                <w:sz w:val="20"/>
                <w:szCs w:val="20"/>
                <w:lang w:val="es-CO"/>
              </w:rPr>
              <w:t>Nº</w:t>
            </w:r>
            <w:proofErr w:type="spellEnd"/>
            <w:r w:rsidRPr="00672AC2">
              <w:rPr>
                <w:sz w:val="20"/>
                <w:szCs w:val="20"/>
                <w:lang w:val="es-CO"/>
              </w:rPr>
              <w:t xml:space="preserve"> 19. </w:t>
            </w:r>
            <w:r w:rsidRPr="00672AC2">
              <w:rPr>
                <w:b w:val="0"/>
                <w:sz w:val="20"/>
                <w:szCs w:val="20"/>
                <w:lang w:val="es-CO"/>
              </w:rPr>
              <w:t>Adoptar medidas adicionales de fortalecimiento institucional del Instituto de Medicina de Legal y Ciencias Forenses para dotarlo de recursos humanos, técnicos y científicos para el cabal desempeño de sus funciones en las distintas provincias del país y, especialmente, respecto de las investigaciones correspondientes a los hechos contenidos en el presente informe.</w:t>
            </w:r>
            <w:bookmarkEnd w:id="20"/>
          </w:p>
        </w:tc>
      </w:tr>
    </w:tbl>
    <w:p w14:paraId="443B7BD6" w14:textId="77777777" w:rsidR="000A4A0B" w:rsidRPr="00672AC2" w:rsidRDefault="000A4A0B" w:rsidP="000A4A0B">
      <w:pPr>
        <w:shd w:val="clear" w:color="auto" w:fill="FFFFFF" w:themeFill="background1"/>
        <w:suppressAutoHyphens w:val="0"/>
        <w:jc w:val="both"/>
        <w:rPr>
          <w:b/>
          <w:bCs/>
          <w:sz w:val="20"/>
          <w:szCs w:val="20"/>
          <w:lang w:val="es-419" w:eastAsia="es-US"/>
        </w:rPr>
      </w:pPr>
    </w:p>
    <w:p w14:paraId="390A8F6B" w14:textId="61FB1502" w:rsidR="000A4A0B" w:rsidRPr="00672AC2" w:rsidRDefault="000A4A0B" w:rsidP="004B6CEA">
      <w:pPr>
        <w:pBdr>
          <w:top w:val="nil"/>
          <w:left w:val="nil"/>
          <w:bottom w:val="nil"/>
          <w:right w:val="nil"/>
          <w:between w:val="nil"/>
        </w:pBdr>
        <w:ind w:firstLine="720"/>
        <w:jc w:val="both"/>
        <w:rPr>
          <w:lang w:val="es-ES"/>
        </w:rPr>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652CCB11" w14:textId="77777777" w:rsidR="000A4A0B" w:rsidRPr="00672AC2" w:rsidRDefault="000A4A0B" w:rsidP="000A4A0B">
      <w:pPr>
        <w:shd w:val="clear" w:color="auto" w:fill="FFFFFF" w:themeFill="background1"/>
        <w:suppressAutoHyphens w:val="0"/>
        <w:jc w:val="both"/>
        <w:rPr>
          <w:b/>
          <w:bCs/>
          <w:sz w:val="20"/>
          <w:szCs w:val="20"/>
          <w:lang w:val="es-419" w:eastAsia="es-US"/>
        </w:rPr>
      </w:pPr>
    </w:p>
    <w:p w14:paraId="358AFA4D" w14:textId="4DB9DA92" w:rsidR="000A4A0B" w:rsidRPr="00672AC2" w:rsidRDefault="1561DDF7" w:rsidP="00E83710">
      <w:pPr>
        <w:pStyle w:val="IAPrrafo"/>
        <w:rPr>
          <w:b/>
          <w:bCs/>
          <w:szCs w:val="20"/>
          <w:lang w:val="es-ES"/>
        </w:rPr>
      </w:pPr>
      <w:r w:rsidRPr="00672AC2">
        <w:rPr>
          <w:bCs/>
          <w:szCs w:val="20"/>
        </w:rPr>
        <w:t xml:space="preserve">En el 2024, el Estado afirmó que el </w:t>
      </w:r>
      <w:r w:rsidRPr="00672AC2">
        <w:rPr>
          <w:bCs/>
          <w:szCs w:val="20"/>
          <w:lang w:val="es-ES"/>
        </w:rPr>
        <w:t>presupuesto asignado para el fortalecimiento institucional del Instituto de Medicina Legal y Ciencias Forenses (IMLCF) asciende a los 26.832.820 soles</w:t>
      </w:r>
      <w:r w:rsidR="00F36B41">
        <w:rPr>
          <w:rFonts w:ascii="ZWAdobeF" w:hAnsi="ZWAdobeF" w:cs="ZWAdobeF"/>
          <w:bCs/>
          <w:color w:val="auto"/>
          <w:sz w:val="2"/>
          <w:szCs w:val="2"/>
          <w:lang w:val="es-ES"/>
        </w:rPr>
        <w:t>105F</w:t>
      </w:r>
      <w:r w:rsidR="000A4A0B" w:rsidRPr="00672AC2">
        <w:rPr>
          <w:rStyle w:val="FootnoteReference"/>
          <w:bCs/>
          <w:szCs w:val="20"/>
          <w:lang w:val="es-ES"/>
        </w:rPr>
        <w:footnoteReference w:id="107"/>
      </w:r>
      <w:r w:rsidRPr="00672AC2">
        <w:rPr>
          <w:bCs/>
          <w:szCs w:val="20"/>
          <w:lang w:val="es-ES"/>
        </w:rPr>
        <w:t>. En ese sentido, indicó que, actualmente, hay 285 profesionales incorporados a nivel nacional en 32 distritos fiscales, entre médicos (auditores, psiquiatras, patólogos, radiólogos), antropólogos, arqueólogos, biólogos, psicólogos, químicos farmacéuticos, especialistas administrativos, operadores informáticos, analistas informáticos, tecnólogos médicos y operadores administrativos.</w:t>
      </w:r>
    </w:p>
    <w:p w14:paraId="3873A2E4" w14:textId="51B166F5" w:rsidR="000A4A0B" w:rsidRPr="004B6CEA" w:rsidRDefault="1561DDF7" w:rsidP="004B6CEA">
      <w:pPr>
        <w:pStyle w:val="IAPrrafo"/>
        <w:rPr>
          <w:b/>
          <w:bCs/>
          <w:szCs w:val="20"/>
          <w:lang w:val="es-CO"/>
        </w:rPr>
      </w:pPr>
      <w:r w:rsidRPr="00672AC2">
        <w:rPr>
          <w:szCs w:val="20"/>
          <w:lang w:val="es-CO"/>
        </w:rPr>
        <w:t xml:space="preserve">Asimismo, el Estado informó que se brindó capacitación a las personas funcionarias del IMLCF sobre el Protocolo de Estambul, lo cual ha permitido que se programen evaluaciones aplicando este instrumento, se realicen estudios de casos </w:t>
      </w:r>
      <w:r w:rsidRPr="00672AC2">
        <w:rPr>
          <w:i/>
          <w:iCs/>
          <w:szCs w:val="20"/>
          <w:lang w:val="es-CO"/>
        </w:rPr>
        <w:t>post facto</w:t>
      </w:r>
      <w:r w:rsidRPr="00672AC2">
        <w:rPr>
          <w:szCs w:val="20"/>
          <w:lang w:val="es-CO"/>
        </w:rPr>
        <w:t xml:space="preserve"> en Lima y en regiones del país, y se efectúen reconocimientos médicos legales de manera física y en hospitales.</w:t>
      </w:r>
    </w:p>
    <w:p w14:paraId="03542D86" w14:textId="6E02EE39" w:rsidR="000A4A0B" w:rsidRPr="004B6CEA" w:rsidRDefault="1561DDF7" w:rsidP="004B6CEA">
      <w:pPr>
        <w:pStyle w:val="IAPrrafo"/>
        <w:rPr>
          <w:b/>
          <w:bCs/>
          <w:lang w:val="es-CO"/>
        </w:rPr>
      </w:pPr>
      <w:r w:rsidRPr="00672AC2">
        <w:rPr>
          <w:szCs w:val="20"/>
          <w:lang w:val="es-CO"/>
        </w:rPr>
        <w:t xml:space="preserve">Por su parte, la Comisión conoció información proporcionada por la sociedad civil según la cual, durante una sesión de la Comisión de Fiscalización y Contraloría del Congreso del 24 de mayo del 2024, el </w:t>
      </w:r>
      <w:proofErr w:type="gramStart"/>
      <w:r w:rsidRPr="00672AC2">
        <w:rPr>
          <w:szCs w:val="20"/>
          <w:lang w:val="es-CO"/>
        </w:rPr>
        <w:t>Jefe</w:t>
      </w:r>
      <w:proofErr w:type="gramEnd"/>
      <w:r w:rsidRPr="00672AC2">
        <w:rPr>
          <w:szCs w:val="20"/>
          <w:lang w:val="es-CO"/>
        </w:rPr>
        <w:t xml:space="preserve"> Nacional del IMLCF informó a los y las congresistas sobre la falta de insumos para el procesamiento de muestras en el laboratorio de toxicología, así como sobre deficiencias en infraestructura y mantenimiento de diversos servicios</w:t>
      </w:r>
      <w:r w:rsidR="00F36B41">
        <w:rPr>
          <w:rFonts w:ascii="ZWAdobeF" w:hAnsi="ZWAdobeF" w:cs="ZWAdobeF"/>
          <w:color w:val="auto"/>
          <w:sz w:val="2"/>
          <w:szCs w:val="2"/>
          <w:lang w:val="es-CO"/>
        </w:rPr>
        <w:t>106F</w:t>
      </w:r>
      <w:r w:rsidR="000A4A0B" w:rsidRPr="00672AC2">
        <w:rPr>
          <w:rStyle w:val="FootnoteReference"/>
          <w:szCs w:val="20"/>
          <w:lang w:val="es-CO"/>
        </w:rPr>
        <w:footnoteReference w:id="108"/>
      </w:r>
      <w:r w:rsidRPr="00672AC2">
        <w:rPr>
          <w:szCs w:val="20"/>
          <w:lang w:val="es-CO"/>
        </w:rPr>
        <w:t>.</w:t>
      </w:r>
    </w:p>
    <w:p w14:paraId="4F632281" w14:textId="77777777" w:rsidR="000A4A0B" w:rsidRPr="00672AC2" w:rsidRDefault="000A4A0B" w:rsidP="004B6CEA">
      <w:pPr>
        <w:ind w:firstLine="720"/>
        <w:jc w:val="both"/>
        <w:rPr>
          <w:lang w:val="es-CO"/>
        </w:rPr>
      </w:pPr>
      <w:r w:rsidRPr="00672AC2">
        <w:rPr>
          <w:rFonts w:eastAsia="Cambria" w:cs="Cambria"/>
          <w:i/>
          <w:iCs/>
          <w:color w:val="000000" w:themeColor="text1"/>
          <w:sz w:val="20"/>
          <w:szCs w:val="20"/>
          <w:lang w:val="es-ES"/>
        </w:rPr>
        <w:t>Análisis y nivel de cumplimiento de la recomendación</w:t>
      </w:r>
    </w:p>
    <w:p w14:paraId="292F8AE1" w14:textId="77777777" w:rsidR="000A4A0B" w:rsidRPr="00672AC2" w:rsidRDefault="000A4A0B" w:rsidP="000A4A0B">
      <w:pPr>
        <w:ind w:firstLine="360"/>
        <w:jc w:val="both"/>
        <w:rPr>
          <w:rFonts w:eastAsia="Cambria" w:cs="Cambria"/>
          <w:bCs/>
          <w:i/>
          <w:iCs/>
          <w:color w:val="000000" w:themeColor="text1"/>
          <w:sz w:val="20"/>
          <w:szCs w:val="20"/>
          <w:lang w:val="es-ES"/>
        </w:rPr>
      </w:pPr>
    </w:p>
    <w:p w14:paraId="677962BE" w14:textId="11F3CF4E" w:rsidR="00120AB5" w:rsidRPr="004B6CEA" w:rsidRDefault="000A4A0B" w:rsidP="004B6CEA">
      <w:pPr>
        <w:pStyle w:val="IAPrrafo"/>
        <w:rPr>
          <w:lang w:val="es-CO" w:eastAsia="es-US"/>
        </w:rPr>
      </w:pPr>
      <w:r w:rsidRPr="00672AC2">
        <w:rPr>
          <w:bCs/>
          <w:szCs w:val="20"/>
          <w:lang w:val="es-US"/>
        </w:rPr>
        <w:t xml:space="preserve">La CIDH agradece al Estado por la información enviada y toma nota del presupuesto asignado al IMLCF, el cual fue utilizado para la contratación de personal a nivel descentralizado. Asimismo, saluda la implementación de capacitaciones relacionadas al Protocolo de Estambul. Sin embargo, para medir el avance de la recomendación, la Comisión requiere conocer cómo se han modificado las condiciones de trabajo en el tiempo. Asimismo, considera que se pueden adoptar acciones de fortalecimiento institucional como asignaciones presupuestales, capacitaciones, y cooperación con otras entidades, en particular, para ayudar a atender las investigaciones correspondientes a los hechos contenidos en el Informe de País. En el entretanto, la Comisión </w:t>
      </w:r>
      <w:r w:rsidR="00C7263A" w:rsidRPr="00672AC2">
        <w:rPr>
          <w:bCs/>
          <w:szCs w:val="20"/>
          <w:lang w:val="es-US"/>
        </w:rPr>
        <w:t xml:space="preserve">concluye </w:t>
      </w:r>
      <w:r w:rsidRPr="00672AC2">
        <w:rPr>
          <w:bCs/>
          <w:szCs w:val="20"/>
          <w:lang w:val="es-US"/>
        </w:rPr>
        <w:t xml:space="preserve">que la recomendación se encuentra </w:t>
      </w:r>
      <w:r w:rsidRPr="00672AC2">
        <w:rPr>
          <w:szCs w:val="20"/>
          <w:lang w:val="es-US"/>
        </w:rPr>
        <w:t>pendiente de cumplimiento</w:t>
      </w:r>
      <w:r w:rsidRPr="00672AC2">
        <w:rPr>
          <w:bCs/>
          <w:szCs w:val="20"/>
          <w:lang w:val="es-US"/>
        </w:rPr>
        <w:t>.</w:t>
      </w:r>
    </w:p>
    <w:p w14:paraId="583F97C2" w14:textId="77777777" w:rsidR="00120AB5" w:rsidRPr="00672AC2" w:rsidRDefault="00120AB5" w:rsidP="00803DD7">
      <w:pPr>
        <w:ind w:firstLine="720"/>
        <w:jc w:val="both"/>
        <w:rPr>
          <w:lang w:val="es-US"/>
        </w:rPr>
      </w:pPr>
      <w:r w:rsidRPr="00672AC2">
        <w:rPr>
          <w:rFonts w:eastAsia="Cambria" w:cs="Cambria"/>
          <w:i/>
          <w:iCs/>
          <w:color w:val="000000" w:themeColor="text1"/>
          <w:sz w:val="20"/>
          <w:szCs w:val="20"/>
          <w:lang w:val="es-ES"/>
        </w:rPr>
        <w:t xml:space="preserve">Medidas e información para avanzar en el cumplimiento de la recomendación </w:t>
      </w:r>
    </w:p>
    <w:p w14:paraId="174C31B5" w14:textId="77777777" w:rsidR="00120AB5" w:rsidRPr="00120AB5" w:rsidRDefault="00120AB5" w:rsidP="00120AB5">
      <w:pPr>
        <w:pStyle w:val="IASubttulo2"/>
        <w:numPr>
          <w:ilvl w:val="0"/>
          <w:numId w:val="0"/>
        </w:numPr>
        <w:spacing w:after="0"/>
        <w:ind w:left="720"/>
        <w:jc w:val="both"/>
        <w:rPr>
          <w:lang w:val="es-US" w:eastAsia="es-US"/>
        </w:rPr>
      </w:pPr>
    </w:p>
    <w:p w14:paraId="2DA1269A" w14:textId="17BE74E3" w:rsidR="00324500" w:rsidRPr="00803DD7" w:rsidRDefault="00120AB5" w:rsidP="00803DD7">
      <w:pPr>
        <w:pStyle w:val="IAPrrafo"/>
        <w:rPr>
          <w:b/>
          <w:szCs w:val="20"/>
          <w:lang w:val="es-CO"/>
        </w:rPr>
      </w:pPr>
      <w:bookmarkStart w:id="21" w:name="OLE_LINK2"/>
      <w:r w:rsidRPr="24019998">
        <w:rPr>
          <w:szCs w:val="20"/>
          <w:lang w:val="es-US"/>
        </w:rPr>
        <w:t xml:space="preserve">Para avanzar en el cumplimiento de la recomendación, la CIDH necesita conocer comparativamente, con respecto de los años anteriores, del fortalecimiento de la institución. Para ello, se requiere contar con información comparada en los últimos años (al menos desde la adopción de la recomendación) sobre el fortalecimiento de capacidades del personal, sobre la situación en recursos humanos, sobre los recursos presupuestales, de infraestructura, entre otros. Es importante que la información comparada permita conocer, de manera descentralizada, las necesidades en cada región, considerando la priorización los casos relacionados con las responsabilidades sobre el uso desproporcionado de la fuerza. </w:t>
      </w:r>
      <w:bookmarkEnd w:id="21"/>
    </w:p>
    <w:tbl>
      <w:tblPr>
        <w:tblStyle w:val="TableGrid"/>
        <w:tblW w:w="0" w:type="auto"/>
        <w:tblLook w:val="04A0" w:firstRow="1" w:lastRow="0" w:firstColumn="1" w:lastColumn="0" w:noHBand="0" w:noVBand="1"/>
      </w:tblPr>
      <w:tblGrid>
        <w:gridCol w:w="9350"/>
      </w:tblGrid>
      <w:tr w:rsidR="000A4A0B" w:rsidRPr="00F51AED" w14:paraId="1E4D3B54" w14:textId="77777777">
        <w:tc>
          <w:tcPr>
            <w:tcW w:w="9350" w:type="dxa"/>
            <w:tcBorders>
              <w:top w:val="nil"/>
              <w:left w:val="nil"/>
              <w:bottom w:val="nil"/>
              <w:right w:val="nil"/>
            </w:tcBorders>
            <w:shd w:val="clear" w:color="auto" w:fill="D0CECE" w:themeFill="background2" w:themeFillShade="E6"/>
          </w:tcPr>
          <w:p w14:paraId="3E24A14F" w14:textId="5082895C" w:rsidR="000A4A0B" w:rsidRPr="00672AC2" w:rsidRDefault="000A4A0B" w:rsidP="00803DD7">
            <w:pPr>
              <w:pStyle w:val="IASubttulo2"/>
              <w:numPr>
                <w:ilvl w:val="0"/>
                <w:numId w:val="0"/>
              </w:numPr>
              <w:spacing w:after="0"/>
              <w:ind w:left="154"/>
              <w:jc w:val="both"/>
              <w:rPr>
                <w:b w:val="0"/>
                <w:sz w:val="20"/>
                <w:szCs w:val="20"/>
                <w:lang w:val="es-CO"/>
              </w:rPr>
            </w:pPr>
            <w:bookmarkStart w:id="22" w:name="_Toc195618287"/>
            <w:r w:rsidRPr="00672AC2">
              <w:rPr>
                <w:sz w:val="20"/>
                <w:szCs w:val="20"/>
                <w:lang w:val="es-CO"/>
              </w:rPr>
              <w:t xml:space="preserve">Recomendación </w:t>
            </w:r>
            <w:proofErr w:type="spellStart"/>
            <w:r w:rsidR="002B0B88" w:rsidRPr="00672AC2">
              <w:rPr>
                <w:sz w:val="20"/>
                <w:szCs w:val="20"/>
                <w:lang w:val="es-CO"/>
              </w:rPr>
              <w:t>Nº</w:t>
            </w:r>
            <w:proofErr w:type="spellEnd"/>
            <w:r w:rsidRPr="00672AC2">
              <w:rPr>
                <w:sz w:val="20"/>
                <w:szCs w:val="20"/>
                <w:lang w:val="es-CO"/>
              </w:rPr>
              <w:t xml:space="preserve"> 20. </w:t>
            </w:r>
            <w:r w:rsidRPr="00672AC2">
              <w:rPr>
                <w:b w:val="0"/>
                <w:sz w:val="20"/>
                <w:szCs w:val="20"/>
                <w:lang w:val="es-CO"/>
              </w:rPr>
              <w:t>Sistematizar mediante un registro integral los datos sobre personas fallecidas, heridas, detenidas y víctimas de violencia de género en el contexto de las protestas sociales de manera transparente, actualizada, clara, concisa y contrastada con la información brindada por la sociedad civil. El registro debe ser específico y tomar en cuenta datos desagregados por origen étnico-racial, edad, sexo, orientación sexual, identidad y/o expresión de género.</w:t>
            </w:r>
            <w:bookmarkEnd w:id="22"/>
          </w:p>
        </w:tc>
      </w:tr>
    </w:tbl>
    <w:p w14:paraId="62A36417" w14:textId="77777777" w:rsidR="00803DD7" w:rsidRDefault="00803DD7" w:rsidP="00A1165E">
      <w:pPr>
        <w:pBdr>
          <w:top w:val="nil"/>
          <w:left w:val="nil"/>
          <w:bottom w:val="nil"/>
          <w:right w:val="nil"/>
          <w:between w:val="nil"/>
        </w:pBdr>
        <w:jc w:val="both"/>
        <w:rPr>
          <w:rFonts w:eastAsia="Cambria" w:cs="Cambria"/>
          <w:bCs/>
          <w:i/>
          <w:iCs/>
          <w:color w:val="000000" w:themeColor="text1"/>
          <w:sz w:val="20"/>
          <w:szCs w:val="20"/>
          <w:lang w:val="es-ES"/>
        </w:rPr>
      </w:pPr>
    </w:p>
    <w:p w14:paraId="6344F3C9" w14:textId="77777777" w:rsidR="0086614D" w:rsidRDefault="0086614D" w:rsidP="00803DD7">
      <w:pPr>
        <w:pBdr>
          <w:top w:val="nil"/>
          <w:left w:val="nil"/>
          <w:bottom w:val="nil"/>
          <w:right w:val="nil"/>
          <w:between w:val="nil"/>
        </w:pBdr>
        <w:ind w:firstLine="720"/>
        <w:jc w:val="both"/>
        <w:rPr>
          <w:rFonts w:eastAsia="Cambria" w:cs="Cambria"/>
          <w:bCs/>
          <w:i/>
          <w:iCs/>
          <w:color w:val="000000" w:themeColor="text1"/>
          <w:sz w:val="20"/>
          <w:szCs w:val="20"/>
          <w:lang w:val="es-ES"/>
        </w:rPr>
      </w:pPr>
    </w:p>
    <w:p w14:paraId="099E4C1C" w14:textId="1309350D" w:rsidR="000A4A0B" w:rsidRPr="00672AC2" w:rsidRDefault="000A4A0B" w:rsidP="00803DD7">
      <w:pPr>
        <w:pBdr>
          <w:top w:val="nil"/>
          <w:left w:val="nil"/>
          <w:bottom w:val="nil"/>
          <w:right w:val="nil"/>
          <w:between w:val="nil"/>
        </w:pBdr>
        <w:ind w:firstLine="720"/>
        <w:jc w:val="both"/>
        <w:rPr>
          <w:bCs/>
        </w:rPr>
      </w:pPr>
      <w:r w:rsidRPr="00672AC2">
        <w:rPr>
          <w:rFonts w:eastAsia="Cambria" w:cs="Cambria"/>
          <w:bCs/>
          <w:i/>
          <w:iCs/>
          <w:color w:val="000000" w:themeColor="text1"/>
          <w:sz w:val="20"/>
          <w:szCs w:val="20"/>
          <w:lang w:val="es-ES"/>
        </w:rPr>
        <w:t>Información sobre el cumplimiento</w:t>
      </w:r>
      <w:r w:rsidR="001E5003" w:rsidRPr="00672AC2">
        <w:rPr>
          <w:rFonts w:eastAsia="Cambria" w:cs="Cambria"/>
          <w:bCs/>
          <w:i/>
          <w:iCs/>
          <w:color w:val="000000" w:themeColor="text1"/>
          <w:sz w:val="20"/>
          <w:szCs w:val="20"/>
          <w:lang w:val="es-ES"/>
        </w:rPr>
        <w:t xml:space="preserve"> </w:t>
      </w:r>
    </w:p>
    <w:p w14:paraId="18DA949B" w14:textId="77777777" w:rsidR="000A4A0B" w:rsidRPr="00672AC2" w:rsidRDefault="000A4A0B" w:rsidP="000A4A0B">
      <w:pPr>
        <w:shd w:val="clear" w:color="auto" w:fill="FFFFFF" w:themeFill="background1"/>
        <w:suppressAutoHyphens w:val="0"/>
        <w:jc w:val="both"/>
        <w:rPr>
          <w:bCs/>
          <w:sz w:val="20"/>
          <w:szCs w:val="20"/>
          <w:lang w:val="es-419" w:eastAsia="es-US"/>
        </w:rPr>
      </w:pPr>
    </w:p>
    <w:p w14:paraId="1F8C8C8D" w14:textId="37170244" w:rsidR="000A4A0B" w:rsidRPr="00803DD7" w:rsidRDefault="1561DDF7" w:rsidP="00803DD7">
      <w:pPr>
        <w:pStyle w:val="IAPrrafo"/>
        <w:rPr>
          <w:b/>
          <w:bCs/>
          <w:szCs w:val="20"/>
          <w:lang w:val="es-ES"/>
        </w:rPr>
      </w:pPr>
      <w:r w:rsidRPr="00672AC2">
        <w:rPr>
          <w:szCs w:val="20"/>
          <w:lang w:val="es-US" w:eastAsia="es-US"/>
        </w:rPr>
        <w:t>En el 2024, el Estado informó sobre</w:t>
      </w:r>
      <w:r w:rsidRPr="00672AC2">
        <w:rPr>
          <w:szCs w:val="20"/>
          <w:lang w:val="es-ES"/>
        </w:rPr>
        <w:t xml:space="preserve"> la implementación del Registro de Datos de Víctimas de las Protestas Sociales (REDAVIP) del Ministerio Público, el cual debe contener los datos desagregados por origen étnico racial, edad, sexo, orientación sexual, identidad y/o expresión de género de todas las personas afectadas. Además, se publicó el Boletín de actuación fiscal del EFICAVIP, en donde se </w:t>
      </w:r>
      <w:r w:rsidR="00BC3BDE" w:rsidRPr="00672AC2">
        <w:rPr>
          <w:szCs w:val="20"/>
          <w:lang w:val="es-ES"/>
        </w:rPr>
        <w:t>registraron</w:t>
      </w:r>
      <w:r w:rsidRPr="00672AC2">
        <w:rPr>
          <w:szCs w:val="20"/>
          <w:lang w:val="es-ES"/>
        </w:rPr>
        <w:t xml:space="preserve"> las diligencias y datos estadísticos de las víctimas por género, edad, lugar y año. </w:t>
      </w:r>
    </w:p>
    <w:p w14:paraId="7996C993" w14:textId="77BB8B4C" w:rsidR="000A4A0B" w:rsidRPr="00803DD7" w:rsidRDefault="1561DDF7" w:rsidP="000A4A0B">
      <w:pPr>
        <w:pStyle w:val="IAPrrafo"/>
        <w:rPr>
          <w:b/>
          <w:bCs/>
          <w:szCs w:val="20"/>
          <w:lang w:val="es-ES"/>
        </w:rPr>
      </w:pPr>
      <w:r w:rsidRPr="00672AC2">
        <w:rPr>
          <w:szCs w:val="20"/>
          <w:lang w:val="es-ES"/>
        </w:rPr>
        <w:t xml:space="preserve">De otro lado, el Estado </w:t>
      </w:r>
      <w:r w:rsidR="00C41EA6" w:rsidRPr="00672AC2">
        <w:rPr>
          <w:szCs w:val="20"/>
          <w:lang w:val="es-ES"/>
        </w:rPr>
        <w:t xml:space="preserve">destacó </w:t>
      </w:r>
      <w:r w:rsidRPr="00672AC2">
        <w:rPr>
          <w:szCs w:val="20"/>
          <w:lang w:val="es-ES"/>
        </w:rPr>
        <w:t>que, en el año 2023, el Centro de Monitoreo y Alerta del Observatorio de Criminalidad del Ministerio Público elaboró reportes sobre monitoreo institucional, que detallan la cantidad de detenidos en el marco de las últimas protestas.</w:t>
      </w:r>
    </w:p>
    <w:p w14:paraId="6940789B" w14:textId="1EAD4FF2" w:rsidR="000A4A0B" w:rsidRPr="00803DD7" w:rsidRDefault="1561DDF7" w:rsidP="00803DD7">
      <w:pPr>
        <w:pStyle w:val="IAPrrafo"/>
        <w:rPr>
          <w:b/>
          <w:bCs/>
          <w:szCs w:val="20"/>
          <w:lang w:val="es-ES"/>
        </w:rPr>
      </w:pPr>
      <w:r w:rsidRPr="00672AC2">
        <w:rPr>
          <w:szCs w:val="20"/>
          <w:lang w:val="es-ES"/>
        </w:rPr>
        <w:t xml:space="preserve">Asimismo, el Estado </w:t>
      </w:r>
      <w:r w:rsidR="00C7020B" w:rsidRPr="00672AC2">
        <w:rPr>
          <w:szCs w:val="20"/>
          <w:lang w:val="es-ES"/>
        </w:rPr>
        <w:t xml:space="preserve">expuso </w:t>
      </w:r>
      <w:r w:rsidRPr="00672AC2">
        <w:rPr>
          <w:szCs w:val="20"/>
          <w:lang w:val="es-ES"/>
        </w:rPr>
        <w:t>que el Ministerio de Salud consolidó l</w:t>
      </w:r>
      <w:r w:rsidR="001E21AC" w:rsidRPr="00672AC2">
        <w:rPr>
          <w:szCs w:val="20"/>
          <w:lang w:val="es-ES"/>
        </w:rPr>
        <w:t xml:space="preserve">os detalles </w:t>
      </w:r>
      <w:r w:rsidRPr="00672AC2">
        <w:rPr>
          <w:szCs w:val="20"/>
          <w:lang w:val="es-ES"/>
        </w:rPr>
        <w:t xml:space="preserve">de los 1.398 ciudadanos afectados en el marco del desarrollo de los conflictos sociales, de los cuales 1.335 corresponden a lesionados y 63 a fallecidos. Además, el MINSA ha </w:t>
      </w:r>
      <w:r w:rsidR="000148C2" w:rsidRPr="00672AC2">
        <w:rPr>
          <w:szCs w:val="20"/>
          <w:lang w:val="es-ES"/>
        </w:rPr>
        <w:t xml:space="preserve">establecido </w:t>
      </w:r>
      <w:r w:rsidRPr="00672AC2">
        <w:rPr>
          <w:szCs w:val="20"/>
          <w:lang w:val="es-ES"/>
        </w:rPr>
        <w:t xml:space="preserve">el aplicativo denominado </w:t>
      </w:r>
      <w:r w:rsidR="000148C2" w:rsidRPr="00672AC2">
        <w:rPr>
          <w:szCs w:val="20"/>
          <w:lang w:val="es-ES"/>
        </w:rPr>
        <w:t>“</w:t>
      </w:r>
      <w:r w:rsidRPr="00672AC2">
        <w:rPr>
          <w:szCs w:val="20"/>
          <w:lang w:val="es-ES"/>
        </w:rPr>
        <w:t>Sistema de Registro y Monitoreo de Afectados en Salud por Conflictos Sociales (SISREMASCS)</w:t>
      </w:r>
      <w:r w:rsidR="000148C2" w:rsidRPr="00672AC2">
        <w:rPr>
          <w:szCs w:val="20"/>
          <w:lang w:val="es-ES"/>
        </w:rPr>
        <w:t>”</w:t>
      </w:r>
      <w:r w:rsidRPr="00672AC2">
        <w:rPr>
          <w:szCs w:val="20"/>
          <w:lang w:val="es-ES"/>
        </w:rPr>
        <w:t xml:space="preserve">, que sistematiza la información vinculada a los ciudadanos afectados durante el desarrollo de los conflictos sociales. Al respecto, se </w:t>
      </w:r>
      <w:r w:rsidR="000148C2" w:rsidRPr="00672AC2">
        <w:rPr>
          <w:szCs w:val="20"/>
          <w:lang w:val="es-ES"/>
        </w:rPr>
        <w:t xml:space="preserve">precisó </w:t>
      </w:r>
      <w:r w:rsidRPr="00672AC2">
        <w:rPr>
          <w:szCs w:val="20"/>
          <w:lang w:val="es-ES"/>
        </w:rPr>
        <w:t>que este aplicativo interopera con el RENIEC, para el registro de los datos personales, y con el Sistema Nacional de Defunciones (SINADEF).</w:t>
      </w:r>
    </w:p>
    <w:p w14:paraId="1BA5E291" w14:textId="102466F8" w:rsidR="000A4A0B" w:rsidRPr="00803DD7" w:rsidRDefault="15B1BE21" w:rsidP="00803DD7">
      <w:pPr>
        <w:pStyle w:val="IAPrrafo"/>
        <w:rPr>
          <w:b/>
          <w:szCs w:val="20"/>
          <w:lang w:val="es-US" w:eastAsia="es-US"/>
        </w:rPr>
      </w:pPr>
      <w:r w:rsidRPr="00672AC2">
        <w:rPr>
          <w:szCs w:val="20"/>
          <w:lang w:val="es-US" w:eastAsia="es-US"/>
        </w:rPr>
        <w:t xml:space="preserve">Por su parte, sociedad civil </w:t>
      </w:r>
      <w:r w:rsidR="001E21AC" w:rsidRPr="00672AC2">
        <w:rPr>
          <w:szCs w:val="20"/>
          <w:lang w:val="es-US" w:eastAsia="es-US"/>
        </w:rPr>
        <w:t>comunicó</w:t>
      </w:r>
      <w:r w:rsidRPr="00672AC2">
        <w:rPr>
          <w:szCs w:val="20"/>
          <w:lang w:val="es-US" w:eastAsia="es-US"/>
        </w:rPr>
        <w:t xml:space="preserve"> a la </w:t>
      </w:r>
      <w:r w:rsidR="68446B89" w:rsidRPr="00672AC2">
        <w:rPr>
          <w:szCs w:val="20"/>
          <w:lang w:val="es-US" w:eastAsia="es-US"/>
        </w:rPr>
        <w:t>Comisión que</w:t>
      </w:r>
      <w:r w:rsidRPr="00672AC2">
        <w:rPr>
          <w:szCs w:val="20"/>
          <w:lang w:val="es-US" w:eastAsia="es-US"/>
        </w:rPr>
        <w:t xml:space="preserve"> el REDAVIP no cuenta </w:t>
      </w:r>
      <w:r w:rsidR="548930C7" w:rsidRPr="00672AC2">
        <w:rPr>
          <w:szCs w:val="20"/>
          <w:lang w:val="es-US" w:eastAsia="es-US"/>
        </w:rPr>
        <w:t>con un</w:t>
      </w:r>
      <w:r w:rsidRPr="00672AC2">
        <w:rPr>
          <w:szCs w:val="20"/>
          <w:lang w:val="es-US" w:eastAsia="es-US"/>
        </w:rPr>
        <w:t xml:space="preserve"> mecanismo de actualización y verificación accesible para las organizaciones de derechos humanos y el público en general. Asimismo, manifestó que los registros </w:t>
      </w:r>
      <w:r w:rsidR="00A224FE" w:rsidRPr="00672AC2">
        <w:rPr>
          <w:szCs w:val="20"/>
          <w:lang w:val="es-US" w:eastAsia="es-US"/>
        </w:rPr>
        <w:t xml:space="preserve">mencionados </w:t>
      </w:r>
      <w:r w:rsidRPr="00672AC2">
        <w:rPr>
          <w:szCs w:val="20"/>
          <w:lang w:val="es-US" w:eastAsia="es-US"/>
        </w:rPr>
        <w:t>no han recopilado datos desagregados por origen étnico u otros, lo que limitaría la capacidad de análisis de las condiciones particulares de las víctimas</w:t>
      </w:r>
      <w:r w:rsidR="003D13AA" w:rsidRPr="00672AC2">
        <w:rPr>
          <w:szCs w:val="20"/>
          <w:lang w:val="es-US" w:eastAsia="es-US"/>
        </w:rPr>
        <w:t>;</w:t>
      </w:r>
      <w:r w:rsidRPr="00672AC2">
        <w:rPr>
          <w:szCs w:val="20"/>
          <w:lang w:val="es-US" w:eastAsia="es-US"/>
        </w:rPr>
        <w:t xml:space="preserve"> por lo que, en su criterio, falta incorporar un enfoque interseccional en la recolección de esta información.</w:t>
      </w:r>
    </w:p>
    <w:p w14:paraId="45F19736" w14:textId="77777777" w:rsidR="000A4A0B" w:rsidRPr="00672AC2" w:rsidRDefault="000A4A0B" w:rsidP="00803DD7">
      <w:pPr>
        <w:ind w:firstLine="720"/>
        <w:jc w:val="both"/>
        <w:rPr>
          <w:bCs/>
          <w:lang w:val="es-CO"/>
        </w:rPr>
      </w:pPr>
      <w:r w:rsidRPr="00672AC2">
        <w:rPr>
          <w:rFonts w:eastAsia="Cambria" w:cs="Cambria"/>
          <w:bCs/>
          <w:i/>
          <w:iCs/>
          <w:color w:val="000000" w:themeColor="text1"/>
          <w:sz w:val="20"/>
          <w:szCs w:val="20"/>
          <w:lang w:val="es-ES"/>
        </w:rPr>
        <w:t>Análisis y nivel de cumplimiento de la recomendación</w:t>
      </w:r>
    </w:p>
    <w:p w14:paraId="6042D7D8" w14:textId="77777777" w:rsidR="000A4A0B" w:rsidRPr="00672AC2" w:rsidRDefault="000A4A0B" w:rsidP="000A4A0B">
      <w:pPr>
        <w:ind w:firstLine="360"/>
        <w:jc w:val="both"/>
        <w:rPr>
          <w:rFonts w:eastAsia="Cambria" w:cs="Cambria"/>
          <w:bCs/>
          <w:i/>
          <w:iCs/>
          <w:color w:val="000000" w:themeColor="text1"/>
          <w:sz w:val="20"/>
          <w:szCs w:val="20"/>
          <w:lang w:val="es-ES"/>
        </w:rPr>
      </w:pPr>
    </w:p>
    <w:p w14:paraId="0953551F" w14:textId="74566EF4" w:rsidR="000A4A0B" w:rsidRPr="00803DD7" w:rsidRDefault="000A4A0B" w:rsidP="00803DD7">
      <w:pPr>
        <w:pStyle w:val="IAPrrafo"/>
        <w:rPr>
          <w:b/>
          <w:bCs/>
          <w:szCs w:val="20"/>
          <w:lang w:val="es-US" w:eastAsia="es-US"/>
        </w:rPr>
      </w:pPr>
      <w:r w:rsidRPr="00672AC2">
        <w:rPr>
          <w:bCs/>
          <w:szCs w:val="20"/>
          <w:lang w:val="es-US" w:eastAsia="es-US"/>
        </w:rPr>
        <w:t>La CIDH agradece la información brindada y valora la creación del REDAVIP como una acción dirigida a contar con un registro consolidado de víctimas. Asimismo, toma nota de los esfuerzos de otras entidades, como el Ministerio de Salud, para consolidar información que permita verificar y complementar el Registro.</w:t>
      </w:r>
    </w:p>
    <w:p w14:paraId="47C30D2D" w14:textId="0702F34F" w:rsidR="000A4A0B" w:rsidRPr="00803DD7" w:rsidRDefault="001E21AC" w:rsidP="000A4A0B">
      <w:pPr>
        <w:pStyle w:val="IAPrrafo"/>
        <w:rPr>
          <w:b/>
          <w:bCs/>
          <w:szCs w:val="20"/>
          <w:lang w:val="es-US" w:eastAsia="es-US"/>
        </w:rPr>
      </w:pPr>
      <w:r w:rsidRPr="00672AC2">
        <w:rPr>
          <w:bCs/>
          <w:szCs w:val="20"/>
          <w:lang w:val="es-US" w:eastAsia="es-US"/>
        </w:rPr>
        <w:t>L</w:t>
      </w:r>
      <w:r w:rsidR="000A4A0B" w:rsidRPr="00672AC2">
        <w:rPr>
          <w:bCs/>
          <w:szCs w:val="20"/>
          <w:lang w:val="es-US" w:eastAsia="es-US"/>
        </w:rPr>
        <w:t>a presente recomendación no sólo está dirigida a contar con un sistema de registro integral de datos, sino que establece algunas características que deben ser tomadas en cuenta para su implementación. En primer lugar, debe identificar a aquellas personas fallecidas, heridas, detenidas y víctimas de violencia de género. En relación con este asunto, la CIDH nota que se importante que el REDAVIP amplíe su cobertura para incluir a otr</w:t>
      </w:r>
      <w:r w:rsidR="00737DA8" w:rsidRPr="00672AC2">
        <w:rPr>
          <w:bCs/>
          <w:szCs w:val="20"/>
          <w:lang w:val="es-US" w:eastAsia="es-US"/>
        </w:rPr>
        <w:t>a</w:t>
      </w:r>
      <w:r w:rsidR="000A4A0B" w:rsidRPr="00672AC2">
        <w:rPr>
          <w:bCs/>
          <w:szCs w:val="20"/>
          <w:lang w:val="es-US" w:eastAsia="es-US"/>
        </w:rPr>
        <w:t xml:space="preserve">s violaciones de derechos humanos cometidas (como </w:t>
      </w:r>
      <w:r w:rsidR="004471DB" w:rsidRPr="00672AC2">
        <w:rPr>
          <w:bCs/>
          <w:szCs w:val="20"/>
          <w:lang w:val="es-US" w:eastAsia="es-US"/>
        </w:rPr>
        <w:t xml:space="preserve">aquellas perpetradas </w:t>
      </w:r>
      <w:r w:rsidRPr="00672AC2">
        <w:rPr>
          <w:bCs/>
          <w:szCs w:val="20"/>
          <w:lang w:val="es-US" w:eastAsia="es-US"/>
        </w:rPr>
        <w:t>contra</w:t>
      </w:r>
      <w:r w:rsidR="004471DB" w:rsidRPr="00672AC2">
        <w:rPr>
          <w:bCs/>
          <w:szCs w:val="20"/>
          <w:lang w:val="es-US" w:eastAsia="es-US"/>
        </w:rPr>
        <w:t xml:space="preserve"> </w:t>
      </w:r>
      <w:r w:rsidR="000A4A0B" w:rsidRPr="00672AC2">
        <w:rPr>
          <w:bCs/>
          <w:szCs w:val="20"/>
          <w:lang w:val="es-US" w:eastAsia="es-US"/>
        </w:rPr>
        <w:t xml:space="preserve">personas detenidas). </w:t>
      </w:r>
    </w:p>
    <w:p w14:paraId="64DF775A" w14:textId="60CE66DD" w:rsidR="000A4A0B" w:rsidRPr="00803DD7" w:rsidRDefault="000A4A0B" w:rsidP="000A4A0B">
      <w:pPr>
        <w:pStyle w:val="IAPrrafo"/>
        <w:rPr>
          <w:b/>
          <w:bCs/>
          <w:szCs w:val="20"/>
          <w:lang w:val="es-US" w:eastAsia="es-US"/>
        </w:rPr>
      </w:pPr>
      <w:r w:rsidRPr="00672AC2">
        <w:rPr>
          <w:bCs/>
          <w:szCs w:val="20"/>
          <w:lang w:val="es-US" w:eastAsia="es-US"/>
        </w:rPr>
        <w:t xml:space="preserve">En segundo lugar, el registro debe ser </w:t>
      </w:r>
      <w:r w:rsidRPr="00672AC2">
        <w:rPr>
          <w:szCs w:val="20"/>
          <w:lang w:val="es-CO"/>
        </w:rPr>
        <w:t xml:space="preserve">transparente, actualizado, claro, conciso y contrastado con la información brindada por la sociedad civil. </w:t>
      </w:r>
      <w:r w:rsidR="006D769F" w:rsidRPr="00672AC2">
        <w:rPr>
          <w:szCs w:val="20"/>
          <w:lang w:val="es-CO"/>
        </w:rPr>
        <w:t>En este sentido</w:t>
      </w:r>
      <w:r w:rsidRPr="00672AC2">
        <w:rPr>
          <w:szCs w:val="20"/>
          <w:lang w:val="es-CO"/>
        </w:rPr>
        <w:t>, el intercambio de información entre instituciones públicas, y entre estas con terceros actores, es fundamental para garantizar la debida inclusión de las distintas personas afectadas en el marco de las protestas. Sin embargo, en el caso concreto no se han reportado ni se pueden verificar mecanismos de transparencia de la información o de contraste entre distintas entidades.</w:t>
      </w:r>
    </w:p>
    <w:p w14:paraId="53CBC62F" w14:textId="3B9AF6BB" w:rsidR="000A4A0B" w:rsidRPr="0086614D" w:rsidRDefault="000A4A0B" w:rsidP="0086614D">
      <w:pPr>
        <w:pStyle w:val="IAPrrafo"/>
        <w:rPr>
          <w:b/>
          <w:bCs/>
          <w:szCs w:val="20"/>
          <w:lang w:val="es-US" w:eastAsia="es-US"/>
        </w:rPr>
      </w:pPr>
      <w:r w:rsidRPr="00672AC2">
        <w:rPr>
          <w:szCs w:val="20"/>
          <w:lang w:val="es-CO"/>
        </w:rPr>
        <w:t>Finalmente, en tercer lugar, el registro debe ser específico y tomar en cuenta datos desagregados por origen étnico-racial, edad, sexo, orientación sexual, identidad y/o expresión de género. Esto va a permitir que se puedan diseñar e implementar las medidas de reparación adecuadas para responder a cada uno de los tipos de afectaciones que pueden haberse generado. De la información presentada, solo se puede identificar que se ha utilizado una variable por sexo biológico y por domicilio, quedando aún algunas variables pendientes.</w:t>
      </w:r>
    </w:p>
    <w:p w14:paraId="5A20BBAE" w14:textId="16FF76FF" w:rsidR="000A4A0B" w:rsidRPr="00803DD7" w:rsidRDefault="000A4A0B" w:rsidP="00803DD7">
      <w:pPr>
        <w:pStyle w:val="IAPrrafo"/>
        <w:rPr>
          <w:b/>
          <w:bCs/>
          <w:szCs w:val="20"/>
          <w:lang w:val="es-US" w:eastAsia="es-US"/>
        </w:rPr>
      </w:pPr>
      <w:r w:rsidRPr="00672AC2">
        <w:rPr>
          <w:szCs w:val="20"/>
          <w:lang w:val="es-CO"/>
        </w:rPr>
        <w:t xml:space="preserve">Considerando que el registro </w:t>
      </w:r>
      <w:r w:rsidR="00195BFB" w:rsidRPr="00672AC2">
        <w:rPr>
          <w:szCs w:val="20"/>
          <w:lang w:val="es-CO"/>
        </w:rPr>
        <w:t xml:space="preserve">establecido </w:t>
      </w:r>
      <w:r w:rsidRPr="00672AC2">
        <w:rPr>
          <w:szCs w:val="20"/>
          <w:lang w:val="es-CO"/>
        </w:rPr>
        <w:t xml:space="preserve">requiere de varias acciones para cumplir con el objetivo de la recomendación, es que la Comisión </w:t>
      </w:r>
      <w:r w:rsidR="00F97443" w:rsidRPr="00672AC2">
        <w:rPr>
          <w:szCs w:val="20"/>
          <w:lang w:val="es-CO"/>
        </w:rPr>
        <w:t xml:space="preserve">concluye </w:t>
      </w:r>
      <w:r w:rsidRPr="00672AC2">
        <w:rPr>
          <w:szCs w:val="20"/>
          <w:lang w:val="es-CO"/>
        </w:rPr>
        <w:t xml:space="preserve">que la presente recomendación se encuentra </w:t>
      </w:r>
      <w:r w:rsidRPr="00672AC2">
        <w:rPr>
          <w:bCs/>
          <w:szCs w:val="20"/>
          <w:lang w:val="es-CO"/>
        </w:rPr>
        <w:t>parcialmente cumplida</w:t>
      </w:r>
      <w:r w:rsidRPr="00672AC2">
        <w:rPr>
          <w:szCs w:val="20"/>
          <w:lang w:val="es-CO"/>
        </w:rPr>
        <w:t>.</w:t>
      </w:r>
    </w:p>
    <w:p w14:paraId="34CCED49" w14:textId="541A9D60" w:rsidR="000A4A0B" w:rsidRPr="00672AC2" w:rsidRDefault="000A4A0B" w:rsidP="00803DD7">
      <w:pPr>
        <w:ind w:firstLine="720"/>
        <w:jc w:val="both"/>
        <w:rPr>
          <w:lang w:val="es-US"/>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34B7D2A7" w14:textId="77777777" w:rsidR="000A4A0B" w:rsidRPr="00672AC2" w:rsidRDefault="000A4A0B" w:rsidP="000A4A0B">
      <w:pPr>
        <w:ind w:firstLine="360"/>
        <w:jc w:val="both"/>
        <w:rPr>
          <w:lang w:val="es-CO"/>
        </w:rPr>
      </w:pPr>
    </w:p>
    <w:p w14:paraId="5B5EBE7D" w14:textId="429E7707" w:rsidR="000A4A0B" w:rsidRPr="00803DD7" w:rsidRDefault="000A4A0B" w:rsidP="000A4A0B">
      <w:pPr>
        <w:pStyle w:val="IAPrrafo"/>
        <w:rPr>
          <w:rFonts w:eastAsia="Calibri" w:cs="Times New Roman"/>
          <w:b/>
          <w:bCs/>
          <w:sz w:val="18"/>
          <w:szCs w:val="18"/>
        </w:rPr>
      </w:pPr>
      <w:r w:rsidRPr="00672AC2">
        <w:rPr>
          <w:bCs/>
          <w:szCs w:val="20"/>
          <w:lang w:val="es-US"/>
        </w:rPr>
        <w:t xml:space="preserve">Para avanzar con el cumplimiento de esta recomendación, es fundamental que el Estado implemente un Registro que incluya a todas las personas afectadas, </w:t>
      </w:r>
      <w:r w:rsidR="001E21AC" w:rsidRPr="00672AC2">
        <w:rPr>
          <w:bCs/>
          <w:szCs w:val="20"/>
          <w:lang w:val="es-US"/>
        </w:rPr>
        <w:t xml:space="preserve">que incluya, </w:t>
      </w:r>
      <w:r w:rsidRPr="00672AC2">
        <w:rPr>
          <w:bCs/>
          <w:szCs w:val="20"/>
          <w:lang w:val="es-US"/>
        </w:rPr>
        <w:t>al menos, los tipos de vulneraciones recogidos en el Informe de País. Asimismo, que este instrumento sea implementado de manera transparente y colaborativa con las organizaciones de víctimas y otras entidades de sociedad civil. Cabe resaltar que, además, este debe contar con un mecanismo normativo claro, que regule la manera de solicitar la inclusión en el registro, y los criterios claros para determinar quiénes van a ser incluidos en el mismo. Finalmente, es esencial que esta herramienta cumpla con tener datos desagregados que permita un diseño y una implementación de los mecanismos de reparación integrales que responda a las necesidades</w:t>
      </w:r>
      <w:r w:rsidR="00387213" w:rsidRPr="00672AC2">
        <w:rPr>
          <w:bCs/>
          <w:szCs w:val="20"/>
          <w:lang w:val="es-US"/>
        </w:rPr>
        <w:t xml:space="preserve"> detectadas</w:t>
      </w:r>
      <w:r w:rsidRPr="00672AC2">
        <w:rPr>
          <w:bCs/>
          <w:szCs w:val="20"/>
          <w:lang w:val="es-US"/>
        </w:rPr>
        <w:t>.</w:t>
      </w:r>
    </w:p>
    <w:p w14:paraId="5CBEAF2E" w14:textId="77777777" w:rsidR="000A4A0B" w:rsidRPr="00C53CA5" w:rsidRDefault="5D0F3B7A" w:rsidP="00C53CA5">
      <w:pPr>
        <w:pStyle w:val="IASubttulo2"/>
        <w:numPr>
          <w:ilvl w:val="0"/>
          <w:numId w:val="33"/>
        </w:numPr>
        <w:rPr>
          <w:lang w:val="es-CO" w:eastAsia="es-US"/>
        </w:rPr>
      </w:pPr>
      <w:bookmarkStart w:id="23" w:name="_Toc195618288"/>
      <w:r w:rsidRPr="00C53CA5">
        <w:rPr>
          <w:lang w:val="es-CO" w:eastAsia="es-US"/>
        </w:rPr>
        <w:t>Institucionalidad democrática</w:t>
      </w:r>
      <w:bookmarkEnd w:id="23"/>
    </w:p>
    <w:tbl>
      <w:tblPr>
        <w:tblStyle w:val="TableGrid"/>
        <w:tblW w:w="0" w:type="auto"/>
        <w:tblLook w:val="04A0" w:firstRow="1" w:lastRow="0" w:firstColumn="1" w:lastColumn="0" w:noHBand="0" w:noVBand="1"/>
      </w:tblPr>
      <w:tblGrid>
        <w:gridCol w:w="9350"/>
      </w:tblGrid>
      <w:tr w:rsidR="000A4A0B" w:rsidRPr="00F51AED" w14:paraId="73879619" w14:textId="77777777">
        <w:tc>
          <w:tcPr>
            <w:tcW w:w="9350" w:type="dxa"/>
            <w:tcBorders>
              <w:top w:val="nil"/>
              <w:left w:val="nil"/>
              <w:bottom w:val="nil"/>
              <w:right w:val="nil"/>
            </w:tcBorders>
            <w:shd w:val="clear" w:color="auto" w:fill="D0CECE" w:themeFill="background2" w:themeFillShade="E6"/>
          </w:tcPr>
          <w:p w14:paraId="723B99C9" w14:textId="60248B8B" w:rsidR="000A4A0B" w:rsidRPr="00803DD7" w:rsidRDefault="000A4A0B" w:rsidP="00803DD7">
            <w:pPr>
              <w:pStyle w:val="IASubttulo2"/>
              <w:numPr>
                <w:ilvl w:val="0"/>
                <w:numId w:val="0"/>
              </w:numPr>
              <w:spacing w:after="0"/>
              <w:ind w:left="154"/>
              <w:jc w:val="both"/>
              <w:rPr>
                <w:b w:val="0"/>
                <w:sz w:val="20"/>
                <w:szCs w:val="20"/>
                <w:lang w:val="es-CO"/>
              </w:rPr>
            </w:pPr>
            <w:bookmarkStart w:id="24" w:name="_Toc195618289"/>
            <w:r w:rsidRPr="00672AC2">
              <w:rPr>
                <w:sz w:val="20"/>
                <w:szCs w:val="20"/>
                <w:lang w:val="es-CO"/>
              </w:rPr>
              <w:t xml:space="preserve">Recomendación </w:t>
            </w:r>
            <w:proofErr w:type="spellStart"/>
            <w:r w:rsidR="002B0B88" w:rsidRPr="00672AC2">
              <w:rPr>
                <w:sz w:val="20"/>
                <w:szCs w:val="20"/>
                <w:lang w:val="es-CO"/>
              </w:rPr>
              <w:t>Nº</w:t>
            </w:r>
            <w:proofErr w:type="spellEnd"/>
            <w:r w:rsidRPr="00672AC2">
              <w:rPr>
                <w:sz w:val="20"/>
                <w:szCs w:val="20"/>
                <w:lang w:val="es-CO"/>
              </w:rPr>
              <w:t xml:space="preserve"> 21. </w:t>
            </w:r>
            <w:r w:rsidRPr="00672AC2">
              <w:rPr>
                <w:b w:val="0"/>
                <w:sz w:val="20"/>
                <w:szCs w:val="20"/>
                <w:lang w:val="es-CO"/>
              </w:rPr>
              <w:t>Tomar medidas con el objeto de reforzar y fortalecer la confianza de la ciudadanía en el Estado a partir de la separación e independencia práctica, real y efectiva de los poderes públicos, entes de control y del Sistema Electoral.</w:t>
            </w:r>
            <w:bookmarkEnd w:id="24"/>
          </w:p>
        </w:tc>
      </w:tr>
    </w:tbl>
    <w:p w14:paraId="33963472" w14:textId="77777777" w:rsidR="000A4A0B" w:rsidRPr="00672AC2" w:rsidRDefault="000A4A0B" w:rsidP="000A4A0B">
      <w:pPr>
        <w:shd w:val="clear" w:color="auto" w:fill="FFFFFF" w:themeFill="background1"/>
        <w:suppressAutoHyphens w:val="0"/>
        <w:jc w:val="both"/>
        <w:rPr>
          <w:sz w:val="20"/>
          <w:szCs w:val="20"/>
          <w:lang w:val="es-419" w:eastAsia="es-US"/>
        </w:rPr>
      </w:pPr>
    </w:p>
    <w:p w14:paraId="2466BA87" w14:textId="34BFD8EF" w:rsidR="000A4A0B" w:rsidRPr="00672AC2" w:rsidRDefault="000A4A0B" w:rsidP="00803DD7">
      <w:pPr>
        <w:pBdr>
          <w:top w:val="nil"/>
          <w:left w:val="nil"/>
          <w:bottom w:val="nil"/>
          <w:right w:val="nil"/>
          <w:between w:val="nil"/>
        </w:pBdr>
        <w:ind w:firstLine="720"/>
        <w:jc w:val="both"/>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140EA0F7" w14:textId="77777777" w:rsidR="000A4A0B" w:rsidRPr="00672AC2" w:rsidRDefault="000A4A0B" w:rsidP="000A4A0B">
      <w:pPr>
        <w:shd w:val="clear" w:color="auto" w:fill="FFFFFF" w:themeFill="background1"/>
        <w:suppressAutoHyphens w:val="0"/>
        <w:jc w:val="both"/>
        <w:rPr>
          <w:sz w:val="20"/>
          <w:szCs w:val="20"/>
          <w:lang w:val="es-419" w:eastAsia="es-US"/>
        </w:rPr>
      </w:pPr>
    </w:p>
    <w:p w14:paraId="4B6DC0F5" w14:textId="4A1C47A5" w:rsidR="000A4A0B" w:rsidRPr="00803DD7" w:rsidRDefault="1561DDF7" w:rsidP="00803DD7">
      <w:pPr>
        <w:pStyle w:val="IAPrrafo"/>
        <w:rPr>
          <w:b/>
          <w:bCs/>
          <w:szCs w:val="20"/>
          <w:lang w:val="es-CO" w:eastAsia="es-US"/>
        </w:rPr>
      </w:pPr>
      <w:r w:rsidRPr="00672AC2">
        <w:rPr>
          <w:szCs w:val="20"/>
          <w:lang w:val="es-US"/>
        </w:rPr>
        <w:t xml:space="preserve">En el 2024, el Estado informó que el </w:t>
      </w:r>
      <w:r w:rsidRPr="00672AC2">
        <w:rPr>
          <w:i/>
          <w:iCs/>
          <w:szCs w:val="20"/>
          <w:lang w:val="es-US"/>
        </w:rPr>
        <w:t>Consejo para la Reforma del Sistema de Justicia</w:t>
      </w:r>
      <w:r w:rsidR="00F36B41">
        <w:rPr>
          <w:rFonts w:ascii="ZWAdobeF" w:hAnsi="ZWAdobeF" w:cs="ZWAdobeF"/>
          <w:iCs/>
          <w:color w:val="auto"/>
          <w:sz w:val="2"/>
          <w:szCs w:val="2"/>
          <w:lang w:val="es-US"/>
        </w:rPr>
        <w:t>107F</w:t>
      </w:r>
      <w:r w:rsidR="000A4A0B" w:rsidRPr="00672AC2">
        <w:rPr>
          <w:rStyle w:val="FootnoteReference"/>
          <w:szCs w:val="20"/>
          <w:lang w:val="es-US"/>
        </w:rPr>
        <w:footnoteReference w:id="109"/>
      </w:r>
      <w:r w:rsidRPr="00672AC2">
        <w:rPr>
          <w:szCs w:val="20"/>
          <w:lang w:val="es-US"/>
        </w:rPr>
        <w:t xml:space="preserve"> fue creado en el 2019 con la finalidad de impulsar una reforma del sistema de justicia. Indicó que, en dicho espacio, participan los más altos representantes de los tres poderes del Estado (Poder Ejecutivo, Poder Legislativo y Poder Judicial), y los titulares de entidades como el Tribunal Constitucional, el Ministerio Público, la Defensoría del Pueblo, entre otras. En este sentido, el Estado reportó las reuniones y medidas realizadas por el Consejo en el 2024, entre las que destacan el inicio del proceso de actualización de la Política de Reforma del Sistema de Justicia</w:t>
      </w:r>
      <w:r w:rsidR="00F36B41">
        <w:rPr>
          <w:rFonts w:ascii="ZWAdobeF" w:hAnsi="ZWAdobeF" w:cs="ZWAdobeF"/>
          <w:color w:val="auto"/>
          <w:sz w:val="2"/>
          <w:szCs w:val="2"/>
          <w:lang w:val="es-US"/>
        </w:rPr>
        <w:t>108F</w:t>
      </w:r>
      <w:r w:rsidR="000A4A0B" w:rsidRPr="00672AC2">
        <w:rPr>
          <w:rStyle w:val="FootnoteReference"/>
          <w:szCs w:val="20"/>
          <w:lang w:val="es-US"/>
        </w:rPr>
        <w:footnoteReference w:id="110"/>
      </w:r>
      <w:r w:rsidRPr="00672AC2">
        <w:rPr>
          <w:szCs w:val="20"/>
          <w:lang w:val="es-US"/>
        </w:rPr>
        <w:t>, o el inicio del proceso de formulación de la Política Nacional Multisectorial del Sistema de Justicia</w:t>
      </w:r>
      <w:r w:rsidR="00F36B41">
        <w:rPr>
          <w:rFonts w:ascii="ZWAdobeF" w:hAnsi="ZWAdobeF" w:cs="ZWAdobeF"/>
          <w:color w:val="auto"/>
          <w:sz w:val="2"/>
          <w:szCs w:val="2"/>
          <w:lang w:val="es-US"/>
        </w:rPr>
        <w:t>109F</w:t>
      </w:r>
      <w:r w:rsidR="000A4A0B" w:rsidRPr="00672AC2">
        <w:rPr>
          <w:rStyle w:val="FootnoteReference"/>
          <w:szCs w:val="20"/>
          <w:lang w:val="es-US"/>
        </w:rPr>
        <w:footnoteReference w:id="111"/>
      </w:r>
      <w:r w:rsidRPr="00672AC2">
        <w:rPr>
          <w:szCs w:val="20"/>
          <w:lang w:val="es-US"/>
        </w:rPr>
        <w:t>.</w:t>
      </w:r>
    </w:p>
    <w:p w14:paraId="570D050E" w14:textId="246C89B7" w:rsidR="000A4A0B" w:rsidRPr="00803DD7" w:rsidRDefault="1561DDF7" w:rsidP="00803DD7">
      <w:pPr>
        <w:pStyle w:val="IAPrrafo"/>
        <w:rPr>
          <w:b/>
          <w:bCs/>
          <w:szCs w:val="20"/>
          <w:lang w:val="es-CO" w:eastAsia="es-US"/>
        </w:rPr>
      </w:pPr>
      <w:r w:rsidRPr="00672AC2">
        <w:rPr>
          <w:szCs w:val="20"/>
          <w:lang w:val="es-CO" w:eastAsia="es-US"/>
        </w:rPr>
        <w:t xml:space="preserve">Adicionalmente, el Estado </w:t>
      </w:r>
      <w:r w:rsidR="009774A7" w:rsidRPr="00672AC2">
        <w:rPr>
          <w:szCs w:val="20"/>
          <w:lang w:val="es-CO" w:eastAsia="es-US"/>
        </w:rPr>
        <w:t>detalló</w:t>
      </w:r>
      <w:r w:rsidRPr="00672AC2">
        <w:rPr>
          <w:szCs w:val="20"/>
          <w:lang w:val="es-CO" w:eastAsia="es-US"/>
        </w:rPr>
        <w:t xml:space="preserve"> la organización del Consejo de Estado, donde participan la Presidencia de la República y sus ministros, </w:t>
      </w:r>
      <w:r w:rsidR="000F0314" w:rsidRPr="00672AC2">
        <w:rPr>
          <w:szCs w:val="20"/>
          <w:lang w:val="es-CO" w:eastAsia="es-US"/>
        </w:rPr>
        <w:t>y</w:t>
      </w:r>
      <w:r w:rsidRPr="00672AC2">
        <w:rPr>
          <w:szCs w:val="20"/>
          <w:lang w:val="es-CO" w:eastAsia="es-US"/>
        </w:rPr>
        <w:t xml:space="preserve"> los titulares del Congreso de la República, Poder Judicial, Defensoría del Pueblo, Contraloría General de la República y </w:t>
      </w:r>
      <w:r w:rsidR="000F0314" w:rsidRPr="00672AC2">
        <w:rPr>
          <w:szCs w:val="20"/>
          <w:lang w:val="es-CO" w:eastAsia="es-US"/>
        </w:rPr>
        <w:t xml:space="preserve">la </w:t>
      </w:r>
      <w:r w:rsidRPr="00672AC2">
        <w:rPr>
          <w:szCs w:val="20"/>
          <w:lang w:val="es-CO" w:eastAsia="es-US"/>
        </w:rPr>
        <w:t>Fiscalía de la Nación</w:t>
      </w:r>
      <w:r w:rsidR="001E21AC" w:rsidRPr="00672AC2">
        <w:rPr>
          <w:szCs w:val="20"/>
          <w:lang w:val="es-CO" w:eastAsia="es-US"/>
        </w:rPr>
        <w:t>,</w:t>
      </w:r>
      <w:r w:rsidRPr="00672AC2">
        <w:rPr>
          <w:szCs w:val="20"/>
          <w:lang w:val="es-CO" w:eastAsia="es-US"/>
        </w:rPr>
        <w:t xml:space="preserve"> </w:t>
      </w:r>
      <w:r w:rsidR="001E21AC" w:rsidRPr="00672AC2">
        <w:rPr>
          <w:szCs w:val="20"/>
          <w:lang w:val="es-CO" w:eastAsia="es-US"/>
        </w:rPr>
        <w:t>donde</w:t>
      </w:r>
      <w:r w:rsidRPr="00672AC2">
        <w:rPr>
          <w:szCs w:val="20"/>
          <w:lang w:val="es-CO" w:eastAsia="es-US"/>
        </w:rPr>
        <w:t xml:space="preserve"> se acordaron diversas medidas que buscan mejorar el sistema de justicia (ver párr. 52).</w:t>
      </w:r>
    </w:p>
    <w:p w14:paraId="58DBA81D" w14:textId="73DD7D59" w:rsidR="000A4A0B" w:rsidRPr="009C5F1D" w:rsidRDefault="1561DDF7" w:rsidP="000A4A0B">
      <w:pPr>
        <w:pStyle w:val="IAPrrafo"/>
        <w:rPr>
          <w:b/>
          <w:bCs/>
          <w:szCs w:val="20"/>
          <w:lang w:val="es-CO" w:eastAsia="es-US"/>
        </w:rPr>
      </w:pPr>
      <w:r w:rsidRPr="00672AC2">
        <w:rPr>
          <w:szCs w:val="20"/>
          <w:lang w:val="es-CO" w:eastAsia="es-US"/>
        </w:rPr>
        <w:t xml:space="preserve">Por su parte, la Comisión conoció información de sociedad civil que </w:t>
      </w:r>
      <w:r w:rsidR="00421FB7" w:rsidRPr="00672AC2">
        <w:rPr>
          <w:szCs w:val="20"/>
          <w:lang w:val="es-CO" w:eastAsia="es-US"/>
        </w:rPr>
        <w:t xml:space="preserve">resalta </w:t>
      </w:r>
      <w:r w:rsidRPr="00672AC2">
        <w:rPr>
          <w:szCs w:val="20"/>
          <w:lang w:val="es-CO" w:eastAsia="es-US"/>
        </w:rPr>
        <w:t xml:space="preserve">que se habrían aprobado o propuesto diversas medidas que constituirían </w:t>
      </w:r>
      <w:r w:rsidR="00421FB7" w:rsidRPr="00672AC2">
        <w:rPr>
          <w:szCs w:val="20"/>
          <w:lang w:val="es-CO" w:eastAsia="es-US"/>
        </w:rPr>
        <w:t xml:space="preserve">una </w:t>
      </w:r>
      <w:r w:rsidRPr="00672AC2">
        <w:rPr>
          <w:szCs w:val="20"/>
          <w:lang w:val="es-CO" w:eastAsia="es-US"/>
        </w:rPr>
        <w:t xml:space="preserve">intromisión política en contra de diferentes órganos que son fundamentales para garantizar el Estado de Derecho, tales como el Ministerio Público, la Junta Nacional de Justicia (JNJ), el Jurado Nacional de Elecciones (JNE), la Defensoría del Pueblo y el Tribunal Constitucional. En relación con lo anterior, </w:t>
      </w:r>
      <w:r w:rsidR="00421FB7" w:rsidRPr="00672AC2">
        <w:rPr>
          <w:szCs w:val="20"/>
          <w:lang w:val="es-CO" w:eastAsia="es-US"/>
        </w:rPr>
        <w:t xml:space="preserve">sobre </w:t>
      </w:r>
      <w:r w:rsidR="00574545" w:rsidRPr="00672AC2">
        <w:rPr>
          <w:szCs w:val="20"/>
          <w:lang w:val="es-CO" w:eastAsia="es-US"/>
        </w:rPr>
        <w:t>e</w:t>
      </w:r>
      <w:r w:rsidRPr="00672AC2">
        <w:rPr>
          <w:szCs w:val="20"/>
          <w:lang w:val="es-CO" w:eastAsia="es-US"/>
        </w:rPr>
        <w:t xml:space="preserve">l JNE, el Congreso habría impulsado al menos 29 iniciativas legales dirigidas a cambiar las reglas electorales, y que algunas plantearían reformar la Constitución para modificar el mecanismo de elección del </w:t>
      </w:r>
      <w:proofErr w:type="gramStart"/>
      <w:r w:rsidRPr="00672AC2">
        <w:rPr>
          <w:szCs w:val="20"/>
          <w:lang w:val="es-CO" w:eastAsia="es-US"/>
        </w:rPr>
        <w:t>Presidente</w:t>
      </w:r>
      <w:proofErr w:type="gramEnd"/>
      <w:r w:rsidRPr="00672AC2">
        <w:rPr>
          <w:szCs w:val="20"/>
          <w:lang w:val="es-CO" w:eastAsia="es-US"/>
        </w:rPr>
        <w:t xml:space="preserve"> del JNE o incorporar a los titulares del sistema electoral en la prerrogativa funcional del antejuicio y juicio político.</w:t>
      </w:r>
    </w:p>
    <w:p w14:paraId="4835B9DC" w14:textId="39F5697F" w:rsidR="002D2BBC" w:rsidRPr="009C5F1D" w:rsidRDefault="1561DDF7" w:rsidP="002D2BBC">
      <w:pPr>
        <w:pStyle w:val="IAPrrafo"/>
        <w:rPr>
          <w:b/>
          <w:bCs/>
          <w:szCs w:val="20"/>
          <w:lang w:val="es-CO" w:eastAsia="es-US"/>
        </w:rPr>
      </w:pPr>
      <w:r w:rsidRPr="00672AC2">
        <w:rPr>
          <w:szCs w:val="20"/>
          <w:lang w:val="es-CO" w:eastAsia="es-US"/>
        </w:rPr>
        <w:t xml:space="preserve">De otro lado, en </w:t>
      </w:r>
      <w:r w:rsidR="00A1111F" w:rsidRPr="00672AC2">
        <w:rPr>
          <w:szCs w:val="20"/>
          <w:lang w:val="es-CO" w:eastAsia="es-US"/>
        </w:rPr>
        <w:t xml:space="preserve">lo atinente </w:t>
      </w:r>
      <w:r w:rsidRPr="00672AC2">
        <w:rPr>
          <w:szCs w:val="20"/>
          <w:lang w:val="es-CO" w:eastAsia="es-US"/>
        </w:rPr>
        <w:t xml:space="preserve">con la JNJ, sociedad civil informó de dos denuncias constitucionales y mociones sumarias destinadas a remover masivamente a la totalidad de su composición, lo que tuvo como resultado la remoción de dos de sus miembros, aunque se </w:t>
      </w:r>
      <w:r w:rsidR="00B17E1E" w:rsidRPr="00672AC2">
        <w:rPr>
          <w:szCs w:val="20"/>
          <w:lang w:val="es-CO" w:eastAsia="es-US"/>
        </w:rPr>
        <w:t xml:space="preserve">precisó que </w:t>
      </w:r>
      <w:r w:rsidRPr="00672AC2">
        <w:rPr>
          <w:szCs w:val="20"/>
          <w:lang w:val="es-CO" w:eastAsia="es-US"/>
        </w:rPr>
        <w:t xml:space="preserve">esta decisión ha sido cuestionada por el Poder Judicial. Ante ello, el Poder Legislativo interpuso una demanda competencial contra el Poder Judicial, la cual fue rechazada por el Tribunal Constitucional, </w:t>
      </w:r>
      <w:r w:rsidR="00EB70E6" w:rsidRPr="00672AC2">
        <w:rPr>
          <w:szCs w:val="20"/>
          <w:lang w:val="es-CO" w:eastAsia="es-US"/>
        </w:rPr>
        <w:t xml:space="preserve">no </w:t>
      </w:r>
      <w:proofErr w:type="gramStart"/>
      <w:r w:rsidR="00EB70E6" w:rsidRPr="00672AC2">
        <w:rPr>
          <w:szCs w:val="20"/>
          <w:lang w:val="es-CO" w:eastAsia="es-US"/>
        </w:rPr>
        <w:t>obstante</w:t>
      </w:r>
      <w:proofErr w:type="gramEnd"/>
      <w:r w:rsidR="00EB70E6" w:rsidRPr="00672AC2">
        <w:rPr>
          <w:szCs w:val="20"/>
          <w:lang w:val="es-CO" w:eastAsia="es-US"/>
        </w:rPr>
        <w:t xml:space="preserve"> </w:t>
      </w:r>
      <w:r w:rsidRPr="00672AC2">
        <w:rPr>
          <w:szCs w:val="20"/>
          <w:lang w:val="es-CO" w:eastAsia="es-US"/>
        </w:rPr>
        <w:t xml:space="preserve">se mantiene vigente el proceso sobre la medida cautelar que los </w:t>
      </w:r>
      <w:r w:rsidR="00EB70E6" w:rsidRPr="00672AC2">
        <w:rPr>
          <w:szCs w:val="20"/>
          <w:lang w:val="es-CO" w:eastAsia="es-US"/>
        </w:rPr>
        <w:t xml:space="preserve">deja </w:t>
      </w:r>
      <w:r w:rsidRPr="00672AC2">
        <w:rPr>
          <w:szCs w:val="20"/>
          <w:lang w:val="es-CO" w:eastAsia="es-US"/>
        </w:rPr>
        <w:t xml:space="preserve">en sus funciones. Adicionalmente, fue reportado a la Comisión que existe una iniciativa de reforma constitucional con dictamen favorable que plantea desactivar la JNJ y reemplazarla por una Escuela Nacional de la Magistratura. </w:t>
      </w:r>
      <w:r w:rsidR="00EB70E6" w:rsidRPr="00672AC2">
        <w:rPr>
          <w:szCs w:val="20"/>
          <w:lang w:val="es-CO" w:eastAsia="es-US"/>
        </w:rPr>
        <w:t>En este sentido</w:t>
      </w:r>
      <w:r w:rsidRPr="00672AC2">
        <w:rPr>
          <w:szCs w:val="20"/>
          <w:lang w:val="es-CO" w:eastAsia="es-US"/>
        </w:rPr>
        <w:t>, sociedad civil afirmó que ha insistido en la falta de transparencia, meritocracia y participación en el proceso de selección de la nueva JNJ, quienes entran en funciones en enero del 2025</w:t>
      </w:r>
      <w:r w:rsidR="00F36B41">
        <w:rPr>
          <w:rFonts w:ascii="ZWAdobeF" w:hAnsi="ZWAdobeF" w:cs="ZWAdobeF"/>
          <w:color w:val="auto"/>
          <w:sz w:val="2"/>
          <w:szCs w:val="2"/>
          <w:lang w:val="es-CO" w:eastAsia="es-US"/>
        </w:rPr>
        <w:t>110F</w:t>
      </w:r>
      <w:r w:rsidR="000A4A0B" w:rsidRPr="00672AC2">
        <w:rPr>
          <w:rStyle w:val="FootnoteReference"/>
          <w:szCs w:val="20"/>
          <w:lang w:val="es-CO" w:eastAsia="es-US"/>
        </w:rPr>
        <w:footnoteReference w:id="112"/>
      </w:r>
      <w:r w:rsidRPr="00672AC2">
        <w:rPr>
          <w:szCs w:val="20"/>
          <w:lang w:val="es-CO" w:eastAsia="es-US"/>
        </w:rPr>
        <w:t>.</w:t>
      </w:r>
    </w:p>
    <w:p w14:paraId="0A65CC0D" w14:textId="16DCFDD6" w:rsidR="000A4A0B" w:rsidRPr="009C5F1D" w:rsidRDefault="002D2BBC" w:rsidP="002D2BBC">
      <w:pPr>
        <w:pStyle w:val="IAPrrafo"/>
        <w:rPr>
          <w:b/>
          <w:szCs w:val="20"/>
          <w:lang w:val="es-CO" w:eastAsia="es-US"/>
        </w:rPr>
      </w:pPr>
      <w:r w:rsidRPr="00672AC2">
        <w:rPr>
          <w:szCs w:val="20"/>
          <w:lang w:val="es-CO" w:eastAsia="es-US"/>
        </w:rPr>
        <w:t xml:space="preserve">Asimismo, en relación con el Tribunal Constitucional, cuyos integrantes fueron elegidos por el actual Congreso, sociedad civil informó a la CIDH que este organismo habría dejado de actuar como un contrapeso en decisiones que debilitan la protección de los derechos humanos, como en la decisión que permitió la liberación de Alberto </w:t>
      </w:r>
      <w:proofErr w:type="gramStart"/>
      <w:r w:rsidRPr="00672AC2">
        <w:rPr>
          <w:szCs w:val="20"/>
          <w:lang w:val="es-CO" w:eastAsia="es-US"/>
        </w:rPr>
        <w:t>Fujimori  de</w:t>
      </w:r>
      <w:proofErr w:type="gramEnd"/>
      <w:r w:rsidRPr="00672AC2">
        <w:rPr>
          <w:szCs w:val="20"/>
          <w:lang w:val="es-CO" w:eastAsia="es-US"/>
        </w:rPr>
        <w:t xml:space="preserve"> diciembre del 2023</w:t>
      </w:r>
      <w:r w:rsidR="00F36B41">
        <w:rPr>
          <w:rFonts w:ascii="ZWAdobeF" w:hAnsi="ZWAdobeF" w:cs="ZWAdobeF"/>
          <w:color w:val="auto"/>
          <w:sz w:val="2"/>
          <w:szCs w:val="2"/>
          <w:lang w:val="es-CO" w:eastAsia="es-US"/>
        </w:rPr>
        <w:t>111F</w:t>
      </w:r>
      <w:r w:rsidRPr="00672AC2">
        <w:rPr>
          <w:rStyle w:val="FootnoteReference"/>
          <w:szCs w:val="20"/>
          <w:lang w:val="es-CO" w:eastAsia="es-US"/>
        </w:rPr>
        <w:footnoteReference w:id="113"/>
      </w:r>
      <w:r w:rsidRPr="00672AC2">
        <w:rPr>
          <w:szCs w:val="20"/>
          <w:lang w:val="es-CO" w:eastAsia="es-US"/>
        </w:rPr>
        <w:t>, incluso en desacato de las decisiones de la Corte Interamericana.</w:t>
      </w:r>
    </w:p>
    <w:p w14:paraId="213DB415" w14:textId="3702C645" w:rsidR="000A4A0B" w:rsidRPr="009C5F1D" w:rsidRDefault="1561DDF7" w:rsidP="000A4A0B">
      <w:pPr>
        <w:pStyle w:val="IAPrrafo"/>
        <w:rPr>
          <w:b/>
          <w:bCs/>
          <w:szCs w:val="20"/>
          <w:lang w:val="es-CO" w:eastAsia="es-US"/>
        </w:rPr>
      </w:pPr>
      <w:r w:rsidRPr="00672AC2">
        <w:rPr>
          <w:szCs w:val="20"/>
          <w:lang w:val="es-CO" w:eastAsia="es-US"/>
        </w:rPr>
        <w:t xml:space="preserve">En </w:t>
      </w:r>
      <w:r w:rsidR="00DA330C" w:rsidRPr="00672AC2">
        <w:rPr>
          <w:szCs w:val="20"/>
          <w:lang w:val="es-CO" w:eastAsia="es-US"/>
        </w:rPr>
        <w:t>cuanto a</w:t>
      </w:r>
      <w:r w:rsidRPr="00672AC2">
        <w:rPr>
          <w:szCs w:val="20"/>
          <w:lang w:val="es-CO" w:eastAsia="es-US"/>
        </w:rPr>
        <w:t>l Ministerio Público, sociedad civil afirmó que esta entidad habría sido objeto de ataques e injerencias indebidas externas a través de destituciones o inhabilitaciones injustificadas a fiscales a cargo de casos de alto impacto, en particular durante la gestión de una Fiscal de la Nación con graves cuestionamientos de corrupción. Por su lado, se alegó que el Poder Judicial habría venido siendo afectado por leyes que afectan su independencia, como aquellas que aumentan penas por prevaricato</w:t>
      </w:r>
      <w:r w:rsidR="00F36B41">
        <w:rPr>
          <w:rFonts w:ascii="ZWAdobeF" w:hAnsi="ZWAdobeF" w:cs="ZWAdobeF"/>
          <w:color w:val="auto"/>
          <w:sz w:val="2"/>
          <w:szCs w:val="2"/>
          <w:lang w:val="es-CO" w:eastAsia="es-US"/>
        </w:rPr>
        <w:t>112F</w:t>
      </w:r>
      <w:r w:rsidR="000A4A0B" w:rsidRPr="00672AC2">
        <w:rPr>
          <w:rStyle w:val="FootnoteReference"/>
          <w:szCs w:val="20"/>
          <w:lang w:val="es-CO" w:eastAsia="es-US"/>
        </w:rPr>
        <w:footnoteReference w:id="114"/>
      </w:r>
      <w:r w:rsidRPr="00672AC2">
        <w:rPr>
          <w:szCs w:val="20"/>
          <w:lang w:val="es-CO" w:eastAsia="es-US"/>
        </w:rPr>
        <w:t>, el monto de indemnizaciones por error judicial y el catálogo de faltas graves que puedan dar lugar a su destitución.</w:t>
      </w:r>
    </w:p>
    <w:p w14:paraId="6927A51E" w14:textId="297E15F2" w:rsidR="00ED5E6C" w:rsidRPr="009C5F1D" w:rsidRDefault="1561DDF7" w:rsidP="009C5F1D">
      <w:pPr>
        <w:pStyle w:val="IAPrrafo"/>
        <w:rPr>
          <w:b/>
          <w:bCs/>
          <w:szCs w:val="20"/>
          <w:lang w:val="es-CO" w:eastAsia="es-US"/>
        </w:rPr>
      </w:pPr>
      <w:r w:rsidRPr="00672AC2">
        <w:rPr>
          <w:szCs w:val="20"/>
          <w:lang w:val="es-CO" w:eastAsia="es-US"/>
        </w:rPr>
        <w:t>Finalmente, sociedad civil manifestó a la Comisión su preocupación por las reformas constitucionales aprobadas</w:t>
      </w:r>
      <w:r w:rsidR="00905669" w:rsidRPr="00672AC2">
        <w:rPr>
          <w:szCs w:val="20"/>
          <w:lang w:val="es-CO" w:eastAsia="es-US"/>
        </w:rPr>
        <w:t>;</w:t>
      </w:r>
      <w:r w:rsidRPr="00672AC2">
        <w:rPr>
          <w:szCs w:val="20"/>
          <w:lang w:val="es-CO" w:eastAsia="es-US"/>
        </w:rPr>
        <w:t xml:space="preserve"> en </w:t>
      </w:r>
      <w:r w:rsidR="00905669" w:rsidRPr="00672AC2">
        <w:rPr>
          <w:szCs w:val="20"/>
          <w:lang w:val="es-CO" w:eastAsia="es-US"/>
        </w:rPr>
        <w:t xml:space="preserve">concreto </w:t>
      </w:r>
      <w:r w:rsidRPr="00672AC2">
        <w:rPr>
          <w:szCs w:val="20"/>
          <w:lang w:val="es-CO" w:eastAsia="es-US"/>
        </w:rPr>
        <w:t>aquellas que fueron directamente rechazadas a través de un referéndum del 2018, como la aprobación de la bicameralidad y de las funciones de cada una de sus cámaras, en tanto se están adoptando medidas que no responderían a los intereses de la sociedad en su conjunto.</w:t>
      </w:r>
    </w:p>
    <w:p w14:paraId="073D2245" w14:textId="77777777" w:rsidR="000A4A0B" w:rsidRPr="00672AC2" w:rsidRDefault="000A4A0B" w:rsidP="00C146FC">
      <w:pPr>
        <w:ind w:firstLine="720"/>
        <w:jc w:val="both"/>
        <w:rPr>
          <w:lang w:val="es-CO"/>
        </w:rPr>
      </w:pPr>
      <w:r w:rsidRPr="00672AC2">
        <w:rPr>
          <w:rFonts w:eastAsia="Cambria" w:cs="Cambria"/>
          <w:i/>
          <w:iCs/>
          <w:color w:val="000000" w:themeColor="text1"/>
          <w:sz w:val="20"/>
          <w:szCs w:val="20"/>
          <w:lang w:val="es-ES"/>
        </w:rPr>
        <w:t>Análisis y nivel de cumplimiento de la recomendación</w:t>
      </w:r>
    </w:p>
    <w:p w14:paraId="4F585B07" w14:textId="77777777" w:rsidR="000A4A0B" w:rsidRPr="00672AC2" w:rsidRDefault="000A4A0B" w:rsidP="000A4A0B">
      <w:pPr>
        <w:ind w:firstLine="360"/>
        <w:jc w:val="both"/>
        <w:rPr>
          <w:rFonts w:eastAsia="Cambria" w:cs="Cambria"/>
          <w:i/>
          <w:iCs/>
          <w:color w:val="000000" w:themeColor="text1"/>
          <w:sz w:val="20"/>
          <w:szCs w:val="20"/>
          <w:lang w:val="es-ES"/>
        </w:rPr>
      </w:pPr>
    </w:p>
    <w:p w14:paraId="6A3C94E5" w14:textId="5C2EF3C8" w:rsidR="000A4A0B" w:rsidRPr="00672AC2" w:rsidRDefault="1561DDF7" w:rsidP="00E83710">
      <w:pPr>
        <w:pStyle w:val="IAPrrafo"/>
        <w:rPr>
          <w:b/>
          <w:bCs/>
          <w:szCs w:val="20"/>
          <w:lang w:val="es-US"/>
        </w:rPr>
      </w:pPr>
      <w:r w:rsidRPr="00672AC2">
        <w:rPr>
          <w:szCs w:val="20"/>
          <w:lang w:val="es-US"/>
        </w:rPr>
        <w:t>En diversos pronunciamientos, la Comisión ha mostrado su preocupación por la situación de la separación e independencia práctica de los poderes en el Estado peruano</w:t>
      </w:r>
      <w:r w:rsidR="00F36B41">
        <w:rPr>
          <w:rFonts w:ascii="ZWAdobeF" w:hAnsi="ZWAdobeF" w:cs="ZWAdobeF"/>
          <w:color w:val="auto"/>
          <w:sz w:val="2"/>
          <w:szCs w:val="2"/>
          <w:lang w:val="es-US"/>
        </w:rPr>
        <w:t>113F</w:t>
      </w:r>
      <w:r w:rsidR="000A4A0B" w:rsidRPr="00672AC2">
        <w:rPr>
          <w:rStyle w:val="FootnoteReference"/>
          <w:szCs w:val="20"/>
          <w:lang w:val="es-US"/>
        </w:rPr>
        <w:footnoteReference w:id="115"/>
      </w:r>
      <w:r w:rsidRPr="00672AC2">
        <w:rPr>
          <w:szCs w:val="20"/>
          <w:lang w:val="es-US"/>
        </w:rPr>
        <w:t xml:space="preserve">, las cuales se han visto </w:t>
      </w:r>
      <w:r w:rsidR="001E21AC" w:rsidRPr="00672AC2">
        <w:rPr>
          <w:szCs w:val="20"/>
          <w:lang w:val="es-US"/>
        </w:rPr>
        <w:t>comprometidas</w:t>
      </w:r>
      <w:r w:rsidRPr="00672AC2">
        <w:rPr>
          <w:szCs w:val="20"/>
          <w:lang w:val="es-US"/>
        </w:rPr>
        <w:t xml:space="preserve"> por diversas medidas normativas y decisiones que se han ido adoptando en los últimos años. Estas han estado dirigidas a promover investigaciones contra personas operadores de justicia o contra personas funcionarias del sistema electoral</w:t>
      </w:r>
      <w:r w:rsidR="00F36B41">
        <w:rPr>
          <w:rFonts w:ascii="ZWAdobeF" w:hAnsi="ZWAdobeF" w:cs="ZWAdobeF"/>
          <w:color w:val="auto"/>
          <w:sz w:val="2"/>
          <w:szCs w:val="2"/>
          <w:lang w:val="es-US"/>
        </w:rPr>
        <w:t>114F</w:t>
      </w:r>
      <w:r w:rsidR="000A4A0B" w:rsidRPr="00672AC2">
        <w:rPr>
          <w:rStyle w:val="FootnoteReference"/>
          <w:szCs w:val="20"/>
          <w:lang w:val="es-US"/>
        </w:rPr>
        <w:footnoteReference w:id="116"/>
      </w:r>
      <w:r w:rsidRPr="00672AC2">
        <w:rPr>
          <w:szCs w:val="20"/>
          <w:lang w:val="es-US"/>
        </w:rPr>
        <w:t xml:space="preserve"> o a buscar determinar responsabilidades políticas a representantes de otros poderes o instituciones del Estado</w:t>
      </w:r>
      <w:r w:rsidR="00F36B41">
        <w:rPr>
          <w:rFonts w:ascii="ZWAdobeF" w:hAnsi="ZWAdobeF" w:cs="ZWAdobeF"/>
          <w:color w:val="auto"/>
          <w:sz w:val="2"/>
          <w:szCs w:val="2"/>
          <w:lang w:val="es-US"/>
        </w:rPr>
        <w:t>115F</w:t>
      </w:r>
      <w:r w:rsidR="000A4A0B" w:rsidRPr="00672AC2">
        <w:rPr>
          <w:rStyle w:val="FootnoteReference"/>
          <w:szCs w:val="20"/>
          <w:lang w:val="es-US"/>
        </w:rPr>
        <w:footnoteReference w:id="117"/>
      </w:r>
      <w:r w:rsidRPr="00672AC2">
        <w:rPr>
          <w:szCs w:val="20"/>
          <w:lang w:val="es-US"/>
        </w:rPr>
        <w:t>, o a modificar las competencias de las entidades a través de mecanismos de elección de las personas titulares de dichas entidades, como en el caso de la Defensoría del Pueblo o de la Junta Nacional de Justicia.</w:t>
      </w:r>
    </w:p>
    <w:p w14:paraId="0D077952" w14:textId="18D5C692" w:rsidR="000A4A0B" w:rsidRPr="009C5F1D" w:rsidRDefault="1561DDF7" w:rsidP="009C5F1D">
      <w:pPr>
        <w:pStyle w:val="IAPrrafo"/>
        <w:rPr>
          <w:b/>
          <w:bCs/>
          <w:szCs w:val="20"/>
          <w:lang w:val="es-US"/>
        </w:rPr>
      </w:pPr>
      <w:r w:rsidRPr="00672AC2">
        <w:rPr>
          <w:szCs w:val="20"/>
          <w:lang w:val="es-US"/>
        </w:rPr>
        <w:t>Al respecto, la CIDH ha establecido, en diversos pronunciamientos, que la democracia representativa es la forma de organización explícitamente adoptada por los Estados miembros de la Organización de los Estados Americanos y expresamente recogida en el artículo 3(d) de su Carta constitutiva</w:t>
      </w:r>
      <w:r w:rsidR="00F36B41">
        <w:rPr>
          <w:rFonts w:ascii="ZWAdobeF" w:hAnsi="ZWAdobeF" w:cs="ZWAdobeF"/>
          <w:color w:val="auto"/>
          <w:sz w:val="2"/>
          <w:szCs w:val="2"/>
          <w:lang w:val="es-US"/>
        </w:rPr>
        <w:t>116F</w:t>
      </w:r>
      <w:r w:rsidR="000A4A0B" w:rsidRPr="00672AC2">
        <w:rPr>
          <w:rStyle w:val="FootnoteReference"/>
          <w:szCs w:val="20"/>
          <w:lang w:val="es-US"/>
        </w:rPr>
        <w:footnoteReference w:id="118"/>
      </w:r>
      <w:r w:rsidRPr="00672AC2">
        <w:rPr>
          <w:szCs w:val="20"/>
          <w:lang w:val="es-US"/>
        </w:rPr>
        <w:t>. En ese sentido, ha insistido en la intrínseca relación que existe entre la democracia y la vigencia y respeto de los derechos humanos</w:t>
      </w:r>
      <w:r w:rsidR="00F36B41">
        <w:rPr>
          <w:rFonts w:ascii="ZWAdobeF" w:hAnsi="ZWAdobeF" w:cs="ZWAdobeF"/>
          <w:color w:val="auto"/>
          <w:sz w:val="2"/>
          <w:szCs w:val="2"/>
          <w:lang w:val="es-US"/>
        </w:rPr>
        <w:t>117F</w:t>
      </w:r>
      <w:r w:rsidR="000A4A0B" w:rsidRPr="00672AC2">
        <w:rPr>
          <w:rStyle w:val="FootnoteReference"/>
          <w:szCs w:val="20"/>
          <w:lang w:val="es-US"/>
        </w:rPr>
        <w:footnoteReference w:id="119"/>
      </w:r>
      <w:r w:rsidRPr="00672AC2">
        <w:rPr>
          <w:szCs w:val="20"/>
          <w:lang w:val="es-US"/>
        </w:rPr>
        <w:t xml:space="preserve">. Asimismo, en </w:t>
      </w:r>
      <w:r w:rsidR="00E87E2D" w:rsidRPr="00672AC2">
        <w:rPr>
          <w:szCs w:val="20"/>
          <w:lang w:val="es-US"/>
        </w:rPr>
        <w:t>cuanto a</w:t>
      </w:r>
      <w:r w:rsidRPr="00672AC2">
        <w:rPr>
          <w:szCs w:val="20"/>
          <w:lang w:val="es-US"/>
        </w:rPr>
        <w:t xml:space="preserve"> las características básicas que debe tener la democracia representativa, la Comisión ha determinado que, para su consolidación, es imprescindible contar con una institucionalidad guiada por la separación, independencia y equilibrio de poderes; así como por el ejercicio efectivo de derechos políticos, a través de elecciones libres y justas, y el respeto y la promoción del pluralismo en la sociedad</w:t>
      </w:r>
      <w:r w:rsidR="00F36B41">
        <w:rPr>
          <w:rFonts w:ascii="ZWAdobeF" w:hAnsi="ZWAdobeF" w:cs="ZWAdobeF"/>
          <w:color w:val="auto"/>
          <w:sz w:val="2"/>
          <w:szCs w:val="2"/>
          <w:lang w:val="es-US"/>
        </w:rPr>
        <w:t>118F</w:t>
      </w:r>
      <w:r w:rsidR="000A4A0B" w:rsidRPr="00672AC2">
        <w:rPr>
          <w:rStyle w:val="FootnoteReference"/>
          <w:szCs w:val="20"/>
          <w:lang w:val="es-US"/>
        </w:rPr>
        <w:footnoteReference w:id="120"/>
      </w:r>
      <w:r w:rsidRPr="00672AC2">
        <w:rPr>
          <w:szCs w:val="20"/>
          <w:lang w:val="es-US"/>
        </w:rPr>
        <w:t>.</w:t>
      </w:r>
    </w:p>
    <w:p w14:paraId="2E117635" w14:textId="64243899" w:rsidR="000A4A0B" w:rsidRPr="009C5F1D" w:rsidRDefault="000A4A0B" w:rsidP="000A4A0B">
      <w:pPr>
        <w:pStyle w:val="IAPrrafo"/>
        <w:rPr>
          <w:lang w:val="es-US"/>
        </w:rPr>
      </w:pPr>
      <w:r w:rsidRPr="00672AC2">
        <w:rPr>
          <w:bCs/>
          <w:szCs w:val="20"/>
          <w:lang w:val="es-US"/>
        </w:rPr>
        <w:t xml:space="preserve">Por ello, la Comisión considera que no se han reportado medidas por parte del Estado dirigidas a </w:t>
      </w:r>
      <w:r w:rsidRPr="00672AC2">
        <w:rPr>
          <w:szCs w:val="20"/>
          <w:lang w:val="es-CO"/>
        </w:rPr>
        <w:t xml:space="preserve">reforzar y fortalecer la confianza de la ciudadanía en el Estado a partir de la separación e independencia práctica, real y efectiva de los poderes públicos, entes de control y del </w:t>
      </w:r>
      <w:r w:rsidR="00BB2522" w:rsidRPr="00672AC2">
        <w:rPr>
          <w:szCs w:val="20"/>
          <w:lang w:val="es-CO"/>
        </w:rPr>
        <w:t>s</w:t>
      </w:r>
      <w:r w:rsidRPr="00672AC2">
        <w:rPr>
          <w:szCs w:val="20"/>
          <w:lang w:val="es-CO"/>
        </w:rPr>
        <w:t xml:space="preserve">istema </w:t>
      </w:r>
      <w:r w:rsidR="00BB2522" w:rsidRPr="00672AC2">
        <w:rPr>
          <w:szCs w:val="20"/>
          <w:lang w:val="es-CO"/>
        </w:rPr>
        <w:t>e</w:t>
      </w:r>
      <w:r w:rsidRPr="00672AC2">
        <w:rPr>
          <w:szCs w:val="20"/>
          <w:lang w:val="es-CO"/>
        </w:rPr>
        <w:t xml:space="preserve">lectoral. Asimismo, la Comisión expresa su preocupación por las distintas medidas que se han venido observando (mencionadas en la presente recomendación) que podrían afectar la independencia y el equilibrio de poderes. </w:t>
      </w:r>
    </w:p>
    <w:p w14:paraId="1CB44785" w14:textId="037761B6" w:rsidR="000A4A0B" w:rsidRPr="009C5F1D" w:rsidRDefault="000A4A0B" w:rsidP="009C5F1D">
      <w:pPr>
        <w:pStyle w:val="IAPrrafo"/>
        <w:rPr>
          <w:lang w:val="es-US"/>
        </w:rPr>
      </w:pPr>
      <w:r w:rsidRPr="00672AC2">
        <w:rPr>
          <w:szCs w:val="20"/>
          <w:lang w:val="es-US"/>
        </w:rPr>
        <w:t xml:space="preserve">En ese sentido, es necesario </w:t>
      </w:r>
      <w:r w:rsidR="00885D44" w:rsidRPr="00672AC2">
        <w:rPr>
          <w:szCs w:val="20"/>
          <w:lang w:val="es-US"/>
        </w:rPr>
        <w:t xml:space="preserve">que, en el marco del principio de separación de poderes, las normas legales que se </w:t>
      </w:r>
      <w:r w:rsidRPr="00672AC2">
        <w:rPr>
          <w:szCs w:val="20"/>
          <w:lang w:val="es-US"/>
        </w:rPr>
        <w:t xml:space="preserve">presentan o </w:t>
      </w:r>
      <w:r w:rsidR="00885D44" w:rsidRPr="00672AC2">
        <w:rPr>
          <w:szCs w:val="20"/>
          <w:lang w:val="es-US"/>
        </w:rPr>
        <w:t xml:space="preserve">aprueben no tengan como objetivo o efecto </w:t>
      </w:r>
      <w:r w:rsidRPr="00672AC2">
        <w:rPr>
          <w:szCs w:val="20"/>
          <w:lang w:val="es-US"/>
        </w:rPr>
        <w:t xml:space="preserve">restringir la actuación de dichas entidades o </w:t>
      </w:r>
      <w:r w:rsidR="00885D44" w:rsidRPr="00672AC2">
        <w:rPr>
          <w:szCs w:val="20"/>
          <w:lang w:val="es-US"/>
        </w:rPr>
        <w:t>de sus</w:t>
      </w:r>
      <w:r w:rsidRPr="00672AC2">
        <w:rPr>
          <w:szCs w:val="20"/>
          <w:lang w:val="es-US"/>
        </w:rPr>
        <w:t xml:space="preserve"> decisiones. De otro lado, es esencial que </w:t>
      </w:r>
      <w:r w:rsidR="00885D44" w:rsidRPr="00672AC2">
        <w:rPr>
          <w:szCs w:val="20"/>
          <w:lang w:val="es-US"/>
        </w:rPr>
        <w:t>se</w:t>
      </w:r>
      <w:r w:rsidRPr="00672AC2">
        <w:rPr>
          <w:szCs w:val="20"/>
          <w:lang w:val="es-US"/>
        </w:rPr>
        <w:t xml:space="preserve"> ejerza un real control de las </w:t>
      </w:r>
      <w:r w:rsidR="00885D44" w:rsidRPr="00672AC2">
        <w:rPr>
          <w:szCs w:val="20"/>
          <w:lang w:val="es-US"/>
        </w:rPr>
        <w:t>normas que se quieren aprobar</w:t>
      </w:r>
      <w:r w:rsidRPr="00672AC2">
        <w:rPr>
          <w:szCs w:val="20"/>
          <w:lang w:val="es-US"/>
        </w:rPr>
        <w:t xml:space="preserve"> a través de </w:t>
      </w:r>
      <w:r w:rsidR="00885D44" w:rsidRPr="00672AC2">
        <w:rPr>
          <w:szCs w:val="20"/>
          <w:lang w:val="es-US"/>
        </w:rPr>
        <w:t xml:space="preserve">mecanismos constitucionales existentes, tales como </w:t>
      </w:r>
      <w:r w:rsidRPr="00672AC2">
        <w:rPr>
          <w:szCs w:val="20"/>
          <w:lang w:val="es-US"/>
        </w:rPr>
        <w:t xml:space="preserve">la facultad de observar normas que </w:t>
      </w:r>
      <w:r w:rsidR="00885D44" w:rsidRPr="00672AC2">
        <w:rPr>
          <w:szCs w:val="20"/>
          <w:lang w:val="es-US"/>
        </w:rPr>
        <w:t>atenten</w:t>
      </w:r>
      <w:r w:rsidRPr="00672AC2">
        <w:rPr>
          <w:szCs w:val="20"/>
          <w:lang w:val="es-US"/>
        </w:rPr>
        <w:t xml:space="preserve"> contra de estos principios. Adicionalmente, para la CIDH, es esencial que las entidades de control como el Tribunal Constitucional o la Defensoría del Pueblo cumplan con aplicar criterios y estándares internacionales de protección de derechos humanos en el marco de su actuación. Finalmente, que las entidades del sistema de justicia y del sistema electoral puedan ejercer sus competencias, de acuerdo con su independencia interna y externa, de manera que se fortalezca la confianza de la ciudadanía en las instituciones. </w:t>
      </w:r>
      <w:r w:rsidRPr="00672AC2">
        <w:rPr>
          <w:bCs/>
          <w:szCs w:val="20"/>
          <w:lang w:val="es-CO" w:eastAsia="es-US"/>
        </w:rPr>
        <w:t xml:space="preserve">En consecuencia, la Comisión identifica que esta recomendación se encuentra </w:t>
      </w:r>
      <w:r w:rsidRPr="00700188">
        <w:rPr>
          <w:b/>
          <w:bCs/>
          <w:szCs w:val="20"/>
          <w:lang w:val="es-CO" w:eastAsia="es-US"/>
        </w:rPr>
        <w:t>pendiente de cumplimiento</w:t>
      </w:r>
      <w:r w:rsidRPr="00672AC2">
        <w:rPr>
          <w:bCs/>
          <w:szCs w:val="20"/>
          <w:lang w:val="es-CO" w:eastAsia="es-US"/>
        </w:rPr>
        <w:t>.</w:t>
      </w:r>
    </w:p>
    <w:p w14:paraId="4B28842B" w14:textId="13A83BAC" w:rsidR="000A4A0B" w:rsidRPr="00672AC2" w:rsidRDefault="000A4A0B" w:rsidP="009C5F1D">
      <w:pPr>
        <w:ind w:firstLine="720"/>
        <w:jc w:val="both"/>
        <w:rPr>
          <w:lang w:val="es-US"/>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6C635111" w14:textId="77777777" w:rsidR="000A4A0B" w:rsidRPr="00672AC2" w:rsidRDefault="000A4A0B" w:rsidP="000A4A0B">
      <w:pPr>
        <w:ind w:firstLine="360"/>
        <w:jc w:val="both"/>
        <w:rPr>
          <w:lang w:val="es-CO"/>
        </w:rPr>
      </w:pPr>
    </w:p>
    <w:p w14:paraId="1748B2E8" w14:textId="70749EE9" w:rsidR="000A4A0B" w:rsidRPr="004C2B76" w:rsidRDefault="000A4A0B" w:rsidP="004C2B76">
      <w:pPr>
        <w:pStyle w:val="IAPrrafo"/>
        <w:rPr>
          <w:b/>
          <w:szCs w:val="20"/>
          <w:lang w:val="es-CO" w:eastAsia="es-US"/>
        </w:rPr>
      </w:pPr>
      <w:r w:rsidRPr="00672AC2">
        <w:rPr>
          <w:szCs w:val="20"/>
          <w:lang w:val="es-US"/>
        </w:rPr>
        <w:t xml:space="preserve">La CIDH concluirá un avance en el nivel de cumplimiento en esta recomendación cuando cuente </w:t>
      </w:r>
      <w:r w:rsidR="000510BA" w:rsidRPr="00672AC2">
        <w:rPr>
          <w:szCs w:val="20"/>
          <w:lang w:val="es-US"/>
        </w:rPr>
        <w:t xml:space="preserve">información que dé cuenta de la adopción de </w:t>
      </w:r>
      <w:r w:rsidR="003952E0" w:rsidRPr="00672AC2">
        <w:rPr>
          <w:szCs w:val="20"/>
          <w:lang w:val="es-US"/>
        </w:rPr>
        <w:t>medidas que</w:t>
      </w:r>
      <w:r w:rsidRPr="00672AC2">
        <w:rPr>
          <w:szCs w:val="20"/>
          <w:lang w:val="es-US"/>
        </w:rPr>
        <w:t xml:space="preserve"> garanti</w:t>
      </w:r>
      <w:r w:rsidR="00B56D25" w:rsidRPr="00672AC2">
        <w:rPr>
          <w:szCs w:val="20"/>
          <w:lang w:val="es-US"/>
        </w:rPr>
        <w:t>cen</w:t>
      </w:r>
      <w:r w:rsidRPr="00672AC2">
        <w:rPr>
          <w:szCs w:val="20"/>
          <w:lang w:val="es-US"/>
        </w:rPr>
        <w:t xml:space="preserve"> la separación e independencia de los distintos poderes y órganos del Estado.</w:t>
      </w:r>
    </w:p>
    <w:tbl>
      <w:tblPr>
        <w:tblStyle w:val="TableGrid"/>
        <w:tblW w:w="0" w:type="auto"/>
        <w:tblLook w:val="04A0" w:firstRow="1" w:lastRow="0" w:firstColumn="1" w:lastColumn="0" w:noHBand="0" w:noVBand="1"/>
      </w:tblPr>
      <w:tblGrid>
        <w:gridCol w:w="9350"/>
      </w:tblGrid>
      <w:tr w:rsidR="000A4A0B" w:rsidRPr="00F51AED" w14:paraId="680F566F" w14:textId="77777777">
        <w:tc>
          <w:tcPr>
            <w:tcW w:w="9350" w:type="dxa"/>
            <w:tcBorders>
              <w:top w:val="nil"/>
              <w:left w:val="nil"/>
              <w:bottom w:val="nil"/>
              <w:right w:val="nil"/>
            </w:tcBorders>
            <w:shd w:val="clear" w:color="auto" w:fill="D0CECE" w:themeFill="background2" w:themeFillShade="E6"/>
          </w:tcPr>
          <w:p w14:paraId="29381877" w14:textId="59C8E3F5" w:rsidR="000A4A0B" w:rsidRPr="004C2B76" w:rsidRDefault="000A4A0B" w:rsidP="004C2B76">
            <w:pPr>
              <w:pStyle w:val="IASubttulo2"/>
              <w:numPr>
                <w:ilvl w:val="0"/>
                <w:numId w:val="0"/>
              </w:numPr>
              <w:spacing w:after="0"/>
              <w:ind w:left="154"/>
              <w:jc w:val="both"/>
              <w:rPr>
                <w:b w:val="0"/>
                <w:sz w:val="20"/>
                <w:szCs w:val="20"/>
                <w:lang w:val="es-CO"/>
              </w:rPr>
            </w:pPr>
            <w:bookmarkStart w:id="25" w:name="_Toc195618290"/>
            <w:r w:rsidRPr="00672AC2">
              <w:rPr>
                <w:sz w:val="20"/>
                <w:szCs w:val="20"/>
                <w:lang w:val="es-CO"/>
              </w:rPr>
              <w:t xml:space="preserve">Recomendación </w:t>
            </w:r>
            <w:proofErr w:type="spellStart"/>
            <w:r w:rsidR="002B0B88" w:rsidRPr="00672AC2">
              <w:rPr>
                <w:sz w:val="20"/>
                <w:szCs w:val="20"/>
                <w:lang w:val="es-CO"/>
              </w:rPr>
              <w:t>Nº</w:t>
            </w:r>
            <w:proofErr w:type="spellEnd"/>
            <w:r w:rsidRPr="00672AC2">
              <w:rPr>
                <w:sz w:val="20"/>
                <w:szCs w:val="20"/>
                <w:lang w:val="es-CO"/>
              </w:rPr>
              <w:t xml:space="preserve"> 22. </w:t>
            </w:r>
            <w:r w:rsidRPr="00672AC2">
              <w:rPr>
                <w:b w:val="0"/>
                <w:sz w:val="20"/>
                <w:szCs w:val="20"/>
                <w:lang w:val="es-CO"/>
              </w:rPr>
              <w:t>Abstenerse de adoptar reformas legislativas o constitucionales que debiliten la autonomía e independencia del Sistema Nacional Electoral o del Poder Judicial.</w:t>
            </w:r>
            <w:bookmarkEnd w:id="25"/>
          </w:p>
        </w:tc>
      </w:tr>
    </w:tbl>
    <w:p w14:paraId="2F73CBEC" w14:textId="77777777" w:rsidR="000A4A0B" w:rsidRPr="00672AC2" w:rsidRDefault="000A4A0B" w:rsidP="000A4A0B">
      <w:pPr>
        <w:shd w:val="clear" w:color="auto" w:fill="FFFFFF" w:themeFill="background1"/>
        <w:suppressAutoHyphens w:val="0"/>
        <w:jc w:val="both"/>
        <w:rPr>
          <w:b/>
          <w:bCs/>
          <w:sz w:val="20"/>
          <w:szCs w:val="20"/>
          <w:lang w:val="es-419" w:eastAsia="es-US"/>
        </w:rPr>
      </w:pPr>
    </w:p>
    <w:p w14:paraId="0862F048" w14:textId="341B9253" w:rsidR="000A4A0B" w:rsidRPr="00672AC2" w:rsidRDefault="000A4A0B" w:rsidP="004C2B76">
      <w:pPr>
        <w:pBdr>
          <w:top w:val="nil"/>
          <w:left w:val="nil"/>
          <w:bottom w:val="nil"/>
          <w:right w:val="nil"/>
          <w:between w:val="nil"/>
        </w:pBdr>
        <w:ind w:firstLine="720"/>
        <w:jc w:val="both"/>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56A8C1F0" w14:textId="77777777" w:rsidR="000A4A0B" w:rsidRPr="00672AC2" w:rsidRDefault="000A4A0B" w:rsidP="000A4A0B">
      <w:pPr>
        <w:shd w:val="clear" w:color="auto" w:fill="FFFFFF" w:themeFill="background1"/>
        <w:suppressAutoHyphens w:val="0"/>
        <w:jc w:val="both"/>
        <w:rPr>
          <w:b/>
          <w:bCs/>
          <w:sz w:val="20"/>
          <w:szCs w:val="20"/>
          <w:lang w:val="es-419" w:eastAsia="es-US"/>
        </w:rPr>
      </w:pPr>
    </w:p>
    <w:p w14:paraId="5ADD9370" w14:textId="2C8F0F3E" w:rsidR="000A4A0B" w:rsidRPr="004C2B76" w:rsidRDefault="1561DDF7" w:rsidP="004C2B76">
      <w:pPr>
        <w:pStyle w:val="IAPrrafo"/>
        <w:rPr>
          <w:b/>
          <w:lang w:val="es-US"/>
        </w:rPr>
      </w:pPr>
      <w:r w:rsidRPr="00672AC2">
        <w:rPr>
          <w:szCs w:val="20"/>
          <w:lang w:val="es-US"/>
        </w:rPr>
        <w:t>En el 2024, el Estado reportó que no se ha aprobado ninguna iniciativa legislativa en el Congreso que debilite la autonomía e independencia del Sistema Electoral.</w:t>
      </w:r>
    </w:p>
    <w:p w14:paraId="776A3AF3" w14:textId="5C2F8356" w:rsidR="000A4A0B" w:rsidRPr="004C2B76" w:rsidRDefault="00F340D9" w:rsidP="000A4A0B">
      <w:pPr>
        <w:pStyle w:val="IAPrrafo"/>
        <w:rPr>
          <w:b/>
          <w:szCs w:val="20"/>
          <w:lang w:val="es-US"/>
        </w:rPr>
      </w:pPr>
      <w:r w:rsidRPr="00672AC2">
        <w:rPr>
          <w:szCs w:val="20"/>
          <w:lang w:val="es-US"/>
        </w:rPr>
        <w:t>L</w:t>
      </w:r>
      <w:r w:rsidR="1561DDF7" w:rsidRPr="00672AC2">
        <w:rPr>
          <w:szCs w:val="20"/>
          <w:lang w:val="es-US"/>
        </w:rPr>
        <w:t xml:space="preserve">a Comisión recibió información proporcionada por sociedad civil según la cual se habrían presentado diversas iniciativas legislativas o decisiones judiciales que contravendrían esta recomendación. En ese sentido, mostró su preocupación por la Ley </w:t>
      </w:r>
      <w:proofErr w:type="spellStart"/>
      <w:r w:rsidR="002B0B88" w:rsidRPr="00672AC2">
        <w:rPr>
          <w:szCs w:val="20"/>
          <w:lang w:val="es-US"/>
        </w:rPr>
        <w:t>Nº</w:t>
      </w:r>
      <w:proofErr w:type="spellEnd"/>
      <w:r w:rsidR="1561DDF7" w:rsidRPr="00672AC2">
        <w:rPr>
          <w:szCs w:val="20"/>
          <w:lang w:val="es-US"/>
        </w:rPr>
        <w:t xml:space="preserve"> 32153</w:t>
      </w:r>
      <w:r w:rsidR="00F36B41">
        <w:rPr>
          <w:rFonts w:ascii="ZWAdobeF" w:hAnsi="ZWAdobeF" w:cs="ZWAdobeF"/>
          <w:color w:val="auto"/>
          <w:sz w:val="2"/>
          <w:szCs w:val="2"/>
          <w:lang w:val="es-US"/>
        </w:rPr>
        <w:t>119F</w:t>
      </w:r>
      <w:r w:rsidR="000A4A0B" w:rsidRPr="00672AC2">
        <w:rPr>
          <w:rStyle w:val="FootnoteReference"/>
          <w:szCs w:val="20"/>
          <w:lang w:val="es-US"/>
        </w:rPr>
        <w:footnoteReference w:id="121"/>
      </w:r>
      <w:r w:rsidR="1561DDF7" w:rsidRPr="00672AC2">
        <w:rPr>
          <w:szCs w:val="20"/>
          <w:lang w:val="es-US"/>
        </w:rPr>
        <w:t>, aprobada el 5 de noviembre de 2024, que incorporó modificaciones que podrían perjudicar la independencia del Poder Judicial, limitando el control difuso de las normas, modificando el requisito de mayoría para fallos en procesos competenciales o limitando la capacidad de la Corte Suprema de emitir precedentes vinculantes, independientemente de las interpretaciones del Tribunal Constitucional.</w:t>
      </w:r>
    </w:p>
    <w:p w14:paraId="47811263" w14:textId="25CE7234" w:rsidR="000A4A0B" w:rsidRPr="004C2B76" w:rsidRDefault="1561DDF7" w:rsidP="000A4A0B">
      <w:pPr>
        <w:pStyle w:val="IAPrrafo"/>
        <w:rPr>
          <w:b/>
          <w:szCs w:val="20"/>
          <w:lang w:val="es-US"/>
        </w:rPr>
      </w:pPr>
      <w:r w:rsidRPr="00672AC2">
        <w:rPr>
          <w:szCs w:val="20"/>
          <w:lang w:val="es-US"/>
        </w:rPr>
        <w:t>De otro lado, sociedad civil mostró su preocupación en relación con el funcionamiento e independencia de los órganos electorales</w:t>
      </w:r>
      <w:r w:rsidR="00D30383" w:rsidRPr="00672AC2">
        <w:rPr>
          <w:szCs w:val="20"/>
          <w:lang w:val="es-US"/>
        </w:rPr>
        <w:t>;</w:t>
      </w:r>
      <w:r w:rsidRPr="00672AC2">
        <w:rPr>
          <w:szCs w:val="20"/>
          <w:lang w:val="es-US"/>
        </w:rPr>
        <w:t xml:space="preserve"> puesto que, en primera votación, se aprobó una reforma constitucional que cambiaría la forma de elección del </w:t>
      </w:r>
      <w:proofErr w:type="gramStart"/>
      <w:r w:rsidRPr="00672AC2">
        <w:rPr>
          <w:szCs w:val="20"/>
          <w:lang w:val="es-US"/>
        </w:rPr>
        <w:t>Presidente</w:t>
      </w:r>
      <w:proofErr w:type="gramEnd"/>
      <w:r w:rsidRPr="00672AC2">
        <w:rPr>
          <w:szCs w:val="20"/>
          <w:lang w:val="es-US"/>
        </w:rPr>
        <w:t xml:space="preserve"> del JNE y que reduciría su mandato a dos años</w:t>
      </w:r>
      <w:r w:rsidR="00F36B41">
        <w:rPr>
          <w:rFonts w:ascii="ZWAdobeF" w:hAnsi="ZWAdobeF" w:cs="ZWAdobeF"/>
          <w:color w:val="auto"/>
          <w:sz w:val="2"/>
          <w:szCs w:val="2"/>
          <w:lang w:val="es-US"/>
        </w:rPr>
        <w:t>120F</w:t>
      </w:r>
      <w:r w:rsidR="000A4A0B" w:rsidRPr="00672AC2">
        <w:rPr>
          <w:rStyle w:val="FootnoteReference"/>
          <w:szCs w:val="20"/>
          <w:lang w:val="es-US"/>
        </w:rPr>
        <w:footnoteReference w:id="122"/>
      </w:r>
      <w:r w:rsidRPr="00672AC2">
        <w:rPr>
          <w:szCs w:val="20"/>
          <w:lang w:val="es-US"/>
        </w:rPr>
        <w:t xml:space="preserve">. De acuerdo con lo </w:t>
      </w:r>
      <w:r w:rsidR="00D30383" w:rsidRPr="00672AC2">
        <w:rPr>
          <w:szCs w:val="20"/>
          <w:lang w:val="es-US"/>
        </w:rPr>
        <w:t xml:space="preserve">transmitido </w:t>
      </w:r>
      <w:r w:rsidRPr="00672AC2">
        <w:rPr>
          <w:szCs w:val="20"/>
          <w:lang w:val="es-US"/>
        </w:rPr>
        <w:t xml:space="preserve">a la Comisión, lo anterior habría generado un pronunciamiento en contra del propio </w:t>
      </w:r>
      <w:proofErr w:type="gramStart"/>
      <w:r w:rsidRPr="00672AC2">
        <w:rPr>
          <w:szCs w:val="20"/>
          <w:lang w:val="es-US"/>
        </w:rPr>
        <w:t>Presidente</w:t>
      </w:r>
      <w:proofErr w:type="gramEnd"/>
      <w:r w:rsidRPr="00672AC2">
        <w:rPr>
          <w:szCs w:val="20"/>
          <w:lang w:val="es-US"/>
        </w:rPr>
        <w:t xml:space="preserve"> del JNE. Además, fue </w:t>
      </w:r>
      <w:r w:rsidR="001E21AC" w:rsidRPr="00672AC2">
        <w:rPr>
          <w:szCs w:val="20"/>
          <w:lang w:val="es-US"/>
        </w:rPr>
        <w:t>informado</w:t>
      </w:r>
      <w:r w:rsidRPr="00672AC2">
        <w:rPr>
          <w:szCs w:val="20"/>
          <w:lang w:val="es-US"/>
        </w:rPr>
        <w:t xml:space="preserve"> a la CIDH que se han impulsado al menos 29 iniciativas de ley que buscan cambiar las reglas electorales.</w:t>
      </w:r>
    </w:p>
    <w:p w14:paraId="6E5F33CA" w14:textId="36155CAB" w:rsidR="000A4A0B" w:rsidRPr="00B1747D" w:rsidRDefault="002B0BEA" w:rsidP="00E83710">
      <w:pPr>
        <w:pStyle w:val="IAPrrafo"/>
        <w:rPr>
          <w:b/>
          <w:lang w:val="es-US"/>
        </w:rPr>
      </w:pPr>
      <w:r>
        <w:rPr>
          <w:szCs w:val="20"/>
          <w:lang w:val="es-US"/>
        </w:rPr>
        <w:t>Además, la CID</w:t>
      </w:r>
      <w:r w:rsidR="007632A5">
        <w:rPr>
          <w:szCs w:val="20"/>
          <w:lang w:val="es-US"/>
        </w:rPr>
        <w:t>H</w:t>
      </w:r>
      <w:r>
        <w:rPr>
          <w:szCs w:val="20"/>
          <w:lang w:val="es-US"/>
        </w:rPr>
        <w:t xml:space="preserve"> conoció</w:t>
      </w:r>
      <w:r w:rsidR="00B1747D">
        <w:rPr>
          <w:szCs w:val="20"/>
          <w:lang w:val="es-US"/>
        </w:rPr>
        <w:t xml:space="preserve"> otras leyes que podrían tener como efecto, el debilitamiento de la independencia y autonomía del sistema de justicia como la </w:t>
      </w:r>
      <w:r w:rsidR="00B1747D" w:rsidRPr="00B1747D">
        <w:rPr>
          <w:szCs w:val="20"/>
          <w:lang w:val="es-US"/>
        </w:rPr>
        <w:t xml:space="preserve">Ley </w:t>
      </w:r>
      <w:r w:rsidR="00B1747D">
        <w:rPr>
          <w:szCs w:val="20"/>
          <w:lang w:val="es-US"/>
        </w:rPr>
        <w:t xml:space="preserve">No. </w:t>
      </w:r>
      <w:r w:rsidR="00B1747D" w:rsidRPr="00B1747D">
        <w:rPr>
          <w:szCs w:val="20"/>
          <w:lang w:val="es-US"/>
        </w:rPr>
        <w:t>32182</w:t>
      </w:r>
      <w:r w:rsidR="00F36B41">
        <w:rPr>
          <w:rFonts w:ascii="ZWAdobeF" w:hAnsi="ZWAdobeF" w:cs="ZWAdobeF"/>
          <w:color w:val="auto"/>
          <w:sz w:val="2"/>
          <w:szCs w:val="2"/>
          <w:lang w:val="es-US"/>
        </w:rPr>
        <w:t>121F</w:t>
      </w:r>
      <w:r w:rsidR="00B1747D">
        <w:rPr>
          <w:rStyle w:val="FootnoteReference"/>
          <w:szCs w:val="20"/>
          <w:lang w:val="es-US"/>
        </w:rPr>
        <w:footnoteReference w:id="123"/>
      </w:r>
      <w:r w:rsidR="00B1747D" w:rsidRPr="00B1747D">
        <w:rPr>
          <w:szCs w:val="20"/>
          <w:lang w:val="es-US"/>
        </w:rPr>
        <w:t>, que establece sanciones a fiscales y jueces, modificando las leyes de carrera judicial y fiscal.</w:t>
      </w:r>
      <w:r w:rsidR="00B1747D">
        <w:rPr>
          <w:szCs w:val="20"/>
          <w:lang w:val="es-US"/>
        </w:rPr>
        <w:t xml:space="preserve"> La </w:t>
      </w:r>
      <w:r w:rsidR="00B1747D" w:rsidRPr="00B1747D">
        <w:rPr>
          <w:szCs w:val="20"/>
          <w:lang w:val="es-US"/>
        </w:rPr>
        <w:t xml:space="preserve">Ley </w:t>
      </w:r>
      <w:r w:rsidR="00B1747D">
        <w:rPr>
          <w:szCs w:val="20"/>
          <w:lang w:val="es-US"/>
        </w:rPr>
        <w:t xml:space="preserve">No. </w:t>
      </w:r>
      <w:r w:rsidR="00B1747D" w:rsidRPr="00B1747D">
        <w:rPr>
          <w:szCs w:val="20"/>
          <w:lang w:val="es-US"/>
        </w:rPr>
        <w:t>32108</w:t>
      </w:r>
      <w:r w:rsidR="00F36B41">
        <w:rPr>
          <w:rFonts w:ascii="ZWAdobeF" w:hAnsi="ZWAdobeF" w:cs="ZWAdobeF"/>
          <w:color w:val="auto"/>
          <w:sz w:val="2"/>
          <w:szCs w:val="2"/>
          <w:lang w:val="es-US"/>
        </w:rPr>
        <w:t>122F</w:t>
      </w:r>
      <w:r w:rsidR="00B1747D">
        <w:rPr>
          <w:rStyle w:val="FootnoteReference"/>
          <w:szCs w:val="20"/>
          <w:lang w:val="es-US"/>
        </w:rPr>
        <w:footnoteReference w:id="124"/>
      </w:r>
      <w:r w:rsidR="00B1747D" w:rsidRPr="00B1747D">
        <w:rPr>
          <w:szCs w:val="20"/>
          <w:lang w:val="es-US"/>
        </w:rPr>
        <w:t>, que excluye delitos como la extorsión y la minería ilegal de definición de crimen organizado e introduce nuevas categorías que dificultan la tipificación y sanción de actividades criminales, exigiendo pruebas más detalladas.</w:t>
      </w:r>
      <w:r w:rsidR="00B1747D">
        <w:rPr>
          <w:szCs w:val="20"/>
          <w:lang w:val="es-US"/>
        </w:rPr>
        <w:t xml:space="preserve"> La </w:t>
      </w:r>
      <w:r w:rsidR="00B1747D" w:rsidRPr="00B1747D">
        <w:rPr>
          <w:szCs w:val="20"/>
          <w:lang w:val="es-US"/>
        </w:rPr>
        <w:t xml:space="preserve">Ley </w:t>
      </w:r>
      <w:r w:rsidR="00B1747D">
        <w:rPr>
          <w:szCs w:val="20"/>
          <w:lang w:val="es-US"/>
        </w:rPr>
        <w:t xml:space="preserve">No. </w:t>
      </w:r>
      <w:r w:rsidR="00B1747D" w:rsidRPr="00B1747D">
        <w:rPr>
          <w:szCs w:val="20"/>
          <w:lang w:val="es-US"/>
        </w:rPr>
        <w:t>32130</w:t>
      </w:r>
      <w:r w:rsidR="00F36B41">
        <w:rPr>
          <w:rFonts w:ascii="ZWAdobeF" w:hAnsi="ZWAdobeF" w:cs="ZWAdobeF"/>
          <w:color w:val="auto"/>
          <w:sz w:val="2"/>
          <w:szCs w:val="2"/>
          <w:lang w:val="es-US"/>
        </w:rPr>
        <w:t>123F</w:t>
      </w:r>
      <w:r w:rsidR="00B1747D">
        <w:rPr>
          <w:rStyle w:val="FootnoteReference"/>
          <w:szCs w:val="20"/>
          <w:lang w:val="es-US"/>
        </w:rPr>
        <w:footnoteReference w:id="125"/>
      </w:r>
      <w:r w:rsidR="00B1747D" w:rsidRPr="00B1747D">
        <w:rPr>
          <w:szCs w:val="20"/>
          <w:lang w:val="es-US"/>
        </w:rPr>
        <w:t>, que otorga a la Policía Nacional del Perú la conducción de las investigaciones preliminares del delito.</w:t>
      </w:r>
      <w:r w:rsidR="00B1747D">
        <w:rPr>
          <w:szCs w:val="20"/>
          <w:lang w:val="es-US"/>
        </w:rPr>
        <w:t xml:space="preserve"> La </w:t>
      </w:r>
      <w:r w:rsidR="00B1747D" w:rsidRPr="00B1747D">
        <w:rPr>
          <w:szCs w:val="20"/>
          <w:lang w:val="es-US"/>
        </w:rPr>
        <w:t xml:space="preserve">Ley </w:t>
      </w:r>
      <w:r w:rsidR="00B1747D">
        <w:rPr>
          <w:szCs w:val="20"/>
          <w:lang w:val="es-US"/>
        </w:rPr>
        <w:t xml:space="preserve">No. </w:t>
      </w:r>
      <w:r w:rsidR="00B1747D" w:rsidRPr="00B1747D">
        <w:rPr>
          <w:szCs w:val="20"/>
          <w:lang w:val="es-US"/>
        </w:rPr>
        <w:t>31990</w:t>
      </w:r>
      <w:r w:rsidR="00F36B41">
        <w:rPr>
          <w:rFonts w:ascii="ZWAdobeF" w:hAnsi="ZWAdobeF" w:cs="ZWAdobeF"/>
          <w:color w:val="auto"/>
          <w:sz w:val="2"/>
          <w:szCs w:val="2"/>
          <w:lang w:val="es-US"/>
        </w:rPr>
        <w:t>124F</w:t>
      </w:r>
      <w:r w:rsidR="00B1747D">
        <w:rPr>
          <w:rStyle w:val="FootnoteReference"/>
          <w:szCs w:val="20"/>
          <w:lang w:val="es-US"/>
        </w:rPr>
        <w:footnoteReference w:id="126"/>
      </w:r>
      <w:r w:rsidR="00B1747D" w:rsidRPr="00B1747D">
        <w:rPr>
          <w:szCs w:val="20"/>
          <w:lang w:val="es-US"/>
        </w:rPr>
        <w:t>, sobre la colaboración eficaz, que reduce los tiempos para corroborar información de colaboradores eficaces, dificultando investigaciones en casos complejos</w:t>
      </w:r>
      <w:r w:rsidR="00B1747D">
        <w:rPr>
          <w:szCs w:val="20"/>
          <w:lang w:val="es-US"/>
        </w:rPr>
        <w:t xml:space="preserve">. La </w:t>
      </w:r>
      <w:r w:rsidR="00B1747D" w:rsidRPr="00B1747D">
        <w:rPr>
          <w:szCs w:val="20"/>
          <w:lang w:val="es-US"/>
        </w:rPr>
        <w:t xml:space="preserve">Ley </w:t>
      </w:r>
      <w:r w:rsidR="00B1747D">
        <w:rPr>
          <w:szCs w:val="20"/>
          <w:lang w:val="es-US"/>
        </w:rPr>
        <w:t xml:space="preserve">No. </w:t>
      </w:r>
      <w:r w:rsidR="00B1747D" w:rsidRPr="00B1747D">
        <w:rPr>
          <w:szCs w:val="20"/>
          <w:lang w:val="es-US"/>
        </w:rPr>
        <w:t>31751</w:t>
      </w:r>
      <w:r w:rsidR="00F36B41">
        <w:rPr>
          <w:rFonts w:ascii="ZWAdobeF" w:hAnsi="ZWAdobeF" w:cs="ZWAdobeF"/>
          <w:color w:val="auto"/>
          <w:sz w:val="2"/>
          <w:szCs w:val="2"/>
          <w:lang w:val="es-US"/>
        </w:rPr>
        <w:t>125F</w:t>
      </w:r>
      <w:r w:rsidR="00B1747D">
        <w:rPr>
          <w:rStyle w:val="FootnoteReference"/>
          <w:szCs w:val="20"/>
          <w:lang w:val="es-US"/>
        </w:rPr>
        <w:footnoteReference w:id="127"/>
      </w:r>
      <w:r w:rsidR="00B1747D" w:rsidRPr="00B1747D">
        <w:rPr>
          <w:szCs w:val="20"/>
          <w:lang w:val="es-US"/>
        </w:rPr>
        <w:t>, que recorta los plazos de prescripción en el Código Penal.</w:t>
      </w:r>
      <w:r w:rsidR="00B1747D">
        <w:rPr>
          <w:szCs w:val="20"/>
          <w:lang w:val="es-US"/>
        </w:rPr>
        <w:t xml:space="preserve"> La </w:t>
      </w:r>
      <w:r w:rsidR="00B1747D" w:rsidRPr="00B1747D">
        <w:rPr>
          <w:szCs w:val="20"/>
          <w:lang w:val="es-US"/>
        </w:rPr>
        <w:t xml:space="preserve">Ley </w:t>
      </w:r>
      <w:r w:rsidR="00B1747D">
        <w:rPr>
          <w:szCs w:val="20"/>
          <w:lang w:val="es-US"/>
        </w:rPr>
        <w:t xml:space="preserve">No. </w:t>
      </w:r>
      <w:r w:rsidR="00B1747D" w:rsidRPr="00B1747D">
        <w:rPr>
          <w:szCs w:val="20"/>
          <w:lang w:val="es-US"/>
        </w:rPr>
        <w:t>32107</w:t>
      </w:r>
      <w:r w:rsidR="00F36B41">
        <w:rPr>
          <w:rFonts w:ascii="ZWAdobeF" w:hAnsi="ZWAdobeF" w:cs="ZWAdobeF"/>
          <w:color w:val="auto"/>
          <w:sz w:val="2"/>
          <w:szCs w:val="2"/>
          <w:lang w:val="es-US"/>
        </w:rPr>
        <w:t>126F</w:t>
      </w:r>
      <w:r w:rsidR="008E0499">
        <w:rPr>
          <w:rStyle w:val="FootnoteReference"/>
          <w:szCs w:val="20"/>
          <w:lang w:val="es-US"/>
        </w:rPr>
        <w:footnoteReference w:id="128"/>
      </w:r>
      <w:r w:rsidR="00B1747D" w:rsidRPr="00B1747D">
        <w:rPr>
          <w:szCs w:val="20"/>
          <w:lang w:val="es-US"/>
        </w:rPr>
        <w:t>, que redefine la aplicación de los crímenes de lesa humanidad, restringe la capacidad para garantizar sentencias firmes en casos de graves violaciones a derechos humanos.</w:t>
      </w:r>
    </w:p>
    <w:p w14:paraId="5552B0A3" w14:textId="77777777" w:rsidR="000A4A0B" w:rsidRPr="00672AC2" w:rsidRDefault="000A4A0B" w:rsidP="004C2B76">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604F3867" w14:textId="77777777" w:rsidR="000A4A0B" w:rsidRPr="00672AC2" w:rsidRDefault="000A4A0B" w:rsidP="000A4A0B">
      <w:pPr>
        <w:ind w:firstLine="360"/>
        <w:jc w:val="both"/>
        <w:rPr>
          <w:lang w:val="es-CO"/>
        </w:rPr>
      </w:pPr>
    </w:p>
    <w:p w14:paraId="17B3E05F" w14:textId="6C90D087" w:rsidR="00ED5E6C" w:rsidRPr="004C2B76" w:rsidRDefault="1561DDF7" w:rsidP="004C2B76">
      <w:pPr>
        <w:pStyle w:val="IAPrrafo"/>
        <w:rPr>
          <w:b/>
          <w:szCs w:val="20"/>
          <w:lang w:val="es-US"/>
        </w:rPr>
      </w:pPr>
      <w:r w:rsidRPr="00672AC2">
        <w:rPr>
          <w:szCs w:val="20"/>
          <w:lang w:val="es-US"/>
        </w:rPr>
        <w:t xml:space="preserve">La Comisión </w:t>
      </w:r>
      <w:r w:rsidR="001E21AC" w:rsidRPr="00672AC2">
        <w:rPr>
          <w:szCs w:val="20"/>
          <w:lang w:val="es-US"/>
        </w:rPr>
        <w:t>considera</w:t>
      </w:r>
      <w:r w:rsidRPr="00672AC2">
        <w:rPr>
          <w:szCs w:val="20"/>
          <w:lang w:val="es-US"/>
        </w:rPr>
        <w:t xml:space="preserve"> que no se ha proporcionado </w:t>
      </w:r>
      <w:r w:rsidR="007676DF" w:rsidRPr="00672AC2">
        <w:rPr>
          <w:szCs w:val="20"/>
          <w:lang w:val="es-US"/>
        </w:rPr>
        <w:t xml:space="preserve">información sobre </w:t>
      </w:r>
      <w:r w:rsidRPr="00672AC2">
        <w:rPr>
          <w:szCs w:val="20"/>
          <w:lang w:val="es-US"/>
        </w:rPr>
        <w:t>medidas concretas por parte del Estado que permit</w:t>
      </w:r>
      <w:r w:rsidR="003B4D96" w:rsidRPr="00672AC2">
        <w:rPr>
          <w:szCs w:val="20"/>
          <w:lang w:val="es-US"/>
        </w:rPr>
        <w:t>a</w:t>
      </w:r>
      <w:r w:rsidRPr="00672AC2">
        <w:rPr>
          <w:szCs w:val="20"/>
          <w:lang w:val="es-US"/>
        </w:rPr>
        <w:t xml:space="preserve"> identificar avances en el cumplimiento de esta recomendación. La CIDH muestra su preocupación </w:t>
      </w:r>
      <w:r w:rsidR="00DB18F9" w:rsidRPr="00672AC2">
        <w:rPr>
          <w:szCs w:val="20"/>
          <w:lang w:val="es-US"/>
        </w:rPr>
        <w:t>teniendo en</w:t>
      </w:r>
      <w:r w:rsidR="00D600ED" w:rsidRPr="00672AC2">
        <w:rPr>
          <w:szCs w:val="20"/>
          <w:lang w:val="es-US"/>
        </w:rPr>
        <w:t xml:space="preserve"> cuenta</w:t>
      </w:r>
      <w:r w:rsidR="00DB18F9" w:rsidRPr="00672AC2">
        <w:rPr>
          <w:szCs w:val="20"/>
          <w:lang w:val="es-US"/>
        </w:rPr>
        <w:t xml:space="preserve"> </w:t>
      </w:r>
      <w:r w:rsidRPr="00672AC2">
        <w:rPr>
          <w:szCs w:val="20"/>
          <w:lang w:val="es-US"/>
        </w:rPr>
        <w:t>que la presente recomendación fue elaborada luego de identificar un contexto de cuestionamiento y debilitamiento del sistema nacional electoral y del Poder Judicial</w:t>
      </w:r>
      <w:r w:rsidRPr="00672AC2">
        <w:rPr>
          <w:szCs w:val="20"/>
          <w:lang w:val="es-CO"/>
        </w:rPr>
        <w:t xml:space="preserve">. En ese sentido, la CIDH ha </w:t>
      </w:r>
      <w:r w:rsidR="007676DF" w:rsidRPr="00672AC2">
        <w:rPr>
          <w:szCs w:val="20"/>
          <w:lang w:val="es-CO"/>
        </w:rPr>
        <w:t xml:space="preserve">advertido </w:t>
      </w:r>
      <w:r w:rsidRPr="00672AC2">
        <w:rPr>
          <w:szCs w:val="20"/>
          <w:lang w:val="es-CO"/>
        </w:rPr>
        <w:t>que se han seguido discutiendo o aprobando normas que afectan directamente su funcionamiento</w:t>
      </w:r>
      <w:r w:rsidR="00F36B41">
        <w:rPr>
          <w:rFonts w:ascii="ZWAdobeF" w:hAnsi="ZWAdobeF" w:cs="ZWAdobeF"/>
          <w:color w:val="auto"/>
          <w:sz w:val="2"/>
          <w:szCs w:val="2"/>
          <w:lang w:val="es-CO"/>
        </w:rPr>
        <w:t>127F</w:t>
      </w:r>
      <w:r w:rsidR="000A4A0B" w:rsidRPr="00672AC2">
        <w:rPr>
          <w:rStyle w:val="FootnoteReference"/>
          <w:szCs w:val="20"/>
          <w:lang w:val="es-CO"/>
        </w:rPr>
        <w:footnoteReference w:id="129"/>
      </w:r>
      <w:r w:rsidRPr="00672AC2">
        <w:rPr>
          <w:szCs w:val="20"/>
          <w:lang w:val="es-US"/>
        </w:rPr>
        <w:t xml:space="preserve">, por lo que </w:t>
      </w:r>
      <w:r w:rsidR="001E21AC" w:rsidRPr="00672AC2">
        <w:rPr>
          <w:szCs w:val="20"/>
          <w:lang w:val="es-CO"/>
        </w:rPr>
        <w:t>sostiene</w:t>
      </w:r>
      <w:r w:rsidRPr="00672AC2">
        <w:rPr>
          <w:szCs w:val="20"/>
          <w:lang w:val="es-CO"/>
        </w:rPr>
        <w:t xml:space="preserve"> que esta recomendación continúa </w:t>
      </w:r>
      <w:r w:rsidRPr="00402DF2">
        <w:rPr>
          <w:b/>
          <w:bCs/>
          <w:szCs w:val="20"/>
          <w:lang w:val="es-CO"/>
        </w:rPr>
        <w:t>pendiente de cumplimiento</w:t>
      </w:r>
      <w:r w:rsidRPr="00672AC2">
        <w:rPr>
          <w:szCs w:val="20"/>
          <w:lang w:val="es-CO"/>
        </w:rPr>
        <w:t>.</w:t>
      </w:r>
    </w:p>
    <w:p w14:paraId="5EA3E286" w14:textId="645BBBA8" w:rsidR="000A4A0B" w:rsidRPr="00672AC2" w:rsidRDefault="000A4A0B" w:rsidP="004C2B76">
      <w:pPr>
        <w:ind w:firstLine="720"/>
        <w:jc w:val="both"/>
        <w:rPr>
          <w:bCs/>
          <w:lang w:val="es-CO"/>
        </w:rPr>
      </w:pPr>
      <w:r w:rsidRPr="00672AC2">
        <w:rPr>
          <w:rFonts w:eastAsia="Cambria" w:cs="Cambria"/>
          <w:bCs/>
          <w:i/>
          <w:iCs/>
          <w:color w:val="000000" w:themeColor="text1"/>
          <w:sz w:val="20"/>
          <w:szCs w:val="20"/>
          <w:lang w:val="es-ES"/>
        </w:rPr>
        <w:t>Medidas e información para avanzar en el cumplimiento de la recomendación</w:t>
      </w:r>
      <w:r w:rsidR="001E5003" w:rsidRPr="00672AC2">
        <w:rPr>
          <w:rFonts w:eastAsia="Cambria" w:cs="Cambria"/>
          <w:bCs/>
          <w:i/>
          <w:iCs/>
          <w:color w:val="000000" w:themeColor="text1"/>
          <w:sz w:val="20"/>
          <w:szCs w:val="20"/>
          <w:lang w:val="es-ES"/>
        </w:rPr>
        <w:t xml:space="preserve"> </w:t>
      </w:r>
    </w:p>
    <w:p w14:paraId="503607C5" w14:textId="77777777" w:rsidR="000A4A0B" w:rsidRPr="00672AC2" w:rsidRDefault="000A4A0B" w:rsidP="000A4A0B">
      <w:pPr>
        <w:pStyle w:val="IASubttulo2"/>
        <w:numPr>
          <w:ilvl w:val="0"/>
          <w:numId w:val="0"/>
        </w:numPr>
        <w:shd w:val="clear" w:color="auto" w:fill="FFFFFF" w:themeFill="background1"/>
        <w:suppressAutoHyphens w:val="0"/>
        <w:spacing w:after="0"/>
        <w:jc w:val="both"/>
        <w:rPr>
          <w:b w:val="0"/>
          <w:sz w:val="20"/>
          <w:szCs w:val="20"/>
          <w:lang w:val="es-US"/>
        </w:rPr>
      </w:pPr>
    </w:p>
    <w:p w14:paraId="71AA2742" w14:textId="0CE0E503" w:rsidR="00324500" w:rsidRPr="004C2B76" w:rsidRDefault="000A4A0B" w:rsidP="004C2B76">
      <w:pPr>
        <w:pStyle w:val="IAPrrafo"/>
        <w:rPr>
          <w:b/>
          <w:bCs/>
          <w:szCs w:val="20"/>
          <w:lang w:val="es-CO" w:eastAsia="es-US"/>
        </w:rPr>
      </w:pPr>
      <w:r w:rsidRPr="00672AC2">
        <w:rPr>
          <w:bCs/>
          <w:szCs w:val="20"/>
          <w:lang w:val="es-US"/>
        </w:rPr>
        <w:t xml:space="preserve">Para orientar el cumplimiento de esta recomendación, la CIDH enfatiza la importancia de que el Estado se abstenga de adoptar reformas legislativas o constitucionales que debiliten </w:t>
      </w:r>
      <w:r w:rsidRPr="00672AC2">
        <w:rPr>
          <w:szCs w:val="20"/>
          <w:lang w:val="es-CO"/>
        </w:rPr>
        <w:t xml:space="preserve">la autonomía e independencia del Sistema Nacional Electoral o del Poder Judicial. En ese sentido, la CIDH espera conocer los resultados de los pronunciamientos de los órganos de control internos en relación con las medidas ya </w:t>
      </w:r>
      <w:r w:rsidR="00F558E8" w:rsidRPr="00672AC2">
        <w:rPr>
          <w:szCs w:val="20"/>
          <w:lang w:val="es-CO"/>
        </w:rPr>
        <w:t>impulsadas</w:t>
      </w:r>
      <w:r w:rsidRPr="00672AC2">
        <w:rPr>
          <w:szCs w:val="20"/>
          <w:lang w:val="es-CO"/>
        </w:rPr>
        <w:t xml:space="preserve">, tales como la ampliación de la acusación constitucional a las autoridades del sistema electoral, o aquellas dirigidas a restringir el control difuso por parte de los operadores de justicia. </w:t>
      </w:r>
    </w:p>
    <w:tbl>
      <w:tblPr>
        <w:tblStyle w:val="TableGrid"/>
        <w:tblW w:w="0" w:type="auto"/>
        <w:tblLook w:val="04A0" w:firstRow="1" w:lastRow="0" w:firstColumn="1" w:lastColumn="0" w:noHBand="0" w:noVBand="1"/>
      </w:tblPr>
      <w:tblGrid>
        <w:gridCol w:w="9350"/>
      </w:tblGrid>
      <w:tr w:rsidR="000A4A0B" w:rsidRPr="00F51AED" w14:paraId="024F6BB2" w14:textId="77777777">
        <w:tc>
          <w:tcPr>
            <w:tcW w:w="9350" w:type="dxa"/>
            <w:tcBorders>
              <w:top w:val="nil"/>
              <w:left w:val="nil"/>
              <w:bottom w:val="nil"/>
              <w:right w:val="nil"/>
            </w:tcBorders>
            <w:shd w:val="clear" w:color="auto" w:fill="D0CECE" w:themeFill="background2" w:themeFillShade="E6"/>
          </w:tcPr>
          <w:p w14:paraId="090AE713" w14:textId="067E37FF" w:rsidR="000A4A0B" w:rsidRPr="004C2B76" w:rsidRDefault="000A4A0B" w:rsidP="004C2B76">
            <w:pPr>
              <w:pStyle w:val="IASubttulo2"/>
              <w:numPr>
                <w:ilvl w:val="0"/>
                <w:numId w:val="0"/>
              </w:numPr>
              <w:spacing w:after="0"/>
              <w:ind w:left="154"/>
              <w:jc w:val="both"/>
              <w:rPr>
                <w:b w:val="0"/>
                <w:sz w:val="20"/>
                <w:szCs w:val="20"/>
                <w:lang w:val="es-CO"/>
              </w:rPr>
            </w:pPr>
            <w:bookmarkStart w:id="26" w:name="_Toc195618291"/>
            <w:r w:rsidRPr="00672AC2">
              <w:rPr>
                <w:sz w:val="20"/>
                <w:szCs w:val="20"/>
                <w:lang w:val="es-CO"/>
              </w:rPr>
              <w:t xml:space="preserve">Recomendación </w:t>
            </w:r>
            <w:proofErr w:type="spellStart"/>
            <w:r w:rsidR="002B0B88" w:rsidRPr="00672AC2">
              <w:rPr>
                <w:sz w:val="20"/>
                <w:szCs w:val="20"/>
                <w:lang w:val="es-CO"/>
              </w:rPr>
              <w:t>Nº</w:t>
            </w:r>
            <w:proofErr w:type="spellEnd"/>
            <w:r w:rsidRPr="00672AC2">
              <w:rPr>
                <w:sz w:val="20"/>
                <w:szCs w:val="20"/>
                <w:lang w:val="es-CO"/>
              </w:rPr>
              <w:t xml:space="preserve"> 23. </w:t>
            </w:r>
            <w:r w:rsidRPr="00672AC2">
              <w:rPr>
                <w:b w:val="0"/>
                <w:sz w:val="20"/>
                <w:szCs w:val="20"/>
                <w:lang w:val="es-CO"/>
              </w:rPr>
              <w:t>Delimitar las figuras de acusación constitucional, vacancia presidencial por incapacidad moral permanente y disolución unilateral del Congreso, de forma que precisen, con parámetros claros y objetivos, las conductas sancionables y sus correspondientes consecuencias.</w:t>
            </w:r>
            <w:bookmarkEnd w:id="26"/>
          </w:p>
        </w:tc>
      </w:tr>
    </w:tbl>
    <w:p w14:paraId="3BE32A16" w14:textId="77777777" w:rsidR="000A4A0B" w:rsidRPr="00672AC2" w:rsidRDefault="000A4A0B" w:rsidP="000A4A0B">
      <w:pPr>
        <w:pStyle w:val="IASubttulo2"/>
        <w:numPr>
          <w:ilvl w:val="0"/>
          <w:numId w:val="0"/>
        </w:numPr>
        <w:spacing w:after="0"/>
        <w:jc w:val="both"/>
        <w:rPr>
          <w:b w:val="0"/>
          <w:bCs/>
          <w:sz w:val="20"/>
          <w:szCs w:val="20"/>
          <w:lang w:val="es-US"/>
        </w:rPr>
      </w:pPr>
    </w:p>
    <w:p w14:paraId="14D25E19" w14:textId="50CA9E35" w:rsidR="000A4A0B" w:rsidRPr="00672AC2" w:rsidRDefault="000A4A0B" w:rsidP="004C2B76">
      <w:pPr>
        <w:pBdr>
          <w:top w:val="nil"/>
          <w:left w:val="nil"/>
          <w:bottom w:val="nil"/>
          <w:right w:val="nil"/>
          <w:between w:val="nil"/>
        </w:pBdr>
        <w:ind w:firstLine="720"/>
        <w:jc w:val="both"/>
        <w:rPr>
          <w:rFonts w:eastAsia="Cambria" w:cs="Cambria"/>
          <w:bCs/>
          <w:sz w:val="20"/>
          <w:szCs w:val="20"/>
          <w:lang w:val="es-419"/>
        </w:rPr>
      </w:pPr>
      <w:r w:rsidRPr="00672AC2">
        <w:rPr>
          <w:rFonts w:eastAsia="Cambria" w:cs="Cambria"/>
          <w:bCs/>
          <w:i/>
          <w:iCs/>
          <w:color w:val="000000" w:themeColor="text1"/>
          <w:sz w:val="20"/>
          <w:szCs w:val="20"/>
          <w:lang w:val="es-ES"/>
        </w:rPr>
        <w:t>Información sobre el cumplimiento</w:t>
      </w:r>
      <w:r w:rsidR="001E5003" w:rsidRPr="00672AC2">
        <w:rPr>
          <w:rFonts w:eastAsia="Cambria" w:cs="Cambria"/>
          <w:bCs/>
          <w:i/>
          <w:iCs/>
          <w:color w:val="000000" w:themeColor="text1"/>
          <w:sz w:val="20"/>
          <w:szCs w:val="20"/>
          <w:lang w:val="es-ES"/>
        </w:rPr>
        <w:t xml:space="preserve"> </w:t>
      </w:r>
    </w:p>
    <w:p w14:paraId="65708FDD" w14:textId="77777777" w:rsidR="000A4A0B" w:rsidRPr="00672AC2" w:rsidRDefault="000A4A0B" w:rsidP="000A4A0B">
      <w:pPr>
        <w:pBdr>
          <w:top w:val="nil"/>
          <w:left w:val="nil"/>
          <w:bottom w:val="nil"/>
          <w:right w:val="nil"/>
          <w:between w:val="nil"/>
        </w:pBdr>
        <w:jc w:val="both"/>
        <w:rPr>
          <w:bCs/>
          <w:lang w:val="es-US"/>
        </w:rPr>
      </w:pPr>
    </w:p>
    <w:p w14:paraId="41A6ECD6" w14:textId="0AC4E313" w:rsidR="000A4A0B" w:rsidRPr="00672AC2" w:rsidRDefault="1561DDF7" w:rsidP="00E83710">
      <w:pPr>
        <w:pStyle w:val="IAPrrafo"/>
        <w:rPr>
          <w:b/>
          <w:bCs/>
          <w:szCs w:val="20"/>
          <w:lang w:val="es-CO" w:eastAsia="es-US"/>
        </w:rPr>
      </w:pPr>
      <w:r w:rsidRPr="00672AC2">
        <w:rPr>
          <w:bCs/>
          <w:szCs w:val="20"/>
          <w:lang w:val="es-CO" w:eastAsia="es-US"/>
        </w:rPr>
        <w:t xml:space="preserve">En el 2024, el Estado informó que el Poder Legislativo ha </w:t>
      </w:r>
      <w:r w:rsidRPr="00672AC2">
        <w:rPr>
          <w:bCs/>
          <w:szCs w:val="20"/>
          <w:lang w:val="es-ES"/>
        </w:rPr>
        <w:t>presentado diversos proyectos de ley con el fin de regular las figuras de acusación constitucional, vacancia presidencial por incapacidad moral permanente y disolución unilateral del Congreso. Señaló que, en todos los casos, los proyectos de ley están en proceso de discusión dentro de los mecanismos establecidos por el Congreso de la República del Perú.</w:t>
      </w:r>
    </w:p>
    <w:p w14:paraId="1089A44D" w14:textId="77777777" w:rsidR="004F6A5E" w:rsidRDefault="004F6A5E" w:rsidP="004C2B76">
      <w:pPr>
        <w:ind w:firstLine="720"/>
        <w:jc w:val="both"/>
        <w:rPr>
          <w:rFonts w:eastAsia="Cambria" w:cs="Cambria"/>
          <w:bCs/>
          <w:i/>
          <w:iCs/>
          <w:color w:val="000000" w:themeColor="text1"/>
          <w:sz w:val="20"/>
          <w:szCs w:val="20"/>
          <w:lang w:val="es-ES"/>
        </w:rPr>
      </w:pPr>
    </w:p>
    <w:p w14:paraId="0436A266" w14:textId="77777777" w:rsidR="004F6A5E" w:rsidRDefault="004F6A5E" w:rsidP="004C2B76">
      <w:pPr>
        <w:ind w:firstLine="720"/>
        <w:jc w:val="both"/>
        <w:rPr>
          <w:rFonts w:eastAsia="Cambria" w:cs="Cambria"/>
          <w:bCs/>
          <w:i/>
          <w:iCs/>
          <w:color w:val="000000" w:themeColor="text1"/>
          <w:sz w:val="20"/>
          <w:szCs w:val="20"/>
          <w:lang w:val="es-ES"/>
        </w:rPr>
      </w:pPr>
    </w:p>
    <w:p w14:paraId="3BD896DF" w14:textId="0B70DF63" w:rsidR="000A4A0B" w:rsidRPr="00672AC2" w:rsidRDefault="000A4A0B" w:rsidP="004C2B76">
      <w:pPr>
        <w:ind w:firstLine="720"/>
        <w:jc w:val="both"/>
        <w:rPr>
          <w:bCs/>
          <w:lang w:val="es-CO"/>
        </w:rPr>
      </w:pPr>
      <w:r w:rsidRPr="00672AC2">
        <w:rPr>
          <w:rFonts w:eastAsia="Cambria" w:cs="Cambria"/>
          <w:bCs/>
          <w:i/>
          <w:iCs/>
          <w:color w:val="000000" w:themeColor="text1"/>
          <w:sz w:val="20"/>
          <w:szCs w:val="20"/>
          <w:lang w:val="es-ES"/>
        </w:rPr>
        <w:t>Análisis y nivel de cumplimiento de la recomendación</w:t>
      </w:r>
    </w:p>
    <w:p w14:paraId="7F20CDA3" w14:textId="77777777" w:rsidR="000A4A0B" w:rsidRPr="00672AC2" w:rsidRDefault="000A4A0B" w:rsidP="000A4A0B">
      <w:pPr>
        <w:ind w:firstLine="360"/>
        <w:jc w:val="both"/>
        <w:rPr>
          <w:rFonts w:eastAsia="Cambria" w:cs="Cambria"/>
          <w:bCs/>
          <w:i/>
          <w:iCs/>
          <w:color w:val="000000" w:themeColor="text1"/>
          <w:sz w:val="20"/>
          <w:szCs w:val="20"/>
          <w:lang w:val="es-ES"/>
        </w:rPr>
      </w:pPr>
    </w:p>
    <w:p w14:paraId="00AA0C4C" w14:textId="2AAD9C6B" w:rsidR="000A4A0B" w:rsidRPr="00672AC2" w:rsidRDefault="000A4A0B" w:rsidP="00E83710">
      <w:pPr>
        <w:pStyle w:val="IAPrrafo"/>
        <w:rPr>
          <w:b/>
          <w:szCs w:val="20"/>
          <w:lang w:val="es-US"/>
        </w:rPr>
      </w:pPr>
      <w:r w:rsidRPr="00672AC2">
        <w:rPr>
          <w:szCs w:val="20"/>
          <w:lang w:val="es-CO" w:eastAsia="es-US"/>
        </w:rPr>
        <w:t xml:space="preserve">La CIDH </w:t>
      </w:r>
      <w:r w:rsidR="001E21AC" w:rsidRPr="00672AC2">
        <w:rPr>
          <w:szCs w:val="20"/>
          <w:lang w:val="es-CO" w:eastAsia="es-US"/>
        </w:rPr>
        <w:t>estima</w:t>
      </w:r>
      <w:r w:rsidRPr="00672AC2">
        <w:rPr>
          <w:szCs w:val="20"/>
          <w:lang w:val="es-CO" w:eastAsia="es-US"/>
        </w:rPr>
        <w:t xml:space="preserve"> que no se ha aportado ninguna medida concreta dirigida al cumplimiento de esta recomendación y que los esfuerzos reportados se encuentran en etapas incipientes. Por ello, </w:t>
      </w:r>
      <w:r w:rsidR="005A5864" w:rsidRPr="00672AC2">
        <w:rPr>
          <w:szCs w:val="20"/>
          <w:lang w:val="es-CO" w:eastAsia="es-US"/>
        </w:rPr>
        <w:t xml:space="preserve">concluye </w:t>
      </w:r>
      <w:r w:rsidRPr="00672AC2">
        <w:rPr>
          <w:szCs w:val="20"/>
          <w:lang w:val="es-CO" w:eastAsia="es-US"/>
        </w:rPr>
        <w:t xml:space="preserve">que </w:t>
      </w:r>
      <w:r w:rsidRPr="00672AC2">
        <w:rPr>
          <w:szCs w:val="20"/>
          <w:lang w:val="es-US"/>
        </w:rPr>
        <w:t xml:space="preserve">esta recomendación se encuentra </w:t>
      </w:r>
      <w:r w:rsidRPr="005660BE">
        <w:rPr>
          <w:b/>
          <w:szCs w:val="20"/>
          <w:lang w:val="es-US"/>
        </w:rPr>
        <w:t>pendiente de cumplimiento</w:t>
      </w:r>
      <w:r w:rsidRPr="00672AC2">
        <w:rPr>
          <w:szCs w:val="20"/>
          <w:lang w:val="es-US"/>
        </w:rPr>
        <w:t>.</w:t>
      </w:r>
    </w:p>
    <w:p w14:paraId="16A6770F" w14:textId="337A8567" w:rsidR="000A4A0B" w:rsidRPr="00672AC2" w:rsidRDefault="000A4A0B" w:rsidP="004C2B76">
      <w:pPr>
        <w:ind w:firstLine="720"/>
        <w:jc w:val="both"/>
        <w:rPr>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0B323DD1" w14:textId="77777777" w:rsidR="000A4A0B" w:rsidRPr="00672AC2" w:rsidRDefault="000A4A0B" w:rsidP="000A4A0B">
      <w:pPr>
        <w:ind w:firstLine="360"/>
        <w:jc w:val="both"/>
        <w:rPr>
          <w:lang w:val="es-US"/>
        </w:rPr>
      </w:pPr>
    </w:p>
    <w:p w14:paraId="64FE81EC" w14:textId="2EC75F52" w:rsidR="000A4A0B" w:rsidRPr="004C2B76" w:rsidRDefault="000A4A0B" w:rsidP="004C2B76">
      <w:pPr>
        <w:pStyle w:val="IAPrrafo"/>
        <w:rPr>
          <w:rStyle w:val="FootnoteReference"/>
          <w:b/>
          <w:bCs/>
          <w:szCs w:val="20"/>
          <w:vertAlign w:val="baseline"/>
          <w:lang w:val="es-CO" w:eastAsia="es-US"/>
        </w:rPr>
      </w:pPr>
      <w:r w:rsidRPr="00672AC2">
        <w:rPr>
          <w:bCs/>
          <w:szCs w:val="20"/>
          <w:lang w:eastAsia="es-US"/>
        </w:rPr>
        <w:t>La</w:t>
      </w:r>
      <w:r w:rsidRPr="00672AC2">
        <w:rPr>
          <w:bCs/>
          <w:szCs w:val="20"/>
          <w:lang w:val="es-US"/>
        </w:rPr>
        <w:t xml:space="preserve"> CIDH declarará un avance en el cumplimiento de esta recomendación cuando conozca del resultado de las discusiones en el Poder Legislativo, a través de la aprobación de dichas normas y de su promulgación por parte del Poder Ejecutivo. En ese sentido, la CIDH queda atenta a los contenidos que sean aprobados.</w:t>
      </w:r>
    </w:p>
    <w:tbl>
      <w:tblPr>
        <w:tblStyle w:val="TableGrid"/>
        <w:tblW w:w="0" w:type="auto"/>
        <w:tblLook w:val="04A0" w:firstRow="1" w:lastRow="0" w:firstColumn="1" w:lastColumn="0" w:noHBand="0" w:noVBand="1"/>
      </w:tblPr>
      <w:tblGrid>
        <w:gridCol w:w="9350"/>
      </w:tblGrid>
      <w:tr w:rsidR="000A4A0B" w:rsidRPr="00F51AED" w14:paraId="4ECE8838" w14:textId="77777777">
        <w:tc>
          <w:tcPr>
            <w:tcW w:w="9350" w:type="dxa"/>
            <w:tcBorders>
              <w:top w:val="nil"/>
              <w:left w:val="nil"/>
              <w:bottom w:val="nil"/>
              <w:right w:val="nil"/>
            </w:tcBorders>
            <w:shd w:val="clear" w:color="auto" w:fill="D0CECE" w:themeFill="background2" w:themeFillShade="E6"/>
          </w:tcPr>
          <w:p w14:paraId="66C280A8" w14:textId="14F9D52E" w:rsidR="000A4A0B" w:rsidRPr="004C2B76" w:rsidRDefault="000A4A0B" w:rsidP="004C2B76">
            <w:pPr>
              <w:pStyle w:val="IASubttulo2"/>
              <w:numPr>
                <w:ilvl w:val="0"/>
                <w:numId w:val="0"/>
              </w:numPr>
              <w:spacing w:after="0"/>
              <w:ind w:left="154"/>
              <w:jc w:val="both"/>
              <w:rPr>
                <w:b w:val="0"/>
                <w:sz w:val="20"/>
                <w:szCs w:val="20"/>
                <w:lang w:val="es-CO"/>
              </w:rPr>
            </w:pPr>
            <w:bookmarkStart w:id="27" w:name="_Toc195618292"/>
            <w:r w:rsidRPr="00672AC2">
              <w:rPr>
                <w:sz w:val="20"/>
                <w:szCs w:val="20"/>
                <w:lang w:val="es-CO"/>
              </w:rPr>
              <w:t xml:space="preserve">Recomendación </w:t>
            </w:r>
            <w:proofErr w:type="spellStart"/>
            <w:r w:rsidR="002B0B88" w:rsidRPr="00672AC2">
              <w:rPr>
                <w:sz w:val="20"/>
                <w:szCs w:val="20"/>
                <w:lang w:val="es-CO"/>
              </w:rPr>
              <w:t>Nº</w:t>
            </w:r>
            <w:proofErr w:type="spellEnd"/>
            <w:r w:rsidRPr="00672AC2">
              <w:rPr>
                <w:sz w:val="20"/>
                <w:szCs w:val="20"/>
                <w:lang w:val="es-CO"/>
              </w:rPr>
              <w:t xml:space="preserve"> 24. </w:t>
            </w:r>
            <w:r w:rsidRPr="00672AC2">
              <w:rPr>
                <w:b w:val="0"/>
                <w:sz w:val="20"/>
                <w:szCs w:val="20"/>
                <w:lang w:val="es-CO"/>
              </w:rPr>
              <w:t>Adoptar medidas de fortalecimiento institucional de la Defensoría del Pueblo considerando la importante labor que desempeña; y dotarla de los recursos humanos y materiales adecuados para el cabal desempeño de sus funciones en las distintas provincias del país.</w:t>
            </w:r>
            <w:bookmarkEnd w:id="27"/>
          </w:p>
        </w:tc>
      </w:tr>
    </w:tbl>
    <w:p w14:paraId="644CA85B" w14:textId="77777777" w:rsidR="000A4A0B" w:rsidRPr="00672AC2" w:rsidRDefault="000A4A0B" w:rsidP="000A4A0B">
      <w:pPr>
        <w:pStyle w:val="IASubttulo3"/>
        <w:numPr>
          <w:ilvl w:val="0"/>
          <w:numId w:val="0"/>
        </w:numPr>
        <w:spacing w:after="0"/>
        <w:jc w:val="both"/>
        <w:rPr>
          <w:b w:val="0"/>
          <w:bCs/>
          <w:lang w:val="es-419"/>
        </w:rPr>
      </w:pPr>
    </w:p>
    <w:p w14:paraId="6BE386FE" w14:textId="070847B8" w:rsidR="000A4A0B" w:rsidRPr="00672AC2" w:rsidRDefault="000A4A0B" w:rsidP="004C2B76">
      <w:pPr>
        <w:pBdr>
          <w:top w:val="nil"/>
          <w:left w:val="nil"/>
          <w:bottom w:val="nil"/>
          <w:right w:val="nil"/>
          <w:between w:val="nil"/>
        </w:pBdr>
        <w:ind w:firstLine="720"/>
        <w:jc w:val="both"/>
        <w:rPr>
          <w:bCs/>
        </w:rPr>
      </w:pPr>
      <w:r w:rsidRPr="00672AC2">
        <w:rPr>
          <w:rFonts w:eastAsia="Cambria" w:cs="Cambria"/>
          <w:bCs/>
          <w:i/>
          <w:iCs/>
          <w:color w:val="000000" w:themeColor="text1"/>
          <w:sz w:val="20"/>
          <w:szCs w:val="20"/>
          <w:lang w:val="es-ES"/>
        </w:rPr>
        <w:t>Información sobre el cumplimiento</w:t>
      </w:r>
      <w:r w:rsidR="001E5003" w:rsidRPr="00672AC2">
        <w:rPr>
          <w:rFonts w:eastAsia="Cambria" w:cs="Cambria"/>
          <w:bCs/>
          <w:i/>
          <w:iCs/>
          <w:color w:val="000000" w:themeColor="text1"/>
          <w:sz w:val="20"/>
          <w:szCs w:val="20"/>
          <w:lang w:val="es-ES"/>
        </w:rPr>
        <w:t xml:space="preserve"> </w:t>
      </w:r>
    </w:p>
    <w:p w14:paraId="12BEB99C" w14:textId="77777777" w:rsidR="000A4A0B" w:rsidRPr="00672AC2" w:rsidRDefault="000A4A0B" w:rsidP="000A4A0B">
      <w:pPr>
        <w:pBdr>
          <w:top w:val="nil"/>
          <w:left w:val="nil"/>
          <w:bottom w:val="nil"/>
          <w:right w:val="nil"/>
          <w:between w:val="nil"/>
        </w:pBdr>
        <w:ind w:firstLine="360"/>
        <w:jc w:val="both"/>
        <w:rPr>
          <w:rFonts w:eastAsia="Cambria" w:cs="Cambria"/>
          <w:bCs/>
          <w:sz w:val="20"/>
          <w:szCs w:val="20"/>
          <w:lang w:val="es-419"/>
        </w:rPr>
      </w:pPr>
    </w:p>
    <w:p w14:paraId="5F5D49C5" w14:textId="0A9CC508" w:rsidR="000A4A0B" w:rsidRPr="004C2B76" w:rsidRDefault="1561DDF7" w:rsidP="000A4A0B">
      <w:pPr>
        <w:pStyle w:val="IAPrrafo"/>
        <w:rPr>
          <w:b/>
          <w:bCs/>
          <w:szCs w:val="20"/>
          <w:lang w:val="es-CO" w:eastAsia="es-US"/>
        </w:rPr>
      </w:pPr>
      <w:r w:rsidRPr="00672AC2">
        <w:rPr>
          <w:szCs w:val="20"/>
          <w:lang w:eastAsia="es-US"/>
        </w:rPr>
        <w:t>Para el año 2024, e</w:t>
      </w:r>
      <w:r w:rsidRPr="00672AC2">
        <w:rPr>
          <w:szCs w:val="20"/>
          <w:lang w:val="es-CO" w:eastAsia="es-US"/>
        </w:rPr>
        <w:t>l Estado reportó que, el 17 de mayo</w:t>
      </w:r>
      <w:r w:rsidR="000170C4" w:rsidRPr="00672AC2">
        <w:rPr>
          <w:szCs w:val="20"/>
          <w:lang w:val="es-CO" w:eastAsia="es-US"/>
        </w:rPr>
        <w:t>,</w:t>
      </w:r>
      <w:r w:rsidRPr="00672AC2">
        <w:rPr>
          <w:szCs w:val="20"/>
          <w:lang w:val="es-CO" w:eastAsia="es-US"/>
        </w:rPr>
        <w:t xml:space="preserve"> se promulgó la Ley </w:t>
      </w:r>
      <w:proofErr w:type="spellStart"/>
      <w:r w:rsidR="002B0B88" w:rsidRPr="00672AC2">
        <w:rPr>
          <w:szCs w:val="20"/>
          <w:lang w:val="es-CO" w:eastAsia="es-US"/>
        </w:rPr>
        <w:t>Nº</w:t>
      </w:r>
      <w:proofErr w:type="spellEnd"/>
      <w:r w:rsidRPr="00672AC2">
        <w:rPr>
          <w:szCs w:val="20"/>
          <w:lang w:val="es-CO" w:eastAsia="es-US"/>
        </w:rPr>
        <w:t xml:space="preserve"> 32028</w:t>
      </w:r>
      <w:r w:rsidR="00F36B41">
        <w:rPr>
          <w:rFonts w:ascii="ZWAdobeF" w:hAnsi="ZWAdobeF" w:cs="ZWAdobeF"/>
          <w:color w:val="auto"/>
          <w:sz w:val="2"/>
          <w:szCs w:val="2"/>
          <w:lang w:val="es-CO" w:eastAsia="es-US"/>
        </w:rPr>
        <w:t>128F</w:t>
      </w:r>
      <w:r w:rsidR="000A4A0B" w:rsidRPr="00672AC2">
        <w:rPr>
          <w:rStyle w:val="FootnoteReference"/>
          <w:szCs w:val="20"/>
          <w:lang w:val="es-CO" w:eastAsia="es-US"/>
        </w:rPr>
        <w:footnoteReference w:id="130"/>
      </w:r>
      <w:r w:rsidRPr="00672AC2">
        <w:rPr>
          <w:szCs w:val="20"/>
          <w:lang w:val="es-CO" w:eastAsia="es-US"/>
        </w:rPr>
        <w:t xml:space="preserve"> con el objetivo de promover el fortalecimiento institucional de la Defensoría del Pueblo</w:t>
      </w:r>
      <w:r w:rsidR="000170C4" w:rsidRPr="00672AC2">
        <w:rPr>
          <w:szCs w:val="20"/>
          <w:lang w:val="es-CO" w:eastAsia="es-US"/>
        </w:rPr>
        <w:t xml:space="preserve"> (DP)</w:t>
      </w:r>
      <w:r w:rsidRPr="00672AC2">
        <w:rPr>
          <w:szCs w:val="20"/>
          <w:lang w:val="es-CO" w:eastAsia="es-US"/>
        </w:rPr>
        <w:t xml:space="preserve">, incluidas sus funciones de monitoreo y prevención de conflictos sociales y la solución pacífica de </w:t>
      </w:r>
      <w:r w:rsidR="00DA4828" w:rsidRPr="00672AC2">
        <w:rPr>
          <w:szCs w:val="20"/>
          <w:lang w:val="es-CO" w:eastAsia="es-US"/>
        </w:rPr>
        <w:t>aque</w:t>
      </w:r>
      <w:r w:rsidRPr="00672AC2">
        <w:rPr>
          <w:szCs w:val="20"/>
          <w:lang w:val="es-CO" w:eastAsia="es-US"/>
        </w:rPr>
        <w:t>l</w:t>
      </w:r>
      <w:r w:rsidR="00033E33" w:rsidRPr="00672AC2">
        <w:rPr>
          <w:szCs w:val="20"/>
          <w:lang w:val="es-CO" w:eastAsia="es-US"/>
        </w:rPr>
        <w:t>l</w:t>
      </w:r>
      <w:r w:rsidRPr="00672AC2">
        <w:rPr>
          <w:szCs w:val="20"/>
          <w:lang w:val="es-CO" w:eastAsia="es-US"/>
        </w:rPr>
        <w:t xml:space="preserve">os. En ese sentido, informó que se </w:t>
      </w:r>
      <w:r w:rsidRPr="00672AC2">
        <w:rPr>
          <w:szCs w:val="20"/>
          <w:lang w:val="es-ES"/>
        </w:rPr>
        <w:t>aprobó un crédito suplementario a favor de esta entidad para financiar la supervisión y seguimiento de los acuerdos en el marco de la prevención y gestión de conflictos y que se aprobó la nueva escala remunerativa para los servidores comprendidos en el régimen laboral del Decreto Legislativo No. 728 de la DP.</w:t>
      </w:r>
    </w:p>
    <w:p w14:paraId="206A640C" w14:textId="3B3F6C4B" w:rsidR="006F2B65" w:rsidRPr="004C2B76" w:rsidRDefault="15B1BE21" w:rsidP="004C2B76">
      <w:pPr>
        <w:pStyle w:val="IAPrrafo"/>
        <w:rPr>
          <w:b/>
          <w:szCs w:val="20"/>
          <w:lang w:val="es-CO" w:eastAsia="es-US"/>
        </w:rPr>
      </w:pPr>
      <w:r w:rsidRPr="00672AC2">
        <w:rPr>
          <w:rFonts w:eastAsia="Times New Roman" w:cs="Times New Roman"/>
          <w:szCs w:val="20"/>
          <w:lang w:val="es-US" w:eastAsia="es-US"/>
        </w:rPr>
        <w:t xml:space="preserve">Por su parte, sociedad civil manifestó a la CIDH su preocupación por los diferentes cuestionamientos que se han dado </w:t>
      </w:r>
      <w:r w:rsidR="000B1D99" w:rsidRPr="00672AC2">
        <w:rPr>
          <w:rFonts w:eastAsia="Times New Roman" w:cs="Times New Roman"/>
          <w:szCs w:val="20"/>
          <w:lang w:val="es-US" w:eastAsia="es-US"/>
        </w:rPr>
        <w:t>sobre</w:t>
      </w:r>
      <w:r w:rsidRPr="00672AC2">
        <w:rPr>
          <w:rFonts w:eastAsia="Times New Roman" w:cs="Times New Roman"/>
          <w:szCs w:val="20"/>
          <w:lang w:val="es-US" w:eastAsia="es-US"/>
        </w:rPr>
        <w:t xml:space="preserve"> la gestión del actual Defensor del Pueblo. Estos </w:t>
      </w:r>
      <w:r w:rsidR="2C3F9A13" w:rsidRPr="00672AC2">
        <w:rPr>
          <w:rFonts w:eastAsia="Times New Roman" w:cs="Times New Roman"/>
          <w:szCs w:val="20"/>
          <w:lang w:val="es-US" w:eastAsia="es-US"/>
        </w:rPr>
        <w:t xml:space="preserve">estarían </w:t>
      </w:r>
      <w:r w:rsidR="00033E33" w:rsidRPr="00672AC2">
        <w:rPr>
          <w:rFonts w:eastAsia="Times New Roman" w:cs="Times New Roman"/>
          <w:szCs w:val="20"/>
          <w:lang w:val="es-US" w:eastAsia="es-US"/>
        </w:rPr>
        <w:t>vincula</w:t>
      </w:r>
      <w:r w:rsidR="004F3495" w:rsidRPr="00672AC2">
        <w:rPr>
          <w:rFonts w:eastAsia="Times New Roman" w:cs="Times New Roman"/>
          <w:szCs w:val="20"/>
          <w:lang w:val="es-US" w:eastAsia="es-US"/>
        </w:rPr>
        <w:t>dos</w:t>
      </w:r>
      <w:r w:rsidR="00033E33" w:rsidRPr="00672AC2">
        <w:rPr>
          <w:rFonts w:eastAsia="Times New Roman" w:cs="Times New Roman"/>
          <w:szCs w:val="20"/>
          <w:lang w:val="es-US" w:eastAsia="es-US"/>
        </w:rPr>
        <w:t xml:space="preserve"> </w:t>
      </w:r>
      <w:r w:rsidRPr="00672AC2">
        <w:rPr>
          <w:rFonts w:eastAsia="Times New Roman" w:cs="Times New Roman"/>
          <w:szCs w:val="20"/>
          <w:lang w:val="es-US" w:eastAsia="es-US"/>
        </w:rPr>
        <w:t xml:space="preserve">al uso de recursos de la institución en viajes internacionales de representación o en la organización de actividades regionales que no </w:t>
      </w:r>
      <w:r w:rsidR="000B1D99" w:rsidRPr="00672AC2">
        <w:rPr>
          <w:rFonts w:eastAsia="Times New Roman" w:cs="Times New Roman"/>
          <w:szCs w:val="20"/>
          <w:lang w:val="es-US" w:eastAsia="es-US"/>
        </w:rPr>
        <w:t>forman</w:t>
      </w:r>
      <w:r w:rsidR="005A5D8B" w:rsidRPr="00672AC2">
        <w:rPr>
          <w:rFonts w:eastAsia="Times New Roman" w:cs="Times New Roman"/>
          <w:szCs w:val="20"/>
          <w:lang w:val="es-US" w:eastAsia="es-US"/>
        </w:rPr>
        <w:t xml:space="preserve"> parte de</w:t>
      </w:r>
      <w:r w:rsidRPr="00672AC2">
        <w:rPr>
          <w:rFonts w:eastAsia="Times New Roman" w:cs="Times New Roman"/>
          <w:szCs w:val="20"/>
          <w:lang w:val="es-US" w:eastAsia="es-US"/>
        </w:rPr>
        <w:t xml:space="preserve"> las competencias de la entidad. Asimismo, fue reportada la renuncia </w:t>
      </w:r>
      <w:r w:rsidR="32791B5E" w:rsidRPr="00672AC2">
        <w:rPr>
          <w:rFonts w:eastAsia="Times New Roman" w:cs="Times New Roman"/>
          <w:szCs w:val="20"/>
          <w:lang w:val="es-US" w:eastAsia="es-US"/>
        </w:rPr>
        <w:t xml:space="preserve">de </w:t>
      </w:r>
      <w:r w:rsidRPr="00672AC2">
        <w:rPr>
          <w:rFonts w:eastAsia="Times New Roman" w:cs="Times New Roman"/>
          <w:szCs w:val="20"/>
          <w:lang w:val="es-US" w:eastAsia="es-US"/>
        </w:rPr>
        <w:t xml:space="preserve">varios </w:t>
      </w:r>
      <w:proofErr w:type="gramStart"/>
      <w:r w:rsidRPr="00672AC2">
        <w:rPr>
          <w:rFonts w:eastAsia="Times New Roman" w:cs="Times New Roman"/>
          <w:szCs w:val="20"/>
          <w:lang w:val="es-US" w:eastAsia="es-US"/>
        </w:rPr>
        <w:t>funcionarios y funcionarias</w:t>
      </w:r>
      <w:proofErr w:type="gramEnd"/>
      <w:r w:rsidRPr="00672AC2">
        <w:rPr>
          <w:rFonts w:eastAsia="Times New Roman" w:cs="Times New Roman"/>
          <w:szCs w:val="20"/>
          <w:lang w:val="es-US" w:eastAsia="es-US"/>
        </w:rPr>
        <w:t xml:space="preserve"> de alto perfil, la alegada designación de personas con vínculos políticos cercanos a partidos políticos que nombraron al actual Defensor, la falta de transparencia en los contratos de personal, y las prioridades mostradas en los pronunciamientos que se han realizado en los últimos meses</w:t>
      </w:r>
      <w:r w:rsidR="00F36B41">
        <w:rPr>
          <w:rFonts w:ascii="ZWAdobeF" w:eastAsia="Times New Roman" w:hAnsi="ZWAdobeF" w:cs="ZWAdobeF"/>
          <w:color w:val="auto"/>
          <w:sz w:val="2"/>
          <w:szCs w:val="2"/>
          <w:lang w:val="es-US" w:eastAsia="es-US"/>
        </w:rPr>
        <w:t>129F</w:t>
      </w:r>
      <w:r w:rsidR="000A4A0B" w:rsidRPr="00672AC2">
        <w:rPr>
          <w:rStyle w:val="FootnoteReference"/>
          <w:rFonts w:eastAsia="Times New Roman" w:cs="Times New Roman"/>
          <w:szCs w:val="20"/>
          <w:lang w:val="es-US" w:eastAsia="es-US"/>
        </w:rPr>
        <w:footnoteReference w:id="131"/>
      </w:r>
      <w:r w:rsidRPr="00672AC2">
        <w:rPr>
          <w:rFonts w:eastAsia="Times New Roman" w:cs="Times New Roman"/>
          <w:szCs w:val="20"/>
          <w:lang w:val="es-US" w:eastAsia="es-US"/>
        </w:rPr>
        <w:t>. Según lo que fue señalado a la CIDH, lo anterior estaría generando preocupación por una presunta pérdida de legitimidad de la entidad y una supuesta falta de independencia y autonomía.</w:t>
      </w:r>
    </w:p>
    <w:p w14:paraId="5AC8E708" w14:textId="77777777" w:rsidR="000A4A0B" w:rsidRPr="00672AC2" w:rsidRDefault="000A4A0B" w:rsidP="004C2B76">
      <w:pPr>
        <w:ind w:firstLine="720"/>
        <w:jc w:val="both"/>
        <w:rPr>
          <w:rFonts w:eastAsia="Cambria" w:cs="Cambria"/>
          <w:bCs/>
          <w:i/>
          <w:iCs/>
          <w:color w:val="000000" w:themeColor="text1"/>
          <w:sz w:val="20"/>
          <w:szCs w:val="20"/>
          <w:lang w:val="es-ES"/>
        </w:rPr>
      </w:pPr>
      <w:r w:rsidRPr="00672AC2">
        <w:rPr>
          <w:rFonts w:eastAsia="Cambria" w:cs="Cambria"/>
          <w:bCs/>
          <w:i/>
          <w:iCs/>
          <w:color w:val="000000" w:themeColor="text1"/>
          <w:sz w:val="20"/>
          <w:szCs w:val="20"/>
          <w:lang w:val="es-ES"/>
        </w:rPr>
        <w:t>Análisis y nivel de cumplimiento de la recomendación</w:t>
      </w:r>
    </w:p>
    <w:p w14:paraId="6853F831" w14:textId="77777777" w:rsidR="000A4A0B" w:rsidRPr="00672AC2" w:rsidRDefault="000A4A0B" w:rsidP="000A4A0B">
      <w:pPr>
        <w:jc w:val="both"/>
        <w:rPr>
          <w:bCs/>
          <w:lang w:val="es-CO"/>
        </w:rPr>
      </w:pPr>
    </w:p>
    <w:p w14:paraId="65D1902E" w14:textId="00722D4F" w:rsidR="000A4A0B" w:rsidRPr="004C2B76" w:rsidRDefault="000A4A0B" w:rsidP="004C2B76">
      <w:pPr>
        <w:pStyle w:val="IAPrrafo"/>
        <w:rPr>
          <w:b/>
          <w:bCs/>
          <w:szCs w:val="20"/>
          <w:lang w:val="es-US"/>
        </w:rPr>
      </w:pPr>
      <w:r w:rsidRPr="00672AC2">
        <w:rPr>
          <w:bCs/>
          <w:szCs w:val="20"/>
          <w:lang w:eastAsia="es-US"/>
        </w:rPr>
        <w:t>La CIDH agradece la información proporcionada por el Estado y valora positivamente la aprobación de una modificatoria que fortalece las competencias de la Defensoría del Pueblo, del otorgamiento de un crédito suplementario para ello</w:t>
      </w:r>
      <w:r w:rsidRPr="00672AC2">
        <w:rPr>
          <w:bCs/>
          <w:szCs w:val="20"/>
          <w:lang w:val="es-US"/>
        </w:rPr>
        <w:t>, y de la aprobación de una nueva escala remunerativa. La Comisión resalta el rol que cumplen l</w:t>
      </w:r>
      <w:r w:rsidR="000858AB" w:rsidRPr="00672AC2">
        <w:rPr>
          <w:bCs/>
          <w:szCs w:val="20"/>
          <w:lang w:val="es-US"/>
        </w:rPr>
        <w:t>as instituciones</w:t>
      </w:r>
      <w:r w:rsidRPr="00672AC2">
        <w:rPr>
          <w:bCs/>
          <w:szCs w:val="20"/>
          <w:lang w:val="es-US"/>
        </w:rPr>
        <w:t xml:space="preserve"> nacionales de derechos humanos, en particular para generar mecanismos que fortalezcan las obligaciones internacionales de los </w:t>
      </w:r>
      <w:r w:rsidR="00F2116B" w:rsidRPr="00672AC2">
        <w:rPr>
          <w:bCs/>
          <w:szCs w:val="20"/>
          <w:lang w:val="es-US"/>
        </w:rPr>
        <w:t>E</w:t>
      </w:r>
      <w:r w:rsidRPr="00672AC2">
        <w:rPr>
          <w:bCs/>
          <w:szCs w:val="20"/>
          <w:lang w:val="es-US"/>
        </w:rPr>
        <w:t xml:space="preserve">stados </w:t>
      </w:r>
      <w:r w:rsidR="000B1D99" w:rsidRPr="00672AC2">
        <w:rPr>
          <w:bCs/>
          <w:szCs w:val="20"/>
          <w:lang w:val="es-US"/>
        </w:rPr>
        <w:t>sobre</w:t>
      </w:r>
      <w:r w:rsidRPr="00672AC2">
        <w:rPr>
          <w:bCs/>
          <w:szCs w:val="20"/>
          <w:lang w:val="es-US"/>
        </w:rPr>
        <w:t xml:space="preserve"> los derechos de sus </w:t>
      </w:r>
      <w:proofErr w:type="gramStart"/>
      <w:r w:rsidRPr="00672AC2">
        <w:rPr>
          <w:bCs/>
          <w:szCs w:val="20"/>
          <w:lang w:val="es-US"/>
        </w:rPr>
        <w:t>ciudadanos y ciudadanas</w:t>
      </w:r>
      <w:proofErr w:type="gramEnd"/>
      <w:r w:rsidRPr="00672AC2">
        <w:rPr>
          <w:bCs/>
          <w:szCs w:val="20"/>
          <w:lang w:val="es-US"/>
        </w:rPr>
        <w:t xml:space="preserve">. En ese sentido, recuerda que entidades como la Defensoría del Pueblo del Perú deben contar con los recursos logísticos y personales adecuados para el cumplimiento de sus funciones, garantizando su trabajo a lo largo del territorio, y generando mecanismos de coordinación y diálogo con sociedad civil. </w:t>
      </w:r>
    </w:p>
    <w:p w14:paraId="7CB756B6" w14:textId="55AA8DAE" w:rsidR="000A4A0B" w:rsidRPr="004C2B76" w:rsidRDefault="000A4A0B" w:rsidP="004C2B76">
      <w:pPr>
        <w:pStyle w:val="IAPrrafo"/>
        <w:rPr>
          <w:bCs/>
          <w:szCs w:val="20"/>
          <w:lang w:val="es-US" w:eastAsia="es-US"/>
        </w:rPr>
      </w:pPr>
      <w:r w:rsidRPr="00672AC2">
        <w:rPr>
          <w:bCs/>
          <w:szCs w:val="20"/>
          <w:lang w:val="es-US"/>
        </w:rPr>
        <w:t>Para la CIDH, es importante que las medidas de fortalecimiento a las que se refiere la recomendación bajo seguimiento estén dirigidas a mejorar la confianza que se tiene sobre el rol de la institución en la protección de los derechos humanos</w:t>
      </w:r>
      <w:r w:rsidR="00782F85" w:rsidRPr="00672AC2">
        <w:rPr>
          <w:bCs/>
          <w:szCs w:val="20"/>
          <w:lang w:val="es-US"/>
        </w:rPr>
        <w:t>;</w:t>
      </w:r>
      <w:r w:rsidRPr="00672AC2">
        <w:rPr>
          <w:bCs/>
          <w:szCs w:val="20"/>
          <w:lang w:val="es-US"/>
        </w:rPr>
        <w:t xml:space="preserve"> por lo que resulta importante seguir observando el rol de la Defensoría del Pueblo, y su cabal cumplimiento de funciones en las distintas provincias del país. Consecuentemente, la Comisión considera que la presente recomendación se encuentra </w:t>
      </w:r>
      <w:r w:rsidRPr="00672AC2">
        <w:rPr>
          <w:szCs w:val="20"/>
          <w:lang w:val="es-US"/>
        </w:rPr>
        <w:t>parcialmente cumplida</w:t>
      </w:r>
      <w:r w:rsidRPr="00672AC2">
        <w:rPr>
          <w:bCs/>
          <w:szCs w:val="20"/>
          <w:lang w:val="es-US"/>
        </w:rPr>
        <w:t>.</w:t>
      </w:r>
    </w:p>
    <w:p w14:paraId="20869029" w14:textId="5044B543" w:rsidR="000A4A0B" w:rsidRPr="00672AC2" w:rsidRDefault="000A4A0B" w:rsidP="004C2B76">
      <w:pPr>
        <w:ind w:firstLine="720"/>
        <w:jc w:val="both"/>
        <w:rPr>
          <w:bCs/>
          <w:lang w:val="es-CO"/>
        </w:rPr>
      </w:pPr>
      <w:r w:rsidRPr="00672AC2">
        <w:rPr>
          <w:rFonts w:eastAsia="Cambria" w:cs="Cambria"/>
          <w:bCs/>
          <w:i/>
          <w:iCs/>
          <w:color w:val="000000" w:themeColor="text1"/>
          <w:sz w:val="20"/>
          <w:szCs w:val="20"/>
          <w:lang w:val="es-ES"/>
        </w:rPr>
        <w:t>Medidas e información para avanzar en el cumplimiento de la recomendación</w:t>
      </w:r>
      <w:r w:rsidR="001E5003" w:rsidRPr="00672AC2">
        <w:rPr>
          <w:rFonts w:eastAsia="Cambria" w:cs="Cambria"/>
          <w:bCs/>
          <w:i/>
          <w:iCs/>
          <w:color w:val="000000" w:themeColor="text1"/>
          <w:sz w:val="20"/>
          <w:szCs w:val="20"/>
          <w:lang w:val="es-ES"/>
        </w:rPr>
        <w:t xml:space="preserve"> </w:t>
      </w:r>
    </w:p>
    <w:p w14:paraId="65553B1A" w14:textId="77777777" w:rsidR="000A4A0B" w:rsidRPr="00672AC2" w:rsidRDefault="000A4A0B" w:rsidP="000A4A0B">
      <w:pPr>
        <w:ind w:firstLine="360"/>
        <w:jc w:val="both"/>
        <w:rPr>
          <w:bCs/>
          <w:lang w:val="es-US"/>
        </w:rPr>
      </w:pPr>
    </w:p>
    <w:p w14:paraId="6F23CB20" w14:textId="4796A56E" w:rsidR="000A4A0B" w:rsidRPr="004C2B76" w:rsidRDefault="000A4A0B" w:rsidP="004C2B76">
      <w:pPr>
        <w:pStyle w:val="IAPrrafo"/>
        <w:rPr>
          <w:b/>
          <w:bCs/>
          <w:szCs w:val="20"/>
          <w:lang w:val="es-US"/>
        </w:rPr>
      </w:pPr>
      <w:r w:rsidRPr="00672AC2">
        <w:rPr>
          <w:bCs/>
          <w:szCs w:val="20"/>
          <w:lang w:val="es-US"/>
        </w:rPr>
        <w:t xml:space="preserve">La CIDH identifica que el avance en el cumplimiento de esta recomendación requiere de medidas específicas e información reportada que permitan conocer si </w:t>
      </w:r>
      <w:r w:rsidRPr="00672AC2">
        <w:rPr>
          <w:szCs w:val="20"/>
          <w:lang w:val="es-CO"/>
        </w:rPr>
        <w:t xml:space="preserve">los recursos humanos y materiales que se han asignado a la Defensoría del Pueblo son suficientes para el adecuado cumplimiento del rol de la entidad de manera descentralizada. Por lo que se le solicita al Estado la elaboración de un diagnóstico sobre cuáles son los recursos con los que debe contar la entidad para asegurar un adecuado ejercicio de funciones. Asimismo, es esencial contar con información que permita evaluar cómo dichos recursos han ayudado a mejorar los niveles de confianza de la ciudadanía en las labores de la Defensoría, mejorando los canales de diálogo entre </w:t>
      </w:r>
      <w:r w:rsidR="00243B7B" w:rsidRPr="00672AC2">
        <w:rPr>
          <w:szCs w:val="20"/>
          <w:lang w:val="es-CO"/>
        </w:rPr>
        <w:t xml:space="preserve">todos los </w:t>
      </w:r>
      <w:r w:rsidRPr="00672AC2">
        <w:rPr>
          <w:szCs w:val="20"/>
          <w:lang w:val="es-CO"/>
        </w:rPr>
        <w:t>actores.</w:t>
      </w:r>
    </w:p>
    <w:tbl>
      <w:tblPr>
        <w:tblStyle w:val="TableGrid"/>
        <w:tblW w:w="0" w:type="auto"/>
        <w:tblLook w:val="04A0" w:firstRow="1" w:lastRow="0" w:firstColumn="1" w:lastColumn="0" w:noHBand="0" w:noVBand="1"/>
      </w:tblPr>
      <w:tblGrid>
        <w:gridCol w:w="9350"/>
      </w:tblGrid>
      <w:tr w:rsidR="000A4A0B" w:rsidRPr="00F51AED" w14:paraId="218FD024" w14:textId="77777777">
        <w:tc>
          <w:tcPr>
            <w:tcW w:w="9350" w:type="dxa"/>
            <w:tcBorders>
              <w:top w:val="nil"/>
              <w:left w:val="nil"/>
              <w:bottom w:val="nil"/>
              <w:right w:val="nil"/>
            </w:tcBorders>
            <w:shd w:val="clear" w:color="auto" w:fill="D0CECE" w:themeFill="background2" w:themeFillShade="E6"/>
          </w:tcPr>
          <w:p w14:paraId="7A476F90" w14:textId="050E40FD" w:rsidR="000A4A0B" w:rsidRPr="004C2B76" w:rsidRDefault="000A4A0B" w:rsidP="004C2B76">
            <w:pPr>
              <w:pStyle w:val="IASubttulo2"/>
              <w:numPr>
                <w:ilvl w:val="0"/>
                <w:numId w:val="0"/>
              </w:numPr>
              <w:spacing w:after="0"/>
              <w:ind w:left="154"/>
              <w:jc w:val="both"/>
              <w:rPr>
                <w:b w:val="0"/>
                <w:sz w:val="20"/>
                <w:szCs w:val="20"/>
                <w:lang w:val="es-CO"/>
              </w:rPr>
            </w:pPr>
            <w:bookmarkStart w:id="28" w:name="_Toc195618293"/>
            <w:r w:rsidRPr="00672AC2">
              <w:rPr>
                <w:sz w:val="20"/>
                <w:szCs w:val="20"/>
                <w:lang w:val="es-CO"/>
              </w:rPr>
              <w:t xml:space="preserve">Recomendación </w:t>
            </w:r>
            <w:proofErr w:type="spellStart"/>
            <w:r w:rsidR="002B0B88" w:rsidRPr="00672AC2">
              <w:rPr>
                <w:sz w:val="20"/>
                <w:szCs w:val="20"/>
                <w:lang w:val="es-CO"/>
              </w:rPr>
              <w:t>Nº</w:t>
            </w:r>
            <w:proofErr w:type="spellEnd"/>
            <w:r w:rsidRPr="00672AC2">
              <w:rPr>
                <w:sz w:val="20"/>
                <w:szCs w:val="20"/>
                <w:lang w:val="es-CO"/>
              </w:rPr>
              <w:t xml:space="preserve"> 25. </w:t>
            </w:r>
            <w:r w:rsidRPr="00672AC2">
              <w:rPr>
                <w:b w:val="0"/>
                <w:sz w:val="20"/>
                <w:szCs w:val="20"/>
                <w:lang w:val="es-CO"/>
              </w:rPr>
              <w:t xml:space="preserve">Adoptar medidas para asegurar que el proceso de selección de la persona titular de esta entidad </w:t>
            </w:r>
            <w:r w:rsidR="00D4457D" w:rsidRPr="00672AC2">
              <w:rPr>
                <w:b w:val="0"/>
                <w:sz w:val="20"/>
                <w:szCs w:val="20"/>
                <w:lang w:val="es-CO"/>
              </w:rPr>
              <w:t xml:space="preserve">(Defensoría del Pueblo) </w:t>
            </w:r>
            <w:r w:rsidRPr="00672AC2">
              <w:rPr>
                <w:b w:val="0"/>
                <w:sz w:val="20"/>
                <w:szCs w:val="20"/>
                <w:lang w:val="es-CO"/>
              </w:rPr>
              <w:t>sea participativo, transparente, pluralista y se base en los méritos y calidades profesionales de las y los aspirantes.</w:t>
            </w:r>
            <w:bookmarkEnd w:id="28"/>
          </w:p>
        </w:tc>
      </w:tr>
    </w:tbl>
    <w:p w14:paraId="2530AD0D" w14:textId="77777777" w:rsidR="000A4A0B" w:rsidRPr="00672AC2" w:rsidRDefault="000A4A0B" w:rsidP="000A4A0B">
      <w:pPr>
        <w:pStyle w:val="IASubttulo3"/>
        <w:numPr>
          <w:ilvl w:val="0"/>
          <w:numId w:val="0"/>
        </w:numPr>
        <w:spacing w:after="0"/>
        <w:jc w:val="both"/>
        <w:rPr>
          <w:b w:val="0"/>
          <w:bCs/>
          <w:lang w:val="es-419"/>
        </w:rPr>
      </w:pPr>
    </w:p>
    <w:p w14:paraId="576B997F" w14:textId="4097A435" w:rsidR="000A4A0B" w:rsidRPr="00672AC2" w:rsidRDefault="000A4A0B" w:rsidP="004C2B76">
      <w:pPr>
        <w:pBdr>
          <w:top w:val="nil"/>
          <w:left w:val="nil"/>
          <w:bottom w:val="nil"/>
          <w:right w:val="nil"/>
          <w:between w:val="nil"/>
        </w:pBdr>
        <w:ind w:firstLine="720"/>
        <w:jc w:val="both"/>
        <w:rPr>
          <w:bCs/>
          <w:lang w:val="es-US"/>
        </w:rPr>
      </w:pPr>
      <w:r w:rsidRPr="00672AC2">
        <w:rPr>
          <w:rFonts w:eastAsia="Cambria" w:cs="Cambria"/>
          <w:bCs/>
          <w:i/>
          <w:iCs/>
          <w:color w:val="000000" w:themeColor="text1"/>
          <w:sz w:val="20"/>
          <w:szCs w:val="20"/>
          <w:lang w:val="es-ES"/>
        </w:rPr>
        <w:t>Información sobre el cumplimiento</w:t>
      </w:r>
      <w:r w:rsidR="001E5003" w:rsidRPr="00672AC2">
        <w:rPr>
          <w:rFonts w:eastAsia="Cambria" w:cs="Cambria"/>
          <w:bCs/>
          <w:i/>
          <w:iCs/>
          <w:color w:val="000000" w:themeColor="text1"/>
          <w:sz w:val="20"/>
          <w:szCs w:val="20"/>
          <w:lang w:val="es-ES"/>
        </w:rPr>
        <w:t xml:space="preserve"> </w:t>
      </w:r>
    </w:p>
    <w:p w14:paraId="55EC8BCE" w14:textId="77777777" w:rsidR="000A4A0B" w:rsidRPr="00672AC2" w:rsidRDefault="000A4A0B" w:rsidP="000A4A0B">
      <w:pPr>
        <w:shd w:val="clear" w:color="auto" w:fill="FFFFFF" w:themeFill="background1"/>
        <w:suppressAutoHyphens w:val="0"/>
        <w:jc w:val="both"/>
        <w:rPr>
          <w:bCs/>
          <w:sz w:val="20"/>
          <w:szCs w:val="20"/>
          <w:lang w:val="es-419" w:eastAsia="es-US"/>
        </w:rPr>
      </w:pPr>
    </w:p>
    <w:p w14:paraId="6EBC4289" w14:textId="0B2A4F6B" w:rsidR="000A4A0B" w:rsidRPr="00672AC2" w:rsidRDefault="1561DDF7" w:rsidP="00E83710">
      <w:pPr>
        <w:pStyle w:val="IAPrrafo"/>
        <w:rPr>
          <w:b/>
          <w:bCs/>
          <w:szCs w:val="20"/>
          <w:lang w:eastAsia="es-US"/>
        </w:rPr>
      </w:pPr>
      <w:r w:rsidRPr="00672AC2">
        <w:rPr>
          <w:szCs w:val="20"/>
          <w:lang w:eastAsia="es-US"/>
        </w:rPr>
        <w:t xml:space="preserve">Para el año 2024, el Estado reportó la presentación de diversas iniciativas legislativas </w:t>
      </w:r>
      <w:r w:rsidRPr="00672AC2">
        <w:rPr>
          <w:szCs w:val="20"/>
          <w:lang w:val="es-ES"/>
        </w:rPr>
        <w:t>sobre el proceso de selección del Defensor del Pueblo, algunas de las cuales siguen en debate.</w:t>
      </w:r>
      <w:r w:rsidRPr="00672AC2">
        <w:rPr>
          <w:szCs w:val="20"/>
          <w:lang w:eastAsia="es-US"/>
        </w:rPr>
        <w:t xml:space="preserve"> Asimismo, indicó que, el 17 de mayo de 2024, se publicó la Ley </w:t>
      </w:r>
      <w:proofErr w:type="spellStart"/>
      <w:r w:rsidR="002B0B88" w:rsidRPr="00672AC2">
        <w:rPr>
          <w:szCs w:val="20"/>
          <w:lang w:eastAsia="es-US"/>
        </w:rPr>
        <w:t>Nº</w:t>
      </w:r>
      <w:proofErr w:type="spellEnd"/>
      <w:r w:rsidRPr="00672AC2">
        <w:rPr>
          <w:szCs w:val="20"/>
          <w:lang w:eastAsia="es-US"/>
        </w:rPr>
        <w:t xml:space="preserve"> 32028</w:t>
      </w:r>
      <w:r w:rsidR="00F36B41">
        <w:rPr>
          <w:rFonts w:ascii="ZWAdobeF" w:hAnsi="ZWAdobeF" w:cs="ZWAdobeF"/>
          <w:color w:val="auto"/>
          <w:sz w:val="2"/>
          <w:szCs w:val="2"/>
          <w:lang w:eastAsia="es-US"/>
        </w:rPr>
        <w:t>130F</w:t>
      </w:r>
      <w:r w:rsidR="000A4A0B" w:rsidRPr="00672AC2">
        <w:rPr>
          <w:rStyle w:val="FootnoteReference"/>
          <w:szCs w:val="20"/>
          <w:lang w:eastAsia="es-US"/>
        </w:rPr>
        <w:footnoteReference w:id="132"/>
      </w:r>
      <w:r w:rsidRPr="00672AC2">
        <w:rPr>
          <w:szCs w:val="20"/>
          <w:lang w:eastAsia="es-US"/>
        </w:rPr>
        <w:t xml:space="preserve"> que modificó la Ley Orgánica de la Defensoría del Pueblo que estableció que el Defensor del Pueblo cesará del cargo por vencimiento del plazo, siempre que su sucesor haya sido elegido, para facilitar la continuidad del cargo, a pesar de que no haya habido una elección dentro del Congreso de la República. Además, la norma adicionó la función a la Defensoría del Pueblo de prevenir y monitorear los conflictos sociales, así como mediar para promover el diálogo y su solución.</w:t>
      </w:r>
    </w:p>
    <w:p w14:paraId="1DABF6EE" w14:textId="4A70A913" w:rsidR="000A4A0B" w:rsidRPr="004C2B76" w:rsidRDefault="000E26E8" w:rsidP="004C2B76">
      <w:pPr>
        <w:pStyle w:val="IAPrrafo"/>
        <w:rPr>
          <w:rFonts w:eastAsia="Calibri" w:cs="Calibri"/>
          <w:b/>
          <w:bCs/>
          <w:szCs w:val="20"/>
          <w:lang w:val="es-US"/>
        </w:rPr>
      </w:pPr>
      <w:r w:rsidRPr="00672AC2">
        <w:rPr>
          <w:szCs w:val="20"/>
          <w:lang w:val="es-CO" w:eastAsia="es-US"/>
        </w:rPr>
        <w:t>L</w:t>
      </w:r>
      <w:r w:rsidR="1561DDF7" w:rsidRPr="00672AC2">
        <w:rPr>
          <w:szCs w:val="20"/>
          <w:lang w:val="es-CO" w:eastAsia="es-US"/>
        </w:rPr>
        <w:t>a Comisión recibió información proporcionada por sociedad civil según la cual no se han observado avances concretos en la reforma de los procedimientos de selección a los que se refiere esta recomendación. Al respect</w:t>
      </w:r>
      <w:r w:rsidR="002850B4" w:rsidRPr="00672AC2">
        <w:rPr>
          <w:szCs w:val="20"/>
          <w:lang w:val="es-CO" w:eastAsia="es-US"/>
        </w:rPr>
        <w:t>o</w:t>
      </w:r>
      <w:r w:rsidR="1561DDF7" w:rsidRPr="00672AC2">
        <w:rPr>
          <w:szCs w:val="20"/>
          <w:lang w:val="es-CO" w:eastAsia="es-US"/>
        </w:rPr>
        <w:t>, se reiteró que estos han sido criticados por la limitada participación social y por tener un enfoque político, priorizando la obtención de votos sobre la meritocracia.</w:t>
      </w:r>
    </w:p>
    <w:p w14:paraId="692CC740" w14:textId="77777777" w:rsidR="000A4A0B" w:rsidRPr="00672AC2" w:rsidRDefault="000A4A0B" w:rsidP="004C2B76">
      <w:pPr>
        <w:ind w:firstLine="720"/>
        <w:jc w:val="both"/>
        <w:rPr>
          <w:rFonts w:eastAsia="Cambria" w:cs="Cambria"/>
          <w:bCs/>
          <w:i/>
          <w:iCs/>
          <w:color w:val="000000" w:themeColor="text1"/>
          <w:sz w:val="20"/>
          <w:szCs w:val="20"/>
          <w:lang w:val="es-ES"/>
        </w:rPr>
      </w:pPr>
      <w:r w:rsidRPr="00672AC2">
        <w:rPr>
          <w:rFonts w:eastAsia="Cambria" w:cs="Cambria"/>
          <w:bCs/>
          <w:i/>
          <w:iCs/>
          <w:color w:val="000000" w:themeColor="text1"/>
          <w:sz w:val="20"/>
          <w:szCs w:val="20"/>
          <w:lang w:val="es-ES"/>
        </w:rPr>
        <w:t>Análisis y nivel de cumplimiento de la recomendación</w:t>
      </w:r>
    </w:p>
    <w:p w14:paraId="75E4C454" w14:textId="77777777" w:rsidR="000A4A0B" w:rsidRPr="00672AC2" w:rsidRDefault="000A4A0B" w:rsidP="000A4A0B">
      <w:pPr>
        <w:jc w:val="both"/>
        <w:rPr>
          <w:bCs/>
          <w:lang w:val="es-CO"/>
        </w:rPr>
      </w:pPr>
    </w:p>
    <w:p w14:paraId="644CC1CD" w14:textId="383AF7D7" w:rsidR="000A4A0B" w:rsidRPr="00672AC2" w:rsidRDefault="000A4A0B" w:rsidP="00E83710">
      <w:pPr>
        <w:pStyle w:val="IAPrrafo"/>
        <w:rPr>
          <w:b/>
          <w:bCs/>
          <w:szCs w:val="20"/>
          <w:lang w:val="es-CO" w:eastAsia="es-US"/>
        </w:rPr>
      </w:pPr>
      <w:r w:rsidRPr="00672AC2">
        <w:rPr>
          <w:bCs/>
          <w:szCs w:val="20"/>
          <w:lang w:val="es-CO" w:eastAsia="es-US"/>
        </w:rPr>
        <w:t xml:space="preserve">La CIDH </w:t>
      </w:r>
      <w:r w:rsidR="000B1D99" w:rsidRPr="00672AC2">
        <w:rPr>
          <w:bCs/>
          <w:szCs w:val="20"/>
          <w:lang w:val="es-CO" w:eastAsia="es-US"/>
        </w:rPr>
        <w:t>estima</w:t>
      </w:r>
      <w:r w:rsidRPr="00672AC2">
        <w:rPr>
          <w:bCs/>
          <w:szCs w:val="20"/>
          <w:lang w:val="es-CO" w:eastAsia="es-US"/>
        </w:rPr>
        <w:t xml:space="preserve"> que no se han reportado avances específicos para asegurar que el proceso de selección de la persona titular de esta entidad sea participativo, transparente, pluralista, y basado en méritos y calidades profesionales. En ese sentido, la Comisión queda atenta al avance de las iniciativas legislativas que se han presentado, de manera que se pueda analizar el contenido de las medidas que sean aprobadas. A la espera de esta información, la Comisión </w:t>
      </w:r>
      <w:r w:rsidR="00013374" w:rsidRPr="00672AC2">
        <w:rPr>
          <w:bCs/>
          <w:szCs w:val="20"/>
          <w:lang w:val="es-CO" w:eastAsia="es-US"/>
        </w:rPr>
        <w:t xml:space="preserve">entiende </w:t>
      </w:r>
      <w:r w:rsidRPr="00672AC2">
        <w:rPr>
          <w:bCs/>
          <w:szCs w:val="20"/>
          <w:lang w:val="es-CO" w:eastAsia="es-US"/>
        </w:rPr>
        <w:t xml:space="preserve">que esta recomendación se encuentra </w:t>
      </w:r>
      <w:r w:rsidRPr="00672AC2">
        <w:rPr>
          <w:szCs w:val="20"/>
          <w:lang w:val="es-CO" w:eastAsia="es-US"/>
        </w:rPr>
        <w:t>pendiente de cumplimiento</w:t>
      </w:r>
      <w:r w:rsidRPr="00672AC2">
        <w:rPr>
          <w:bCs/>
          <w:szCs w:val="20"/>
          <w:lang w:val="es-CO" w:eastAsia="es-US"/>
        </w:rPr>
        <w:t>.</w:t>
      </w:r>
    </w:p>
    <w:p w14:paraId="6FB3B5E7" w14:textId="28E191CF" w:rsidR="000A4A0B" w:rsidRPr="00672AC2" w:rsidRDefault="000A4A0B" w:rsidP="004C2B76">
      <w:pPr>
        <w:ind w:firstLine="720"/>
        <w:jc w:val="both"/>
        <w:rPr>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5C56565A" w14:textId="77777777" w:rsidR="000A4A0B" w:rsidRPr="00672AC2" w:rsidRDefault="000A4A0B" w:rsidP="000A4A0B">
      <w:pPr>
        <w:ind w:firstLine="360"/>
        <w:jc w:val="both"/>
        <w:rPr>
          <w:lang w:val="es-US"/>
        </w:rPr>
      </w:pPr>
    </w:p>
    <w:p w14:paraId="46D1BA02" w14:textId="557FCC7D" w:rsidR="000A4A0B" w:rsidRPr="00672AC2" w:rsidRDefault="000A4A0B" w:rsidP="00E83710">
      <w:pPr>
        <w:pStyle w:val="IAPrrafo"/>
        <w:rPr>
          <w:b/>
          <w:lang w:val="es-US"/>
        </w:rPr>
      </w:pPr>
      <w:r w:rsidRPr="00672AC2">
        <w:rPr>
          <w:szCs w:val="20"/>
          <w:lang w:val="es-US"/>
        </w:rPr>
        <w:t xml:space="preserve">La CIDH identifica que el avance en el cumplimiento de esta recomendación depende de que las iniciativas legislativas que sean aprobadas contengan mecanismos de elección de la persona a cargo de la Defensoría del Pueblo que refuercen la participación, transparencia, y que estén basados en méritos y calidades profesionales objetivos. De esa manera, </w:t>
      </w:r>
      <w:r w:rsidR="005F2CF5" w:rsidRPr="00672AC2">
        <w:rPr>
          <w:szCs w:val="20"/>
          <w:lang w:val="es-US"/>
        </w:rPr>
        <w:t>la</w:t>
      </w:r>
      <w:r w:rsidRPr="00672AC2">
        <w:rPr>
          <w:szCs w:val="20"/>
          <w:lang w:val="es-US"/>
        </w:rPr>
        <w:t xml:space="preserve"> selección debe contar con los </w:t>
      </w:r>
      <w:r w:rsidR="005F2CF5" w:rsidRPr="00672AC2">
        <w:rPr>
          <w:szCs w:val="20"/>
          <w:lang w:val="es-US"/>
        </w:rPr>
        <w:t xml:space="preserve">procedimientos </w:t>
      </w:r>
      <w:r w:rsidRPr="00672AC2">
        <w:rPr>
          <w:szCs w:val="20"/>
          <w:lang w:val="es-US"/>
        </w:rPr>
        <w:t xml:space="preserve">adecuados para evitar que se perciba esta elección como meramente político, que cuente con criterios que pueden ser objetivamente aplicados, evitando fraseos que puedan ser interpretados de manera arbitraria, y que cuente con </w:t>
      </w:r>
      <w:r w:rsidR="000B1D99" w:rsidRPr="00672AC2">
        <w:rPr>
          <w:szCs w:val="20"/>
          <w:lang w:val="es-US"/>
        </w:rPr>
        <w:t xml:space="preserve">instrumentos </w:t>
      </w:r>
      <w:r w:rsidRPr="00672AC2">
        <w:rPr>
          <w:szCs w:val="20"/>
          <w:lang w:val="es-US"/>
        </w:rPr>
        <w:t xml:space="preserve">de transparencia e intercambio de información con otras entidades de sociedad civil. </w:t>
      </w:r>
    </w:p>
    <w:tbl>
      <w:tblPr>
        <w:tblStyle w:val="TableGrid"/>
        <w:tblW w:w="0" w:type="auto"/>
        <w:tblLook w:val="04A0" w:firstRow="1" w:lastRow="0" w:firstColumn="1" w:lastColumn="0" w:noHBand="0" w:noVBand="1"/>
      </w:tblPr>
      <w:tblGrid>
        <w:gridCol w:w="9350"/>
      </w:tblGrid>
      <w:tr w:rsidR="000A4A0B" w:rsidRPr="00F51AED" w14:paraId="3C2AB034" w14:textId="77777777">
        <w:tc>
          <w:tcPr>
            <w:tcW w:w="9350" w:type="dxa"/>
            <w:tcBorders>
              <w:top w:val="nil"/>
              <w:left w:val="nil"/>
              <w:bottom w:val="nil"/>
              <w:right w:val="nil"/>
            </w:tcBorders>
            <w:shd w:val="clear" w:color="auto" w:fill="D0CECE" w:themeFill="background2" w:themeFillShade="E6"/>
          </w:tcPr>
          <w:p w14:paraId="368234A7" w14:textId="1414AC8A" w:rsidR="000A4A0B" w:rsidRPr="006710B9" w:rsidRDefault="000A4A0B" w:rsidP="006710B9">
            <w:pPr>
              <w:pStyle w:val="IASubttulo2"/>
              <w:numPr>
                <w:ilvl w:val="0"/>
                <w:numId w:val="0"/>
              </w:numPr>
              <w:spacing w:after="0"/>
              <w:ind w:left="154"/>
              <w:jc w:val="both"/>
              <w:rPr>
                <w:b w:val="0"/>
                <w:sz w:val="20"/>
                <w:szCs w:val="20"/>
                <w:lang w:val="es-CO"/>
              </w:rPr>
            </w:pPr>
            <w:bookmarkStart w:id="29" w:name="_Toc195618294"/>
            <w:r w:rsidRPr="00672AC2">
              <w:rPr>
                <w:sz w:val="20"/>
                <w:szCs w:val="20"/>
                <w:lang w:val="es-CO"/>
              </w:rPr>
              <w:t xml:space="preserve">Recomendación </w:t>
            </w:r>
            <w:proofErr w:type="spellStart"/>
            <w:r w:rsidR="002B0B88" w:rsidRPr="00672AC2">
              <w:rPr>
                <w:sz w:val="20"/>
                <w:szCs w:val="20"/>
                <w:lang w:val="es-CO"/>
              </w:rPr>
              <w:t>Nº</w:t>
            </w:r>
            <w:proofErr w:type="spellEnd"/>
            <w:r w:rsidRPr="00672AC2">
              <w:rPr>
                <w:sz w:val="20"/>
                <w:szCs w:val="20"/>
                <w:lang w:val="es-CO"/>
              </w:rPr>
              <w:t xml:space="preserve"> 26. </w:t>
            </w:r>
            <w:r w:rsidRPr="00672AC2">
              <w:rPr>
                <w:b w:val="0"/>
                <w:sz w:val="20"/>
                <w:szCs w:val="20"/>
                <w:lang w:val="es-CO"/>
              </w:rPr>
              <w:t>Ratificar la Convención Interamericana contra el Racismo, la Discriminación Racial y Formas conexas de intolerancia.</w:t>
            </w:r>
            <w:bookmarkEnd w:id="29"/>
          </w:p>
        </w:tc>
      </w:tr>
    </w:tbl>
    <w:p w14:paraId="4CB683F2" w14:textId="77777777" w:rsidR="000A4A0B" w:rsidRPr="00672AC2" w:rsidRDefault="000A4A0B" w:rsidP="000A4A0B">
      <w:pPr>
        <w:shd w:val="clear" w:color="auto" w:fill="FFFFFF" w:themeFill="background1"/>
        <w:suppressAutoHyphens w:val="0"/>
        <w:jc w:val="both"/>
        <w:rPr>
          <w:bCs/>
          <w:sz w:val="20"/>
          <w:szCs w:val="20"/>
          <w:lang w:val="es-419" w:eastAsia="es-US"/>
        </w:rPr>
      </w:pPr>
    </w:p>
    <w:p w14:paraId="10F0B894" w14:textId="0D91F30F" w:rsidR="000A4A0B" w:rsidRPr="00672AC2" w:rsidRDefault="000A4A0B" w:rsidP="006710B9">
      <w:pPr>
        <w:pBdr>
          <w:top w:val="nil"/>
          <w:left w:val="nil"/>
          <w:bottom w:val="nil"/>
          <w:right w:val="nil"/>
          <w:between w:val="nil"/>
        </w:pBdr>
        <w:ind w:firstLine="720"/>
        <w:jc w:val="both"/>
        <w:rPr>
          <w:bCs/>
          <w:lang w:val="es-US"/>
        </w:rPr>
      </w:pPr>
      <w:r w:rsidRPr="00672AC2">
        <w:rPr>
          <w:rFonts w:eastAsia="Cambria" w:cs="Cambria"/>
          <w:bCs/>
          <w:i/>
          <w:iCs/>
          <w:color w:val="000000" w:themeColor="text1"/>
          <w:sz w:val="20"/>
          <w:szCs w:val="20"/>
          <w:lang w:val="es-ES"/>
        </w:rPr>
        <w:t>Información sobre el cumplimiento</w:t>
      </w:r>
      <w:r w:rsidR="001E5003" w:rsidRPr="00672AC2">
        <w:rPr>
          <w:rFonts w:eastAsia="Cambria" w:cs="Cambria"/>
          <w:bCs/>
          <w:i/>
          <w:iCs/>
          <w:color w:val="000000" w:themeColor="text1"/>
          <w:sz w:val="20"/>
          <w:szCs w:val="20"/>
          <w:lang w:val="es-ES"/>
        </w:rPr>
        <w:t xml:space="preserve"> </w:t>
      </w:r>
    </w:p>
    <w:p w14:paraId="7DE5BB30" w14:textId="77777777" w:rsidR="000A4A0B" w:rsidRPr="00672AC2" w:rsidRDefault="000A4A0B" w:rsidP="000A4A0B">
      <w:pPr>
        <w:shd w:val="clear" w:color="auto" w:fill="FFFFFF" w:themeFill="background1"/>
        <w:suppressAutoHyphens w:val="0"/>
        <w:jc w:val="both"/>
        <w:rPr>
          <w:bCs/>
          <w:sz w:val="20"/>
          <w:szCs w:val="20"/>
          <w:lang w:val="es-419" w:eastAsia="es-US"/>
        </w:rPr>
      </w:pPr>
    </w:p>
    <w:p w14:paraId="675E85B5" w14:textId="2156C6AD" w:rsidR="000A4A0B" w:rsidRPr="006710B9" w:rsidRDefault="1561DDF7" w:rsidP="006710B9">
      <w:pPr>
        <w:pStyle w:val="IAPrrafo"/>
        <w:rPr>
          <w:b/>
          <w:bCs/>
          <w:color w:val="000000" w:themeColor="text1"/>
          <w:szCs w:val="20"/>
          <w:lang w:eastAsia="es-US"/>
        </w:rPr>
      </w:pPr>
      <w:r w:rsidRPr="00672AC2">
        <w:rPr>
          <w:color w:val="000000" w:themeColor="text1"/>
          <w:szCs w:val="20"/>
          <w:lang w:eastAsia="es-US"/>
        </w:rPr>
        <w:t>Para el año 2024, e</w:t>
      </w:r>
      <w:r w:rsidRPr="00672AC2">
        <w:rPr>
          <w:color w:val="000000" w:themeColor="text1"/>
          <w:szCs w:val="20"/>
          <w:lang w:val="es-US" w:eastAsia="es-US"/>
        </w:rPr>
        <w:t xml:space="preserve">l Estado informó que el Ministerio de Relaciones Exteriores viene elaborando el informe de remisión de la </w:t>
      </w:r>
      <w:r w:rsidRPr="00672AC2">
        <w:rPr>
          <w:szCs w:val="20"/>
          <w:lang w:val="es-CO"/>
        </w:rPr>
        <w:t xml:space="preserve">Convención Interamericana contra el Racismo, la Discriminación Racial y Formas conexas de intolerancia </w:t>
      </w:r>
      <w:r w:rsidRPr="00672AC2">
        <w:rPr>
          <w:color w:val="000000" w:themeColor="text1"/>
          <w:szCs w:val="20"/>
          <w:lang w:val="es-US" w:eastAsia="es-US"/>
        </w:rPr>
        <w:t>y el expediente para la ratificación para ser enviado al Poder Legislativo. Para ello, indicó que los distintos sectores del Poder Ejecutivo han presentado informes técnicos y han realizado reuniones de coordinación.</w:t>
      </w:r>
    </w:p>
    <w:p w14:paraId="19813BC8" w14:textId="587199C7" w:rsidR="000A4A0B" w:rsidRPr="006710B9" w:rsidRDefault="1561DDF7" w:rsidP="006710B9">
      <w:pPr>
        <w:pStyle w:val="IAPrrafo"/>
        <w:rPr>
          <w:b/>
          <w:bCs/>
          <w:color w:val="000000" w:themeColor="text1"/>
          <w:szCs w:val="20"/>
          <w:lang w:eastAsia="es-US"/>
        </w:rPr>
      </w:pPr>
      <w:r w:rsidRPr="00672AC2">
        <w:rPr>
          <w:color w:val="000000" w:themeColor="text1"/>
          <w:szCs w:val="20"/>
          <w:lang w:eastAsia="es-US"/>
        </w:rPr>
        <w:t xml:space="preserve">Por su parte, la Comisión recibió </w:t>
      </w:r>
      <w:r w:rsidR="000B1D99" w:rsidRPr="00672AC2">
        <w:rPr>
          <w:color w:val="000000" w:themeColor="text1"/>
          <w:szCs w:val="20"/>
          <w:lang w:eastAsia="es-US"/>
        </w:rPr>
        <w:t>información</w:t>
      </w:r>
      <w:r w:rsidRPr="00672AC2">
        <w:rPr>
          <w:color w:val="000000" w:themeColor="text1"/>
          <w:szCs w:val="20"/>
          <w:lang w:eastAsia="es-US"/>
        </w:rPr>
        <w:t xml:space="preserve"> proporcionada por sociedad civil según la cual no se conocen medidas para ratificar la Convención, a pesar de haber sido firmada por el Estado el 25 de octubre de 2016.</w:t>
      </w:r>
    </w:p>
    <w:p w14:paraId="0DDF30DD" w14:textId="77777777" w:rsidR="000A4A0B" w:rsidRPr="00672AC2" w:rsidRDefault="000A4A0B" w:rsidP="006710B9">
      <w:pPr>
        <w:ind w:firstLine="720"/>
        <w:jc w:val="both"/>
        <w:rPr>
          <w:rFonts w:eastAsia="Cambria" w:cs="Cambria"/>
          <w:bCs/>
          <w:i/>
          <w:iCs/>
          <w:color w:val="000000" w:themeColor="text1"/>
          <w:sz w:val="20"/>
          <w:szCs w:val="20"/>
          <w:lang w:val="es-ES"/>
        </w:rPr>
      </w:pPr>
      <w:r w:rsidRPr="00672AC2">
        <w:rPr>
          <w:rFonts w:eastAsia="Cambria" w:cs="Cambria"/>
          <w:bCs/>
          <w:i/>
          <w:iCs/>
          <w:color w:val="000000" w:themeColor="text1"/>
          <w:sz w:val="20"/>
          <w:szCs w:val="20"/>
          <w:lang w:val="es-ES"/>
        </w:rPr>
        <w:t>Análisis y nivel de cumplimiento de la recomendación</w:t>
      </w:r>
    </w:p>
    <w:p w14:paraId="46625385" w14:textId="77777777" w:rsidR="000A4A0B" w:rsidRPr="00672AC2" w:rsidRDefault="000A4A0B" w:rsidP="000A4A0B">
      <w:pPr>
        <w:pStyle w:val="IASubttulo2"/>
        <w:numPr>
          <w:ilvl w:val="0"/>
          <w:numId w:val="0"/>
        </w:numPr>
        <w:spacing w:after="0"/>
        <w:ind w:left="1440"/>
        <w:jc w:val="both"/>
        <w:rPr>
          <w:b w:val="0"/>
          <w:bCs/>
          <w:sz w:val="20"/>
          <w:szCs w:val="20"/>
          <w:lang w:val="es-CO" w:eastAsia="es-US"/>
        </w:rPr>
      </w:pPr>
    </w:p>
    <w:p w14:paraId="452AE8DD" w14:textId="71356B00" w:rsidR="000A4A0B" w:rsidRPr="00672AC2" w:rsidRDefault="1561DDF7" w:rsidP="00E83710">
      <w:pPr>
        <w:pStyle w:val="IAPrrafo"/>
        <w:rPr>
          <w:b/>
          <w:bCs/>
          <w:szCs w:val="20"/>
          <w:lang w:val="es-CO" w:eastAsia="es-US"/>
        </w:rPr>
      </w:pPr>
      <w:r w:rsidRPr="00672AC2">
        <w:rPr>
          <w:szCs w:val="20"/>
          <w:lang w:val="es-CO" w:eastAsia="es-US"/>
        </w:rPr>
        <w:t>La CIDH agradece</w:t>
      </w:r>
      <w:r w:rsidR="000B1D99" w:rsidRPr="00672AC2">
        <w:rPr>
          <w:szCs w:val="20"/>
          <w:lang w:val="es-CO" w:eastAsia="es-US"/>
        </w:rPr>
        <w:t xml:space="preserve"> lo reportado por</w:t>
      </w:r>
      <w:r w:rsidRPr="00672AC2">
        <w:rPr>
          <w:szCs w:val="20"/>
          <w:lang w:val="es-CO" w:eastAsia="es-US"/>
        </w:rPr>
        <w:t xml:space="preserve"> </w:t>
      </w:r>
      <w:r w:rsidR="000B1D99" w:rsidRPr="00672AC2">
        <w:rPr>
          <w:szCs w:val="20"/>
          <w:lang w:val="es-CO" w:eastAsia="es-US"/>
        </w:rPr>
        <w:t xml:space="preserve">el </w:t>
      </w:r>
      <w:r w:rsidRPr="00672AC2">
        <w:rPr>
          <w:szCs w:val="20"/>
          <w:lang w:val="es-CO" w:eastAsia="es-US"/>
        </w:rPr>
        <w:t xml:space="preserve">Estado respecto a las coordinaciones que se vienen realizando en el Poder Ejecutivo. En relación con la </w:t>
      </w:r>
      <w:r w:rsidRPr="00672AC2">
        <w:rPr>
          <w:szCs w:val="20"/>
          <w:lang w:val="es-CO"/>
        </w:rPr>
        <w:t>Convención Interamericana contra el Racismo, la Discriminación Racial y Formas conexas de intolerancia, la CIDH recuerda que</w:t>
      </w:r>
      <w:r w:rsidRPr="00672AC2">
        <w:rPr>
          <w:szCs w:val="20"/>
          <w:lang w:val="es-CO" w:eastAsia="es-US"/>
        </w:rPr>
        <w:t xml:space="preserve"> este instrumento consolida estándares internacionales en la materia fijados en la Convención Internacional sobre la Eliminación de todas las Formas de Discriminación Racial, y avanza en la definición legal de formas contemporáneas de racismo</w:t>
      </w:r>
      <w:r w:rsidR="00F36B41">
        <w:rPr>
          <w:rFonts w:ascii="ZWAdobeF" w:hAnsi="ZWAdobeF" w:cs="ZWAdobeF"/>
          <w:color w:val="auto"/>
          <w:sz w:val="2"/>
          <w:szCs w:val="2"/>
          <w:lang w:val="es-CO" w:eastAsia="es-US"/>
        </w:rPr>
        <w:t>131F</w:t>
      </w:r>
      <w:r w:rsidR="000A4A0B" w:rsidRPr="00672AC2">
        <w:rPr>
          <w:rStyle w:val="FootnoteReference"/>
          <w:szCs w:val="20"/>
          <w:lang w:val="es-CO" w:eastAsia="es-US"/>
        </w:rPr>
        <w:footnoteReference w:id="133"/>
      </w:r>
      <w:r w:rsidRPr="00672AC2">
        <w:rPr>
          <w:szCs w:val="20"/>
          <w:lang w:val="es-CO" w:eastAsia="es-US"/>
        </w:rPr>
        <w:t>.</w:t>
      </w:r>
    </w:p>
    <w:p w14:paraId="5ED81C76" w14:textId="4CAD4EB8" w:rsidR="000A4A0B" w:rsidRPr="006710B9" w:rsidRDefault="000A4A0B" w:rsidP="006710B9">
      <w:pPr>
        <w:pStyle w:val="IAPrrafo"/>
        <w:rPr>
          <w:b/>
          <w:szCs w:val="20"/>
          <w:lang w:val="es-CO"/>
        </w:rPr>
      </w:pPr>
      <w:r w:rsidRPr="00672AC2">
        <w:rPr>
          <w:bCs/>
          <w:szCs w:val="20"/>
          <w:lang w:val="es-CO" w:eastAsia="es-US"/>
        </w:rPr>
        <w:t xml:space="preserve">A partir de la información </w:t>
      </w:r>
      <w:r w:rsidR="000B1D99" w:rsidRPr="00672AC2">
        <w:rPr>
          <w:bCs/>
          <w:szCs w:val="20"/>
          <w:lang w:val="es-CO" w:eastAsia="es-US"/>
        </w:rPr>
        <w:t>enviada</w:t>
      </w:r>
      <w:r w:rsidRPr="00672AC2">
        <w:rPr>
          <w:bCs/>
          <w:szCs w:val="20"/>
          <w:lang w:val="es-CO" w:eastAsia="es-US"/>
        </w:rPr>
        <w:t xml:space="preserve">, la Comisión </w:t>
      </w:r>
      <w:r w:rsidR="000B1D99" w:rsidRPr="00672AC2">
        <w:rPr>
          <w:bCs/>
          <w:szCs w:val="20"/>
          <w:lang w:val="es-CO" w:eastAsia="es-US"/>
        </w:rPr>
        <w:t>valora</w:t>
      </w:r>
      <w:r w:rsidRPr="00672AC2">
        <w:rPr>
          <w:bCs/>
          <w:szCs w:val="20"/>
          <w:lang w:val="es-CO" w:eastAsia="es-US"/>
        </w:rPr>
        <w:t xml:space="preserve"> que no se han </w:t>
      </w:r>
      <w:r w:rsidR="006A7CF7" w:rsidRPr="00672AC2">
        <w:rPr>
          <w:bCs/>
          <w:szCs w:val="20"/>
          <w:lang w:val="es-CO" w:eastAsia="es-US"/>
        </w:rPr>
        <w:t xml:space="preserve">transmitido </w:t>
      </w:r>
      <w:r w:rsidRPr="00672AC2">
        <w:rPr>
          <w:bCs/>
          <w:szCs w:val="20"/>
          <w:lang w:val="es-CO" w:eastAsia="es-US"/>
        </w:rPr>
        <w:t xml:space="preserve">medidas para </w:t>
      </w:r>
      <w:r w:rsidRPr="00672AC2">
        <w:rPr>
          <w:szCs w:val="20"/>
          <w:lang w:val="es-CO"/>
        </w:rPr>
        <w:t xml:space="preserve">ratificar la Convención en cuestión, por lo que considera que la presente recomendación continúa </w:t>
      </w:r>
      <w:r w:rsidRPr="00AA4A26">
        <w:rPr>
          <w:b/>
          <w:szCs w:val="20"/>
          <w:lang w:val="es-CO"/>
        </w:rPr>
        <w:t>pendiente de cumplimiento</w:t>
      </w:r>
      <w:r w:rsidRPr="00672AC2">
        <w:rPr>
          <w:szCs w:val="20"/>
          <w:lang w:val="es-CO"/>
        </w:rPr>
        <w:t xml:space="preserve">. </w:t>
      </w:r>
    </w:p>
    <w:p w14:paraId="23C8D65A" w14:textId="247354C8" w:rsidR="000A4A0B" w:rsidRPr="00672AC2" w:rsidRDefault="000A4A0B" w:rsidP="006710B9">
      <w:pPr>
        <w:ind w:firstLine="720"/>
        <w:jc w:val="both"/>
        <w:rPr>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6AD3FB5B" w14:textId="77777777" w:rsidR="000A4A0B" w:rsidRPr="00672AC2" w:rsidRDefault="000A4A0B" w:rsidP="000A4A0B">
      <w:pPr>
        <w:ind w:firstLine="360"/>
        <w:jc w:val="both"/>
        <w:rPr>
          <w:lang w:val="es-US"/>
        </w:rPr>
      </w:pPr>
    </w:p>
    <w:p w14:paraId="512504F6" w14:textId="305A2CAA" w:rsidR="00634D1A" w:rsidRPr="006710B9" w:rsidRDefault="000A4A0B" w:rsidP="006710B9">
      <w:pPr>
        <w:pStyle w:val="IAPrrafo"/>
        <w:rPr>
          <w:b/>
          <w:bCs/>
          <w:szCs w:val="20"/>
          <w:lang w:val="es-CO" w:eastAsia="es-US"/>
        </w:rPr>
      </w:pPr>
      <w:r w:rsidRPr="00672AC2">
        <w:rPr>
          <w:bCs/>
          <w:szCs w:val="20"/>
          <w:lang w:val="es-US"/>
        </w:rPr>
        <w:t xml:space="preserve">Con la finalidad de avanzar en el cumplimiento de esta recomendación, la CIDH invita al Estado a ratificar la Convención en cuestión. Para ello, </w:t>
      </w:r>
      <w:r w:rsidR="00390B9F" w:rsidRPr="00672AC2">
        <w:rPr>
          <w:bCs/>
          <w:szCs w:val="20"/>
          <w:lang w:val="es-US"/>
        </w:rPr>
        <w:t xml:space="preserve">advierte </w:t>
      </w:r>
      <w:r w:rsidRPr="00672AC2">
        <w:rPr>
          <w:bCs/>
          <w:szCs w:val="20"/>
          <w:lang w:val="es-US"/>
        </w:rPr>
        <w:t>que es necesario que se presenten los avances propios del trámite parlamentario, incluida la presentación de la iniciativa legislativa, la discusión en comisiones especializadas, la emisión de dictamines, el agendamiento en el Pleno y, finalmente, su aprobación y promulgación.</w:t>
      </w:r>
    </w:p>
    <w:tbl>
      <w:tblPr>
        <w:tblStyle w:val="TableGrid"/>
        <w:tblW w:w="0" w:type="auto"/>
        <w:tblLook w:val="04A0" w:firstRow="1" w:lastRow="0" w:firstColumn="1" w:lastColumn="0" w:noHBand="0" w:noVBand="1"/>
      </w:tblPr>
      <w:tblGrid>
        <w:gridCol w:w="9350"/>
      </w:tblGrid>
      <w:tr w:rsidR="003422A8" w:rsidRPr="00F51AED" w14:paraId="7FA7FE1F" w14:textId="77777777">
        <w:tc>
          <w:tcPr>
            <w:tcW w:w="9350" w:type="dxa"/>
            <w:tcBorders>
              <w:top w:val="nil"/>
              <w:left w:val="nil"/>
              <w:bottom w:val="nil"/>
              <w:right w:val="nil"/>
            </w:tcBorders>
            <w:shd w:val="clear" w:color="auto" w:fill="D0CECE" w:themeFill="background2" w:themeFillShade="E6"/>
          </w:tcPr>
          <w:p w14:paraId="7B622811" w14:textId="24E484EA" w:rsidR="0081119B" w:rsidRPr="006710B9" w:rsidRDefault="003422A8" w:rsidP="006710B9">
            <w:pPr>
              <w:pStyle w:val="IASubttulo2"/>
              <w:numPr>
                <w:ilvl w:val="0"/>
                <w:numId w:val="0"/>
              </w:numPr>
              <w:spacing w:after="0"/>
              <w:ind w:left="154"/>
              <w:jc w:val="both"/>
              <w:rPr>
                <w:b w:val="0"/>
                <w:sz w:val="20"/>
                <w:szCs w:val="20"/>
                <w:lang w:val="es-CO"/>
              </w:rPr>
            </w:pPr>
            <w:bookmarkStart w:id="30" w:name="_Toc195618295"/>
            <w:r w:rsidRPr="00672AC2">
              <w:rPr>
                <w:sz w:val="20"/>
                <w:szCs w:val="20"/>
                <w:lang w:val="es-CO"/>
              </w:rPr>
              <w:t xml:space="preserve">Recomendación </w:t>
            </w:r>
            <w:proofErr w:type="spellStart"/>
            <w:r w:rsidR="002137DD" w:rsidRPr="00672AC2">
              <w:rPr>
                <w:sz w:val="20"/>
                <w:szCs w:val="20"/>
                <w:lang w:val="es-CO"/>
              </w:rPr>
              <w:t>Nº</w:t>
            </w:r>
            <w:proofErr w:type="spellEnd"/>
            <w:r w:rsidRPr="00672AC2">
              <w:rPr>
                <w:sz w:val="20"/>
                <w:szCs w:val="20"/>
                <w:lang w:val="es-CO"/>
              </w:rPr>
              <w:t xml:space="preserve"> </w:t>
            </w:r>
            <w:r w:rsidR="0081119B" w:rsidRPr="00672AC2">
              <w:rPr>
                <w:sz w:val="20"/>
                <w:szCs w:val="20"/>
                <w:lang w:val="es-CO"/>
              </w:rPr>
              <w:t>2</w:t>
            </w:r>
            <w:r w:rsidRPr="00672AC2">
              <w:rPr>
                <w:sz w:val="20"/>
                <w:szCs w:val="20"/>
                <w:lang w:val="es-CO"/>
              </w:rPr>
              <w:t xml:space="preserve">7. </w:t>
            </w:r>
            <w:r w:rsidR="0081119B" w:rsidRPr="00672AC2">
              <w:rPr>
                <w:b w:val="0"/>
                <w:sz w:val="20"/>
                <w:szCs w:val="20"/>
                <w:lang w:val="es-CO"/>
              </w:rPr>
              <w:t>Adoptar medidas dirigidas a mejorar y garantizar la participación política representativa de pueblos indígenas y comunidades campesinas de las distintas regiones del Perú.</w:t>
            </w:r>
            <w:bookmarkEnd w:id="30"/>
          </w:p>
        </w:tc>
      </w:tr>
    </w:tbl>
    <w:p w14:paraId="0E3570E8" w14:textId="77777777" w:rsidR="00147622" w:rsidRPr="00672AC2" w:rsidRDefault="00147622" w:rsidP="00634D1A">
      <w:pPr>
        <w:pStyle w:val="IASubttulo2"/>
        <w:numPr>
          <w:ilvl w:val="0"/>
          <w:numId w:val="0"/>
        </w:numPr>
        <w:spacing w:after="0"/>
        <w:jc w:val="both"/>
        <w:rPr>
          <w:b w:val="0"/>
          <w:bCs/>
          <w:sz w:val="20"/>
          <w:szCs w:val="20"/>
          <w:lang w:val="es-419" w:eastAsia="es-US"/>
        </w:rPr>
      </w:pPr>
    </w:p>
    <w:p w14:paraId="0087C814" w14:textId="5BFE5160" w:rsidR="00211319" w:rsidRPr="00672AC2" w:rsidRDefault="00211319" w:rsidP="006710B9">
      <w:pPr>
        <w:ind w:firstLine="720"/>
        <w:jc w:val="both"/>
        <w:rPr>
          <w:bCs/>
        </w:rPr>
      </w:pPr>
      <w:r w:rsidRPr="00672AC2">
        <w:rPr>
          <w:rFonts w:eastAsia="Cambria" w:cs="Cambria"/>
          <w:bCs/>
          <w:i/>
          <w:iCs/>
          <w:color w:val="000000" w:themeColor="text1"/>
          <w:sz w:val="20"/>
          <w:szCs w:val="20"/>
          <w:lang w:val="es-ES"/>
        </w:rPr>
        <w:t>Información sobre el cumplimiento</w:t>
      </w:r>
      <w:r w:rsidR="001E5003" w:rsidRPr="00672AC2">
        <w:rPr>
          <w:rFonts w:eastAsia="Cambria" w:cs="Cambria"/>
          <w:bCs/>
          <w:i/>
          <w:iCs/>
          <w:color w:val="000000" w:themeColor="text1"/>
          <w:sz w:val="20"/>
          <w:szCs w:val="20"/>
          <w:lang w:val="es-ES"/>
        </w:rPr>
        <w:t xml:space="preserve"> </w:t>
      </w:r>
    </w:p>
    <w:p w14:paraId="741353B2" w14:textId="77777777" w:rsidR="00211319" w:rsidRPr="00672AC2" w:rsidRDefault="00211319" w:rsidP="00211319">
      <w:pPr>
        <w:shd w:val="clear" w:color="auto" w:fill="FFFFFF" w:themeFill="background1"/>
        <w:suppressAutoHyphens w:val="0"/>
        <w:jc w:val="both"/>
        <w:rPr>
          <w:bCs/>
          <w:sz w:val="20"/>
          <w:szCs w:val="20"/>
          <w:lang w:val="es-419" w:eastAsia="es-US"/>
        </w:rPr>
      </w:pPr>
    </w:p>
    <w:p w14:paraId="2EEC3BDF" w14:textId="7000E06B" w:rsidR="00211319" w:rsidRPr="00672AC2" w:rsidRDefault="25B3FAAE" w:rsidP="00E83710">
      <w:pPr>
        <w:pStyle w:val="IAPrrafo"/>
        <w:rPr>
          <w:b/>
          <w:bCs/>
          <w:szCs w:val="20"/>
          <w:lang w:val="es-ES"/>
        </w:rPr>
      </w:pPr>
      <w:r w:rsidRPr="00672AC2">
        <w:rPr>
          <w:bCs/>
          <w:szCs w:val="20"/>
          <w:lang w:val="es-ES"/>
        </w:rPr>
        <w:t xml:space="preserve">En el 2024, el Estado </w:t>
      </w:r>
      <w:r w:rsidR="00BC5E75" w:rsidRPr="00672AC2">
        <w:rPr>
          <w:bCs/>
          <w:szCs w:val="20"/>
          <w:lang w:val="es-ES"/>
        </w:rPr>
        <w:t xml:space="preserve">resaltó </w:t>
      </w:r>
      <w:r w:rsidRPr="00672AC2">
        <w:rPr>
          <w:bCs/>
          <w:szCs w:val="20"/>
          <w:lang w:val="es-ES"/>
        </w:rPr>
        <w:t>que el Jurado Nacional de Elecciones (JNE) elaboró el documento “(Sub) Representación Política de Pueblos Originarios en el Perú, una propuesta para escaños reservados en el Congreso Peruano”, el cual busca aportar al debate sobre la necesidad de fortalecer la representación política de estos actores. En ese sentido, el 14 de diciembre de 2023 organizó un evento de presentación del estudio en el Congreso de la República.</w:t>
      </w:r>
    </w:p>
    <w:p w14:paraId="1BB0744B" w14:textId="2B2B76AD" w:rsidR="00211319" w:rsidRPr="008F6727" w:rsidRDefault="25B3FAAE" w:rsidP="008F6727">
      <w:pPr>
        <w:pStyle w:val="IAPrrafo"/>
        <w:rPr>
          <w:lang w:eastAsia="es-US"/>
        </w:rPr>
      </w:pPr>
      <w:r w:rsidRPr="00672AC2">
        <w:rPr>
          <w:lang w:eastAsia="es-US"/>
        </w:rPr>
        <w:t xml:space="preserve">Por su parte, sociedad civil comunicó a la Comisión sobre la existencia de cuotas electorales a favor pueblos indígenas y comunidades en el caso de las elecciones regionales y municipales. De acuerdo con lo informado, la aplicación de las cuotas ha tenido algunos problemas de implementación que no han permitido cumplir con los siguientes objetivos: </w:t>
      </w:r>
      <w:r w:rsidR="008F6727">
        <w:rPr>
          <w:lang w:eastAsia="es-US"/>
        </w:rPr>
        <w:t>(</w:t>
      </w:r>
      <w:r w:rsidRPr="00672AC2">
        <w:rPr>
          <w:lang w:eastAsia="es-US"/>
        </w:rPr>
        <w:t>i) abordar las barreras estructurales como el racismo institucionalizado o las desigualdades en el acceso a recursos</w:t>
      </w:r>
      <w:r w:rsidR="003C108B" w:rsidRPr="00672AC2">
        <w:rPr>
          <w:lang w:eastAsia="es-US"/>
        </w:rPr>
        <w:t>;</w:t>
      </w:r>
      <w:r w:rsidRPr="00672AC2">
        <w:rPr>
          <w:lang w:eastAsia="es-US"/>
        </w:rPr>
        <w:t xml:space="preserve"> y </w:t>
      </w:r>
      <w:r w:rsidR="008F6727">
        <w:rPr>
          <w:lang w:eastAsia="es-US"/>
        </w:rPr>
        <w:t>(</w:t>
      </w:r>
      <w:proofErr w:type="spellStart"/>
      <w:r w:rsidRPr="00672AC2">
        <w:rPr>
          <w:lang w:eastAsia="es-US"/>
        </w:rPr>
        <w:t>ii</w:t>
      </w:r>
      <w:proofErr w:type="spellEnd"/>
      <w:r w:rsidRPr="00672AC2">
        <w:rPr>
          <w:lang w:eastAsia="es-US"/>
        </w:rPr>
        <w:t xml:space="preserve">) incorporar las demandas y necesidades de los pueblos indígenas en las gestiones municipales y regionales. Asimismo, sociedad civil manifestó que no se conocen esfuerzos para </w:t>
      </w:r>
      <w:r w:rsidR="005A3FAB" w:rsidRPr="00672AC2">
        <w:rPr>
          <w:lang w:eastAsia="es-US"/>
        </w:rPr>
        <w:t xml:space="preserve">contemplar </w:t>
      </w:r>
      <w:r w:rsidRPr="00672AC2">
        <w:rPr>
          <w:lang w:eastAsia="es-US"/>
        </w:rPr>
        <w:t>un mecanismo de representación de pueblos indígenas y comunidades en el Poder Legislativo.</w:t>
      </w:r>
      <w:r w:rsidR="001E5003" w:rsidRPr="00672AC2">
        <w:rPr>
          <w:lang w:eastAsia="es-US"/>
        </w:rPr>
        <w:t xml:space="preserve"> </w:t>
      </w:r>
    </w:p>
    <w:p w14:paraId="5B6A2CEC" w14:textId="77777777" w:rsidR="00211319" w:rsidRPr="00672AC2" w:rsidRDefault="00211319" w:rsidP="008F6727">
      <w:pPr>
        <w:ind w:firstLine="720"/>
        <w:jc w:val="both"/>
        <w:rPr>
          <w:rFonts w:eastAsia="Cambria" w:cs="Cambria"/>
          <w:bCs/>
          <w:i/>
          <w:iCs/>
          <w:color w:val="000000" w:themeColor="text1"/>
          <w:sz w:val="20"/>
          <w:szCs w:val="20"/>
          <w:lang w:val="es-ES"/>
        </w:rPr>
      </w:pPr>
      <w:r w:rsidRPr="00672AC2">
        <w:rPr>
          <w:rFonts w:eastAsia="Cambria" w:cs="Cambria"/>
          <w:bCs/>
          <w:i/>
          <w:iCs/>
          <w:color w:val="000000" w:themeColor="text1"/>
          <w:sz w:val="20"/>
          <w:szCs w:val="20"/>
          <w:lang w:val="es-ES"/>
        </w:rPr>
        <w:t>Análisis y nivel de cumplimiento de la recomendación</w:t>
      </w:r>
    </w:p>
    <w:p w14:paraId="134A451C" w14:textId="77777777" w:rsidR="00211319" w:rsidRPr="00672AC2" w:rsidRDefault="00211319" w:rsidP="00211319">
      <w:pPr>
        <w:jc w:val="both"/>
        <w:rPr>
          <w:bCs/>
          <w:lang w:val="es-CO"/>
        </w:rPr>
      </w:pPr>
    </w:p>
    <w:p w14:paraId="234A01D0" w14:textId="56532DC0" w:rsidR="00211319" w:rsidRPr="00672AC2" w:rsidRDefault="00211319" w:rsidP="008F6727">
      <w:pPr>
        <w:pStyle w:val="IAPrrafo"/>
        <w:rPr>
          <w:b/>
          <w:bCs/>
          <w:szCs w:val="20"/>
          <w:lang w:val="es-CO"/>
        </w:rPr>
      </w:pPr>
      <w:r w:rsidRPr="00672AC2">
        <w:rPr>
          <w:bCs/>
          <w:szCs w:val="20"/>
          <w:lang w:val="es-US"/>
        </w:rPr>
        <w:t xml:space="preserve">La Comisión recuerda que el seguimiento de esta recomendación está dirigido a establecer si el Estado ha adoptado medidas que fomenten la representación de los pueblos indígenas y comunidades campesinas en el sistema de representación política de carácter nacional y regional. En ese sentido, la CIDH solicita información que le permita conocer las medidas que se han tomado para garantizar la </w:t>
      </w:r>
      <w:proofErr w:type="gramStart"/>
      <w:r w:rsidRPr="00672AC2">
        <w:rPr>
          <w:bCs/>
          <w:szCs w:val="20"/>
          <w:lang w:val="es-US"/>
        </w:rPr>
        <w:t>participación activa</w:t>
      </w:r>
      <w:proofErr w:type="gramEnd"/>
      <w:r w:rsidRPr="00672AC2">
        <w:rPr>
          <w:bCs/>
          <w:szCs w:val="20"/>
          <w:lang w:val="es-US"/>
        </w:rPr>
        <w:t xml:space="preserve"> de miembros de pueblos indígenas en </w:t>
      </w:r>
      <w:r w:rsidR="00BA4D21" w:rsidRPr="00672AC2">
        <w:rPr>
          <w:bCs/>
          <w:szCs w:val="20"/>
          <w:lang w:val="es-US"/>
        </w:rPr>
        <w:t>la</w:t>
      </w:r>
      <w:r w:rsidRPr="00672AC2">
        <w:rPr>
          <w:bCs/>
          <w:szCs w:val="20"/>
          <w:lang w:val="es-US"/>
        </w:rPr>
        <w:t xml:space="preserve"> representación política electoral y </w:t>
      </w:r>
      <w:r w:rsidR="00BA4D21" w:rsidRPr="00672AC2">
        <w:rPr>
          <w:bCs/>
          <w:szCs w:val="20"/>
          <w:lang w:val="es-US"/>
        </w:rPr>
        <w:t>en mecanismos</w:t>
      </w:r>
      <w:r w:rsidRPr="00672AC2">
        <w:rPr>
          <w:bCs/>
          <w:szCs w:val="20"/>
          <w:lang w:val="es-US"/>
        </w:rPr>
        <w:t xml:space="preserve"> </w:t>
      </w:r>
      <w:r w:rsidR="00BA4D21" w:rsidRPr="00672AC2">
        <w:rPr>
          <w:bCs/>
          <w:szCs w:val="20"/>
          <w:lang w:val="es-US"/>
        </w:rPr>
        <w:t xml:space="preserve">dirigidos a </w:t>
      </w:r>
      <w:r w:rsidRPr="00672AC2">
        <w:rPr>
          <w:bCs/>
          <w:szCs w:val="20"/>
          <w:lang w:val="es-US"/>
        </w:rPr>
        <w:t>incorporar la agenda de los pueblos indígenas en el debate público.</w:t>
      </w:r>
    </w:p>
    <w:p w14:paraId="0FFDB315" w14:textId="2956C282" w:rsidR="00DB774E" w:rsidRPr="008F6727" w:rsidRDefault="00BA4D21" w:rsidP="008F6727">
      <w:pPr>
        <w:pStyle w:val="IAPrrafo"/>
        <w:tabs>
          <w:tab w:val="left" w:pos="720"/>
        </w:tabs>
        <w:rPr>
          <w:b/>
          <w:bCs/>
          <w:szCs w:val="20"/>
          <w:lang w:val="es-CO"/>
        </w:rPr>
      </w:pPr>
      <w:r w:rsidRPr="00672AC2">
        <w:rPr>
          <w:szCs w:val="20"/>
          <w:lang w:val="es-CO"/>
        </w:rPr>
        <w:t>L</w:t>
      </w:r>
      <w:r w:rsidR="25B3FAAE" w:rsidRPr="00672AC2">
        <w:rPr>
          <w:szCs w:val="20"/>
          <w:lang w:val="es-US"/>
        </w:rPr>
        <w:t xml:space="preserve">a CIDH agradece al Estado la información referida al documento elaborado por el JNE para fomentar la discusión sobre el sistema de representación política de pueblos indígenas, así como a la inclusión de </w:t>
      </w:r>
      <w:r w:rsidR="00E839BC" w:rsidRPr="00672AC2">
        <w:rPr>
          <w:szCs w:val="20"/>
          <w:lang w:val="es-US"/>
        </w:rPr>
        <w:t>una fórmula</w:t>
      </w:r>
      <w:r w:rsidR="25B3FAAE" w:rsidRPr="00672AC2">
        <w:rPr>
          <w:szCs w:val="20"/>
          <w:lang w:val="es-US"/>
        </w:rPr>
        <w:t xml:space="preserve"> de escaños reservados como una opción para garantizar su representación. Asimismo, toma nota de la existencia de cuota</w:t>
      </w:r>
      <w:r w:rsidRPr="00672AC2">
        <w:rPr>
          <w:szCs w:val="20"/>
          <w:lang w:val="es-US"/>
        </w:rPr>
        <w:t>s</w:t>
      </w:r>
      <w:r w:rsidR="25B3FAAE" w:rsidRPr="00672AC2">
        <w:rPr>
          <w:szCs w:val="20"/>
          <w:lang w:val="es-US"/>
        </w:rPr>
        <w:t xml:space="preserve"> electoral</w:t>
      </w:r>
      <w:r w:rsidRPr="00672AC2">
        <w:rPr>
          <w:szCs w:val="20"/>
          <w:lang w:val="es-US"/>
        </w:rPr>
        <w:t>es</w:t>
      </w:r>
      <w:r w:rsidR="25B3FAAE" w:rsidRPr="00672AC2">
        <w:rPr>
          <w:szCs w:val="20"/>
          <w:lang w:val="es-US"/>
        </w:rPr>
        <w:t xml:space="preserve"> en el sistema de representación regional y municipal (existentes desde el 2002), identificando que este antecede el Informe </w:t>
      </w:r>
      <w:r w:rsidR="00BB1168" w:rsidRPr="00672AC2">
        <w:rPr>
          <w:szCs w:val="20"/>
          <w:lang w:val="es-US"/>
        </w:rPr>
        <w:t xml:space="preserve">de </w:t>
      </w:r>
      <w:r w:rsidR="25B3FAAE" w:rsidRPr="00672AC2">
        <w:rPr>
          <w:szCs w:val="20"/>
          <w:lang w:val="es-US"/>
        </w:rPr>
        <w:t>País presentado</w:t>
      </w:r>
      <w:r w:rsidR="00F36B41">
        <w:rPr>
          <w:rFonts w:ascii="ZWAdobeF" w:hAnsi="ZWAdobeF" w:cs="ZWAdobeF"/>
          <w:color w:val="auto"/>
          <w:sz w:val="2"/>
          <w:szCs w:val="2"/>
          <w:lang w:val="es-US"/>
        </w:rPr>
        <w:t>132F</w:t>
      </w:r>
      <w:r w:rsidR="00211319" w:rsidRPr="00672AC2">
        <w:rPr>
          <w:rStyle w:val="FootnoteReference"/>
          <w:szCs w:val="20"/>
          <w:lang w:val="es-US"/>
        </w:rPr>
        <w:footnoteReference w:id="134"/>
      </w:r>
      <w:r w:rsidR="25B3FAAE" w:rsidRPr="00672AC2">
        <w:rPr>
          <w:szCs w:val="20"/>
          <w:lang w:val="es-US"/>
        </w:rPr>
        <w:t xml:space="preserve">. En ese sentido, la Comisión considera que no se han reportado medidas efectivas que busquen dar pasos concretos hacia el cumplimiento de la recomendación, por lo que concluye que esta se encuentra </w:t>
      </w:r>
      <w:r w:rsidR="25B3FAAE" w:rsidRPr="00672AC2">
        <w:rPr>
          <w:rFonts w:eastAsia="Times New Roman" w:cs="Times New Roman"/>
          <w:szCs w:val="20"/>
          <w:lang w:val="es-US" w:eastAsia="es-US"/>
        </w:rPr>
        <w:t>pendiente de cumplimiento.</w:t>
      </w:r>
      <w:r w:rsidR="001E5003" w:rsidRPr="00672AC2">
        <w:rPr>
          <w:rFonts w:eastAsia="Times New Roman" w:cs="Times New Roman"/>
          <w:szCs w:val="20"/>
          <w:lang w:val="es-US" w:eastAsia="es-US"/>
        </w:rPr>
        <w:t xml:space="preserve"> </w:t>
      </w:r>
    </w:p>
    <w:p w14:paraId="76E79AF2" w14:textId="77777777" w:rsidR="00DB774E" w:rsidRPr="00672AC2" w:rsidRDefault="00DB774E" w:rsidP="008F6727">
      <w:pPr>
        <w:ind w:firstLine="720"/>
        <w:jc w:val="both"/>
        <w:rPr>
          <w:bCs/>
          <w:lang w:val="es-CO"/>
        </w:rPr>
      </w:pPr>
      <w:r w:rsidRPr="00672AC2">
        <w:rPr>
          <w:rFonts w:eastAsia="Cambria" w:cs="Cambria"/>
          <w:bCs/>
          <w:i/>
          <w:iCs/>
          <w:color w:val="000000" w:themeColor="text1"/>
          <w:sz w:val="20"/>
          <w:szCs w:val="20"/>
          <w:lang w:val="es-ES"/>
        </w:rPr>
        <w:t xml:space="preserve">Medidas e información para avanzar en el cumplimiento de la recomendación </w:t>
      </w:r>
    </w:p>
    <w:p w14:paraId="3302363D" w14:textId="77777777" w:rsidR="00DB774E" w:rsidRPr="00DB774E" w:rsidRDefault="00DB774E" w:rsidP="00DB774E">
      <w:pPr>
        <w:pStyle w:val="IASubttulo2"/>
        <w:numPr>
          <w:ilvl w:val="0"/>
          <w:numId w:val="0"/>
        </w:numPr>
        <w:tabs>
          <w:tab w:val="left" w:pos="720"/>
        </w:tabs>
        <w:spacing w:after="0"/>
        <w:ind w:left="720"/>
        <w:jc w:val="both"/>
        <w:rPr>
          <w:b w:val="0"/>
          <w:bCs/>
          <w:sz w:val="20"/>
          <w:szCs w:val="20"/>
          <w:lang w:val="es-CO"/>
        </w:rPr>
      </w:pPr>
    </w:p>
    <w:p w14:paraId="4D8D6B0E" w14:textId="54009707" w:rsidR="00211319" w:rsidRPr="00DB774E" w:rsidRDefault="00DB774E" w:rsidP="00E83710">
      <w:pPr>
        <w:pStyle w:val="IAPrrafo"/>
        <w:rPr>
          <w:b/>
          <w:szCs w:val="20"/>
          <w:lang w:val="es-CO" w:eastAsia="es-US"/>
        </w:rPr>
      </w:pPr>
      <w:r w:rsidRPr="24019998">
        <w:rPr>
          <w:szCs w:val="20"/>
          <w:lang w:val="es-US"/>
        </w:rPr>
        <w:t xml:space="preserve">Para analizar el avance de la presente recomendación, la Comisión entiende importante conocer el alcance de la discusión sobre el sistema electoral para la representación política de pueblos indígenas y comunidades campesinas en el Poder Legislativo. Además, espera conocer los contenidos de dichas propuestas, y los procesos de discusión y aprobación que se están dando en el Congreso. De otro lado, la Comisión solicita información específica que permita identificar, de ser el caso, de qué manera se están </w:t>
      </w:r>
      <w:r>
        <w:rPr>
          <w:szCs w:val="20"/>
          <w:lang w:val="es-US"/>
        </w:rPr>
        <w:t>cumpliendo</w:t>
      </w:r>
      <w:r w:rsidRPr="24019998">
        <w:rPr>
          <w:szCs w:val="20"/>
          <w:lang w:val="es-US"/>
        </w:rPr>
        <w:t xml:space="preserve"> con los objetivos de las cuotas electorales establecidas en el sistema de representación regional y municipal</w:t>
      </w:r>
      <w:r>
        <w:rPr>
          <w:szCs w:val="20"/>
          <w:lang w:val="es-US"/>
        </w:rPr>
        <w:t>.</w:t>
      </w:r>
    </w:p>
    <w:p w14:paraId="699821FF" w14:textId="452528FF" w:rsidR="001161A5" w:rsidRPr="00C5023D" w:rsidRDefault="2886108A" w:rsidP="00C5023D">
      <w:pPr>
        <w:pStyle w:val="IASubttulo2"/>
        <w:numPr>
          <w:ilvl w:val="0"/>
          <w:numId w:val="34"/>
        </w:numPr>
        <w:rPr>
          <w:lang w:val="es-CO" w:eastAsia="es-US"/>
        </w:rPr>
      </w:pPr>
      <w:bookmarkStart w:id="31" w:name="_Toc195618296"/>
      <w:r w:rsidRPr="00C5023D">
        <w:rPr>
          <w:lang w:val="es-CO" w:eastAsia="es-US"/>
        </w:rPr>
        <w:t>Libertad de expresión, reunión y asociación</w:t>
      </w:r>
      <w:bookmarkEnd w:id="31"/>
    </w:p>
    <w:tbl>
      <w:tblPr>
        <w:tblStyle w:val="TableGrid"/>
        <w:tblW w:w="0" w:type="auto"/>
        <w:tblLook w:val="04A0" w:firstRow="1" w:lastRow="0" w:firstColumn="1" w:lastColumn="0" w:noHBand="0" w:noVBand="1"/>
      </w:tblPr>
      <w:tblGrid>
        <w:gridCol w:w="9350"/>
      </w:tblGrid>
      <w:tr w:rsidR="001161A5" w:rsidRPr="00F51AED" w14:paraId="687BE97C" w14:textId="77777777" w:rsidTr="00A323C0">
        <w:tc>
          <w:tcPr>
            <w:tcW w:w="9350" w:type="dxa"/>
            <w:tcBorders>
              <w:top w:val="nil"/>
              <w:left w:val="nil"/>
              <w:bottom w:val="nil"/>
              <w:right w:val="nil"/>
            </w:tcBorders>
            <w:shd w:val="clear" w:color="auto" w:fill="D0CECE" w:themeFill="background2" w:themeFillShade="E6"/>
          </w:tcPr>
          <w:p w14:paraId="257A8638" w14:textId="55CA053C" w:rsidR="001161A5" w:rsidRPr="008F6727" w:rsidRDefault="001161A5" w:rsidP="008F6727">
            <w:pPr>
              <w:pStyle w:val="IASubttulo2"/>
              <w:numPr>
                <w:ilvl w:val="0"/>
                <w:numId w:val="0"/>
              </w:numPr>
              <w:spacing w:after="0"/>
              <w:ind w:left="154"/>
              <w:jc w:val="both"/>
              <w:rPr>
                <w:b w:val="0"/>
                <w:sz w:val="20"/>
                <w:szCs w:val="20"/>
                <w:lang w:val="es-CO"/>
              </w:rPr>
            </w:pPr>
            <w:bookmarkStart w:id="32" w:name="_Toc195618297"/>
            <w:r w:rsidRPr="00672AC2">
              <w:rPr>
                <w:sz w:val="20"/>
                <w:szCs w:val="20"/>
                <w:lang w:val="es-CO"/>
              </w:rPr>
              <w:t xml:space="preserve">Recomendación </w:t>
            </w:r>
            <w:proofErr w:type="spellStart"/>
            <w:r w:rsidR="002137DD" w:rsidRPr="00672AC2">
              <w:rPr>
                <w:sz w:val="20"/>
                <w:szCs w:val="20"/>
                <w:lang w:val="es-CO"/>
              </w:rPr>
              <w:t>Nº</w:t>
            </w:r>
            <w:proofErr w:type="spellEnd"/>
            <w:r w:rsidRPr="00672AC2">
              <w:rPr>
                <w:sz w:val="20"/>
                <w:szCs w:val="20"/>
                <w:lang w:val="es-CO"/>
              </w:rPr>
              <w:t xml:space="preserve"> 28. </w:t>
            </w:r>
            <w:r w:rsidRPr="00672AC2">
              <w:rPr>
                <w:b w:val="0"/>
                <w:sz w:val="20"/>
                <w:szCs w:val="20"/>
                <w:lang w:val="es-CO"/>
              </w:rPr>
              <w:t>Diseñar e implementar una política pública nacional permanente dirigida a la protección de los derechos de reunión pacífica, libertad de expresión y libertad de asociación. Dicha política deberá contar con la participación de todos los sectores de la sociedad y contemplar la actualización de protocolos y programas de formación en las instituciones del Estado; el diseño e implementación de medidas de negociación, mediación y otros medios alternativos de conflictos; y la implementación de medidas de protección de personas defensoras de derechos humanos y periodistas.</w:t>
            </w:r>
            <w:bookmarkEnd w:id="32"/>
          </w:p>
        </w:tc>
      </w:tr>
    </w:tbl>
    <w:p w14:paraId="42CE8ECE" w14:textId="77777777" w:rsidR="00AA428C" w:rsidRDefault="00AA428C" w:rsidP="008F6727">
      <w:pPr>
        <w:pBdr>
          <w:top w:val="nil"/>
          <w:left w:val="nil"/>
          <w:bottom w:val="nil"/>
          <w:right w:val="nil"/>
          <w:between w:val="nil"/>
        </w:pBdr>
        <w:ind w:firstLine="720"/>
        <w:jc w:val="both"/>
        <w:rPr>
          <w:rFonts w:eastAsia="Cambria" w:cs="Cambria"/>
          <w:bCs/>
          <w:i/>
          <w:iCs/>
          <w:color w:val="000000" w:themeColor="text1"/>
          <w:sz w:val="20"/>
          <w:szCs w:val="20"/>
          <w:lang w:val="es-ES"/>
        </w:rPr>
      </w:pPr>
    </w:p>
    <w:p w14:paraId="7CA9CCB5" w14:textId="635B5B68" w:rsidR="001161A5" w:rsidRPr="00672AC2" w:rsidRDefault="001161A5" w:rsidP="008F6727">
      <w:pPr>
        <w:pBdr>
          <w:top w:val="nil"/>
          <w:left w:val="nil"/>
          <w:bottom w:val="nil"/>
          <w:right w:val="nil"/>
          <w:between w:val="nil"/>
        </w:pBdr>
        <w:ind w:firstLine="720"/>
        <w:jc w:val="both"/>
        <w:rPr>
          <w:bCs/>
          <w:lang w:val="es-US"/>
        </w:rPr>
      </w:pPr>
      <w:r w:rsidRPr="00672AC2">
        <w:rPr>
          <w:rFonts w:eastAsia="Cambria" w:cs="Cambria"/>
          <w:bCs/>
          <w:i/>
          <w:iCs/>
          <w:color w:val="000000" w:themeColor="text1"/>
          <w:sz w:val="20"/>
          <w:szCs w:val="20"/>
          <w:lang w:val="es-ES"/>
        </w:rPr>
        <w:t>Información sobre el cumplimiento</w:t>
      </w:r>
      <w:r w:rsidR="001E5003" w:rsidRPr="00672AC2">
        <w:rPr>
          <w:rFonts w:eastAsia="Cambria" w:cs="Cambria"/>
          <w:bCs/>
          <w:i/>
          <w:iCs/>
          <w:color w:val="000000" w:themeColor="text1"/>
          <w:sz w:val="20"/>
          <w:szCs w:val="20"/>
          <w:lang w:val="es-ES"/>
        </w:rPr>
        <w:t xml:space="preserve"> </w:t>
      </w:r>
    </w:p>
    <w:p w14:paraId="191F494C" w14:textId="77777777" w:rsidR="001161A5" w:rsidRPr="00672AC2" w:rsidRDefault="001161A5" w:rsidP="001161A5">
      <w:pPr>
        <w:shd w:val="clear" w:color="auto" w:fill="FFFFFF" w:themeFill="background1"/>
        <w:suppressAutoHyphens w:val="0"/>
        <w:jc w:val="both"/>
        <w:rPr>
          <w:bCs/>
          <w:color w:val="000000" w:themeColor="text1"/>
          <w:sz w:val="20"/>
          <w:szCs w:val="20"/>
          <w:lang w:val="es-419" w:eastAsia="es-US"/>
        </w:rPr>
      </w:pPr>
    </w:p>
    <w:p w14:paraId="506201A5" w14:textId="0070B119" w:rsidR="001161A5" w:rsidRPr="008F6727" w:rsidRDefault="001161A5" w:rsidP="008F6727">
      <w:pPr>
        <w:pStyle w:val="IAPrrafo"/>
        <w:rPr>
          <w:b/>
          <w:bCs/>
          <w:color w:val="000000" w:themeColor="text1"/>
          <w:szCs w:val="20"/>
          <w:lang w:eastAsia="es-US"/>
        </w:rPr>
      </w:pPr>
      <w:r w:rsidRPr="00672AC2">
        <w:rPr>
          <w:bCs/>
          <w:szCs w:val="20"/>
          <w:lang w:val="es-US"/>
        </w:rPr>
        <w:t xml:space="preserve">En el año 2024, el Estado informó sobre la aprobación del </w:t>
      </w:r>
      <w:r w:rsidRPr="00672AC2">
        <w:rPr>
          <w:bCs/>
          <w:szCs w:val="20"/>
          <w:lang w:val="es-ES"/>
        </w:rPr>
        <w:t>Mecanismo intersectorial para la protección de personas defensoras de derechos humanos</w:t>
      </w:r>
      <w:r w:rsidR="00F36B41">
        <w:rPr>
          <w:rFonts w:ascii="ZWAdobeF" w:hAnsi="ZWAdobeF" w:cs="ZWAdobeF"/>
          <w:bCs/>
          <w:color w:val="auto"/>
          <w:sz w:val="2"/>
          <w:szCs w:val="2"/>
          <w:lang w:val="es-ES"/>
        </w:rPr>
        <w:t>133F</w:t>
      </w:r>
      <w:r w:rsidRPr="00672AC2">
        <w:rPr>
          <w:rStyle w:val="FootnoteReference"/>
          <w:bCs/>
          <w:szCs w:val="20"/>
          <w:lang w:val="es-ES"/>
        </w:rPr>
        <w:footnoteReference w:id="135"/>
      </w:r>
      <w:r w:rsidRPr="00672AC2">
        <w:rPr>
          <w:bCs/>
          <w:szCs w:val="20"/>
          <w:lang w:val="es-ES"/>
        </w:rPr>
        <w:t xml:space="preserve"> (en adelante “Mecanismo Intersectorial”), con la finalidad de proteger, reconocer y garantizar el acceso a la justicia de las personas defensoras de derechos humanos. De acuerdo con el Estado, este mecanismo abarca la protección de </w:t>
      </w:r>
      <w:r w:rsidR="00FD6B55" w:rsidRPr="00672AC2">
        <w:rPr>
          <w:bCs/>
          <w:szCs w:val="20"/>
          <w:lang w:val="es-ES"/>
        </w:rPr>
        <w:t xml:space="preserve">las y </w:t>
      </w:r>
      <w:r w:rsidRPr="00672AC2">
        <w:rPr>
          <w:bCs/>
          <w:szCs w:val="20"/>
          <w:lang w:val="es-ES"/>
        </w:rPr>
        <w:t xml:space="preserve">los periodistas en cuanto </w:t>
      </w:r>
      <w:r w:rsidR="00BA4D21" w:rsidRPr="00672AC2">
        <w:rPr>
          <w:bCs/>
          <w:szCs w:val="20"/>
          <w:lang w:val="es-ES"/>
        </w:rPr>
        <w:t>ejerzan</w:t>
      </w:r>
      <w:r w:rsidRPr="00672AC2">
        <w:rPr>
          <w:bCs/>
          <w:szCs w:val="20"/>
          <w:lang w:val="es-ES"/>
        </w:rPr>
        <w:t xml:space="preserve"> actividades de defensa de derechos humanos. Dicho mecanismo </w:t>
      </w:r>
      <w:r w:rsidR="00C061CC" w:rsidRPr="00672AC2">
        <w:rPr>
          <w:bCs/>
          <w:szCs w:val="20"/>
          <w:lang w:val="es-ES"/>
        </w:rPr>
        <w:t>lleva adelante</w:t>
      </w:r>
      <w:r w:rsidRPr="00672AC2">
        <w:rPr>
          <w:bCs/>
          <w:szCs w:val="20"/>
          <w:lang w:val="es-ES"/>
        </w:rPr>
        <w:t xml:space="preserve"> un monitoreo permanente que genera un reporte de posibles situaciones de riesgo, y recibe solicitudes para la activación del Procedimiento de Alerta Temprana (PAT). Según el Estado, como resultado de esta medida, se han registrado 373 situaciones de riesgo que involucraron directamente a 656 personas defensoras de derechos humanos y familiares, en 20 departamentos y una provincia constitucional, entre junio de 2019 y mayo de 2024. De las 373 situaciones de riesgo, 27 involucran a 30 periodistas (4</w:t>
      </w:r>
      <w:r w:rsidR="002C2D35" w:rsidRPr="00672AC2">
        <w:rPr>
          <w:bCs/>
          <w:szCs w:val="20"/>
          <w:lang w:val="es-ES"/>
        </w:rPr>
        <w:t>,</w:t>
      </w:r>
      <w:r w:rsidRPr="00672AC2">
        <w:rPr>
          <w:bCs/>
          <w:szCs w:val="20"/>
          <w:lang w:val="es-ES"/>
        </w:rPr>
        <w:t>84%), cuyos casos han sido atendidos en el marco del Mecanismo Intersectorial.</w:t>
      </w:r>
    </w:p>
    <w:p w14:paraId="4435E49A" w14:textId="7E46C493" w:rsidR="001161A5" w:rsidRPr="008F6727" w:rsidRDefault="001161A5" w:rsidP="008F6727">
      <w:pPr>
        <w:pStyle w:val="IAPrrafo"/>
        <w:rPr>
          <w:szCs w:val="20"/>
          <w:lang w:val="es-ES"/>
        </w:rPr>
      </w:pPr>
      <w:r w:rsidRPr="00672AC2">
        <w:rPr>
          <w:szCs w:val="20"/>
          <w:lang w:val="es-ES"/>
        </w:rPr>
        <w:t>Asimismo, el Estado informó sobre la aprobación del “Protocolo de Actuación Fiscal para la Prevención e Investigación de los Delitos en agravio de las Personas Defensoras de Derechos Humanos”</w:t>
      </w:r>
      <w:r w:rsidR="00F36B41">
        <w:rPr>
          <w:rFonts w:ascii="ZWAdobeF" w:hAnsi="ZWAdobeF" w:cs="ZWAdobeF"/>
          <w:color w:val="auto"/>
          <w:sz w:val="2"/>
          <w:szCs w:val="2"/>
          <w:lang w:val="es-ES"/>
        </w:rPr>
        <w:t>134F</w:t>
      </w:r>
      <w:r w:rsidRPr="00672AC2">
        <w:rPr>
          <w:rStyle w:val="FootnoteReference"/>
          <w:szCs w:val="20"/>
          <w:lang w:val="es-ES"/>
        </w:rPr>
        <w:footnoteReference w:id="136"/>
      </w:r>
      <w:r w:rsidRPr="00672AC2">
        <w:rPr>
          <w:szCs w:val="20"/>
          <w:lang w:val="es-ES"/>
        </w:rPr>
        <w:t>.</w:t>
      </w:r>
    </w:p>
    <w:p w14:paraId="3FB3D192" w14:textId="0267315A" w:rsidR="001161A5" w:rsidRPr="008F6727" w:rsidRDefault="001161A5" w:rsidP="001161A5">
      <w:pPr>
        <w:pStyle w:val="IAPrrafo"/>
        <w:rPr>
          <w:b/>
          <w:bCs/>
          <w:color w:val="000000" w:themeColor="text1"/>
          <w:szCs w:val="20"/>
          <w:lang w:eastAsia="es-US"/>
        </w:rPr>
      </w:pPr>
      <w:r w:rsidRPr="00672AC2">
        <w:rPr>
          <w:bCs/>
          <w:color w:val="000000" w:themeColor="text1"/>
          <w:szCs w:val="20"/>
          <w:lang w:eastAsia="es-US"/>
        </w:rPr>
        <w:t>Por su parte, en relación con el Mecanismo Intersectorial para la protección de personas defensoras de derechos humanos, la sociedad civil resaltó la instalación de Mesas Regionales para la protección de las personas defensoras de derechos humanos, como una estrategia territorial que permite coordinar y articular la toma de decisiones. Sin embargo, mostró su preocupación por los alegados problemas presupuestales que existirían, lo que afectaría la implementación de las medidas de protección para la atención de situaciones de riesgo.</w:t>
      </w:r>
    </w:p>
    <w:p w14:paraId="541AA671" w14:textId="49EC4970" w:rsidR="001161A5" w:rsidRPr="008F6727" w:rsidRDefault="00BA4D21" w:rsidP="001161A5">
      <w:pPr>
        <w:pStyle w:val="IAPrrafo"/>
        <w:rPr>
          <w:b/>
          <w:bCs/>
          <w:color w:val="000000" w:themeColor="text1"/>
          <w:szCs w:val="20"/>
          <w:lang w:eastAsia="es-US"/>
        </w:rPr>
      </w:pPr>
      <w:r w:rsidRPr="00672AC2">
        <w:rPr>
          <w:bCs/>
          <w:szCs w:val="20"/>
          <w:lang w:val="es-US"/>
        </w:rPr>
        <w:t>L</w:t>
      </w:r>
      <w:r w:rsidR="001161A5" w:rsidRPr="00672AC2">
        <w:rPr>
          <w:bCs/>
          <w:szCs w:val="20"/>
          <w:lang w:val="es-US"/>
        </w:rPr>
        <w:t xml:space="preserve">a sociedad civil comentó que, desde la aprobación del Informe, no se habrían actualizado o fortalecido las políticas para la protección de </w:t>
      </w:r>
      <w:r w:rsidR="00E62F0B" w:rsidRPr="00672AC2">
        <w:rPr>
          <w:bCs/>
          <w:szCs w:val="20"/>
          <w:lang w:val="es-US"/>
        </w:rPr>
        <w:t xml:space="preserve">personas </w:t>
      </w:r>
      <w:r w:rsidR="001161A5" w:rsidRPr="00672AC2">
        <w:rPr>
          <w:bCs/>
          <w:szCs w:val="20"/>
          <w:lang w:val="es-US"/>
        </w:rPr>
        <w:t>defensor</w:t>
      </w:r>
      <w:r w:rsidR="00E62F0B" w:rsidRPr="00672AC2">
        <w:rPr>
          <w:bCs/>
          <w:szCs w:val="20"/>
          <w:lang w:val="es-US"/>
        </w:rPr>
        <w:t>a</w:t>
      </w:r>
      <w:r w:rsidR="001161A5" w:rsidRPr="00672AC2">
        <w:rPr>
          <w:bCs/>
          <w:szCs w:val="20"/>
          <w:lang w:val="es-US"/>
        </w:rPr>
        <w:t xml:space="preserve">s de derechos humanos ni de periodistas. Según fue manifestado a la Comisión, esto se vería agravado por el supuesto incremento de ataques contra personas defensoras pertenecientes a organizaciones de la sociedad civil, manifestantes, periodistas, </w:t>
      </w:r>
      <w:proofErr w:type="gramStart"/>
      <w:r w:rsidR="001161A5" w:rsidRPr="00672AC2">
        <w:rPr>
          <w:bCs/>
          <w:szCs w:val="20"/>
          <w:lang w:val="es-US"/>
        </w:rPr>
        <w:t>operadores</w:t>
      </w:r>
      <w:r w:rsidR="00D540BD" w:rsidRPr="00672AC2">
        <w:rPr>
          <w:bCs/>
          <w:szCs w:val="20"/>
          <w:lang w:val="es-US"/>
        </w:rPr>
        <w:t xml:space="preserve"> y operadoras</w:t>
      </w:r>
      <w:proofErr w:type="gramEnd"/>
      <w:r w:rsidR="001161A5" w:rsidRPr="00672AC2">
        <w:rPr>
          <w:bCs/>
          <w:szCs w:val="20"/>
          <w:lang w:val="es-US"/>
        </w:rPr>
        <w:t xml:space="preserve"> de justicia y autoridades públicas, quienes serían públicamente acusadas de “terroristas” o “</w:t>
      </w:r>
      <w:r w:rsidR="001161A5" w:rsidRPr="00A23AB1">
        <w:rPr>
          <w:bCs/>
          <w:i/>
          <w:iCs/>
          <w:szCs w:val="20"/>
          <w:lang w:val="es-US"/>
        </w:rPr>
        <w:t>terrucas</w:t>
      </w:r>
      <w:r w:rsidR="001161A5" w:rsidRPr="00672AC2">
        <w:rPr>
          <w:bCs/>
          <w:szCs w:val="20"/>
          <w:lang w:val="es-US"/>
        </w:rPr>
        <w:t>” por autoridades del gobierno y por grupos de sociedad civil</w:t>
      </w:r>
      <w:r w:rsidR="00F36B41">
        <w:rPr>
          <w:rFonts w:ascii="ZWAdobeF" w:hAnsi="ZWAdobeF" w:cs="ZWAdobeF"/>
          <w:bCs/>
          <w:color w:val="auto"/>
          <w:sz w:val="2"/>
          <w:szCs w:val="2"/>
          <w:lang w:val="es-US"/>
        </w:rPr>
        <w:t>135F</w:t>
      </w:r>
      <w:r w:rsidR="001161A5" w:rsidRPr="00672AC2">
        <w:rPr>
          <w:rStyle w:val="FootnoteReference"/>
          <w:bCs/>
          <w:szCs w:val="20"/>
          <w:lang w:val="es-US"/>
        </w:rPr>
        <w:footnoteReference w:id="137"/>
      </w:r>
      <w:r w:rsidR="001161A5" w:rsidRPr="00672AC2">
        <w:rPr>
          <w:bCs/>
          <w:szCs w:val="20"/>
          <w:lang w:val="es-US"/>
        </w:rPr>
        <w:t xml:space="preserve">, incitando a la violencia en su contra con la finalidad de intimidar y amedrentarlos. </w:t>
      </w:r>
      <w:r w:rsidR="00EA7387" w:rsidRPr="00672AC2">
        <w:rPr>
          <w:bCs/>
          <w:szCs w:val="20"/>
          <w:lang w:val="es-US"/>
        </w:rPr>
        <w:t>E</w:t>
      </w:r>
      <w:r w:rsidR="001161A5" w:rsidRPr="00672AC2">
        <w:rPr>
          <w:bCs/>
          <w:szCs w:val="20"/>
          <w:lang w:val="es-US"/>
        </w:rPr>
        <w:t>l Comité para la Protección de los Periodistas ha indicado que se habrían utilizado reiteradas acusaciones por difamación a periodistas para que no informen sobre cuestiones de interés público</w:t>
      </w:r>
      <w:r w:rsidR="00F36B41">
        <w:rPr>
          <w:rFonts w:ascii="ZWAdobeF" w:hAnsi="ZWAdobeF" w:cs="ZWAdobeF"/>
          <w:bCs/>
          <w:color w:val="auto"/>
          <w:sz w:val="2"/>
          <w:szCs w:val="2"/>
          <w:lang w:val="es-US"/>
        </w:rPr>
        <w:t>136F</w:t>
      </w:r>
      <w:r w:rsidR="001161A5" w:rsidRPr="00672AC2">
        <w:rPr>
          <w:rStyle w:val="FootnoteReference"/>
          <w:bCs/>
          <w:szCs w:val="20"/>
          <w:lang w:val="es-US"/>
        </w:rPr>
        <w:footnoteReference w:id="138"/>
      </w:r>
      <w:r w:rsidR="001161A5" w:rsidRPr="00672AC2">
        <w:rPr>
          <w:bCs/>
          <w:szCs w:val="20"/>
          <w:lang w:val="es-US"/>
        </w:rPr>
        <w:t>.</w:t>
      </w:r>
    </w:p>
    <w:p w14:paraId="726420E4" w14:textId="08CA3B03" w:rsidR="001161A5" w:rsidRPr="008F6727" w:rsidRDefault="001161A5" w:rsidP="008F6727">
      <w:pPr>
        <w:pStyle w:val="IAPrrafo"/>
        <w:rPr>
          <w:b/>
          <w:bCs/>
          <w:color w:val="000000" w:themeColor="text1"/>
          <w:szCs w:val="20"/>
          <w:lang w:eastAsia="es-US"/>
        </w:rPr>
      </w:pPr>
      <w:r w:rsidRPr="00672AC2">
        <w:rPr>
          <w:bCs/>
          <w:color w:val="000000" w:themeColor="text1"/>
          <w:szCs w:val="20"/>
          <w:lang w:eastAsia="es-US"/>
        </w:rPr>
        <w:t xml:space="preserve">Además, sociedad civil mostró su preocupación por las iniciativas de </w:t>
      </w:r>
      <w:r w:rsidR="00EA7387" w:rsidRPr="00672AC2">
        <w:rPr>
          <w:bCs/>
          <w:color w:val="000000" w:themeColor="text1"/>
          <w:szCs w:val="20"/>
          <w:lang w:eastAsia="es-US"/>
        </w:rPr>
        <w:t>l</w:t>
      </w:r>
      <w:r w:rsidRPr="00672AC2">
        <w:rPr>
          <w:bCs/>
          <w:color w:val="000000" w:themeColor="text1"/>
          <w:szCs w:val="20"/>
          <w:lang w:eastAsia="es-US"/>
        </w:rPr>
        <w:t>ey para el debilitamiento de las organizaciones de sociedad civil, que buscarían restringir y controlar el trabajo de aquellas que reciben fondos desde el extranjero, lo que podría generar mecanismos de sanción arbitrarios contra las organizaciones de sociedad civil y sus miembros</w:t>
      </w:r>
      <w:r w:rsidR="00F36B41">
        <w:rPr>
          <w:rFonts w:ascii="ZWAdobeF" w:hAnsi="ZWAdobeF" w:cs="ZWAdobeF"/>
          <w:bCs/>
          <w:color w:val="auto"/>
          <w:sz w:val="2"/>
          <w:szCs w:val="2"/>
          <w:lang w:eastAsia="es-US"/>
        </w:rPr>
        <w:t>137F</w:t>
      </w:r>
      <w:r w:rsidRPr="00672AC2">
        <w:rPr>
          <w:rStyle w:val="FootnoteReference"/>
          <w:bCs/>
          <w:color w:val="000000" w:themeColor="text1"/>
          <w:szCs w:val="20"/>
          <w:lang w:eastAsia="es-US"/>
        </w:rPr>
        <w:footnoteReference w:id="139"/>
      </w:r>
      <w:r w:rsidRPr="00672AC2">
        <w:rPr>
          <w:bCs/>
          <w:color w:val="000000" w:themeColor="text1"/>
          <w:szCs w:val="20"/>
          <w:lang w:eastAsia="es-US"/>
        </w:rPr>
        <w:t>.</w:t>
      </w:r>
    </w:p>
    <w:p w14:paraId="064EC03F" w14:textId="77777777" w:rsidR="001161A5" w:rsidRPr="00672AC2" w:rsidRDefault="001161A5" w:rsidP="008F6727">
      <w:pPr>
        <w:ind w:firstLine="720"/>
        <w:jc w:val="both"/>
        <w:rPr>
          <w:rFonts w:eastAsia="Cambria" w:cs="Cambria"/>
          <w:bCs/>
          <w:i/>
          <w:iCs/>
          <w:color w:val="000000" w:themeColor="text1"/>
          <w:sz w:val="20"/>
          <w:szCs w:val="20"/>
          <w:lang w:val="es-ES"/>
        </w:rPr>
      </w:pPr>
      <w:r w:rsidRPr="00672AC2">
        <w:rPr>
          <w:rFonts w:eastAsia="Cambria" w:cs="Cambria"/>
          <w:bCs/>
          <w:i/>
          <w:iCs/>
          <w:color w:val="000000" w:themeColor="text1"/>
          <w:sz w:val="20"/>
          <w:szCs w:val="20"/>
          <w:lang w:val="es-ES"/>
        </w:rPr>
        <w:t>Análisis y nivel de cumplimiento de la recomendación</w:t>
      </w:r>
    </w:p>
    <w:p w14:paraId="1631D647" w14:textId="77777777" w:rsidR="001161A5" w:rsidRPr="00672AC2" w:rsidRDefault="001161A5" w:rsidP="001161A5">
      <w:pPr>
        <w:ind w:firstLine="360"/>
        <w:jc w:val="both"/>
        <w:rPr>
          <w:bCs/>
          <w:lang w:val="es-CO"/>
        </w:rPr>
      </w:pPr>
    </w:p>
    <w:p w14:paraId="10F62DC6" w14:textId="059FA300" w:rsidR="001161A5" w:rsidRPr="00672AC2" w:rsidRDefault="001161A5" w:rsidP="00E83710">
      <w:pPr>
        <w:pStyle w:val="IAPrrafo"/>
        <w:rPr>
          <w:b/>
          <w:szCs w:val="20"/>
          <w:lang w:val="es-CO"/>
        </w:rPr>
      </w:pPr>
      <w:r w:rsidRPr="00672AC2">
        <w:rPr>
          <w:szCs w:val="20"/>
          <w:lang w:val="es-CO"/>
        </w:rPr>
        <w:t xml:space="preserve">La CIDH agradece la información proporcionada por el Estado y valora positivamente la aprobación e implementación del Mecanismo </w:t>
      </w:r>
      <w:r w:rsidRPr="00672AC2">
        <w:rPr>
          <w:bCs/>
          <w:color w:val="000000" w:themeColor="text1"/>
          <w:szCs w:val="20"/>
          <w:lang w:eastAsia="es-US"/>
        </w:rPr>
        <w:t>Intersectorial para la protección de personas defensoras de derechos humanos, así como la instalación de Mesas Regionales para la protección de las personas defensoras. Asimismo, la Comisión recuerda que el objetivo del seguimiento a esta recomendación es conocer aquellas medidas adoptadas con posterioridad a la aprobación de las recomendaciones contenidas en el Informe de País sujeto a análisis, de manera que respondan a l</w:t>
      </w:r>
      <w:r w:rsidR="006F534C" w:rsidRPr="00672AC2">
        <w:rPr>
          <w:bCs/>
          <w:color w:val="000000" w:themeColor="text1"/>
          <w:szCs w:val="20"/>
          <w:lang w:eastAsia="es-US"/>
        </w:rPr>
        <w:t>os desafíos expuestos</w:t>
      </w:r>
      <w:r w:rsidRPr="00672AC2">
        <w:rPr>
          <w:bCs/>
          <w:color w:val="000000" w:themeColor="text1"/>
          <w:szCs w:val="20"/>
          <w:lang w:eastAsia="es-US"/>
        </w:rPr>
        <w:t xml:space="preserve"> durante la crisis política y social en el marco temporal abarcado por el Informe.</w:t>
      </w:r>
    </w:p>
    <w:p w14:paraId="4F46BF73" w14:textId="51469617" w:rsidR="001161A5" w:rsidRPr="00672AC2" w:rsidRDefault="00DF44BC" w:rsidP="00E83710">
      <w:pPr>
        <w:pStyle w:val="IAPrrafo"/>
        <w:rPr>
          <w:b/>
          <w:szCs w:val="20"/>
          <w:lang w:val="es-CO"/>
        </w:rPr>
      </w:pPr>
      <w:r w:rsidRPr="00672AC2">
        <w:rPr>
          <w:bCs/>
          <w:color w:val="000000" w:themeColor="text1"/>
          <w:szCs w:val="20"/>
          <w:lang w:eastAsia="es-US"/>
        </w:rPr>
        <w:t xml:space="preserve">Ponderando </w:t>
      </w:r>
      <w:r w:rsidR="001161A5" w:rsidRPr="00672AC2">
        <w:rPr>
          <w:bCs/>
          <w:color w:val="000000" w:themeColor="text1"/>
          <w:szCs w:val="20"/>
          <w:lang w:eastAsia="es-US"/>
        </w:rPr>
        <w:t xml:space="preserve">lo anterior, las Comisión observa que el Mecanismo Intersectorial fue aprobado en el 2021 y ha venido siendo implementado antes, durante y después de la crisis analizada. En este sentido, el Estado </w:t>
      </w:r>
      <w:r w:rsidR="00BA4D21" w:rsidRPr="00672AC2">
        <w:rPr>
          <w:bCs/>
          <w:color w:val="000000" w:themeColor="text1"/>
          <w:szCs w:val="20"/>
          <w:lang w:eastAsia="es-US"/>
        </w:rPr>
        <w:t>debe f</w:t>
      </w:r>
      <w:r w:rsidR="001161A5" w:rsidRPr="00672AC2">
        <w:rPr>
          <w:bCs/>
          <w:color w:val="000000" w:themeColor="text1"/>
          <w:szCs w:val="20"/>
          <w:lang w:eastAsia="es-US"/>
        </w:rPr>
        <w:t>ortale</w:t>
      </w:r>
      <w:r w:rsidR="00BA4D21" w:rsidRPr="00672AC2">
        <w:rPr>
          <w:bCs/>
          <w:color w:val="000000" w:themeColor="text1"/>
          <w:szCs w:val="20"/>
          <w:lang w:eastAsia="es-US"/>
        </w:rPr>
        <w:t>cer</w:t>
      </w:r>
      <w:r w:rsidR="001161A5" w:rsidRPr="00672AC2">
        <w:rPr>
          <w:bCs/>
          <w:color w:val="000000" w:themeColor="text1"/>
          <w:szCs w:val="20"/>
          <w:lang w:eastAsia="es-US"/>
        </w:rPr>
        <w:t xml:space="preserve"> las medidas adoptadas con el objetivo de adecuar el Mecanismo y sus instrumentos a los contextos de protesta social que pueden surgir en el futuro. Asimismo, es fundamental que el Mecanismo Intersectorial, y sus mesas descentralizadas, cuenten con los recursos institucionales </w:t>
      </w:r>
      <w:r w:rsidR="007515BC" w:rsidRPr="00672AC2">
        <w:rPr>
          <w:bCs/>
          <w:color w:val="000000" w:themeColor="text1"/>
          <w:szCs w:val="20"/>
          <w:lang w:eastAsia="es-US"/>
        </w:rPr>
        <w:t xml:space="preserve">indispensables </w:t>
      </w:r>
      <w:r w:rsidR="001161A5" w:rsidRPr="00672AC2">
        <w:rPr>
          <w:bCs/>
          <w:color w:val="000000" w:themeColor="text1"/>
          <w:szCs w:val="20"/>
          <w:lang w:eastAsia="es-US"/>
        </w:rPr>
        <w:t xml:space="preserve">para responder a las </w:t>
      </w:r>
      <w:r w:rsidR="00B22FDA" w:rsidRPr="00672AC2">
        <w:rPr>
          <w:bCs/>
          <w:color w:val="000000" w:themeColor="text1"/>
          <w:szCs w:val="20"/>
          <w:lang w:eastAsia="es-US"/>
        </w:rPr>
        <w:t>urgencias</w:t>
      </w:r>
      <w:r w:rsidR="001161A5" w:rsidRPr="00672AC2">
        <w:rPr>
          <w:bCs/>
          <w:color w:val="000000" w:themeColor="text1"/>
          <w:szCs w:val="20"/>
          <w:lang w:eastAsia="es-US"/>
        </w:rPr>
        <w:t xml:space="preserve"> de protección frente a situaciones de riesgo</w:t>
      </w:r>
      <w:r w:rsidR="00F36B41">
        <w:rPr>
          <w:rFonts w:ascii="ZWAdobeF" w:hAnsi="ZWAdobeF" w:cs="ZWAdobeF"/>
          <w:bCs/>
          <w:color w:val="auto"/>
          <w:sz w:val="2"/>
          <w:szCs w:val="2"/>
          <w:lang w:eastAsia="es-US"/>
        </w:rPr>
        <w:t>138F</w:t>
      </w:r>
      <w:r w:rsidR="001161A5" w:rsidRPr="00672AC2">
        <w:rPr>
          <w:rStyle w:val="FootnoteReference"/>
          <w:bCs/>
          <w:color w:val="000000" w:themeColor="text1"/>
          <w:szCs w:val="20"/>
          <w:lang w:eastAsia="es-US"/>
        </w:rPr>
        <w:footnoteReference w:id="140"/>
      </w:r>
      <w:r w:rsidR="001161A5" w:rsidRPr="00672AC2">
        <w:rPr>
          <w:bCs/>
          <w:color w:val="000000" w:themeColor="text1"/>
          <w:szCs w:val="20"/>
          <w:lang w:eastAsia="es-US"/>
        </w:rPr>
        <w:t>.</w:t>
      </w:r>
    </w:p>
    <w:p w14:paraId="682B734B" w14:textId="513D945C" w:rsidR="001161A5" w:rsidRPr="00672AC2" w:rsidRDefault="001161A5" w:rsidP="00E83710">
      <w:pPr>
        <w:pStyle w:val="IAPrrafo"/>
        <w:rPr>
          <w:b/>
          <w:szCs w:val="20"/>
          <w:lang w:val="es-CO"/>
        </w:rPr>
      </w:pPr>
      <w:r w:rsidRPr="00672AC2">
        <w:rPr>
          <w:bCs/>
          <w:color w:val="000000" w:themeColor="text1"/>
          <w:szCs w:val="20"/>
          <w:lang w:eastAsia="es-US"/>
        </w:rPr>
        <w:t xml:space="preserve">De otro lado, la CIDH </w:t>
      </w:r>
      <w:r w:rsidR="00CD00CB" w:rsidRPr="00672AC2">
        <w:rPr>
          <w:bCs/>
          <w:color w:val="000000" w:themeColor="text1"/>
          <w:szCs w:val="20"/>
          <w:lang w:eastAsia="es-US"/>
        </w:rPr>
        <w:t xml:space="preserve">entiende </w:t>
      </w:r>
      <w:r w:rsidR="00B22FDA" w:rsidRPr="00672AC2">
        <w:rPr>
          <w:bCs/>
          <w:color w:val="000000" w:themeColor="text1"/>
          <w:szCs w:val="20"/>
          <w:lang w:eastAsia="es-US"/>
        </w:rPr>
        <w:t xml:space="preserve">esencial </w:t>
      </w:r>
      <w:r w:rsidRPr="00672AC2">
        <w:rPr>
          <w:bCs/>
          <w:color w:val="000000" w:themeColor="text1"/>
          <w:szCs w:val="20"/>
          <w:lang w:eastAsia="es-US"/>
        </w:rPr>
        <w:t>tener más detalles de cuándo el Mecanismo Intersectorial considera que una persona periodista u otra persona realiza actividades de defensa de derechos humanos, para determinar el marco de protección efectiva en el contexto de las protestas sociales.</w:t>
      </w:r>
    </w:p>
    <w:p w14:paraId="4EA8526B" w14:textId="6DBC9D2C" w:rsidR="00ED5E6C" w:rsidRPr="008F6727" w:rsidRDefault="001161A5" w:rsidP="008F6727">
      <w:pPr>
        <w:pStyle w:val="IAPrrafo"/>
        <w:rPr>
          <w:b/>
          <w:szCs w:val="20"/>
          <w:lang w:val="es-CO"/>
        </w:rPr>
      </w:pPr>
      <w:r w:rsidRPr="00672AC2">
        <w:rPr>
          <w:bCs/>
          <w:color w:val="000000" w:themeColor="text1"/>
          <w:szCs w:val="20"/>
          <w:lang w:val="es-US"/>
        </w:rPr>
        <w:t xml:space="preserve">Asimismo, en el marco del seguimiento de esta recomendación, la CIDH ha tomado nota de la información brindada por el Estado y valora de manera positiva la existencia del Mecanismo. Sin embargo, no </w:t>
      </w:r>
      <w:r w:rsidR="00BA4D21" w:rsidRPr="00672AC2">
        <w:rPr>
          <w:bCs/>
          <w:color w:val="000000" w:themeColor="text1"/>
          <w:szCs w:val="20"/>
          <w:lang w:val="es-US"/>
        </w:rPr>
        <w:t>encuentra</w:t>
      </w:r>
      <w:r w:rsidRPr="00672AC2">
        <w:rPr>
          <w:bCs/>
          <w:color w:val="000000" w:themeColor="text1"/>
          <w:szCs w:val="20"/>
          <w:lang w:val="es-US"/>
        </w:rPr>
        <w:t xml:space="preserve"> medidas específicas de cumplimiento que evidencien que se ha avanzado en el diseño, discusión, aprobación o aplicación de una</w:t>
      </w:r>
      <w:r w:rsidRPr="00672AC2">
        <w:rPr>
          <w:szCs w:val="20"/>
          <w:lang w:val="es-CO"/>
        </w:rPr>
        <w:t xml:space="preserve"> política pública nacional permanente dirigida a la protección de los derechos de reunión pacífica, libertad de expresión y libertad de asociación, que incluya la implementación de medidas de negociación, mediación y otros medios alternativos de conflictos; y la implementación de medidas de protección de personas defensoras de derechos humanos y periodistas. En este sentido, </w:t>
      </w:r>
      <w:r w:rsidR="00A751F8" w:rsidRPr="00672AC2">
        <w:rPr>
          <w:szCs w:val="20"/>
          <w:lang w:val="es-CO"/>
        </w:rPr>
        <w:t xml:space="preserve">concluye </w:t>
      </w:r>
      <w:r w:rsidRPr="00672AC2">
        <w:rPr>
          <w:szCs w:val="20"/>
          <w:lang w:val="es-CO"/>
        </w:rPr>
        <w:t xml:space="preserve">que esta recomendación continúa </w:t>
      </w:r>
      <w:r w:rsidRPr="00746B36">
        <w:rPr>
          <w:b/>
          <w:szCs w:val="20"/>
          <w:lang w:val="es-CO"/>
        </w:rPr>
        <w:t>pendiente de cumplimiento.</w:t>
      </w:r>
    </w:p>
    <w:p w14:paraId="365D88B1" w14:textId="55C1B5DD" w:rsidR="001161A5" w:rsidRPr="00672AC2" w:rsidRDefault="001161A5" w:rsidP="008F6727">
      <w:pPr>
        <w:ind w:firstLine="720"/>
        <w:jc w:val="both"/>
        <w:rPr>
          <w:bCs/>
          <w:lang w:val="es-US"/>
        </w:rPr>
      </w:pPr>
      <w:r w:rsidRPr="00672AC2">
        <w:rPr>
          <w:rFonts w:eastAsia="Cambria" w:cs="Cambria"/>
          <w:bCs/>
          <w:i/>
          <w:iCs/>
          <w:color w:val="000000" w:themeColor="text1"/>
          <w:sz w:val="20"/>
          <w:szCs w:val="20"/>
          <w:lang w:val="es-ES"/>
        </w:rPr>
        <w:t>Medidas e información para avanzar en el cumplimiento de la recomendación</w:t>
      </w:r>
      <w:r w:rsidR="001E5003" w:rsidRPr="00672AC2">
        <w:rPr>
          <w:rFonts w:eastAsia="Cambria" w:cs="Cambria"/>
          <w:bCs/>
          <w:i/>
          <w:iCs/>
          <w:color w:val="000000" w:themeColor="text1"/>
          <w:sz w:val="20"/>
          <w:szCs w:val="20"/>
          <w:lang w:val="es-ES"/>
        </w:rPr>
        <w:t xml:space="preserve"> </w:t>
      </w:r>
    </w:p>
    <w:p w14:paraId="3D51C84A" w14:textId="77777777" w:rsidR="001161A5" w:rsidRPr="00672AC2" w:rsidRDefault="001161A5" w:rsidP="001161A5">
      <w:pPr>
        <w:ind w:firstLine="360"/>
        <w:jc w:val="both"/>
        <w:rPr>
          <w:bCs/>
          <w:lang w:val="es-CO"/>
        </w:rPr>
      </w:pPr>
    </w:p>
    <w:p w14:paraId="7AC44B50" w14:textId="2817282F" w:rsidR="001161A5" w:rsidRPr="00672AC2" w:rsidRDefault="001161A5" w:rsidP="00E83710">
      <w:pPr>
        <w:pStyle w:val="IAPrrafo"/>
        <w:rPr>
          <w:rFonts w:eastAsia="Cambria" w:cs="Cambria"/>
          <w:color w:val="000000" w:themeColor="text1"/>
          <w:szCs w:val="20"/>
        </w:rPr>
      </w:pPr>
      <w:r w:rsidRPr="00672AC2">
        <w:rPr>
          <w:bCs/>
          <w:szCs w:val="20"/>
          <w:lang w:val="es-US"/>
        </w:rPr>
        <w:t xml:space="preserve">La CIDH urge al Estado a aprobar o fortalecer </w:t>
      </w:r>
      <w:r w:rsidRPr="00672AC2">
        <w:rPr>
          <w:szCs w:val="20"/>
          <w:lang w:val="es-CO"/>
        </w:rPr>
        <w:t>una política pública nacional permanente que contemple programas de formación en las instituciones del Estado y contenga medios alternativos de resolución de conflictos, y mecanismos de protección de personas defensoras de derechos humanos y periodistas en el contexto de la defensa de los derechos de reunión pacífica, libertad de expresión y libertad de asociación. Esto implicaría delimitar claramente el alcance de la protección del mecanismo en el contexto de protestas sociales, y determinar la protección de las personas periodistas y del rol que cumplen en dichos contextos.</w:t>
      </w:r>
    </w:p>
    <w:tbl>
      <w:tblPr>
        <w:tblStyle w:val="TableGrid"/>
        <w:tblW w:w="0" w:type="auto"/>
        <w:tblLook w:val="04A0" w:firstRow="1" w:lastRow="0" w:firstColumn="1" w:lastColumn="0" w:noHBand="0" w:noVBand="1"/>
      </w:tblPr>
      <w:tblGrid>
        <w:gridCol w:w="9350"/>
      </w:tblGrid>
      <w:tr w:rsidR="003A66B5" w:rsidRPr="00F51AED" w14:paraId="21028F34" w14:textId="77777777">
        <w:tc>
          <w:tcPr>
            <w:tcW w:w="9350" w:type="dxa"/>
            <w:tcBorders>
              <w:top w:val="nil"/>
              <w:left w:val="nil"/>
              <w:bottom w:val="nil"/>
              <w:right w:val="nil"/>
            </w:tcBorders>
            <w:shd w:val="clear" w:color="auto" w:fill="D0CECE" w:themeFill="background2" w:themeFillShade="E6"/>
          </w:tcPr>
          <w:p w14:paraId="166AF9EC" w14:textId="2EBFB047" w:rsidR="0081119B" w:rsidRPr="00DC3C17" w:rsidRDefault="003A66B5" w:rsidP="00DC3C17">
            <w:pPr>
              <w:pStyle w:val="IASubttulo2"/>
              <w:numPr>
                <w:ilvl w:val="0"/>
                <w:numId w:val="0"/>
              </w:numPr>
              <w:spacing w:after="0"/>
              <w:ind w:left="154"/>
              <w:jc w:val="both"/>
              <w:rPr>
                <w:b w:val="0"/>
                <w:sz w:val="20"/>
                <w:szCs w:val="20"/>
                <w:lang w:val="es-CO"/>
              </w:rPr>
            </w:pPr>
            <w:bookmarkStart w:id="33" w:name="_Toc195618298"/>
            <w:r w:rsidRPr="00672AC2">
              <w:rPr>
                <w:sz w:val="20"/>
                <w:szCs w:val="20"/>
                <w:lang w:val="es-CO"/>
              </w:rPr>
              <w:t xml:space="preserve">Recomendación </w:t>
            </w:r>
            <w:proofErr w:type="spellStart"/>
            <w:r w:rsidR="002137DD" w:rsidRPr="00672AC2">
              <w:rPr>
                <w:sz w:val="20"/>
                <w:szCs w:val="20"/>
                <w:lang w:val="es-CO"/>
              </w:rPr>
              <w:t>Nº</w:t>
            </w:r>
            <w:proofErr w:type="spellEnd"/>
            <w:r w:rsidRPr="00672AC2">
              <w:rPr>
                <w:sz w:val="20"/>
                <w:szCs w:val="20"/>
                <w:lang w:val="es-CO"/>
              </w:rPr>
              <w:t xml:space="preserve"> </w:t>
            </w:r>
            <w:r w:rsidR="0081119B" w:rsidRPr="00672AC2">
              <w:rPr>
                <w:sz w:val="20"/>
                <w:szCs w:val="20"/>
                <w:lang w:val="es-CO"/>
              </w:rPr>
              <w:t>29</w:t>
            </w:r>
            <w:r w:rsidRPr="00672AC2">
              <w:rPr>
                <w:sz w:val="20"/>
                <w:szCs w:val="20"/>
                <w:lang w:val="es-CO"/>
              </w:rPr>
              <w:t xml:space="preserve">. </w:t>
            </w:r>
            <w:r w:rsidR="0081119B" w:rsidRPr="00672AC2">
              <w:rPr>
                <w:b w:val="0"/>
                <w:sz w:val="20"/>
                <w:szCs w:val="20"/>
                <w:lang w:val="es-CO"/>
              </w:rPr>
              <w:t>Elaborar campañas pedagógicas de alcance nacional para que la ciudadanía conozca sus derechos y alternativas de protección y crear misiones interinstitucionales para que, en el marco de protestas y manifestaciones, observen y, de ser el caso, presten apoyo a las personas que requieren algún tipo de asistencia o protección.</w:t>
            </w:r>
            <w:bookmarkEnd w:id="33"/>
          </w:p>
        </w:tc>
      </w:tr>
    </w:tbl>
    <w:p w14:paraId="265BA310" w14:textId="77777777" w:rsidR="003A66B5" w:rsidRPr="00672AC2" w:rsidRDefault="003A66B5" w:rsidP="003A66B5">
      <w:pPr>
        <w:shd w:val="clear" w:color="auto" w:fill="FFFFFF" w:themeFill="background1"/>
        <w:suppressAutoHyphens w:val="0"/>
        <w:jc w:val="both"/>
        <w:rPr>
          <w:bCs/>
          <w:sz w:val="20"/>
          <w:szCs w:val="20"/>
          <w:lang w:val="es-419" w:eastAsia="es-US"/>
        </w:rPr>
      </w:pPr>
    </w:p>
    <w:p w14:paraId="4729588A" w14:textId="0C64C00C" w:rsidR="000A4A0B" w:rsidRPr="00672AC2" w:rsidRDefault="000A4A0B" w:rsidP="00DC3C17">
      <w:pPr>
        <w:pBdr>
          <w:top w:val="nil"/>
          <w:left w:val="nil"/>
          <w:bottom w:val="nil"/>
          <w:right w:val="nil"/>
          <w:between w:val="nil"/>
        </w:pBdr>
        <w:ind w:firstLine="720"/>
        <w:jc w:val="both"/>
        <w:rPr>
          <w:bCs/>
        </w:rPr>
      </w:pPr>
      <w:r w:rsidRPr="00672AC2">
        <w:rPr>
          <w:rFonts w:eastAsia="Cambria" w:cs="Cambria"/>
          <w:bCs/>
          <w:i/>
          <w:iCs/>
          <w:color w:val="000000" w:themeColor="text1"/>
          <w:sz w:val="20"/>
          <w:szCs w:val="20"/>
          <w:lang w:val="es-ES"/>
        </w:rPr>
        <w:t>Información sobre el cumplimiento</w:t>
      </w:r>
      <w:r w:rsidR="001E5003" w:rsidRPr="00672AC2">
        <w:rPr>
          <w:rFonts w:eastAsia="Cambria" w:cs="Cambria"/>
          <w:bCs/>
          <w:i/>
          <w:iCs/>
          <w:color w:val="000000" w:themeColor="text1"/>
          <w:sz w:val="20"/>
          <w:szCs w:val="20"/>
          <w:lang w:val="es-ES"/>
        </w:rPr>
        <w:t xml:space="preserve"> </w:t>
      </w:r>
    </w:p>
    <w:p w14:paraId="18368E49" w14:textId="77777777" w:rsidR="000A4A0B" w:rsidRPr="00672AC2" w:rsidRDefault="000A4A0B" w:rsidP="000A4A0B">
      <w:pPr>
        <w:shd w:val="clear" w:color="auto" w:fill="FFFFFF" w:themeFill="background1"/>
        <w:suppressAutoHyphens w:val="0"/>
        <w:jc w:val="both"/>
        <w:rPr>
          <w:bCs/>
          <w:sz w:val="20"/>
          <w:szCs w:val="20"/>
          <w:lang w:val="es-419" w:eastAsia="es-US"/>
        </w:rPr>
      </w:pPr>
    </w:p>
    <w:p w14:paraId="3369DD7F" w14:textId="0AA22E1B" w:rsidR="000A4A0B" w:rsidRPr="00672AC2" w:rsidRDefault="1561DDF7" w:rsidP="00E83710">
      <w:pPr>
        <w:pStyle w:val="IAPrrafo"/>
        <w:rPr>
          <w:b/>
          <w:bCs/>
          <w:szCs w:val="20"/>
          <w:lang w:val="es-ES"/>
        </w:rPr>
      </w:pPr>
      <w:r w:rsidRPr="00672AC2">
        <w:rPr>
          <w:bCs/>
          <w:szCs w:val="20"/>
          <w:lang w:val="es-US"/>
        </w:rPr>
        <w:t xml:space="preserve">En el 2024, el Estado reportó que, en el marco de la </w:t>
      </w:r>
      <w:r w:rsidRPr="00672AC2">
        <w:rPr>
          <w:bCs/>
          <w:szCs w:val="20"/>
          <w:lang w:val="es-ES"/>
        </w:rPr>
        <w:t xml:space="preserve">Estrategia “Perú sin Racismo” al 2023, se organizaron seis ferias de información y sensibilización en Arequipa, Huancavelica, Huánuco, Loreto y Puno. Además, indicó que se participó con un </w:t>
      </w:r>
      <w:r w:rsidRPr="00672AC2">
        <w:rPr>
          <w:bCs/>
          <w:i/>
          <w:iCs/>
          <w:szCs w:val="20"/>
          <w:lang w:val="es-ES"/>
        </w:rPr>
        <w:t>stand</w:t>
      </w:r>
      <w:r w:rsidRPr="00672AC2">
        <w:rPr>
          <w:bCs/>
          <w:szCs w:val="20"/>
          <w:lang w:val="es-ES"/>
        </w:rPr>
        <w:t xml:space="preserve"> de información contra el racismo en 22 ferias o festivales. Asimismo, en </w:t>
      </w:r>
      <w:r w:rsidR="00C02FAC" w:rsidRPr="00672AC2">
        <w:rPr>
          <w:bCs/>
          <w:szCs w:val="20"/>
          <w:lang w:val="es-ES"/>
        </w:rPr>
        <w:t>como</w:t>
      </w:r>
      <w:r w:rsidR="00B02201" w:rsidRPr="00672AC2">
        <w:rPr>
          <w:bCs/>
          <w:szCs w:val="20"/>
          <w:lang w:val="es-ES"/>
        </w:rPr>
        <w:t xml:space="preserve"> parte </w:t>
      </w:r>
      <w:r w:rsidRPr="00672AC2">
        <w:rPr>
          <w:bCs/>
          <w:szCs w:val="20"/>
          <w:lang w:val="es-ES"/>
        </w:rPr>
        <w:t xml:space="preserve">del Mecanismo Intersectorial para la Protección de Personas Defensoras de Derechos Humanos, el Estado señaló que se </w:t>
      </w:r>
      <w:r w:rsidR="00BA4D21" w:rsidRPr="00672AC2">
        <w:rPr>
          <w:bCs/>
          <w:szCs w:val="20"/>
          <w:lang w:val="es-ES"/>
        </w:rPr>
        <w:t>organizaron</w:t>
      </w:r>
      <w:r w:rsidRPr="00672AC2">
        <w:rPr>
          <w:bCs/>
          <w:szCs w:val="20"/>
          <w:lang w:val="es-ES"/>
        </w:rPr>
        <w:t xml:space="preserve"> talleres de capacitación a personas defensoras indígenas de siete regiones con mayores alertas de situaciones de riesgo, a saber, en San Martín, Ucayali, Huánuco, Madre de Dios, Loreto, Pasco y Amazonas.</w:t>
      </w:r>
    </w:p>
    <w:p w14:paraId="17F0A777" w14:textId="56194CD8" w:rsidR="000A4A0B" w:rsidRPr="00672AC2" w:rsidRDefault="1561DDF7" w:rsidP="00E83710">
      <w:pPr>
        <w:pStyle w:val="IAPrrafo"/>
        <w:rPr>
          <w:b/>
          <w:bCs/>
          <w:szCs w:val="20"/>
          <w:lang w:val="es-US" w:eastAsia="es-US"/>
        </w:rPr>
      </w:pPr>
      <w:r w:rsidRPr="00672AC2">
        <w:rPr>
          <w:bCs/>
          <w:szCs w:val="20"/>
          <w:lang w:val="es-US"/>
        </w:rPr>
        <w:t xml:space="preserve">Por su lado, sociedad civil </w:t>
      </w:r>
      <w:r w:rsidR="00C1651B" w:rsidRPr="00672AC2">
        <w:rPr>
          <w:bCs/>
          <w:szCs w:val="20"/>
          <w:lang w:val="es-US"/>
        </w:rPr>
        <w:t xml:space="preserve">resaltó </w:t>
      </w:r>
      <w:r w:rsidRPr="00672AC2">
        <w:rPr>
          <w:bCs/>
          <w:szCs w:val="20"/>
          <w:lang w:val="es-US"/>
        </w:rPr>
        <w:t xml:space="preserve">a la Comisión que no conoce información sobre las actividades </w:t>
      </w:r>
      <w:r w:rsidR="00B02201" w:rsidRPr="00672AC2">
        <w:rPr>
          <w:bCs/>
          <w:szCs w:val="20"/>
          <w:lang w:val="es-US"/>
        </w:rPr>
        <w:t xml:space="preserve">impulsadas </w:t>
      </w:r>
      <w:r w:rsidRPr="00672AC2">
        <w:rPr>
          <w:bCs/>
          <w:szCs w:val="20"/>
          <w:lang w:val="es-US"/>
        </w:rPr>
        <w:t>por el Estado para el cumplimiento de esta recomendación.</w:t>
      </w:r>
    </w:p>
    <w:p w14:paraId="065535A8" w14:textId="77777777" w:rsidR="000A4A0B" w:rsidRPr="00672AC2" w:rsidRDefault="000A4A0B" w:rsidP="00DC3C17">
      <w:pPr>
        <w:ind w:firstLine="720"/>
        <w:jc w:val="both"/>
        <w:rPr>
          <w:rFonts w:eastAsia="Cambria" w:cs="Cambria"/>
          <w:bCs/>
          <w:i/>
          <w:iCs/>
          <w:color w:val="000000" w:themeColor="text1"/>
          <w:sz w:val="20"/>
          <w:szCs w:val="20"/>
          <w:lang w:val="es-ES"/>
        </w:rPr>
      </w:pPr>
      <w:r w:rsidRPr="00672AC2">
        <w:rPr>
          <w:rFonts w:eastAsia="Cambria" w:cs="Cambria"/>
          <w:bCs/>
          <w:i/>
          <w:iCs/>
          <w:color w:val="000000" w:themeColor="text1"/>
          <w:sz w:val="20"/>
          <w:szCs w:val="20"/>
          <w:lang w:val="es-ES"/>
        </w:rPr>
        <w:t>Análisis y nivel de cumplimiento de la recomendación</w:t>
      </w:r>
    </w:p>
    <w:p w14:paraId="0DF83511" w14:textId="77777777" w:rsidR="000A4A0B" w:rsidRPr="00672AC2" w:rsidRDefault="000A4A0B" w:rsidP="000A4A0B">
      <w:pPr>
        <w:jc w:val="both"/>
        <w:rPr>
          <w:bCs/>
          <w:lang w:val="es-CO"/>
        </w:rPr>
      </w:pPr>
    </w:p>
    <w:p w14:paraId="762BCB67" w14:textId="7CE63A25" w:rsidR="000A4A0B" w:rsidRPr="00672AC2" w:rsidRDefault="000A4A0B" w:rsidP="00E83710">
      <w:pPr>
        <w:pStyle w:val="IAPrrafo"/>
        <w:rPr>
          <w:b/>
          <w:szCs w:val="20"/>
          <w:lang w:val="es-US" w:eastAsia="es-US"/>
        </w:rPr>
      </w:pPr>
      <w:r w:rsidRPr="00672AC2">
        <w:rPr>
          <w:szCs w:val="20"/>
          <w:lang w:val="es-CO"/>
        </w:rPr>
        <w:t xml:space="preserve">La Comisión valora la información proporcionada por el Estado. Al respecto, recuerda que la presente recomendación tiene por objetivo </w:t>
      </w:r>
      <w:r w:rsidR="00BA4D21" w:rsidRPr="00672AC2">
        <w:rPr>
          <w:szCs w:val="20"/>
          <w:lang w:val="es-CO"/>
        </w:rPr>
        <w:t>conocer</w:t>
      </w:r>
      <w:r w:rsidRPr="00672AC2">
        <w:rPr>
          <w:szCs w:val="20"/>
          <w:lang w:val="es-CO"/>
        </w:rPr>
        <w:t xml:space="preserve"> acciones pedagógicas sobre derechos y mecanismos de protección, así como la creación de misiones interinstitucionales dirigidas a observar y prestar atención a las personas en el contexto de protestas y manifestaciones. </w:t>
      </w:r>
      <w:r w:rsidR="00BA4D21" w:rsidRPr="00672AC2">
        <w:rPr>
          <w:szCs w:val="20"/>
          <w:lang w:val="es-CO"/>
        </w:rPr>
        <w:t>Por ello</w:t>
      </w:r>
      <w:r w:rsidRPr="00672AC2">
        <w:rPr>
          <w:szCs w:val="20"/>
          <w:lang w:val="es-CO"/>
        </w:rPr>
        <w:t xml:space="preserve">, </w:t>
      </w:r>
      <w:r w:rsidR="00C1651B" w:rsidRPr="00672AC2">
        <w:rPr>
          <w:szCs w:val="20"/>
          <w:lang w:val="es-CO"/>
        </w:rPr>
        <w:t xml:space="preserve">advierte </w:t>
      </w:r>
      <w:r w:rsidRPr="00672AC2">
        <w:rPr>
          <w:szCs w:val="20"/>
          <w:lang w:val="es-CO"/>
        </w:rPr>
        <w:t xml:space="preserve">que las capacitaciones sobre el mecanismo intersectorial de defensores, y de las ferias sobre discriminación racial reportadas contribuyen al cumplimiento de esta recomendación considerando que fortalecen el conocimiento sobre algunos de los derechos de las personas y de sus alternativas de protección. </w:t>
      </w:r>
      <w:r w:rsidR="00192AC8" w:rsidRPr="00672AC2">
        <w:rPr>
          <w:szCs w:val="20"/>
          <w:lang w:val="es-CO"/>
        </w:rPr>
        <w:t>Por lo expuesto</w:t>
      </w:r>
      <w:r w:rsidRPr="00672AC2">
        <w:rPr>
          <w:szCs w:val="20"/>
          <w:lang w:val="es-CO"/>
        </w:rPr>
        <w:t xml:space="preserve">, la Comisión considera que la presente recomendación se encuentra </w:t>
      </w:r>
      <w:r w:rsidRPr="006A00A7">
        <w:rPr>
          <w:b/>
          <w:szCs w:val="20"/>
          <w:lang w:val="es-CO"/>
        </w:rPr>
        <w:t>parcialmente cumplida</w:t>
      </w:r>
      <w:r w:rsidRPr="00672AC2">
        <w:rPr>
          <w:szCs w:val="20"/>
          <w:lang w:val="es-CO"/>
        </w:rPr>
        <w:t>.</w:t>
      </w:r>
    </w:p>
    <w:p w14:paraId="09273811" w14:textId="5B4EE2D6" w:rsidR="000A4A0B" w:rsidRPr="00672AC2" w:rsidRDefault="000A4A0B" w:rsidP="00DC3C17">
      <w:pPr>
        <w:ind w:firstLine="720"/>
        <w:jc w:val="both"/>
        <w:rPr>
          <w:bCs/>
          <w:lang w:val="es-CO"/>
        </w:rPr>
      </w:pPr>
      <w:r w:rsidRPr="00672AC2">
        <w:rPr>
          <w:rFonts w:eastAsia="Cambria" w:cs="Cambria"/>
          <w:bCs/>
          <w:i/>
          <w:iCs/>
          <w:color w:val="000000" w:themeColor="text1"/>
          <w:sz w:val="20"/>
          <w:szCs w:val="20"/>
          <w:lang w:val="es-ES"/>
        </w:rPr>
        <w:t>Medidas e información para avanzar en el cumplimiento de la recomendación</w:t>
      </w:r>
      <w:r w:rsidR="001E5003" w:rsidRPr="00672AC2">
        <w:rPr>
          <w:rFonts w:eastAsia="Cambria" w:cs="Cambria"/>
          <w:bCs/>
          <w:i/>
          <w:iCs/>
          <w:color w:val="000000" w:themeColor="text1"/>
          <w:sz w:val="20"/>
          <w:szCs w:val="20"/>
          <w:lang w:val="es-ES"/>
        </w:rPr>
        <w:t xml:space="preserve"> </w:t>
      </w:r>
    </w:p>
    <w:p w14:paraId="409E8B37" w14:textId="77777777" w:rsidR="000A4A0B" w:rsidRPr="00672AC2" w:rsidRDefault="000A4A0B" w:rsidP="000A4A0B">
      <w:pPr>
        <w:ind w:firstLine="360"/>
        <w:jc w:val="both"/>
        <w:rPr>
          <w:bCs/>
          <w:lang w:val="es-US"/>
        </w:rPr>
      </w:pPr>
    </w:p>
    <w:p w14:paraId="3C16EFD5" w14:textId="4989B21E" w:rsidR="00324500" w:rsidRPr="00672AC2" w:rsidRDefault="000A4A0B" w:rsidP="00E83710">
      <w:pPr>
        <w:pStyle w:val="IAPrrafo"/>
        <w:rPr>
          <w:b/>
          <w:bCs/>
          <w:color w:val="000000" w:themeColor="text1"/>
          <w:szCs w:val="20"/>
          <w:lang w:val="es-CO"/>
        </w:rPr>
      </w:pPr>
      <w:r w:rsidRPr="00672AC2">
        <w:rPr>
          <w:bCs/>
          <w:color w:val="000000" w:themeColor="text1"/>
          <w:szCs w:val="20"/>
          <w:lang w:val="es-CO"/>
        </w:rPr>
        <w:t xml:space="preserve">Para avanzar con el cumplimiento de esta recomendación, la CIDH </w:t>
      </w:r>
      <w:r w:rsidR="000E1A5B" w:rsidRPr="00672AC2">
        <w:rPr>
          <w:bCs/>
          <w:color w:val="000000" w:themeColor="text1"/>
          <w:szCs w:val="20"/>
          <w:lang w:val="es-CO"/>
        </w:rPr>
        <w:t>destaca</w:t>
      </w:r>
      <w:r w:rsidR="00F07E81" w:rsidRPr="00672AC2">
        <w:rPr>
          <w:bCs/>
          <w:color w:val="000000" w:themeColor="text1"/>
          <w:szCs w:val="20"/>
          <w:lang w:val="es-CO"/>
        </w:rPr>
        <w:t xml:space="preserve"> </w:t>
      </w:r>
      <w:r w:rsidRPr="00672AC2">
        <w:rPr>
          <w:bCs/>
          <w:color w:val="000000" w:themeColor="text1"/>
          <w:szCs w:val="20"/>
          <w:lang w:val="es-CO"/>
        </w:rPr>
        <w:t xml:space="preserve">que se debe contar con mecanismos institucionalizados dirigidos a </w:t>
      </w:r>
      <w:r w:rsidR="000653CE" w:rsidRPr="00672AC2">
        <w:rPr>
          <w:bCs/>
          <w:color w:val="000000" w:themeColor="text1"/>
          <w:szCs w:val="20"/>
          <w:lang w:val="es-CO"/>
        </w:rPr>
        <w:t xml:space="preserve">promover </w:t>
      </w:r>
      <w:r w:rsidRPr="00672AC2">
        <w:rPr>
          <w:bCs/>
          <w:color w:val="000000" w:themeColor="text1"/>
          <w:szCs w:val="20"/>
          <w:lang w:val="es-CO"/>
        </w:rPr>
        <w:t xml:space="preserve">campañas pedagógicas de alcance nacional, como ferias, talleres, spots publicitarios u otros, dirigidos a abordar los derechos de la ciudadanía y los mecanismos de protección, y que incluyan la lucha contra la discriminación como uno de sus componentes. Asimismo, recuerda que es necesario </w:t>
      </w:r>
      <w:r w:rsidR="00BA4D21" w:rsidRPr="00672AC2">
        <w:rPr>
          <w:bCs/>
          <w:color w:val="000000" w:themeColor="text1"/>
          <w:szCs w:val="20"/>
          <w:lang w:val="es-CO"/>
        </w:rPr>
        <w:t>implementar</w:t>
      </w:r>
      <w:r w:rsidRPr="00672AC2">
        <w:rPr>
          <w:bCs/>
          <w:color w:val="000000" w:themeColor="text1"/>
          <w:szCs w:val="20"/>
          <w:lang w:val="es-CO"/>
        </w:rPr>
        <w:t xml:space="preserve"> acciones interinstitucionales dirigidas a </w:t>
      </w:r>
      <w:r w:rsidRPr="00672AC2">
        <w:rPr>
          <w:bCs/>
          <w:szCs w:val="20"/>
          <w:lang w:val="es-CO"/>
        </w:rPr>
        <w:t>observar y prestar atención a las personas en el contexto de protestas y manifestaciones</w:t>
      </w:r>
      <w:r w:rsidRPr="00672AC2">
        <w:rPr>
          <w:bCs/>
          <w:color w:val="000000" w:themeColor="text1"/>
          <w:szCs w:val="20"/>
          <w:lang w:val="es-CO"/>
        </w:rPr>
        <w:t>, lo cual debe incluir a diversos actores públicos y sociedad civil, e involucrar a entidades como la Defensoría del Pueblo.</w:t>
      </w:r>
    </w:p>
    <w:p w14:paraId="03AB7324" w14:textId="318F3389" w:rsidR="00737D00" w:rsidRPr="00672AC2" w:rsidRDefault="001E5003" w:rsidP="000A4A0B">
      <w:pPr>
        <w:pStyle w:val="IASubttulo2"/>
        <w:numPr>
          <w:ilvl w:val="0"/>
          <w:numId w:val="0"/>
        </w:numPr>
        <w:spacing w:after="0"/>
        <w:jc w:val="both"/>
        <w:rPr>
          <w:b w:val="0"/>
          <w:bCs/>
          <w:color w:val="000000" w:themeColor="text1"/>
          <w:sz w:val="20"/>
          <w:szCs w:val="20"/>
          <w:lang w:val="es-CO"/>
        </w:rPr>
      </w:pPr>
      <w:r w:rsidRPr="00672AC2">
        <w:rPr>
          <w:b w:val="0"/>
          <w:bCs/>
          <w:color w:val="000000" w:themeColor="text1"/>
          <w:sz w:val="20"/>
          <w:szCs w:val="20"/>
          <w:lang w:val="es-CO"/>
        </w:rPr>
        <w:t xml:space="preserve"> </w:t>
      </w:r>
    </w:p>
    <w:tbl>
      <w:tblPr>
        <w:tblStyle w:val="TableGrid"/>
        <w:tblW w:w="0" w:type="auto"/>
        <w:tblLook w:val="04A0" w:firstRow="1" w:lastRow="0" w:firstColumn="1" w:lastColumn="0" w:noHBand="0" w:noVBand="1"/>
      </w:tblPr>
      <w:tblGrid>
        <w:gridCol w:w="9350"/>
      </w:tblGrid>
      <w:tr w:rsidR="003A66B5" w:rsidRPr="00F51AED" w14:paraId="116B0D10" w14:textId="77777777">
        <w:tc>
          <w:tcPr>
            <w:tcW w:w="9350" w:type="dxa"/>
            <w:tcBorders>
              <w:top w:val="nil"/>
              <w:left w:val="nil"/>
              <w:bottom w:val="nil"/>
              <w:right w:val="nil"/>
            </w:tcBorders>
            <w:shd w:val="clear" w:color="auto" w:fill="D0CECE" w:themeFill="background2" w:themeFillShade="E6"/>
          </w:tcPr>
          <w:p w14:paraId="0E1687F9" w14:textId="7E764DFC" w:rsidR="003A66B5" w:rsidRPr="00672AC2" w:rsidRDefault="003A66B5" w:rsidP="00DC3C17">
            <w:pPr>
              <w:pStyle w:val="IASubttulo2"/>
              <w:numPr>
                <w:ilvl w:val="0"/>
                <w:numId w:val="0"/>
              </w:numPr>
              <w:spacing w:after="0"/>
              <w:ind w:left="154"/>
              <w:jc w:val="both"/>
              <w:rPr>
                <w:b w:val="0"/>
                <w:sz w:val="20"/>
                <w:szCs w:val="20"/>
                <w:lang w:val="es-CO"/>
              </w:rPr>
            </w:pPr>
            <w:bookmarkStart w:id="34" w:name="_Toc195618299"/>
            <w:r w:rsidRPr="00672AC2">
              <w:rPr>
                <w:sz w:val="20"/>
                <w:szCs w:val="20"/>
                <w:lang w:val="es-CO"/>
              </w:rPr>
              <w:t xml:space="preserve">Recomendación </w:t>
            </w:r>
            <w:proofErr w:type="spellStart"/>
            <w:r w:rsidR="002137DD" w:rsidRPr="00672AC2">
              <w:rPr>
                <w:sz w:val="20"/>
                <w:szCs w:val="20"/>
                <w:lang w:val="es-CO"/>
              </w:rPr>
              <w:t>Nº</w:t>
            </w:r>
            <w:proofErr w:type="spellEnd"/>
            <w:r w:rsidRPr="00672AC2">
              <w:rPr>
                <w:sz w:val="20"/>
                <w:szCs w:val="20"/>
                <w:lang w:val="es-CO"/>
              </w:rPr>
              <w:t xml:space="preserve"> </w:t>
            </w:r>
            <w:r w:rsidR="0081119B" w:rsidRPr="00672AC2">
              <w:rPr>
                <w:sz w:val="20"/>
                <w:szCs w:val="20"/>
                <w:lang w:val="es-CO"/>
              </w:rPr>
              <w:t>30</w:t>
            </w:r>
            <w:r w:rsidRPr="00672AC2">
              <w:rPr>
                <w:sz w:val="20"/>
                <w:szCs w:val="20"/>
                <w:lang w:val="es-CO"/>
              </w:rPr>
              <w:t xml:space="preserve">. </w:t>
            </w:r>
            <w:r w:rsidR="0081119B" w:rsidRPr="00672AC2">
              <w:rPr>
                <w:b w:val="0"/>
                <w:sz w:val="20"/>
                <w:szCs w:val="20"/>
                <w:lang w:val="es-CO"/>
              </w:rPr>
              <w:t>Abstenerse de realizar declaraciones que estigmaticen o inciten la violencia contra las personas que participan de las protestas. En este sentido, adoptar medidas pedagógicas dirigidas a socializar con las autoridades estatales su deber de abstención de realizar declaraciones estigmatizantes o que inciten la violencia contra personas que participan en las protestas.</w:t>
            </w:r>
            <w:bookmarkEnd w:id="34"/>
          </w:p>
        </w:tc>
      </w:tr>
    </w:tbl>
    <w:p w14:paraId="01786934" w14:textId="77777777" w:rsidR="003A66B5" w:rsidRPr="00672AC2" w:rsidRDefault="003A66B5" w:rsidP="003A66B5">
      <w:pPr>
        <w:jc w:val="both"/>
        <w:rPr>
          <w:bCs/>
          <w:sz w:val="20"/>
          <w:szCs w:val="20"/>
          <w:lang w:val="es-419" w:eastAsia="es-US"/>
        </w:rPr>
      </w:pPr>
    </w:p>
    <w:p w14:paraId="1BC0A260" w14:textId="0E345EE0" w:rsidR="000A4A0B" w:rsidRPr="00672AC2" w:rsidRDefault="000A4A0B" w:rsidP="00DC3C17">
      <w:pPr>
        <w:pBdr>
          <w:top w:val="nil"/>
          <w:left w:val="nil"/>
          <w:bottom w:val="nil"/>
          <w:right w:val="nil"/>
          <w:between w:val="nil"/>
        </w:pBdr>
        <w:ind w:firstLine="720"/>
        <w:jc w:val="both"/>
        <w:rPr>
          <w:bCs/>
        </w:rPr>
      </w:pPr>
      <w:r w:rsidRPr="00672AC2">
        <w:rPr>
          <w:rFonts w:eastAsia="Cambria" w:cs="Cambria"/>
          <w:bCs/>
          <w:i/>
          <w:iCs/>
          <w:color w:val="000000" w:themeColor="text1"/>
          <w:sz w:val="20"/>
          <w:szCs w:val="20"/>
          <w:lang w:val="es-ES"/>
        </w:rPr>
        <w:t>Información sobre el cumplimiento</w:t>
      </w:r>
      <w:r w:rsidR="001E5003" w:rsidRPr="00672AC2">
        <w:rPr>
          <w:rFonts w:eastAsia="Cambria" w:cs="Cambria"/>
          <w:bCs/>
          <w:i/>
          <w:iCs/>
          <w:color w:val="000000" w:themeColor="text1"/>
          <w:sz w:val="20"/>
          <w:szCs w:val="20"/>
          <w:lang w:val="es-ES"/>
        </w:rPr>
        <w:t xml:space="preserve"> </w:t>
      </w:r>
    </w:p>
    <w:p w14:paraId="48220EC5" w14:textId="77777777" w:rsidR="000A4A0B" w:rsidRPr="00672AC2" w:rsidRDefault="000A4A0B" w:rsidP="000A4A0B">
      <w:pPr>
        <w:shd w:val="clear" w:color="auto" w:fill="FFFFFF" w:themeFill="background1"/>
        <w:jc w:val="both"/>
        <w:rPr>
          <w:bCs/>
          <w:sz w:val="20"/>
          <w:szCs w:val="20"/>
          <w:lang w:val="es-419" w:eastAsia="es-US"/>
        </w:rPr>
      </w:pPr>
    </w:p>
    <w:p w14:paraId="7FBEA525" w14:textId="1BF8CC72" w:rsidR="000A4A0B" w:rsidRPr="00DC3C17" w:rsidRDefault="1561DDF7" w:rsidP="00DC3C17">
      <w:pPr>
        <w:pStyle w:val="IAPrrafo"/>
        <w:rPr>
          <w:b/>
          <w:bCs/>
          <w:color w:val="000000" w:themeColor="text1"/>
          <w:szCs w:val="20"/>
          <w:lang w:val="es-CO" w:eastAsia="es-US"/>
        </w:rPr>
      </w:pPr>
      <w:r w:rsidRPr="00672AC2">
        <w:rPr>
          <w:color w:val="000000" w:themeColor="text1"/>
          <w:szCs w:val="20"/>
          <w:lang w:val="es-CO"/>
        </w:rPr>
        <w:t>En el 2024, el Estado señaló que, desde el año 2013, se ha implementado una Plataforma de Alerta contra el Racismo, la cual tiene como objetivo generar información sobre los actos de discriminación étnico racial y fomentar una ciudadanía activa que reporte estos hechos. Asimismo, indicó que estableció el servicio ORIENTA</w:t>
      </w:r>
      <w:r w:rsidR="00F36B41">
        <w:rPr>
          <w:rFonts w:ascii="ZWAdobeF" w:hAnsi="ZWAdobeF" w:cs="ZWAdobeF"/>
          <w:color w:val="auto"/>
          <w:sz w:val="2"/>
          <w:szCs w:val="2"/>
          <w:lang w:val="es-CO"/>
        </w:rPr>
        <w:t>139F</w:t>
      </w:r>
      <w:r w:rsidR="000A4A0B" w:rsidRPr="00672AC2">
        <w:rPr>
          <w:rStyle w:val="FootnoteReference"/>
          <w:color w:val="000000" w:themeColor="text1"/>
          <w:szCs w:val="20"/>
          <w:lang w:val="es-CO"/>
        </w:rPr>
        <w:footnoteReference w:id="141"/>
      </w:r>
      <w:r w:rsidR="00A77421" w:rsidRPr="00672AC2">
        <w:rPr>
          <w:color w:val="000000" w:themeColor="text1"/>
          <w:szCs w:val="20"/>
          <w:lang w:val="es-CO"/>
        </w:rPr>
        <w:t>,</w:t>
      </w:r>
      <w:r w:rsidRPr="00672AC2">
        <w:rPr>
          <w:color w:val="000000" w:themeColor="text1"/>
          <w:szCs w:val="20"/>
          <w:lang w:val="es-CO"/>
        </w:rPr>
        <w:t xml:space="preserve"> para dar atención a las personas que reportan casos de discriminación. En ese marco, afirmó que se </w:t>
      </w:r>
      <w:r w:rsidR="00A77421" w:rsidRPr="00672AC2">
        <w:rPr>
          <w:color w:val="000000" w:themeColor="text1"/>
          <w:szCs w:val="20"/>
          <w:lang w:val="es-CO"/>
        </w:rPr>
        <w:t>concretaron</w:t>
      </w:r>
      <w:r w:rsidRPr="00672AC2">
        <w:rPr>
          <w:color w:val="000000" w:themeColor="text1"/>
          <w:szCs w:val="20"/>
          <w:lang w:val="es-CO"/>
        </w:rPr>
        <w:t xml:space="preserve"> 39 actividades de fortalecimiento de capacidades sobre identificación y prevención de la discriminación étnico racial, a nivel descentralizado, dirigidas a personas servidoras y funcionarias públicas. y que se implementó un curso MOOC virtual y gratuito denominado “Hablemos de Racismo”.</w:t>
      </w:r>
    </w:p>
    <w:p w14:paraId="57134DFC" w14:textId="2227A4A9" w:rsidR="000A4A0B" w:rsidRPr="009E6D9D" w:rsidRDefault="1561DDF7" w:rsidP="000A4A0B">
      <w:pPr>
        <w:pStyle w:val="IAPrrafo"/>
        <w:rPr>
          <w:b/>
          <w:bCs/>
          <w:color w:val="000000" w:themeColor="text1"/>
          <w:szCs w:val="20"/>
          <w:lang w:val="es-CO" w:eastAsia="es-US"/>
        </w:rPr>
      </w:pPr>
      <w:r w:rsidRPr="00672AC2">
        <w:rPr>
          <w:color w:val="000000" w:themeColor="text1"/>
          <w:szCs w:val="20"/>
          <w:lang w:val="es-CO"/>
        </w:rPr>
        <w:t xml:space="preserve">Por su lado, sociedad civil informó a la Comisión de la supuesta emisión de declaraciones que estigmatizan e incitan a la violencia contra las personas que participan de las protestas. En ese sentido, se </w:t>
      </w:r>
      <w:r w:rsidR="001D4910" w:rsidRPr="00672AC2">
        <w:rPr>
          <w:color w:val="000000" w:themeColor="text1"/>
          <w:szCs w:val="20"/>
          <w:lang w:val="es-CO"/>
        </w:rPr>
        <w:t xml:space="preserve">detalló </w:t>
      </w:r>
      <w:r w:rsidRPr="00672AC2">
        <w:rPr>
          <w:color w:val="000000" w:themeColor="text1"/>
          <w:szCs w:val="20"/>
          <w:lang w:val="es-CO"/>
        </w:rPr>
        <w:t xml:space="preserve">a la CIDH sobre declaraciones </w:t>
      </w:r>
      <w:r w:rsidR="00BA4D21" w:rsidRPr="00672AC2">
        <w:rPr>
          <w:color w:val="000000" w:themeColor="text1"/>
          <w:szCs w:val="20"/>
          <w:lang w:val="es-CO"/>
        </w:rPr>
        <w:t>emitidas</w:t>
      </w:r>
      <w:r w:rsidRPr="00672AC2">
        <w:rPr>
          <w:color w:val="000000" w:themeColor="text1"/>
          <w:szCs w:val="20"/>
          <w:lang w:val="es-CO"/>
        </w:rPr>
        <w:t xml:space="preserve"> por miembros del Consejo de Ministros</w:t>
      </w:r>
      <w:r w:rsidR="00F36B41">
        <w:rPr>
          <w:rFonts w:ascii="ZWAdobeF" w:hAnsi="ZWAdobeF" w:cs="ZWAdobeF"/>
          <w:color w:val="auto"/>
          <w:sz w:val="2"/>
          <w:szCs w:val="2"/>
          <w:lang w:val="es-CO"/>
        </w:rPr>
        <w:t>140F</w:t>
      </w:r>
      <w:r w:rsidR="000A4A0B" w:rsidRPr="00672AC2">
        <w:rPr>
          <w:rStyle w:val="FootnoteReference"/>
          <w:color w:val="000000" w:themeColor="text1"/>
          <w:szCs w:val="20"/>
          <w:lang w:val="es-CO"/>
        </w:rPr>
        <w:footnoteReference w:id="142"/>
      </w:r>
      <w:r w:rsidRPr="00672AC2">
        <w:rPr>
          <w:color w:val="000000" w:themeColor="text1"/>
          <w:szCs w:val="20"/>
          <w:lang w:val="es-CO"/>
        </w:rPr>
        <w:t>, voceros del Poder Ejecutivo</w:t>
      </w:r>
      <w:r w:rsidR="00F36B41">
        <w:rPr>
          <w:rFonts w:ascii="ZWAdobeF" w:hAnsi="ZWAdobeF" w:cs="ZWAdobeF"/>
          <w:color w:val="auto"/>
          <w:sz w:val="2"/>
          <w:szCs w:val="2"/>
          <w:lang w:val="es-CO"/>
        </w:rPr>
        <w:t>141F</w:t>
      </w:r>
      <w:r w:rsidR="000A4A0B" w:rsidRPr="00672AC2">
        <w:rPr>
          <w:rStyle w:val="FootnoteReference"/>
          <w:color w:val="000000" w:themeColor="text1"/>
          <w:szCs w:val="20"/>
          <w:lang w:val="es-CO"/>
        </w:rPr>
        <w:footnoteReference w:id="143"/>
      </w:r>
      <w:r w:rsidRPr="00672AC2">
        <w:rPr>
          <w:color w:val="000000" w:themeColor="text1"/>
          <w:szCs w:val="20"/>
          <w:lang w:val="es-CO"/>
        </w:rPr>
        <w:t xml:space="preserve"> y congresistas</w:t>
      </w:r>
      <w:r w:rsidR="00F36B41">
        <w:rPr>
          <w:rFonts w:ascii="ZWAdobeF" w:hAnsi="ZWAdobeF" w:cs="ZWAdobeF"/>
          <w:color w:val="auto"/>
          <w:sz w:val="2"/>
          <w:szCs w:val="2"/>
          <w:lang w:val="es-CO"/>
        </w:rPr>
        <w:t>142F</w:t>
      </w:r>
      <w:r w:rsidR="000A4A0B" w:rsidRPr="00672AC2">
        <w:rPr>
          <w:rStyle w:val="FootnoteReference"/>
          <w:color w:val="000000" w:themeColor="text1"/>
          <w:szCs w:val="20"/>
          <w:lang w:val="es-CO"/>
        </w:rPr>
        <w:footnoteReference w:id="144"/>
      </w:r>
      <w:r w:rsidRPr="00672AC2">
        <w:rPr>
          <w:color w:val="000000" w:themeColor="text1"/>
          <w:szCs w:val="20"/>
          <w:lang w:val="es-CO"/>
        </w:rPr>
        <w:t xml:space="preserve"> quienes habrían emitido calificativos como “terrorismo urbano”, “traidores a los intereses de la patria” o “delincuentes” vinculados a las personas manifestantes en el marco de las movilizaciones de octubre del 2024</w:t>
      </w:r>
      <w:r w:rsidRPr="00672AC2">
        <w:rPr>
          <w:szCs w:val="20"/>
          <w:lang w:val="es-US"/>
        </w:rPr>
        <w:t xml:space="preserve">. Asimismo, sociedad civil </w:t>
      </w:r>
      <w:r w:rsidR="00AB3498" w:rsidRPr="00672AC2">
        <w:rPr>
          <w:szCs w:val="20"/>
          <w:lang w:val="es-US"/>
        </w:rPr>
        <w:t xml:space="preserve">destacó </w:t>
      </w:r>
      <w:r w:rsidRPr="00672AC2">
        <w:rPr>
          <w:szCs w:val="20"/>
          <w:lang w:val="es-US"/>
        </w:rPr>
        <w:t>que, en el marco de las protestas de dichas movilizaciones de octubre del 2024, la Defensoría del Pueblo emitió un comunicado afirmando que “la obligación de contribuir con el interés nacional” está por encima del derecho a la protesta.</w:t>
      </w:r>
    </w:p>
    <w:p w14:paraId="30FA75EF" w14:textId="3519C93A" w:rsidR="0032079F" w:rsidRPr="009E6D9D" w:rsidRDefault="1561DDF7" w:rsidP="0032079F">
      <w:pPr>
        <w:pStyle w:val="IAPrrafo"/>
        <w:rPr>
          <w:b/>
          <w:bCs/>
          <w:color w:val="000000" w:themeColor="text1"/>
          <w:szCs w:val="20"/>
          <w:lang w:val="es-CO" w:eastAsia="es-US"/>
        </w:rPr>
      </w:pPr>
      <w:r w:rsidRPr="00672AC2">
        <w:rPr>
          <w:color w:val="000000" w:themeColor="text1"/>
          <w:szCs w:val="20"/>
          <w:lang w:val="es-CO" w:eastAsia="es-US"/>
        </w:rPr>
        <w:t>De otro lado, sociedad civil comentó que no dispone de información pública sobre campañas o programas educativos específicos dirigidos a capacitar a autoridades sobre la importancia de evitar declaraciones que inciten a la violencia o estigmaticen a los manifestantes, defensores de derechos humanos o periodistas.</w:t>
      </w:r>
    </w:p>
    <w:p w14:paraId="2FB634D8" w14:textId="77777777" w:rsidR="00757513" w:rsidRDefault="00757513" w:rsidP="0032079F">
      <w:pPr>
        <w:ind w:firstLine="720"/>
        <w:jc w:val="both"/>
        <w:rPr>
          <w:rFonts w:eastAsia="Cambria" w:cs="Cambria"/>
          <w:bCs/>
          <w:i/>
          <w:iCs/>
          <w:color w:val="000000" w:themeColor="text1"/>
          <w:sz w:val="20"/>
          <w:szCs w:val="20"/>
          <w:lang w:val="es-ES"/>
        </w:rPr>
      </w:pPr>
    </w:p>
    <w:p w14:paraId="77CFEE4A" w14:textId="77777777" w:rsidR="00757513" w:rsidRDefault="00757513" w:rsidP="0032079F">
      <w:pPr>
        <w:ind w:firstLine="720"/>
        <w:jc w:val="both"/>
        <w:rPr>
          <w:rFonts w:eastAsia="Cambria" w:cs="Cambria"/>
          <w:bCs/>
          <w:i/>
          <w:iCs/>
          <w:color w:val="000000" w:themeColor="text1"/>
          <w:sz w:val="20"/>
          <w:szCs w:val="20"/>
          <w:lang w:val="es-ES"/>
        </w:rPr>
      </w:pPr>
    </w:p>
    <w:p w14:paraId="2CDC1A9F" w14:textId="77777777" w:rsidR="00757513" w:rsidRDefault="00757513" w:rsidP="0032079F">
      <w:pPr>
        <w:ind w:firstLine="720"/>
        <w:jc w:val="both"/>
        <w:rPr>
          <w:rFonts w:eastAsia="Cambria" w:cs="Cambria"/>
          <w:bCs/>
          <w:i/>
          <w:iCs/>
          <w:color w:val="000000" w:themeColor="text1"/>
          <w:sz w:val="20"/>
          <w:szCs w:val="20"/>
          <w:lang w:val="es-ES"/>
        </w:rPr>
      </w:pPr>
    </w:p>
    <w:p w14:paraId="4EA4E7D1" w14:textId="7EF58AD5" w:rsidR="0032079F" w:rsidRPr="00672AC2" w:rsidRDefault="0032079F" w:rsidP="0032079F">
      <w:pPr>
        <w:ind w:firstLine="720"/>
        <w:jc w:val="both"/>
        <w:rPr>
          <w:rFonts w:eastAsia="Cambria" w:cs="Cambria"/>
          <w:bCs/>
          <w:i/>
          <w:iCs/>
          <w:color w:val="000000" w:themeColor="text1"/>
          <w:sz w:val="20"/>
          <w:szCs w:val="20"/>
          <w:lang w:val="es-ES"/>
        </w:rPr>
      </w:pPr>
      <w:r w:rsidRPr="00672AC2">
        <w:rPr>
          <w:rFonts w:eastAsia="Cambria" w:cs="Cambria"/>
          <w:bCs/>
          <w:i/>
          <w:iCs/>
          <w:color w:val="000000" w:themeColor="text1"/>
          <w:sz w:val="20"/>
          <w:szCs w:val="20"/>
          <w:lang w:val="es-ES"/>
        </w:rPr>
        <w:t>Análisis y nivel de cumplimiento de la recomendación</w:t>
      </w:r>
    </w:p>
    <w:p w14:paraId="78855C98" w14:textId="77777777" w:rsidR="0032079F" w:rsidRPr="0032079F" w:rsidRDefault="0032079F" w:rsidP="0032079F">
      <w:pPr>
        <w:pStyle w:val="ListParagraph"/>
        <w:rPr>
          <w:b/>
          <w:bCs/>
          <w:color w:val="000000" w:themeColor="text1"/>
          <w:sz w:val="20"/>
          <w:szCs w:val="20"/>
          <w:lang w:val="es-ES" w:eastAsia="es-US"/>
        </w:rPr>
      </w:pPr>
    </w:p>
    <w:p w14:paraId="6093763E" w14:textId="65E4BC96" w:rsidR="000A4A0B" w:rsidRPr="009E6D9D" w:rsidRDefault="0032079F" w:rsidP="009E6D9D">
      <w:pPr>
        <w:pStyle w:val="IAPrrafo"/>
        <w:rPr>
          <w:b/>
          <w:color w:val="000000" w:themeColor="text1"/>
          <w:szCs w:val="20"/>
          <w:lang w:val="es-CO" w:eastAsia="es-US"/>
        </w:rPr>
      </w:pPr>
      <w:r w:rsidRPr="00672AC2">
        <w:rPr>
          <w:szCs w:val="20"/>
          <w:lang w:val="es-US"/>
        </w:rPr>
        <w:t xml:space="preserve">La Comisión agradece la información proporcionada por el Estado acerca de las capacitaciones impartidas a </w:t>
      </w:r>
      <w:r w:rsidRPr="00672AC2">
        <w:rPr>
          <w:color w:val="000000" w:themeColor="text1"/>
          <w:szCs w:val="20"/>
          <w:lang w:val="es-CO"/>
        </w:rPr>
        <w:t>personas servidoras y funcionarias públicas</w:t>
      </w:r>
      <w:r w:rsidRPr="00672AC2">
        <w:rPr>
          <w:szCs w:val="20"/>
          <w:lang w:val="es-US"/>
        </w:rPr>
        <w:t xml:space="preserve"> sobre discriminación étnico racial. Al respecto, la CIDH resalta que la presente recomendación tiene como objetivo fortalecer </w:t>
      </w:r>
      <w:r w:rsidRPr="00672AC2">
        <w:rPr>
          <w:szCs w:val="20"/>
          <w:lang w:val="es-CO"/>
        </w:rPr>
        <w:t>medidas pedagógicas dirigidas a las autoridades estatales sobre su deber de abstención de hacer declaraciones estigmatizantes o que inciten la violencia contra personas que participan en las protestas. En ese sentido, la CIDH ha dicho que “los funcionarios tienen el deber de asegurarse que al ejercer su libertad de expresión no incurran en el desconocimiento de derechos fundamentales, lo que incluye que no lesionen o inhiban el derecho a la protesta social”</w:t>
      </w:r>
      <w:r w:rsidR="00F36B41">
        <w:rPr>
          <w:rFonts w:ascii="ZWAdobeF" w:hAnsi="ZWAdobeF" w:cs="ZWAdobeF"/>
          <w:color w:val="auto"/>
          <w:sz w:val="2"/>
          <w:szCs w:val="2"/>
          <w:lang w:val="es-CO"/>
        </w:rPr>
        <w:t>143F</w:t>
      </w:r>
      <w:r w:rsidRPr="00672AC2">
        <w:rPr>
          <w:rStyle w:val="FootnoteReference"/>
          <w:szCs w:val="20"/>
          <w:lang w:val="es-CO"/>
        </w:rPr>
        <w:footnoteReference w:id="145"/>
      </w:r>
      <w:r w:rsidRPr="00672AC2">
        <w:rPr>
          <w:szCs w:val="20"/>
          <w:lang w:val="es-CO"/>
        </w:rPr>
        <w:t>.</w:t>
      </w:r>
    </w:p>
    <w:p w14:paraId="0DA0E74B" w14:textId="13CA1BEB" w:rsidR="00324500" w:rsidRPr="009E6D9D" w:rsidRDefault="000A4A0B" w:rsidP="009E6D9D">
      <w:pPr>
        <w:pStyle w:val="IAPrrafo"/>
        <w:rPr>
          <w:b/>
          <w:bCs/>
          <w:color w:val="000000" w:themeColor="text1"/>
          <w:szCs w:val="20"/>
          <w:lang w:val="es-CO" w:eastAsia="es-US"/>
        </w:rPr>
      </w:pPr>
      <w:r w:rsidRPr="00672AC2">
        <w:rPr>
          <w:bCs/>
          <w:szCs w:val="20"/>
          <w:lang w:val="es-US"/>
        </w:rPr>
        <w:t xml:space="preserve">Asimismo, la CIDH muestra su preocupación por las declaraciones estigmatizantes </w:t>
      </w:r>
      <w:r w:rsidR="00BA4D21" w:rsidRPr="00672AC2">
        <w:rPr>
          <w:bCs/>
          <w:szCs w:val="20"/>
          <w:lang w:val="es-US"/>
        </w:rPr>
        <w:t>de</w:t>
      </w:r>
      <w:r w:rsidRPr="00672AC2">
        <w:rPr>
          <w:bCs/>
          <w:szCs w:val="20"/>
          <w:lang w:val="es-US"/>
        </w:rPr>
        <w:t xml:space="preserve"> diversas personas funcionarias del Estado en relación con personas que participaron de las protestas del 2022 y 2023. A la espera de información adicional, la Comisión </w:t>
      </w:r>
      <w:r w:rsidR="00AD5193" w:rsidRPr="00672AC2">
        <w:rPr>
          <w:bCs/>
          <w:szCs w:val="20"/>
          <w:lang w:val="es-US"/>
        </w:rPr>
        <w:t xml:space="preserve">concluye </w:t>
      </w:r>
      <w:r w:rsidRPr="00672AC2">
        <w:rPr>
          <w:bCs/>
          <w:szCs w:val="20"/>
          <w:lang w:val="es-US"/>
        </w:rPr>
        <w:t xml:space="preserve">que la presente recomendación se encuentra </w:t>
      </w:r>
      <w:r w:rsidRPr="00EE337A">
        <w:rPr>
          <w:b/>
          <w:bCs/>
          <w:szCs w:val="20"/>
          <w:lang w:val="es-US"/>
        </w:rPr>
        <w:t>pendiente de cumplimiento</w:t>
      </w:r>
      <w:r w:rsidRPr="00672AC2">
        <w:rPr>
          <w:bCs/>
          <w:szCs w:val="20"/>
          <w:lang w:val="es-US"/>
        </w:rPr>
        <w:t>.</w:t>
      </w:r>
    </w:p>
    <w:p w14:paraId="5D8DE373" w14:textId="5FA2DD4F" w:rsidR="000A4A0B" w:rsidRPr="00672AC2" w:rsidRDefault="000A4A0B" w:rsidP="009E6D9D">
      <w:pPr>
        <w:ind w:left="360" w:firstLine="360"/>
        <w:jc w:val="both"/>
        <w:rPr>
          <w:sz w:val="20"/>
          <w:szCs w:val="20"/>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275B9250" w14:textId="77777777" w:rsidR="000A4A0B" w:rsidRPr="00672AC2" w:rsidRDefault="000A4A0B" w:rsidP="000A4A0B">
      <w:pPr>
        <w:ind w:firstLine="360"/>
        <w:jc w:val="both"/>
        <w:rPr>
          <w:sz w:val="20"/>
          <w:szCs w:val="20"/>
          <w:lang w:val="es-US"/>
        </w:rPr>
      </w:pPr>
    </w:p>
    <w:p w14:paraId="10500A9F" w14:textId="13558CEF" w:rsidR="000A4A0B" w:rsidRPr="009E6D9D" w:rsidRDefault="000A4A0B" w:rsidP="009E6D9D">
      <w:pPr>
        <w:pStyle w:val="IAPrrafo"/>
        <w:rPr>
          <w:b/>
          <w:szCs w:val="20"/>
          <w:lang w:val="es-US" w:eastAsia="es-US"/>
        </w:rPr>
      </w:pPr>
      <w:r w:rsidRPr="00672AC2">
        <w:rPr>
          <w:szCs w:val="20"/>
          <w:lang w:val="es-US"/>
        </w:rPr>
        <w:t>Por un lado, la Comisión considera fundamental que las autoridades y personas funcionarias se abstengan de dar declaraciones estigmatizantes sobre las personas que participen de las protestas. Además, recuerda que, para avanzar en el cumplimiento de esta recomendación, no sólo debe dejar de emitir este tipo de apreciaciones, sino que el Estado debe procurar mecanismos de rendición de cuentas frente a estas últimas, así como impartir medidas pedagógicas para que las autoridades y personas funcionarias conozcan</w:t>
      </w:r>
      <w:r w:rsidR="001E5003" w:rsidRPr="00672AC2">
        <w:rPr>
          <w:szCs w:val="20"/>
          <w:lang w:val="es-US"/>
        </w:rPr>
        <w:t xml:space="preserve"> </w:t>
      </w:r>
      <w:r w:rsidRPr="00672AC2">
        <w:rPr>
          <w:szCs w:val="20"/>
          <w:lang w:val="es-US"/>
        </w:rPr>
        <w:t>y apliquen esa prohibición.</w:t>
      </w:r>
    </w:p>
    <w:tbl>
      <w:tblPr>
        <w:tblStyle w:val="TableGrid"/>
        <w:tblW w:w="0" w:type="auto"/>
        <w:tblLook w:val="04A0" w:firstRow="1" w:lastRow="0" w:firstColumn="1" w:lastColumn="0" w:noHBand="0" w:noVBand="1"/>
      </w:tblPr>
      <w:tblGrid>
        <w:gridCol w:w="9360"/>
      </w:tblGrid>
      <w:tr w:rsidR="000A4A0B" w:rsidRPr="00F51AED" w14:paraId="698F7F9D" w14:textId="77777777">
        <w:tc>
          <w:tcPr>
            <w:tcW w:w="9360" w:type="dxa"/>
            <w:tcBorders>
              <w:top w:val="nil"/>
              <w:left w:val="nil"/>
              <w:bottom w:val="nil"/>
              <w:right w:val="nil"/>
            </w:tcBorders>
            <w:shd w:val="clear" w:color="auto" w:fill="D9D9D9" w:themeFill="background1" w:themeFillShade="D9"/>
          </w:tcPr>
          <w:p w14:paraId="2667720F" w14:textId="4ED23557" w:rsidR="000A4A0B" w:rsidRPr="00672AC2" w:rsidRDefault="000A4A0B">
            <w:pPr>
              <w:pStyle w:val="ListParagraph"/>
              <w:suppressAutoHyphens w:val="0"/>
              <w:ind w:left="0"/>
              <w:jc w:val="both"/>
              <w:rPr>
                <w:rFonts w:eastAsia="Cambria" w:cs="Cambria"/>
                <w:color w:val="000000" w:themeColor="text1"/>
                <w:sz w:val="20"/>
                <w:szCs w:val="20"/>
                <w:lang w:val="es-CO"/>
              </w:rPr>
            </w:pPr>
            <w:r w:rsidRPr="00672AC2">
              <w:rPr>
                <w:rFonts w:eastAsia="Cambria" w:cs="Cambria"/>
                <w:b/>
                <w:bCs/>
                <w:color w:val="000000" w:themeColor="text1"/>
                <w:sz w:val="20"/>
                <w:szCs w:val="20"/>
                <w:lang w:val="es-CO"/>
              </w:rPr>
              <w:t xml:space="preserve">Recomendación </w:t>
            </w:r>
            <w:proofErr w:type="spellStart"/>
            <w:r w:rsidR="002137DD" w:rsidRPr="00672AC2">
              <w:rPr>
                <w:rFonts w:eastAsia="Cambria" w:cs="Cambria"/>
                <w:b/>
                <w:bCs/>
                <w:color w:val="000000" w:themeColor="text1"/>
                <w:sz w:val="20"/>
                <w:szCs w:val="20"/>
                <w:lang w:val="es-CO"/>
              </w:rPr>
              <w:t>Nº</w:t>
            </w:r>
            <w:proofErr w:type="spellEnd"/>
            <w:r w:rsidRPr="00672AC2">
              <w:rPr>
                <w:rFonts w:eastAsia="Cambria" w:cs="Cambria"/>
                <w:b/>
                <w:bCs/>
                <w:color w:val="000000" w:themeColor="text1"/>
                <w:sz w:val="20"/>
                <w:szCs w:val="20"/>
                <w:lang w:val="es-CO"/>
              </w:rPr>
              <w:t xml:space="preserve"> 31. </w:t>
            </w:r>
            <w:proofErr w:type="gramStart"/>
            <w:r w:rsidRPr="00672AC2">
              <w:rPr>
                <w:rFonts w:eastAsia="Cambria" w:cs="Cambria"/>
                <w:color w:val="000000" w:themeColor="text1"/>
                <w:sz w:val="20"/>
                <w:szCs w:val="20"/>
                <w:lang w:val="es-CO"/>
              </w:rPr>
              <w:t>Asegurar</w:t>
            </w:r>
            <w:proofErr w:type="gramEnd"/>
            <w:r w:rsidRPr="00672AC2">
              <w:rPr>
                <w:rFonts w:eastAsia="Cambria" w:cs="Cambria"/>
                <w:color w:val="000000" w:themeColor="text1"/>
                <w:sz w:val="20"/>
                <w:szCs w:val="20"/>
                <w:lang w:val="es-CO"/>
              </w:rPr>
              <w:t xml:space="preserve"> que las limitaciones al derecho de reunión pacífica sean excepcionales y observen los principios de legalidad, legitimidad, necesidad y proporcionalidad.</w:t>
            </w:r>
          </w:p>
        </w:tc>
      </w:tr>
    </w:tbl>
    <w:p w14:paraId="411FA5E4" w14:textId="77777777" w:rsidR="000A4A0B" w:rsidRPr="00672AC2" w:rsidRDefault="000A4A0B" w:rsidP="000A4A0B">
      <w:pPr>
        <w:shd w:val="clear" w:color="auto" w:fill="FFFFFF" w:themeFill="background1"/>
        <w:suppressAutoHyphens w:val="0"/>
        <w:jc w:val="both"/>
        <w:rPr>
          <w:rFonts w:eastAsia="Cambria" w:cs="Cambria"/>
          <w:color w:val="000000" w:themeColor="text1"/>
          <w:sz w:val="20"/>
          <w:szCs w:val="20"/>
          <w:lang w:val="es-419"/>
        </w:rPr>
      </w:pPr>
    </w:p>
    <w:p w14:paraId="762BFF54" w14:textId="0230CC97" w:rsidR="000A4A0B" w:rsidRPr="00672AC2" w:rsidRDefault="000A4A0B" w:rsidP="009E6D9D">
      <w:pPr>
        <w:pBdr>
          <w:top w:val="nil"/>
          <w:left w:val="nil"/>
          <w:bottom w:val="nil"/>
          <w:right w:val="nil"/>
          <w:between w:val="nil"/>
        </w:pBdr>
        <w:ind w:firstLine="720"/>
        <w:jc w:val="both"/>
        <w:rPr>
          <w:sz w:val="20"/>
          <w:szCs w:val="20"/>
        </w:rPr>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10EF421D" w14:textId="77777777" w:rsidR="000A4A0B" w:rsidRPr="00672AC2" w:rsidRDefault="000A4A0B" w:rsidP="000A4A0B">
      <w:pPr>
        <w:shd w:val="clear" w:color="auto" w:fill="FFFFFF" w:themeFill="background1"/>
        <w:suppressAutoHyphens w:val="0"/>
        <w:jc w:val="both"/>
        <w:rPr>
          <w:rFonts w:eastAsia="Cambria" w:cs="Cambria"/>
          <w:color w:val="000000" w:themeColor="text1"/>
          <w:sz w:val="20"/>
          <w:szCs w:val="20"/>
          <w:lang w:val="es-419"/>
        </w:rPr>
      </w:pPr>
    </w:p>
    <w:p w14:paraId="265EE9F8" w14:textId="5BCFEBC3" w:rsidR="000A4A0B" w:rsidRPr="00672AC2" w:rsidRDefault="1561DDF7" w:rsidP="00E83710">
      <w:pPr>
        <w:pStyle w:val="IAPrrafo"/>
        <w:rPr>
          <w:rFonts w:eastAsia="Cambria" w:cs="Cambria"/>
          <w:b/>
          <w:bCs/>
          <w:color w:val="000000" w:themeColor="text1"/>
          <w:szCs w:val="20"/>
          <w:lang w:val="es-US"/>
        </w:rPr>
      </w:pPr>
      <w:r w:rsidRPr="00672AC2">
        <w:rPr>
          <w:rFonts w:eastAsia="Cambria" w:cs="Cambria"/>
          <w:bCs/>
          <w:color w:val="000000" w:themeColor="text1"/>
          <w:szCs w:val="20"/>
        </w:rPr>
        <w:t xml:space="preserve">Para el año 2024, el Estado informó que el artículo 12 de </w:t>
      </w:r>
      <w:r w:rsidRPr="00672AC2">
        <w:rPr>
          <w:bCs/>
          <w:szCs w:val="20"/>
          <w:lang w:val="es-ES"/>
        </w:rPr>
        <w:t>la Constitución Política del Perú, los fallos del Tribunal Constitucional</w:t>
      </w:r>
      <w:r w:rsidR="00F36B41">
        <w:rPr>
          <w:rFonts w:ascii="ZWAdobeF" w:hAnsi="ZWAdobeF" w:cs="ZWAdobeF"/>
          <w:bCs/>
          <w:color w:val="auto"/>
          <w:sz w:val="2"/>
          <w:szCs w:val="2"/>
          <w:lang w:val="es-ES"/>
        </w:rPr>
        <w:t>144F</w:t>
      </w:r>
      <w:r w:rsidR="000A4A0B" w:rsidRPr="00672AC2">
        <w:rPr>
          <w:rStyle w:val="FootnoteReference"/>
          <w:bCs/>
          <w:szCs w:val="20"/>
          <w:lang w:val="es-ES"/>
        </w:rPr>
        <w:footnoteReference w:id="146"/>
      </w:r>
      <w:r w:rsidRPr="00672AC2">
        <w:rPr>
          <w:bCs/>
          <w:szCs w:val="20"/>
          <w:lang w:val="es-ES"/>
        </w:rPr>
        <w:t xml:space="preserve"> y los Lineamientos administrativos y operativos aplicables a las operaciones de control, mantenimiento y restablecimiento del orden público</w:t>
      </w:r>
      <w:r w:rsidR="00F36B41">
        <w:rPr>
          <w:rFonts w:ascii="ZWAdobeF" w:hAnsi="ZWAdobeF" w:cs="ZWAdobeF"/>
          <w:bCs/>
          <w:color w:val="auto"/>
          <w:sz w:val="2"/>
          <w:szCs w:val="2"/>
          <w:lang w:val="es-ES"/>
        </w:rPr>
        <w:t>145F</w:t>
      </w:r>
      <w:r w:rsidR="000A4A0B" w:rsidRPr="00672AC2">
        <w:rPr>
          <w:rStyle w:val="FootnoteReference"/>
          <w:bCs/>
          <w:szCs w:val="20"/>
          <w:lang w:val="es-ES"/>
        </w:rPr>
        <w:footnoteReference w:id="147"/>
      </w:r>
      <w:r w:rsidRPr="00672AC2">
        <w:rPr>
          <w:bCs/>
          <w:szCs w:val="20"/>
          <w:lang w:val="es-ES"/>
        </w:rPr>
        <w:t xml:space="preserve"> reconocen el derecho a la protesta. En ese sentido, afirmó que el marco legal aplicable a la actuación policial en el contexto de protestas dispone que las limitaciones de este derecho deben ser expresamente fijadas por la ley y estar orientadas al logro de objetivos legítimos autorizados, incluida la protección de la seguridad nacional, la seguridad pública, el orden público, la salud pública, la moral pública y el respeto de los derechos y libertades de todos los integrantes de la comunidad. </w:t>
      </w:r>
    </w:p>
    <w:p w14:paraId="7085FF72" w14:textId="38C62EB4" w:rsidR="000A4A0B" w:rsidRPr="00672AC2" w:rsidRDefault="1561DDF7" w:rsidP="00E83710">
      <w:pPr>
        <w:pStyle w:val="IAPrrafo"/>
        <w:rPr>
          <w:rFonts w:eastAsia="Cambria" w:cs="Cambria"/>
          <w:b/>
          <w:bCs/>
          <w:color w:val="000000" w:themeColor="text1"/>
          <w:szCs w:val="20"/>
          <w:lang w:val="es-US"/>
        </w:rPr>
      </w:pPr>
      <w:r w:rsidRPr="00672AC2">
        <w:rPr>
          <w:bCs/>
          <w:szCs w:val="20"/>
          <w:lang w:val="es-ES"/>
        </w:rPr>
        <w:t xml:space="preserve">Asimismo, el Estado </w:t>
      </w:r>
      <w:r w:rsidR="00DD4FEE">
        <w:rPr>
          <w:bCs/>
          <w:szCs w:val="20"/>
          <w:lang w:val="es-ES"/>
        </w:rPr>
        <w:t>indicó</w:t>
      </w:r>
      <w:r w:rsidR="00DD4FEE" w:rsidRPr="00672AC2">
        <w:rPr>
          <w:bCs/>
          <w:szCs w:val="20"/>
          <w:lang w:val="es-ES"/>
        </w:rPr>
        <w:t xml:space="preserve"> </w:t>
      </w:r>
      <w:r w:rsidRPr="00672AC2">
        <w:rPr>
          <w:bCs/>
          <w:szCs w:val="20"/>
          <w:lang w:val="es-ES"/>
        </w:rPr>
        <w:t>que la normativa vigente dispone que, durante expresiones de violencia en los conflictos sociales, es primordial tomar las medidas estrictamente necesarias y proporcionales para controlar las conductas individuales o colectivas que pongan en riesgo el orden público o los derechos de las personas, sin restringir o limitar el libre ejercicio del derecho a la protesta de quienes se manifiestan pacíficamente.</w:t>
      </w:r>
    </w:p>
    <w:p w14:paraId="70277F7E" w14:textId="07D8A5C3" w:rsidR="000A4A0B" w:rsidRPr="00DD4FEE" w:rsidRDefault="1561DDF7" w:rsidP="00E83710">
      <w:pPr>
        <w:pStyle w:val="IAPrrafo"/>
        <w:rPr>
          <w:rFonts w:eastAsia="Cambria" w:cs="Cambria"/>
          <w:b/>
          <w:bCs/>
          <w:color w:val="000000" w:themeColor="text1"/>
          <w:szCs w:val="20"/>
          <w:lang w:val="es-US"/>
        </w:rPr>
      </w:pPr>
      <w:r w:rsidRPr="00DD4FEE">
        <w:rPr>
          <w:rFonts w:eastAsia="Cambria" w:cs="Cambria"/>
          <w:bCs/>
          <w:color w:val="000000" w:themeColor="text1"/>
          <w:szCs w:val="20"/>
          <w:lang w:val="es-US"/>
        </w:rPr>
        <w:t>Por su parte, la Comisión conoció información proporcionada por sociedad civil, según la cual el gobierno ha recurrido a la declaración de estados de emergencia en diversas manifestaciones, permitiendo la intervención de las fuerzas armadas en el control del orden público. Al respecto, se indicó que un ejemplo de ello se habría dado en septiembre de 2024, cuando el gobierno declaró el estado de emergencia en once distritos de Lima Metropolitana y el Callao durante 60 días en respuesta a una huelga de transportistas.</w:t>
      </w:r>
      <w:r w:rsidR="00AC141E" w:rsidRPr="00DD4FEE">
        <w:rPr>
          <w:rFonts w:eastAsia="Cambria" w:cs="Cambria"/>
          <w:bCs/>
          <w:color w:val="000000" w:themeColor="text1"/>
          <w:szCs w:val="20"/>
          <w:lang w:val="es-US"/>
        </w:rPr>
        <w:t xml:space="preserve"> </w:t>
      </w:r>
    </w:p>
    <w:p w14:paraId="50892A16" w14:textId="52947533" w:rsidR="00AC141E" w:rsidRPr="00672AC2" w:rsidRDefault="00CF3D9A" w:rsidP="00E83710">
      <w:pPr>
        <w:pStyle w:val="IAPrrafo"/>
        <w:rPr>
          <w:rFonts w:eastAsia="Cambria" w:cs="Cambria"/>
          <w:b/>
          <w:bCs/>
          <w:color w:val="000000" w:themeColor="text1"/>
          <w:szCs w:val="20"/>
          <w:lang w:val="es-US"/>
        </w:rPr>
      </w:pPr>
      <w:r>
        <w:rPr>
          <w:rFonts w:eastAsia="Cambria" w:cs="Cambria"/>
          <w:bCs/>
          <w:color w:val="000000" w:themeColor="text1"/>
          <w:szCs w:val="20"/>
          <w:lang w:val="es-US"/>
        </w:rPr>
        <w:t>A su vez</w:t>
      </w:r>
      <w:r w:rsidR="00AC141E">
        <w:rPr>
          <w:rFonts w:eastAsia="Cambria" w:cs="Cambria"/>
          <w:bCs/>
          <w:color w:val="000000" w:themeColor="text1"/>
          <w:szCs w:val="20"/>
          <w:lang w:val="es-US"/>
        </w:rPr>
        <w:t xml:space="preserve">, el Estado </w:t>
      </w:r>
      <w:r w:rsidR="00A115EC">
        <w:rPr>
          <w:rFonts w:eastAsia="Cambria" w:cs="Cambria"/>
          <w:bCs/>
          <w:color w:val="000000" w:themeColor="text1"/>
          <w:szCs w:val="20"/>
          <w:lang w:val="es-US"/>
        </w:rPr>
        <w:t>remarcó</w:t>
      </w:r>
      <w:r w:rsidR="00E20FBB">
        <w:rPr>
          <w:rFonts w:eastAsia="Cambria" w:cs="Cambria"/>
          <w:bCs/>
          <w:color w:val="000000" w:themeColor="text1"/>
          <w:szCs w:val="20"/>
          <w:lang w:val="es-US"/>
        </w:rPr>
        <w:t xml:space="preserve"> que la declaración del Estado de Emergencia en septiembre del 2024 se fundamentó en </w:t>
      </w:r>
      <w:r w:rsidR="00E20FBB" w:rsidRPr="00E20FBB">
        <w:rPr>
          <w:rFonts w:eastAsia="Cambria" w:cs="Cambria"/>
          <w:bCs/>
          <w:color w:val="000000" w:themeColor="text1"/>
          <w:szCs w:val="20"/>
          <w:lang w:val="es-US"/>
        </w:rPr>
        <w:t>el incremento del accionar criminal y la inseguridad ciudadana (comisión de delitos de homicidio, sicariato, extorsión, entre otros)</w:t>
      </w:r>
      <w:r w:rsidR="00E20FBB">
        <w:rPr>
          <w:rFonts w:eastAsia="Cambria" w:cs="Cambria"/>
          <w:bCs/>
          <w:color w:val="000000" w:themeColor="text1"/>
          <w:szCs w:val="20"/>
          <w:lang w:val="es-US"/>
        </w:rPr>
        <w:t xml:space="preserve">, tal como lo </w:t>
      </w:r>
      <w:proofErr w:type="spellStart"/>
      <w:r w:rsidR="00E20FBB">
        <w:rPr>
          <w:rFonts w:eastAsia="Cambria" w:cs="Cambria"/>
          <w:bCs/>
          <w:color w:val="000000" w:themeColor="text1"/>
          <w:szCs w:val="20"/>
          <w:lang w:val="es-US"/>
        </w:rPr>
        <w:t>señalda</w:t>
      </w:r>
      <w:proofErr w:type="spellEnd"/>
      <w:r w:rsidR="00E20FBB">
        <w:rPr>
          <w:rFonts w:eastAsia="Cambria" w:cs="Cambria"/>
          <w:bCs/>
          <w:color w:val="000000" w:themeColor="text1"/>
          <w:szCs w:val="20"/>
          <w:lang w:val="es-US"/>
        </w:rPr>
        <w:t xml:space="preserve"> el </w:t>
      </w:r>
      <w:r w:rsidR="00E20FBB" w:rsidRPr="00E20FBB">
        <w:rPr>
          <w:rFonts w:eastAsia="Cambria" w:cs="Cambria"/>
          <w:bCs/>
          <w:color w:val="000000" w:themeColor="text1"/>
          <w:szCs w:val="20"/>
          <w:lang w:val="es-US"/>
        </w:rPr>
        <w:t>Decreto Supremo N</w:t>
      </w:r>
      <w:r w:rsidR="00E20FBB">
        <w:rPr>
          <w:rFonts w:eastAsia="Cambria" w:cs="Cambria"/>
          <w:bCs/>
          <w:color w:val="000000" w:themeColor="text1"/>
          <w:szCs w:val="20"/>
          <w:lang w:val="es-US"/>
        </w:rPr>
        <w:t>o.</w:t>
      </w:r>
      <w:r w:rsidR="00E20FBB" w:rsidRPr="00E20FBB">
        <w:rPr>
          <w:rFonts w:eastAsia="Cambria" w:cs="Cambria"/>
          <w:bCs/>
          <w:color w:val="000000" w:themeColor="text1"/>
          <w:szCs w:val="20"/>
          <w:lang w:val="es-US"/>
        </w:rPr>
        <w:t xml:space="preserve"> 100-2024-PCM</w:t>
      </w:r>
      <w:r w:rsidR="00F36B41">
        <w:rPr>
          <w:rFonts w:ascii="ZWAdobeF" w:eastAsia="Cambria" w:hAnsi="ZWAdobeF" w:cs="ZWAdobeF"/>
          <w:bCs/>
          <w:color w:val="auto"/>
          <w:sz w:val="2"/>
          <w:szCs w:val="2"/>
          <w:lang w:val="es-US"/>
        </w:rPr>
        <w:t>146F</w:t>
      </w:r>
      <w:r w:rsidR="00E20FBB">
        <w:rPr>
          <w:rStyle w:val="FootnoteReference"/>
          <w:rFonts w:eastAsia="Cambria" w:cs="Cambria"/>
          <w:bCs/>
          <w:color w:val="000000" w:themeColor="text1"/>
          <w:szCs w:val="20"/>
          <w:lang w:val="es-US"/>
        </w:rPr>
        <w:footnoteReference w:id="148"/>
      </w:r>
      <w:r w:rsidR="00E20FBB">
        <w:rPr>
          <w:rFonts w:eastAsia="Cambria" w:cs="Cambria"/>
          <w:bCs/>
          <w:color w:val="000000" w:themeColor="text1"/>
          <w:szCs w:val="20"/>
          <w:lang w:val="es-US"/>
        </w:rPr>
        <w:t>.</w:t>
      </w:r>
    </w:p>
    <w:p w14:paraId="3652F8EA" w14:textId="77777777" w:rsidR="000A4A0B" w:rsidRPr="00672AC2" w:rsidRDefault="000A4A0B" w:rsidP="00DA2711">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2823F151" w14:textId="77777777" w:rsidR="000A4A0B" w:rsidRPr="00672AC2" w:rsidRDefault="000A4A0B" w:rsidP="000A4A0B">
      <w:pPr>
        <w:shd w:val="clear" w:color="auto" w:fill="FFFFFF" w:themeFill="background1"/>
        <w:suppressAutoHyphens w:val="0"/>
        <w:jc w:val="both"/>
        <w:rPr>
          <w:rFonts w:eastAsia="Cambria" w:cs="Cambria"/>
          <w:color w:val="000000" w:themeColor="text1"/>
          <w:sz w:val="20"/>
          <w:szCs w:val="20"/>
          <w:lang w:val="es-419"/>
        </w:rPr>
      </w:pPr>
    </w:p>
    <w:p w14:paraId="00BF33D7" w14:textId="24610BCE" w:rsidR="000A4A0B" w:rsidRPr="00672AC2" w:rsidRDefault="15B1BE21" w:rsidP="00E83710">
      <w:pPr>
        <w:pStyle w:val="IAPrrafo"/>
        <w:rPr>
          <w:rFonts w:eastAsia="Cambria" w:cs="Cambria"/>
          <w:b/>
          <w:bCs/>
          <w:color w:val="000000" w:themeColor="text1"/>
          <w:szCs w:val="20"/>
        </w:rPr>
      </w:pPr>
      <w:r w:rsidRPr="00672AC2">
        <w:rPr>
          <w:rFonts w:eastAsia="Cambria" w:cs="Cambria"/>
          <w:bCs/>
          <w:color w:val="000000" w:themeColor="text1"/>
          <w:szCs w:val="20"/>
        </w:rPr>
        <w:t xml:space="preserve">La </w:t>
      </w:r>
      <w:r w:rsidRPr="00DD4FEE">
        <w:rPr>
          <w:rFonts w:eastAsia="Cambria" w:cs="Cambria"/>
          <w:bCs/>
          <w:color w:val="000000" w:themeColor="text1"/>
          <w:szCs w:val="20"/>
        </w:rPr>
        <w:t xml:space="preserve">Comisión considera que no se ha aportado información sobre ninguna medida que pueda significar un avance en el cumplimiento de la recomendación, en tanto las medidas </w:t>
      </w:r>
      <w:r w:rsidR="009543F7" w:rsidRPr="00DD4FEE">
        <w:rPr>
          <w:rFonts w:eastAsia="Cambria" w:cs="Cambria"/>
          <w:bCs/>
          <w:color w:val="000000" w:themeColor="text1"/>
          <w:szCs w:val="20"/>
        </w:rPr>
        <w:t xml:space="preserve">referidas </w:t>
      </w:r>
      <w:r w:rsidRPr="00DD4FEE">
        <w:rPr>
          <w:rFonts w:eastAsia="Cambria" w:cs="Cambria"/>
          <w:bCs/>
          <w:color w:val="000000" w:themeColor="text1"/>
          <w:szCs w:val="20"/>
        </w:rPr>
        <w:t xml:space="preserve">no </w:t>
      </w:r>
      <w:r w:rsidR="006D376A" w:rsidRPr="00DD4FEE">
        <w:rPr>
          <w:rFonts w:eastAsia="Cambria" w:cs="Cambria"/>
          <w:bCs/>
          <w:color w:val="000000" w:themeColor="text1"/>
          <w:szCs w:val="20"/>
        </w:rPr>
        <w:t xml:space="preserve">son </w:t>
      </w:r>
      <w:r w:rsidRPr="00DD4FEE">
        <w:rPr>
          <w:rFonts w:eastAsia="Cambria" w:cs="Cambria"/>
          <w:bCs/>
          <w:color w:val="000000" w:themeColor="text1"/>
          <w:szCs w:val="20"/>
        </w:rPr>
        <w:t xml:space="preserve">posteriores a la emisión del </w:t>
      </w:r>
      <w:r w:rsidR="006D376A" w:rsidRPr="00DD4FEE">
        <w:rPr>
          <w:rFonts w:eastAsia="Cambria" w:cs="Cambria"/>
          <w:bCs/>
          <w:color w:val="000000" w:themeColor="text1"/>
          <w:szCs w:val="20"/>
        </w:rPr>
        <w:t>I</w:t>
      </w:r>
      <w:r w:rsidRPr="00DD4FEE">
        <w:rPr>
          <w:rFonts w:eastAsia="Cambria" w:cs="Cambria"/>
          <w:bCs/>
          <w:color w:val="000000" w:themeColor="text1"/>
          <w:szCs w:val="20"/>
        </w:rPr>
        <w:t>nforme</w:t>
      </w:r>
      <w:r w:rsidR="006D376A" w:rsidRPr="00DD4FEE">
        <w:rPr>
          <w:rFonts w:eastAsia="Cambria" w:cs="Cambria"/>
          <w:bCs/>
          <w:color w:val="000000" w:themeColor="text1"/>
          <w:szCs w:val="20"/>
        </w:rPr>
        <w:t xml:space="preserve"> de País</w:t>
      </w:r>
      <w:r w:rsidRPr="00DD4FEE">
        <w:rPr>
          <w:rFonts w:eastAsia="Cambria" w:cs="Cambria"/>
          <w:bCs/>
          <w:color w:val="000000" w:themeColor="text1"/>
          <w:szCs w:val="20"/>
        </w:rPr>
        <w:t xml:space="preserve">. Asimismo, la CIDH ha </w:t>
      </w:r>
      <w:r w:rsidR="2926CA80" w:rsidRPr="00DD4FEE">
        <w:rPr>
          <w:rFonts w:eastAsia="Cambria" w:cs="Cambria"/>
          <w:bCs/>
          <w:color w:val="000000" w:themeColor="text1"/>
          <w:szCs w:val="20"/>
        </w:rPr>
        <w:t>observado que</w:t>
      </w:r>
      <w:r w:rsidRPr="00DD4FEE">
        <w:rPr>
          <w:rFonts w:eastAsia="Cambria" w:cs="Cambria"/>
          <w:bCs/>
          <w:color w:val="000000" w:themeColor="text1"/>
          <w:szCs w:val="20"/>
        </w:rPr>
        <w:t xml:space="preserve"> el Estado ha declarado en distintas ocasiones estados de excepción, permitiendo la restricción temporal de algunos derechos, como mecanismo para abordar las protestas o manifestaciones. Como se comentó en el análisis de cumplimiento de la recomendación número 7 de este informe, la Comisión recuerda que </w:t>
      </w:r>
      <w:r w:rsidRPr="00DD4FEE">
        <w:rPr>
          <w:bCs/>
          <w:szCs w:val="20"/>
          <w:lang w:val="es-CO"/>
        </w:rPr>
        <w:t>“los estados de excepción deben ser reservados exclusivamente para casos realmente excepcionales, situaciones de extrema gravedad, que pongan en peligro la vida de la Nación. Para las demás situaciones, se deben adoptar medidas administrativas corrientes”</w:t>
      </w:r>
      <w:r w:rsidR="00F36B41">
        <w:rPr>
          <w:rFonts w:ascii="ZWAdobeF" w:hAnsi="ZWAdobeF" w:cs="ZWAdobeF"/>
          <w:bCs/>
          <w:color w:val="auto"/>
          <w:sz w:val="2"/>
          <w:szCs w:val="2"/>
          <w:lang w:val="es-CO"/>
        </w:rPr>
        <w:t>147F</w:t>
      </w:r>
      <w:r w:rsidR="000A4A0B" w:rsidRPr="00DD4FEE">
        <w:rPr>
          <w:rStyle w:val="FootnoteReference"/>
          <w:bCs/>
          <w:szCs w:val="20"/>
          <w:lang w:val="es-CO"/>
        </w:rPr>
        <w:footnoteReference w:id="149"/>
      </w:r>
      <w:r w:rsidRPr="00DD4FEE">
        <w:rPr>
          <w:bCs/>
          <w:szCs w:val="20"/>
          <w:lang w:val="es-CO"/>
        </w:rPr>
        <w:t xml:space="preserve">. Por lo anterior, la Comisión </w:t>
      </w:r>
      <w:r w:rsidR="009921CA" w:rsidRPr="00DD4FEE">
        <w:rPr>
          <w:bCs/>
          <w:szCs w:val="20"/>
          <w:lang w:val="es-CO"/>
        </w:rPr>
        <w:t xml:space="preserve">concluye </w:t>
      </w:r>
      <w:r w:rsidRPr="00DD4FEE">
        <w:rPr>
          <w:bCs/>
          <w:szCs w:val="20"/>
          <w:lang w:val="es-CO"/>
        </w:rPr>
        <w:t>que se deben tomar medidas específicas para asegurar que las limitaciones al derecho de reunión pacífica sean excepcionales y observen los principios de legalidad, legitimidad, necesidad y proporcionalidad</w:t>
      </w:r>
      <w:r w:rsidRPr="00672AC2">
        <w:rPr>
          <w:bCs/>
          <w:szCs w:val="20"/>
          <w:lang w:val="es-CO"/>
        </w:rPr>
        <w:t xml:space="preserve">. Por ende, la presente recomendación se encuentra </w:t>
      </w:r>
      <w:r w:rsidRPr="007372FC">
        <w:rPr>
          <w:b/>
          <w:bCs/>
          <w:szCs w:val="20"/>
          <w:lang w:val="es-US"/>
        </w:rPr>
        <w:t>pendiente de cumplimiento</w:t>
      </w:r>
      <w:r w:rsidRPr="00672AC2">
        <w:rPr>
          <w:bCs/>
          <w:szCs w:val="20"/>
          <w:lang w:val="es-US"/>
        </w:rPr>
        <w:t>.</w:t>
      </w:r>
    </w:p>
    <w:p w14:paraId="42348264" w14:textId="62803543" w:rsidR="000A4A0B" w:rsidRPr="00672AC2" w:rsidRDefault="000A4A0B" w:rsidP="00122ACA">
      <w:pPr>
        <w:ind w:firstLine="720"/>
        <w:jc w:val="both"/>
        <w:rPr>
          <w:rFonts w:eastAsia="Cambria" w:cs="Cambria"/>
          <w:sz w:val="20"/>
          <w:szCs w:val="20"/>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737B1483" w14:textId="77777777" w:rsidR="000A4A0B" w:rsidRPr="00672AC2" w:rsidRDefault="000A4A0B" w:rsidP="000A4A0B">
      <w:pPr>
        <w:ind w:firstLine="360"/>
        <w:jc w:val="both"/>
        <w:rPr>
          <w:rFonts w:eastAsia="Cambria" w:cs="Cambria"/>
          <w:sz w:val="20"/>
          <w:szCs w:val="20"/>
          <w:lang w:val="es-CO"/>
        </w:rPr>
      </w:pPr>
    </w:p>
    <w:p w14:paraId="4124C795" w14:textId="5D4FC5FC" w:rsidR="000A4A0B" w:rsidRPr="00672AC2" w:rsidRDefault="000A4A0B" w:rsidP="00E83710">
      <w:pPr>
        <w:pStyle w:val="IAPrrafo"/>
        <w:rPr>
          <w:rFonts w:eastAsia="Cambria" w:cs="Cambria"/>
          <w:b/>
          <w:bCs/>
          <w:color w:val="000000" w:themeColor="text1"/>
          <w:szCs w:val="20"/>
        </w:rPr>
      </w:pPr>
      <w:r w:rsidRPr="00672AC2">
        <w:rPr>
          <w:bCs/>
          <w:szCs w:val="20"/>
          <w:lang w:val="es-US"/>
        </w:rPr>
        <w:t xml:space="preserve">La CIDH </w:t>
      </w:r>
      <w:r w:rsidR="007C7E31">
        <w:rPr>
          <w:bCs/>
          <w:szCs w:val="20"/>
          <w:lang w:val="es-US"/>
        </w:rPr>
        <w:t>advierte</w:t>
      </w:r>
      <w:r w:rsidR="007C7E31" w:rsidRPr="00672AC2">
        <w:rPr>
          <w:bCs/>
          <w:szCs w:val="20"/>
          <w:lang w:val="es-US"/>
        </w:rPr>
        <w:t xml:space="preserve"> </w:t>
      </w:r>
      <w:r w:rsidRPr="00672AC2">
        <w:rPr>
          <w:bCs/>
          <w:szCs w:val="20"/>
          <w:lang w:val="es-US"/>
        </w:rPr>
        <w:t xml:space="preserve">que el análisis de cumplimiento de esta recomendación radica en identificar las medidas estatales concretas que implementan estándares interamericanos relacionados con la excepcionalidad de </w:t>
      </w:r>
      <w:r w:rsidRPr="00672AC2">
        <w:rPr>
          <w:rFonts w:eastAsia="Cambria" w:cs="Cambria"/>
          <w:bCs/>
          <w:color w:val="000000" w:themeColor="text1"/>
          <w:szCs w:val="20"/>
          <w:lang w:val="es-CO"/>
        </w:rPr>
        <w:t>las limitaciones al derecho de reunión pacífica, sobre la base de los principios de legalidad, legitimidad, necesidad y proporcionalidad.</w:t>
      </w:r>
      <w:r w:rsidRPr="00672AC2">
        <w:rPr>
          <w:bCs/>
          <w:szCs w:val="20"/>
          <w:lang w:val="es-US"/>
        </w:rPr>
        <w:t xml:space="preserve"> Por ello, no sólo se debe establecer la existencia de dichos principios en el marco normativo, sino que debe procurarse una regulación y práctica acorde con su contenido.</w:t>
      </w:r>
    </w:p>
    <w:tbl>
      <w:tblPr>
        <w:tblStyle w:val="TableGrid"/>
        <w:tblW w:w="0" w:type="auto"/>
        <w:tblLook w:val="04A0" w:firstRow="1" w:lastRow="0" w:firstColumn="1" w:lastColumn="0" w:noHBand="0" w:noVBand="1"/>
      </w:tblPr>
      <w:tblGrid>
        <w:gridCol w:w="9350"/>
      </w:tblGrid>
      <w:tr w:rsidR="000A4A0B" w:rsidRPr="00F51AED" w14:paraId="48C3E975" w14:textId="77777777">
        <w:tc>
          <w:tcPr>
            <w:tcW w:w="9350" w:type="dxa"/>
            <w:tcBorders>
              <w:top w:val="nil"/>
              <w:left w:val="nil"/>
              <w:bottom w:val="nil"/>
              <w:right w:val="nil"/>
            </w:tcBorders>
            <w:shd w:val="clear" w:color="auto" w:fill="D9D9D9" w:themeFill="background1" w:themeFillShade="D9"/>
          </w:tcPr>
          <w:p w14:paraId="6EFBB10B" w14:textId="6BDAB005" w:rsidR="000A4A0B" w:rsidRPr="00672AC2" w:rsidRDefault="000A4A0B">
            <w:pPr>
              <w:suppressAutoHyphens w:val="0"/>
              <w:jc w:val="both"/>
              <w:rPr>
                <w:rFonts w:eastAsia="Cambria" w:cs="Cambria"/>
                <w:color w:val="000000" w:themeColor="text1"/>
                <w:sz w:val="20"/>
                <w:szCs w:val="20"/>
                <w:lang w:val="es-CO"/>
              </w:rPr>
            </w:pPr>
            <w:r w:rsidRPr="00672AC2">
              <w:rPr>
                <w:rFonts w:eastAsia="Cambria" w:cs="Cambria"/>
                <w:b/>
                <w:bCs/>
                <w:color w:val="000000" w:themeColor="text1"/>
                <w:sz w:val="20"/>
                <w:szCs w:val="20"/>
                <w:lang w:val="es-CO"/>
              </w:rPr>
              <w:t xml:space="preserve">Recomendación </w:t>
            </w:r>
            <w:proofErr w:type="spellStart"/>
            <w:r w:rsidR="002137DD" w:rsidRPr="00672AC2">
              <w:rPr>
                <w:rFonts w:eastAsia="Cambria" w:cs="Cambria"/>
                <w:b/>
                <w:bCs/>
                <w:color w:val="000000" w:themeColor="text1"/>
                <w:sz w:val="20"/>
                <w:szCs w:val="20"/>
                <w:lang w:val="es-CO"/>
              </w:rPr>
              <w:t>Nº</w:t>
            </w:r>
            <w:proofErr w:type="spellEnd"/>
            <w:r w:rsidRPr="00672AC2">
              <w:rPr>
                <w:rFonts w:eastAsia="Cambria" w:cs="Cambria"/>
                <w:b/>
                <w:bCs/>
                <w:color w:val="000000" w:themeColor="text1"/>
                <w:sz w:val="20"/>
                <w:szCs w:val="20"/>
                <w:lang w:val="es-CO"/>
              </w:rPr>
              <w:t xml:space="preserve"> 32. </w:t>
            </w:r>
            <w:r w:rsidRPr="00672AC2">
              <w:rPr>
                <w:rFonts w:eastAsia="Cambria" w:cs="Cambria"/>
                <w:color w:val="000000" w:themeColor="text1"/>
                <w:sz w:val="20"/>
                <w:szCs w:val="20"/>
                <w:lang w:val="es-CO"/>
              </w:rPr>
              <w:t>Adoptar las medidas necesarias para asegurar que la disolución de las protestas tenga un carácter excepcional, de forma que sólo proceda ante un riesgo grave para la vida o integridad física de las personas y cuando no fueran posibles otras medidas menos restrictivas.</w:t>
            </w:r>
          </w:p>
        </w:tc>
      </w:tr>
    </w:tbl>
    <w:p w14:paraId="1EE00E17" w14:textId="77777777" w:rsidR="000A4A0B" w:rsidRPr="00672AC2" w:rsidRDefault="000A4A0B" w:rsidP="000A4A0B">
      <w:pPr>
        <w:shd w:val="clear" w:color="auto" w:fill="FFFFFF" w:themeFill="background1"/>
        <w:suppressAutoHyphens w:val="0"/>
        <w:jc w:val="both"/>
        <w:rPr>
          <w:rFonts w:eastAsia="Cambria" w:cs="Cambria"/>
          <w:color w:val="000000" w:themeColor="text1"/>
          <w:sz w:val="20"/>
          <w:szCs w:val="20"/>
          <w:lang w:val="es-419"/>
        </w:rPr>
      </w:pPr>
    </w:p>
    <w:p w14:paraId="14894101" w14:textId="76264696" w:rsidR="000A4A0B" w:rsidRPr="00672AC2" w:rsidRDefault="000A4A0B" w:rsidP="00122ACA">
      <w:pPr>
        <w:pBdr>
          <w:top w:val="nil"/>
          <w:left w:val="nil"/>
          <w:bottom w:val="nil"/>
          <w:right w:val="nil"/>
          <w:between w:val="nil"/>
        </w:pBdr>
        <w:ind w:firstLine="720"/>
        <w:jc w:val="both"/>
        <w:rPr>
          <w:sz w:val="20"/>
          <w:szCs w:val="20"/>
          <w:lang w:val="es-ES"/>
        </w:rPr>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708F8320" w14:textId="77777777" w:rsidR="000A4A0B" w:rsidRPr="00672AC2" w:rsidRDefault="000A4A0B" w:rsidP="000A4A0B">
      <w:pPr>
        <w:shd w:val="clear" w:color="auto" w:fill="FFFFFF" w:themeFill="background1"/>
        <w:suppressAutoHyphens w:val="0"/>
        <w:jc w:val="both"/>
        <w:rPr>
          <w:rFonts w:eastAsia="Cambria" w:cs="Cambria"/>
          <w:color w:val="000000" w:themeColor="text1"/>
          <w:sz w:val="20"/>
          <w:szCs w:val="20"/>
          <w:lang w:val="es-419"/>
        </w:rPr>
      </w:pPr>
    </w:p>
    <w:p w14:paraId="23BA6CC1" w14:textId="2B9E8BC4" w:rsidR="000A4A0B" w:rsidRPr="00672AC2" w:rsidRDefault="1561DDF7" w:rsidP="00E83710">
      <w:pPr>
        <w:pStyle w:val="IAPrrafo"/>
        <w:rPr>
          <w:rFonts w:eastAsia="Cambria" w:cs="Cambria"/>
          <w:b/>
          <w:bCs/>
          <w:color w:val="000000" w:themeColor="text1"/>
          <w:szCs w:val="20"/>
          <w:lang w:val="es-US"/>
        </w:rPr>
      </w:pPr>
      <w:r w:rsidRPr="00672AC2">
        <w:rPr>
          <w:rFonts w:eastAsia="Cambria" w:cs="Cambria"/>
          <w:bCs/>
          <w:color w:val="000000" w:themeColor="text1"/>
          <w:szCs w:val="20"/>
        </w:rPr>
        <w:t xml:space="preserve">Para el año 2024, el Estado reiteró las normas </w:t>
      </w:r>
      <w:r w:rsidR="00BA4D21" w:rsidRPr="00672AC2">
        <w:rPr>
          <w:rFonts w:eastAsia="Cambria" w:cs="Cambria"/>
          <w:bCs/>
          <w:color w:val="000000" w:themeColor="text1"/>
          <w:szCs w:val="20"/>
        </w:rPr>
        <w:t>detalladas</w:t>
      </w:r>
      <w:r w:rsidRPr="00672AC2">
        <w:rPr>
          <w:rFonts w:eastAsia="Cambria" w:cs="Cambria"/>
          <w:bCs/>
          <w:color w:val="000000" w:themeColor="text1"/>
          <w:szCs w:val="20"/>
        </w:rPr>
        <w:t xml:space="preserve"> en la recomendación 31. </w:t>
      </w:r>
      <w:r w:rsidRPr="00672AC2">
        <w:rPr>
          <w:bCs/>
          <w:szCs w:val="20"/>
          <w:lang w:val="es-ES"/>
        </w:rPr>
        <w:t xml:space="preserve">Asimismo, el Estado </w:t>
      </w:r>
      <w:r w:rsidR="009E1110" w:rsidRPr="00672AC2">
        <w:rPr>
          <w:bCs/>
          <w:szCs w:val="20"/>
          <w:lang w:val="es-ES"/>
        </w:rPr>
        <w:t xml:space="preserve">resaltó </w:t>
      </w:r>
      <w:r w:rsidRPr="00672AC2">
        <w:rPr>
          <w:bCs/>
          <w:szCs w:val="20"/>
          <w:lang w:val="es-ES"/>
        </w:rPr>
        <w:t>que la normativa interna dispone que, durante expresiones de violencia en los conflictos sociales, es primordial tomar las medidas estrictamente necesarias y proporcionales para controlar las conductas individuales o colectivas que pongan en riesgo el orden público o los derechos de las personas, sin restringir o limitar el libre ejercicio del derecho a la protesta de quienes se manifiestan pacíficamente.</w:t>
      </w:r>
    </w:p>
    <w:p w14:paraId="6BAECDBD" w14:textId="61501D87" w:rsidR="000A4A0B" w:rsidRPr="00672AC2" w:rsidRDefault="1561DDF7" w:rsidP="00E83710">
      <w:pPr>
        <w:pStyle w:val="IAPrrafo"/>
        <w:rPr>
          <w:b/>
          <w:bCs/>
          <w:szCs w:val="20"/>
          <w:lang w:val="es-US"/>
        </w:rPr>
      </w:pPr>
      <w:r w:rsidRPr="00672AC2">
        <w:rPr>
          <w:bCs/>
          <w:szCs w:val="20"/>
          <w:lang w:val="es-US"/>
        </w:rPr>
        <w:t xml:space="preserve">Por su parte, la CIDH conoció información de la sociedad civil sobre la promulgación del Decreto Legislativo </w:t>
      </w:r>
      <w:proofErr w:type="spellStart"/>
      <w:r w:rsidR="002137DD" w:rsidRPr="00672AC2">
        <w:rPr>
          <w:bCs/>
          <w:szCs w:val="20"/>
          <w:lang w:val="es-US"/>
        </w:rPr>
        <w:t>Nº</w:t>
      </w:r>
      <w:proofErr w:type="spellEnd"/>
      <w:r w:rsidRPr="00672AC2">
        <w:rPr>
          <w:bCs/>
          <w:szCs w:val="20"/>
          <w:lang w:val="es-US"/>
        </w:rPr>
        <w:t xml:space="preserve"> 1589 de diciembre del 2023</w:t>
      </w:r>
      <w:r w:rsidR="00F36B41">
        <w:rPr>
          <w:rFonts w:ascii="ZWAdobeF" w:hAnsi="ZWAdobeF" w:cs="ZWAdobeF"/>
          <w:bCs/>
          <w:color w:val="auto"/>
          <w:sz w:val="2"/>
          <w:szCs w:val="2"/>
          <w:lang w:val="es-US"/>
        </w:rPr>
        <w:t>148F</w:t>
      </w:r>
      <w:r w:rsidR="000A4A0B" w:rsidRPr="00672AC2">
        <w:rPr>
          <w:rStyle w:val="FootnoteReference"/>
          <w:bCs/>
          <w:szCs w:val="20"/>
          <w:lang w:val="es-US"/>
        </w:rPr>
        <w:footnoteReference w:id="150"/>
      </w:r>
      <w:r w:rsidRPr="00672AC2">
        <w:rPr>
          <w:bCs/>
          <w:szCs w:val="20"/>
          <w:lang w:val="es-US"/>
        </w:rPr>
        <w:t xml:space="preserve"> que aumenta las penas de prisión hasta 15 años para delitos como disturbios y entorpecimientos de servicios públicos, y que representaría una posible criminalización de la protesta social y pacífica penalizando actos como el bloqueo de carreteras. Además, se reportó a la Comisión que, en mayo del 2023, el Tribunal Constitucional emitió un fallo que criminalizaría las manifestaciones, prohibiendo las protestas pacíficas al declarar que no están protegidas por la Constitución</w:t>
      </w:r>
      <w:r w:rsidR="00F36B41">
        <w:rPr>
          <w:rFonts w:ascii="ZWAdobeF" w:hAnsi="ZWAdobeF" w:cs="ZWAdobeF"/>
          <w:bCs/>
          <w:color w:val="auto"/>
          <w:sz w:val="2"/>
          <w:szCs w:val="2"/>
          <w:lang w:val="es-US"/>
        </w:rPr>
        <w:t>149F</w:t>
      </w:r>
      <w:r w:rsidR="000A4A0B" w:rsidRPr="00672AC2">
        <w:rPr>
          <w:rStyle w:val="FootnoteReference"/>
          <w:bCs/>
          <w:szCs w:val="20"/>
          <w:lang w:val="es-US"/>
        </w:rPr>
        <w:footnoteReference w:id="151"/>
      </w:r>
      <w:r w:rsidRPr="00672AC2">
        <w:rPr>
          <w:bCs/>
          <w:szCs w:val="20"/>
          <w:lang w:val="es-US"/>
        </w:rPr>
        <w:t xml:space="preserve">. En ese mismo sentido, se señaló que la Corte Suprema ratificó una condena penal afirmando que la ocupación de vías constituye un delito, especialmente cuando afecta a terceros y no existen alternativas. </w:t>
      </w:r>
    </w:p>
    <w:p w14:paraId="2C17BAB5" w14:textId="77777777" w:rsidR="000A4A0B" w:rsidRPr="00672AC2" w:rsidRDefault="000A4A0B" w:rsidP="00122ACA">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25626C93" w14:textId="77777777" w:rsidR="000A4A0B" w:rsidRPr="00672AC2" w:rsidRDefault="000A4A0B" w:rsidP="000A4A0B">
      <w:pPr>
        <w:ind w:firstLine="360"/>
        <w:jc w:val="both"/>
        <w:rPr>
          <w:sz w:val="20"/>
          <w:szCs w:val="20"/>
          <w:lang w:val="es-CO"/>
        </w:rPr>
      </w:pPr>
    </w:p>
    <w:p w14:paraId="530E6C7D" w14:textId="5E7AFF16" w:rsidR="00ED5E6C" w:rsidRPr="00672AC2" w:rsidRDefault="5511F9C0" w:rsidP="00E83710">
      <w:pPr>
        <w:pStyle w:val="IAPrrafo"/>
        <w:rPr>
          <w:rFonts w:eastAsia="Cambria" w:cs="Cambria"/>
          <w:b/>
          <w:bCs/>
          <w:color w:val="000000" w:themeColor="text1"/>
          <w:szCs w:val="20"/>
          <w:lang w:val="es-CO"/>
        </w:rPr>
      </w:pPr>
      <w:r w:rsidRPr="00672AC2">
        <w:rPr>
          <w:rFonts w:eastAsia="Cambria" w:cs="Cambria"/>
          <w:bCs/>
          <w:color w:val="000000" w:themeColor="text1"/>
          <w:szCs w:val="20"/>
        </w:rPr>
        <w:t xml:space="preserve">La Comisión </w:t>
      </w:r>
      <w:r w:rsidR="0039582F" w:rsidRPr="00672AC2">
        <w:rPr>
          <w:rFonts w:eastAsia="Cambria" w:cs="Cambria"/>
          <w:bCs/>
          <w:color w:val="000000" w:themeColor="text1"/>
          <w:szCs w:val="20"/>
        </w:rPr>
        <w:t xml:space="preserve">advierte </w:t>
      </w:r>
      <w:r w:rsidRPr="00672AC2">
        <w:rPr>
          <w:rFonts w:eastAsia="Cambria" w:cs="Cambria"/>
          <w:bCs/>
          <w:color w:val="000000" w:themeColor="text1"/>
          <w:szCs w:val="20"/>
        </w:rPr>
        <w:t xml:space="preserve">que no se ha aportado ninguna medida que pueda significar un avance en el cumplimiento de la recomendación puesto que ninguna medida es posterior a la emisión de la recomendación. Asimismo, muestra su preocupación por la promulgación de normas y de decisiones judiciales que reducen la protección de las personas que participan de protestas y manifestaciones tales como el Decreto </w:t>
      </w:r>
      <w:r w:rsidR="4EBDFDA5" w:rsidRPr="00672AC2">
        <w:rPr>
          <w:rFonts w:eastAsia="Cambria" w:cs="Cambria"/>
          <w:bCs/>
          <w:color w:val="000000" w:themeColor="text1"/>
          <w:szCs w:val="20"/>
        </w:rPr>
        <w:t>Legislativo</w:t>
      </w:r>
      <w:r w:rsidRPr="00672AC2">
        <w:rPr>
          <w:rFonts w:eastAsia="Cambria" w:cs="Cambria"/>
          <w:bCs/>
          <w:color w:val="000000" w:themeColor="text1"/>
          <w:szCs w:val="20"/>
        </w:rPr>
        <w:t xml:space="preserve"> </w:t>
      </w:r>
      <w:proofErr w:type="spellStart"/>
      <w:r w:rsidR="002137DD" w:rsidRPr="00672AC2">
        <w:rPr>
          <w:rFonts w:eastAsia="Cambria" w:cs="Cambria"/>
          <w:bCs/>
          <w:color w:val="000000" w:themeColor="text1"/>
          <w:szCs w:val="20"/>
        </w:rPr>
        <w:t>Nº</w:t>
      </w:r>
      <w:proofErr w:type="spellEnd"/>
      <w:r w:rsidRPr="00672AC2">
        <w:rPr>
          <w:rFonts w:eastAsia="Cambria" w:cs="Cambria"/>
          <w:bCs/>
          <w:color w:val="000000" w:themeColor="text1"/>
          <w:szCs w:val="20"/>
        </w:rPr>
        <w:t xml:space="preserve"> 1589 o la sentencia del Tribunal </w:t>
      </w:r>
      <w:r w:rsidR="745600CD" w:rsidRPr="00672AC2">
        <w:rPr>
          <w:rFonts w:eastAsia="Cambria" w:cs="Cambria"/>
          <w:bCs/>
          <w:color w:val="000000" w:themeColor="text1"/>
          <w:szCs w:val="20"/>
        </w:rPr>
        <w:t>Constitucional</w:t>
      </w:r>
      <w:r w:rsidRPr="00672AC2">
        <w:rPr>
          <w:rFonts w:eastAsia="Cambria" w:cs="Cambria"/>
          <w:bCs/>
          <w:color w:val="000000" w:themeColor="text1"/>
          <w:szCs w:val="20"/>
        </w:rPr>
        <w:t xml:space="preserve">. Al respecto, cabe </w:t>
      </w:r>
      <w:r w:rsidR="00AC20BA" w:rsidRPr="00672AC2">
        <w:rPr>
          <w:rFonts w:eastAsia="Cambria" w:cs="Cambria"/>
          <w:bCs/>
          <w:color w:val="000000" w:themeColor="text1"/>
          <w:szCs w:val="20"/>
        </w:rPr>
        <w:t xml:space="preserve">mencionar </w:t>
      </w:r>
      <w:r w:rsidRPr="00672AC2">
        <w:rPr>
          <w:rFonts w:eastAsia="Cambria" w:cs="Cambria"/>
          <w:bCs/>
          <w:color w:val="000000" w:themeColor="text1"/>
          <w:szCs w:val="20"/>
        </w:rPr>
        <w:t xml:space="preserve">que el objetivo de la recomendación es garantizar el ejercicio del derecho a la protesta y que se establezca, de manera clara, que la adopción de medidas para su disolución solo se realice si hay riesgo grave para la vida o integridad física de las personas, y siempre que no sean posibles otras medidas menos restrictivas. Por ello, la Comisión </w:t>
      </w:r>
      <w:r w:rsidR="00BA4D21" w:rsidRPr="00672AC2">
        <w:rPr>
          <w:rFonts w:eastAsia="Cambria" w:cs="Cambria"/>
          <w:bCs/>
          <w:color w:val="000000" w:themeColor="text1"/>
          <w:szCs w:val="20"/>
        </w:rPr>
        <w:t>estima</w:t>
      </w:r>
      <w:r w:rsidRPr="00672AC2">
        <w:rPr>
          <w:rFonts w:eastAsia="Cambria" w:cs="Cambria"/>
          <w:bCs/>
          <w:color w:val="000000" w:themeColor="text1"/>
          <w:szCs w:val="20"/>
        </w:rPr>
        <w:t xml:space="preserve"> que la presente recomendación se encuentra </w:t>
      </w:r>
      <w:r w:rsidRPr="00822C58">
        <w:rPr>
          <w:rFonts w:eastAsia="Cambria" w:cs="Cambria"/>
          <w:b/>
          <w:bCs/>
          <w:color w:val="000000" w:themeColor="text1"/>
          <w:szCs w:val="20"/>
        </w:rPr>
        <w:t>pendiente de cumplimiento</w:t>
      </w:r>
      <w:r w:rsidRPr="00672AC2">
        <w:rPr>
          <w:rFonts w:eastAsia="Cambria" w:cs="Cambria"/>
          <w:bCs/>
          <w:color w:val="000000" w:themeColor="text1"/>
          <w:szCs w:val="20"/>
        </w:rPr>
        <w:t>.</w:t>
      </w:r>
    </w:p>
    <w:p w14:paraId="6707019F" w14:textId="141956EC" w:rsidR="000A4A0B" w:rsidRPr="00672AC2" w:rsidRDefault="000A4A0B" w:rsidP="00122ACA">
      <w:pPr>
        <w:ind w:firstLine="720"/>
        <w:jc w:val="both"/>
        <w:rPr>
          <w:rFonts w:eastAsia="Cambria" w:cs="Cambria"/>
          <w:sz w:val="20"/>
          <w:szCs w:val="20"/>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12D62308" w14:textId="77777777" w:rsidR="000A4A0B" w:rsidRPr="00672AC2" w:rsidRDefault="000A4A0B" w:rsidP="000A4A0B">
      <w:pPr>
        <w:jc w:val="both"/>
        <w:rPr>
          <w:sz w:val="20"/>
          <w:szCs w:val="20"/>
          <w:lang w:val="es-US"/>
        </w:rPr>
      </w:pPr>
    </w:p>
    <w:p w14:paraId="3C0A9D75" w14:textId="424AA5E0" w:rsidR="000A4A0B" w:rsidRPr="00672AC2" w:rsidRDefault="000A4A0B" w:rsidP="00E83710">
      <w:pPr>
        <w:pStyle w:val="IAPrrafo"/>
        <w:rPr>
          <w:b/>
          <w:bCs/>
          <w:szCs w:val="20"/>
          <w:lang w:val="es-US"/>
        </w:rPr>
      </w:pPr>
      <w:r w:rsidRPr="00672AC2">
        <w:rPr>
          <w:bCs/>
          <w:szCs w:val="20"/>
          <w:lang w:val="es-US"/>
        </w:rPr>
        <w:t xml:space="preserve">La Comisión llama al Estado a </w:t>
      </w:r>
      <w:r w:rsidR="00BA4D21" w:rsidRPr="00672AC2">
        <w:rPr>
          <w:bCs/>
          <w:szCs w:val="20"/>
          <w:lang w:val="es-US"/>
        </w:rPr>
        <w:t>tomar</w:t>
      </w:r>
      <w:r w:rsidRPr="00672AC2">
        <w:rPr>
          <w:bCs/>
          <w:szCs w:val="20"/>
          <w:lang w:val="es-US"/>
        </w:rPr>
        <w:t xml:space="preserve"> medidas concretas que tengan como objetivo la protección del derecho a la protesta, evitando criminalizar o generar un marco normativo que precarice la protección de las personas que participan de las mismas. En ese sentido, se solicita que se evalúen, en relación con los estándares internacionales, las medidas normativas y las decisiones judiciales </w:t>
      </w:r>
      <w:r w:rsidR="00EA71A6" w:rsidRPr="00672AC2">
        <w:rPr>
          <w:bCs/>
          <w:szCs w:val="20"/>
          <w:lang w:val="es-US"/>
        </w:rPr>
        <w:t>dictadas</w:t>
      </w:r>
      <w:r w:rsidRPr="00672AC2">
        <w:rPr>
          <w:bCs/>
          <w:szCs w:val="20"/>
          <w:lang w:val="es-US"/>
        </w:rPr>
        <w:t xml:space="preserve">. De esa manera, se pueda fortalecer el marco de protección </w:t>
      </w:r>
      <w:r w:rsidR="00EA21A1" w:rsidRPr="00672AC2">
        <w:rPr>
          <w:bCs/>
          <w:szCs w:val="20"/>
          <w:lang w:val="es-US"/>
        </w:rPr>
        <w:t>en relación con</w:t>
      </w:r>
      <w:r w:rsidRPr="00672AC2">
        <w:rPr>
          <w:bCs/>
          <w:szCs w:val="20"/>
          <w:lang w:val="es-US"/>
        </w:rPr>
        <w:t xml:space="preserve"> las protestas y a la protección de las personas defensoras de derechos humanos.</w:t>
      </w:r>
    </w:p>
    <w:tbl>
      <w:tblPr>
        <w:tblStyle w:val="TableGrid"/>
        <w:tblW w:w="0" w:type="auto"/>
        <w:tblLook w:val="04A0" w:firstRow="1" w:lastRow="0" w:firstColumn="1" w:lastColumn="0" w:noHBand="0" w:noVBand="1"/>
      </w:tblPr>
      <w:tblGrid>
        <w:gridCol w:w="9350"/>
      </w:tblGrid>
      <w:tr w:rsidR="001161A5" w:rsidRPr="00F51AED" w14:paraId="310D2785" w14:textId="77777777" w:rsidTr="00A323C0">
        <w:tc>
          <w:tcPr>
            <w:tcW w:w="9350" w:type="dxa"/>
            <w:tcBorders>
              <w:top w:val="nil"/>
              <w:left w:val="nil"/>
              <w:bottom w:val="nil"/>
              <w:right w:val="nil"/>
            </w:tcBorders>
            <w:shd w:val="clear" w:color="auto" w:fill="D9D9D9" w:themeFill="background1" w:themeFillShade="D9"/>
          </w:tcPr>
          <w:p w14:paraId="24717E75" w14:textId="4A1CD80C" w:rsidR="001161A5" w:rsidRPr="00122ACA" w:rsidRDefault="001161A5" w:rsidP="00A323C0">
            <w:pPr>
              <w:suppressAutoHyphens w:val="0"/>
              <w:jc w:val="both"/>
              <w:rPr>
                <w:sz w:val="20"/>
                <w:szCs w:val="20"/>
                <w:lang w:val="es-CO"/>
              </w:rPr>
            </w:pPr>
            <w:r w:rsidRPr="00672AC2">
              <w:rPr>
                <w:rFonts w:eastAsia="Cambria" w:cs="Cambria"/>
                <w:b/>
                <w:bCs/>
                <w:color w:val="000000" w:themeColor="text1"/>
                <w:sz w:val="20"/>
                <w:szCs w:val="20"/>
                <w:lang w:val="es-419"/>
              </w:rPr>
              <w:t xml:space="preserve">Recomendación </w:t>
            </w:r>
            <w:proofErr w:type="spellStart"/>
            <w:r w:rsidR="002137DD" w:rsidRPr="00672AC2">
              <w:rPr>
                <w:rFonts w:eastAsia="Cambria" w:cs="Cambria"/>
                <w:b/>
                <w:bCs/>
                <w:color w:val="000000" w:themeColor="text1"/>
                <w:sz w:val="20"/>
                <w:szCs w:val="20"/>
                <w:lang w:val="es-419"/>
              </w:rPr>
              <w:t>Nº</w:t>
            </w:r>
            <w:proofErr w:type="spellEnd"/>
            <w:r w:rsidRPr="00672AC2">
              <w:rPr>
                <w:rFonts w:eastAsia="Cambria" w:cs="Cambria"/>
                <w:b/>
                <w:bCs/>
                <w:color w:val="000000" w:themeColor="text1"/>
                <w:sz w:val="20"/>
                <w:szCs w:val="20"/>
                <w:lang w:val="es-419"/>
              </w:rPr>
              <w:t xml:space="preserve"> 33. </w:t>
            </w:r>
            <w:r w:rsidRPr="00672AC2">
              <w:rPr>
                <w:sz w:val="20"/>
                <w:szCs w:val="20"/>
                <w:lang w:val="es-CO"/>
              </w:rPr>
              <w:t>Respetar y garantizar el derecho a registrar y difundir cualquier incidente en el marco de las protestas, tomando especialmente en cuenta la función que camarógrafos, fotorreporteros y periodistas que cubren las protestas cumplen para el control social de los sucesos en las manifestaciones y actuación del Estado.</w:t>
            </w:r>
          </w:p>
        </w:tc>
      </w:tr>
    </w:tbl>
    <w:p w14:paraId="60B1EB10" w14:textId="77777777" w:rsidR="001161A5" w:rsidRPr="00672AC2" w:rsidRDefault="001161A5" w:rsidP="001161A5">
      <w:pPr>
        <w:shd w:val="clear" w:color="auto" w:fill="FFFFFF" w:themeFill="background1"/>
        <w:suppressAutoHyphens w:val="0"/>
        <w:jc w:val="both"/>
        <w:rPr>
          <w:rFonts w:eastAsia="Cambria" w:cs="Cambria"/>
          <w:color w:val="000000" w:themeColor="text1"/>
          <w:sz w:val="20"/>
          <w:szCs w:val="20"/>
          <w:lang w:val="es-419"/>
        </w:rPr>
      </w:pPr>
    </w:p>
    <w:p w14:paraId="2493A52C" w14:textId="1397F9C0" w:rsidR="001161A5" w:rsidRPr="00672AC2" w:rsidRDefault="001161A5" w:rsidP="00122ACA">
      <w:pPr>
        <w:pBdr>
          <w:top w:val="nil"/>
          <w:left w:val="nil"/>
          <w:bottom w:val="nil"/>
          <w:right w:val="nil"/>
          <w:between w:val="nil"/>
        </w:pBdr>
        <w:ind w:firstLine="720"/>
        <w:jc w:val="both"/>
        <w:rPr>
          <w:sz w:val="20"/>
          <w:szCs w:val="20"/>
        </w:rPr>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4F345316" w14:textId="77777777" w:rsidR="001161A5" w:rsidRPr="00672AC2" w:rsidRDefault="001161A5" w:rsidP="001161A5">
      <w:pPr>
        <w:shd w:val="clear" w:color="auto" w:fill="FFFFFF" w:themeFill="background1"/>
        <w:suppressAutoHyphens w:val="0"/>
        <w:jc w:val="both"/>
        <w:rPr>
          <w:rFonts w:eastAsia="Cambria" w:cs="Cambria"/>
          <w:color w:val="000000" w:themeColor="text1"/>
          <w:sz w:val="20"/>
          <w:szCs w:val="20"/>
          <w:lang w:val="es-419"/>
        </w:rPr>
      </w:pPr>
    </w:p>
    <w:p w14:paraId="17960E81" w14:textId="2AD859C7" w:rsidR="001161A5" w:rsidRPr="00A9340B" w:rsidRDefault="001161A5" w:rsidP="001161A5">
      <w:pPr>
        <w:pStyle w:val="IAPrrafo"/>
        <w:rPr>
          <w:szCs w:val="20"/>
          <w:lang w:val="es-CO"/>
        </w:rPr>
      </w:pPr>
      <w:r w:rsidRPr="00672AC2">
        <w:rPr>
          <w:szCs w:val="20"/>
          <w:lang w:val="es-US"/>
        </w:rPr>
        <w:t>Para el año 2024, el Estado reportó que la Policía Nacional del Perú ha señalado, a través de sus canales de comunicación, que quien es parte de una intervención policial o testigo de esta puede realizar tomas fotográficas y/o videos, sin interferir la labor policial. Asimismo, reiteró que los periodistas están incluidos en el marco de protección del Mecanismo Intersectorial para la protección de personas defensoras de derechos humanos y en el Protocolo de Actuación Fiscal para la Prevención e Investigación de los Delitos en agravio de las Personas Defensoras de Derechos Humanos (ver recomendación 28).</w:t>
      </w:r>
    </w:p>
    <w:p w14:paraId="79CB3678" w14:textId="5989AA18" w:rsidR="001161A5" w:rsidRPr="00A9340B" w:rsidRDefault="001161A5" w:rsidP="00A9340B">
      <w:pPr>
        <w:pStyle w:val="IAPrrafo"/>
        <w:rPr>
          <w:szCs w:val="20"/>
          <w:lang w:val="es-CO"/>
        </w:rPr>
      </w:pPr>
      <w:r w:rsidRPr="00672AC2">
        <w:rPr>
          <w:szCs w:val="20"/>
          <w:lang w:val="es-CO"/>
        </w:rPr>
        <w:t>Por su parte, la Comisión conoció la preocupación de sociedad civil en relación con el marco normativo, jurisprudencial y social que criminaliza y estigmatiza la protesta social (ver recomendación 30), puesto que afirma que no solo se estarían deslegitimando las protestas, sino también la cobertura mediática y el registro objetivo de los hechos. En ese sentido, el informe de la Oficina de los Derechos Humanos del Periodista (OFIP) de la Asociación Nacional de Periodistas (ANP)</w:t>
      </w:r>
      <w:r w:rsidRPr="00672AC2">
        <w:rPr>
          <w:sz w:val="23"/>
          <w:szCs w:val="23"/>
          <w:lang w:val="es-ES"/>
        </w:rPr>
        <w:t xml:space="preserve"> </w:t>
      </w:r>
      <w:r w:rsidRPr="00672AC2">
        <w:rPr>
          <w:szCs w:val="20"/>
          <w:lang w:val="es-CO"/>
        </w:rPr>
        <w:t xml:space="preserve">registró, entre enero a mayo del 2024, 119 ataques a periodistas, los cuales incluyen amenazas (62), agresiones físicas o verbales (23), intimidación judicial (10), </w:t>
      </w:r>
      <w:r w:rsidR="00772E17" w:rsidRPr="00672AC2">
        <w:rPr>
          <w:szCs w:val="20"/>
          <w:lang w:val="es-CO"/>
        </w:rPr>
        <w:t xml:space="preserve">y </w:t>
      </w:r>
      <w:r w:rsidRPr="00672AC2">
        <w:rPr>
          <w:szCs w:val="20"/>
          <w:lang w:val="es-CO"/>
        </w:rPr>
        <w:t>trabas al acceso a la información (9), entre otras</w:t>
      </w:r>
      <w:r w:rsidR="00F36B41">
        <w:rPr>
          <w:rFonts w:ascii="ZWAdobeF" w:hAnsi="ZWAdobeF" w:cs="ZWAdobeF"/>
          <w:color w:val="auto"/>
          <w:sz w:val="2"/>
          <w:szCs w:val="2"/>
          <w:lang w:val="es-CO"/>
        </w:rPr>
        <w:t>150F</w:t>
      </w:r>
      <w:r w:rsidRPr="00672AC2">
        <w:rPr>
          <w:rStyle w:val="FootnoteReference"/>
          <w:sz w:val="23"/>
          <w:szCs w:val="23"/>
          <w:lang w:val="es-ES"/>
        </w:rPr>
        <w:footnoteReference w:id="152"/>
      </w:r>
      <w:r w:rsidRPr="00672AC2">
        <w:rPr>
          <w:szCs w:val="20"/>
          <w:lang w:val="es-CO"/>
        </w:rPr>
        <w:t>.</w:t>
      </w:r>
    </w:p>
    <w:p w14:paraId="03AC10B6" w14:textId="77777777" w:rsidR="00757513" w:rsidRDefault="00757513" w:rsidP="00A9340B">
      <w:pPr>
        <w:ind w:firstLine="720"/>
        <w:jc w:val="both"/>
        <w:rPr>
          <w:rFonts w:eastAsia="Cambria" w:cs="Cambria"/>
          <w:i/>
          <w:iCs/>
          <w:color w:val="000000" w:themeColor="text1"/>
          <w:sz w:val="20"/>
          <w:szCs w:val="20"/>
          <w:lang w:val="es-ES"/>
        </w:rPr>
      </w:pPr>
    </w:p>
    <w:p w14:paraId="03F58412" w14:textId="12F60860" w:rsidR="001161A5" w:rsidRPr="00672AC2" w:rsidRDefault="001161A5" w:rsidP="00A9340B">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7CD85E5B" w14:textId="77777777" w:rsidR="001161A5" w:rsidRPr="00672AC2" w:rsidRDefault="001161A5" w:rsidP="001161A5">
      <w:pPr>
        <w:ind w:firstLine="360"/>
        <w:jc w:val="both"/>
        <w:rPr>
          <w:sz w:val="20"/>
          <w:szCs w:val="20"/>
          <w:lang w:val="es-CO"/>
        </w:rPr>
      </w:pPr>
    </w:p>
    <w:p w14:paraId="4F182BAC" w14:textId="114F43B2" w:rsidR="001161A5" w:rsidRPr="00A9340B" w:rsidRDefault="001161A5" w:rsidP="00A9340B">
      <w:pPr>
        <w:pStyle w:val="IAPrrafo"/>
        <w:rPr>
          <w:szCs w:val="20"/>
          <w:lang w:val="es-CO"/>
        </w:rPr>
      </w:pPr>
      <w:r w:rsidRPr="00672AC2">
        <w:rPr>
          <w:rFonts w:eastAsia="Cambria" w:cs="Cambria"/>
          <w:color w:val="000000" w:themeColor="text1"/>
          <w:szCs w:val="20"/>
        </w:rPr>
        <w:t>La CIDH saluda y valora positivamente lo reportado por la Policía Nacional del Perú en relación con el derecho a registrar y difundir cualquier incidente en el marco de las protestas. Sin embargo, la Comisión resalta que, de acuerdo con los hechos recogidos por el Informe de País, surgieron situaciones que imposibilitaron el ejercicio de estos derechos por acciones realizadas por los propios agentes de seguridad</w:t>
      </w:r>
      <w:r w:rsidR="00F36B41">
        <w:rPr>
          <w:rFonts w:ascii="ZWAdobeF" w:eastAsia="Cambria" w:hAnsi="ZWAdobeF" w:cs="ZWAdobeF"/>
          <w:color w:val="auto"/>
          <w:sz w:val="2"/>
          <w:szCs w:val="2"/>
        </w:rPr>
        <w:t>151F</w:t>
      </w:r>
      <w:r w:rsidRPr="00672AC2">
        <w:rPr>
          <w:rStyle w:val="FootnoteReference"/>
          <w:rFonts w:eastAsia="Cambria" w:cs="Cambria"/>
          <w:color w:val="000000" w:themeColor="text1"/>
          <w:szCs w:val="20"/>
        </w:rPr>
        <w:footnoteReference w:id="153"/>
      </w:r>
      <w:r w:rsidRPr="00672AC2">
        <w:rPr>
          <w:rFonts w:eastAsia="Cambria" w:cs="Cambria"/>
          <w:color w:val="000000" w:themeColor="text1"/>
          <w:szCs w:val="20"/>
        </w:rPr>
        <w:t xml:space="preserve">. </w:t>
      </w:r>
      <w:r w:rsidR="00BA4D21" w:rsidRPr="00672AC2">
        <w:rPr>
          <w:rFonts w:eastAsia="Cambria" w:cs="Cambria"/>
          <w:color w:val="000000" w:themeColor="text1"/>
          <w:szCs w:val="20"/>
        </w:rPr>
        <w:t>Por ello</w:t>
      </w:r>
      <w:r w:rsidRPr="00672AC2">
        <w:rPr>
          <w:rFonts w:eastAsia="Cambria" w:cs="Cambria"/>
          <w:color w:val="000000" w:themeColor="text1"/>
          <w:szCs w:val="20"/>
        </w:rPr>
        <w:t xml:space="preserve">, para el seguimiento al cumplimiento de esta recomendación, resulta importante que se conozcan las acciones posteriores concretas que se han adoptado para garantizar la protección en la función de camarógrafos, fotorreporteros y periodistas que cubran las protestas. En </w:t>
      </w:r>
      <w:r w:rsidR="00207C52" w:rsidRPr="00672AC2">
        <w:rPr>
          <w:rFonts w:eastAsia="Cambria" w:cs="Cambria"/>
          <w:color w:val="000000" w:themeColor="text1"/>
          <w:szCs w:val="20"/>
        </w:rPr>
        <w:t>efecto</w:t>
      </w:r>
      <w:r w:rsidRPr="00672AC2">
        <w:rPr>
          <w:rFonts w:eastAsia="Cambria" w:cs="Cambria"/>
          <w:color w:val="000000" w:themeColor="text1"/>
          <w:szCs w:val="20"/>
        </w:rPr>
        <w:t xml:space="preserve">, la Comisión considera que la recomendación aún requiere de acciones concretas para su cumplimiento. </w:t>
      </w:r>
      <w:r w:rsidRPr="00672AC2">
        <w:rPr>
          <w:szCs w:val="20"/>
          <w:lang w:val="es-CO"/>
        </w:rPr>
        <w:t xml:space="preserve">Por ello, </w:t>
      </w:r>
      <w:r w:rsidR="00BB3B97" w:rsidRPr="00672AC2">
        <w:rPr>
          <w:szCs w:val="20"/>
          <w:lang w:val="es-CO"/>
        </w:rPr>
        <w:t xml:space="preserve">concluye </w:t>
      </w:r>
      <w:r w:rsidRPr="00672AC2">
        <w:rPr>
          <w:szCs w:val="20"/>
          <w:lang w:val="es-CO"/>
        </w:rPr>
        <w:t xml:space="preserve">que continúa </w:t>
      </w:r>
      <w:r w:rsidRPr="00672AC2">
        <w:rPr>
          <w:b/>
          <w:szCs w:val="20"/>
          <w:lang w:val="es-CO"/>
        </w:rPr>
        <w:t>pendiente de cumplimiento</w:t>
      </w:r>
      <w:r w:rsidRPr="00672AC2">
        <w:rPr>
          <w:szCs w:val="20"/>
          <w:lang w:val="es-CO"/>
        </w:rPr>
        <w:t>.</w:t>
      </w:r>
    </w:p>
    <w:p w14:paraId="6D504970" w14:textId="524D9CF5" w:rsidR="001161A5" w:rsidRPr="00672AC2" w:rsidRDefault="001161A5" w:rsidP="00A9340B">
      <w:pPr>
        <w:suppressAutoHyphens w:val="0"/>
        <w:ind w:firstLine="720"/>
        <w:jc w:val="both"/>
        <w:rPr>
          <w:b/>
          <w:bCs/>
          <w:color w:val="000000" w:themeColor="text1"/>
          <w:sz w:val="20"/>
          <w:szCs w:val="20"/>
          <w:lang w:val="es-CO"/>
        </w:rPr>
      </w:pPr>
      <w:r w:rsidRPr="00672AC2">
        <w:rPr>
          <w:color w:val="000000" w:themeColor="text1"/>
          <w:sz w:val="20"/>
          <w:szCs w:val="20"/>
          <w:lang w:val="es-CO"/>
        </w:rPr>
        <w:t xml:space="preserve"> </w:t>
      </w: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3C1E335E" w14:textId="77777777" w:rsidR="001161A5" w:rsidRPr="00672AC2" w:rsidRDefault="001161A5" w:rsidP="001161A5">
      <w:pPr>
        <w:shd w:val="clear" w:color="auto" w:fill="FFFFFF" w:themeFill="background1"/>
        <w:suppressAutoHyphens w:val="0"/>
        <w:jc w:val="both"/>
        <w:rPr>
          <w:rFonts w:eastAsia="Cambria" w:cs="Cambria"/>
          <w:color w:val="000000" w:themeColor="text1"/>
          <w:sz w:val="20"/>
          <w:szCs w:val="20"/>
          <w:lang w:val="es-CO"/>
        </w:rPr>
      </w:pPr>
    </w:p>
    <w:p w14:paraId="7CE17B76" w14:textId="422ADD36" w:rsidR="001161A5" w:rsidRPr="0050203A" w:rsidRDefault="001161A5" w:rsidP="0050203A">
      <w:pPr>
        <w:pStyle w:val="IAPrrafo"/>
        <w:rPr>
          <w:color w:val="000000" w:themeColor="text1"/>
          <w:szCs w:val="20"/>
          <w:lang w:val="es-CO"/>
        </w:rPr>
      </w:pPr>
      <w:r w:rsidRPr="00672AC2">
        <w:rPr>
          <w:szCs w:val="20"/>
          <w:lang w:val="es-US"/>
        </w:rPr>
        <w:t xml:space="preserve">La CIDH valorará un avance en el cumplimiento de la recomendación cuando el Estado informe acciones </w:t>
      </w:r>
      <w:r w:rsidR="00CD525F" w:rsidRPr="00672AC2">
        <w:rPr>
          <w:szCs w:val="20"/>
          <w:lang w:val="es-US"/>
        </w:rPr>
        <w:t xml:space="preserve">impulsadas </w:t>
      </w:r>
      <w:r w:rsidRPr="00672AC2">
        <w:rPr>
          <w:szCs w:val="20"/>
          <w:lang w:val="es-US"/>
        </w:rPr>
        <w:t xml:space="preserve">para garantizar la difusión y registro de hechos durante protestas sociales. Estas acciones pueden incluir </w:t>
      </w:r>
      <w:r w:rsidR="00525CC7" w:rsidRPr="00672AC2">
        <w:rPr>
          <w:szCs w:val="20"/>
          <w:lang w:val="es-US"/>
        </w:rPr>
        <w:t xml:space="preserve">la </w:t>
      </w:r>
      <w:r w:rsidR="005E228B" w:rsidRPr="00672AC2">
        <w:rPr>
          <w:szCs w:val="20"/>
          <w:lang w:val="es-US"/>
        </w:rPr>
        <w:t>implementación</w:t>
      </w:r>
      <w:r w:rsidRPr="00672AC2">
        <w:rPr>
          <w:szCs w:val="20"/>
          <w:lang w:val="es-US"/>
        </w:rPr>
        <w:t xml:space="preserve"> de políticas públicas específicas, medidas de fortalecimiento institucional tanto de los agentes de seguridad como de las entidades a cargo de la protección de los derechos de las personas periodistas, la rendición de cuentas de aquellos efectivos que vulneren dichos derechos, o acciones pedagógicas dirigidas a conocer y fomentar su ejercicio.</w:t>
      </w:r>
    </w:p>
    <w:tbl>
      <w:tblPr>
        <w:tblStyle w:val="TableGrid"/>
        <w:tblW w:w="0" w:type="auto"/>
        <w:tblLook w:val="04A0" w:firstRow="1" w:lastRow="0" w:firstColumn="1" w:lastColumn="0" w:noHBand="0" w:noVBand="1"/>
      </w:tblPr>
      <w:tblGrid>
        <w:gridCol w:w="9350"/>
      </w:tblGrid>
      <w:tr w:rsidR="001161A5" w:rsidRPr="00F51AED" w14:paraId="5583B980" w14:textId="77777777" w:rsidTr="00A323C0">
        <w:tc>
          <w:tcPr>
            <w:tcW w:w="9350" w:type="dxa"/>
            <w:tcBorders>
              <w:top w:val="nil"/>
              <w:left w:val="nil"/>
              <w:bottom w:val="nil"/>
              <w:right w:val="nil"/>
            </w:tcBorders>
            <w:shd w:val="clear" w:color="auto" w:fill="D9D9D9" w:themeFill="background1" w:themeFillShade="D9"/>
          </w:tcPr>
          <w:p w14:paraId="04D0B385" w14:textId="0B897157" w:rsidR="001161A5" w:rsidRPr="00672AC2" w:rsidRDefault="001161A5" w:rsidP="00A323C0">
            <w:pPr>
              <w:suppressAutoHyphens w:val="0"/>
              <w:jc w:val="both"/>
              <w:rPr>
                <w:rFonts w:eastAsia="Cambria" w:cs="Cambria"/>
                <w:color w:val="000000" w:themeColor="text1"/>
                <w:sz w:val="20"/>
                <w:szCs w:val="20"/>
                <w:lang w:val="es-CO"/>
              </w:rPr>
            </w:pPr>
            <w:r w:rsidRPr="00672AC2">
              <w:rPr>
                <w:rFonts w:eastAsia="Cambria" w:cs="Cambria"/>
                <w:b/>
                <w:bCs/>
                <w:color w:val="000000" w:themeColor="text1"/>
                <w:sz w:val="20"/>
                <w:szCs w:val="20"/>
                <w:lang w:val="es-419"/>
              </w:rPr>
              <w:t xml:space="preserve">Recomendación </w:t>
            </w:r>
            <w:proofErr w:type="spellStart"/>
            <w:r w:rsidR="002137DD" w:rsidRPr="00672AC2">
              <w:rPr>
                <w:rFonts w:eastAsia="Cambria" w:cs="Cambria"/>
                <w:b/>
                <w:bCs/>
                <w:color w:val="000000" w:themeColor="text1"/>
                <w:sz w:val="20"/>
                <w:szCs w:val="20"/>
                <w:lang w:val="es-419"/>
              </w:rPr>
              <w:t>Nº</w:t>
            </w:r>
            <w:proofErr w:type="spellEnd"/>
            <w:r w:rsidRPr="00672AC2">
              <w:rPr>
                <w:rFonts w:eastAsia="Cambria" w:cs="Cambria"/>
                <w:b/>
                <w:bCs/>
                <w:color w:val="000000" w:themeColor="text1"/>
                <w:sz w:val="20"/>
                <w:szCs w:val="20"/>
                <w:lang w:val="es-419"/>
              </w:rPr>
              <w:t xml:space="preserve"> 34. </w:t>
            </w:r>
            <w:r w:rsidRPr="00672AC2">
              <w:rPr>
                <w:rFonts w:eastAsia="Cambria" w:cs="Cambria"/>
                <w:color w:val="000000" w:themeColor="text1"/>
                <w:sz w:val="20"/>
                <w:szCs w:val="20"/>
                <w:lang w:val="es-CO"/>
              </w:rPr>
              <w:t>Revisar y actualizar los protocolos de protección de periodistas, comunicadores y trabajadores de los medios frente a persecuciones, detenciones, intimidaciones, hostigamientos, agresiones de cualquier tipo; así como cesar acciones estatales que intervengan con el libre funcionamiento de los medios de comunicación. Los protocolos deben estar dotados de capacidad institucional, recursos humanos y financieros para la protección de periodistas.</w:t>
            </w:r>
          </w:p>
        </w:tc>
      </w:tr>
    </w:tbl>
    <w:p w14:paraId="39704894" w14:textId="77777777" w:rsidR="001161A5" w:rsidRPr="00672AC2" w:rsidRDefault="001161A5" w:rsidP="001161A5">
      <w:pPr>
        <w:shd w:val="clear" w:color="auto" w:fill="FFFFFF" w:themeFill="background1"/>
        <w:jc w:val="both"/>
        <w:rPr>
          <w:sz w:val="20"/>
          <w:szCs w:val="20"/>
          <w:lang w:val="es-US"/>
        </w:rPr>
      </w:pPr>
    </w:p>
    <w:p w14:paraId="239D30E1" w14:textId="237BA338" w:rsidR="001161A5" w:rsidRPr="00672AC2" w:rsidRDefault="001161A5" w:rsidP="00A9340B">
      <w:pPr>
        <w:pBdr>
          <w:top w:val="nil"/>
          <w:left w:val="nil"/>
          <w:bottom w:val="nil"/>
          <w:right w:val="nil"/>
          <w:between w:val="nil"/>
        </w:pBdr>
        <w:ind w:firstLine="720"/>
        <w:jc w:val="both"/>
        <w:rPr>
          <w:rFonts w:eastAsia="Cambria" w:cs="Cambria"/>
          <w:sz w:val="20"/>
          <w:szCs w:val="20"/>
          <w:lang w:val="es-419"/>
        </w:rPr>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6068FCC8" w14:textId="77777777" w:rsidR="001161A5" w:rsidRPr="00672AC2" w:rsidRDefault="001161A5" w:rsidP="001161A5">
      <w:pPr>
        <w:pBdr>
          <w:top w:val="nil"/>
          <w:left w:val="nil"/>
          <w:bottom w:val="nil"/>
          <w:right w:val="nil"/>
          <w:between w:val="nil"/>
        </w:pBdr>
        <w:ind w:firstLine="360"/>
        <w:jc w:val="both"/>
        <w:rPr>
          <w:sz w:val="20"/>
          <w:szCs w:val="20"/>
        </w:rPr>
      </w:pPr>
    </w:p>
    <w:p w14:paraId="0E429514" w14:textId="28E4C980" w:rsidR="001161A5" w:rsidRPr="00A9340B" w:rsidRDefault="452B01BB" w:rsidP="00A9340B">
      <w:pPr>
        <w:pStyle w:val="IAPrrafo"/>
        <w:rPr>
          <w:color w:val="000000" w:themeColor="text1"/>
          <w:szCs w:val="20"/>
          <w:lang w:val="es-CO"/>
        </w:rPr>
      </w:pPr>
      <w:r w:rsidRPr="00672AC2">
        <w:rPr>
          <w:rFonts w:eastAsia="Cambria" w:cs="Cambria"/>
          <w:color w:val="000000" w:themeColor="text1"/>
          <w:szCs w:val="20"/>
        </w:rPr>
        <w:t xml:space="preserve">En el año 2024, el Estado informó de la aprobación del </w:t>
      </w:r>
      <w:r w:rsidRPr="00672AC2">
        <w:rPr>
          <w:szCs w:val="20"/>
          <w:lang w:val="es-ES"/>
        </w:rPr>
        <w:t>Protocolo de actuación para la orientación y patrocinio legal a Periodistas y Comunicadores/as Sociales</w:t>
      </w:r>
      <w:r w:rsidR="00F36B41">
        <w:rPr>
          <w:rFonts w:ascii="ZWAdobeF" w:hAnsi="ZWAdobeF" w:cs="ZWAdobeF"/>
          <w:color w:val="auto"/>
          <w:sz w:val="2"/>
          <w:szCs w:val="2"/>
          <w:lang w:val="es-ES"/>
        </w:rPr>
        <w:t>152F</w:t>
      </w:r>
      <w:r w:rsidR="001161A5" w:rsidRPr="00672AC2">
        <w:rPr>
          <w:rStyle w:val="FootnoteReference"/>
          <w:szCs w:val="20"/>
          <w:lang w:val="es-ES"/>
        </w:rPr>
        <w:footnoteReference w:id="154"/>
      </w:r>
      <w:r w:rsidRPr="00672AC2">
        <w:rPr>
          <w:szCs w:val="20"/>
          <w:lang w:val="es-ES"/>
        </w:rPr>
        <w:t xml:space="preserve">, con el objetivo de establecer las pautas para la prestación de los servicios para la defensa pública de estas personas. En ese sentido, el Estado reportó que, desde su aprobación, se brindó el servicio de defensa de víctimas a siete periodistas, y </w:t>
      </w:r>
      <w:r w:rsidR="0752D8EE" w:rsidRPr="00672AC2">
        <w:rPr>
          <w:szCs w:val="20"/>
          <w:lang w:val="es-ES"/>
        </w:rPr>
        <w:t xml:space="preserve">el </w:t>
      </w:r>
      <w:r w:rsidRPr="00672AC2">
        <w:rPr>
          <w:szCs w:val="20"/>
          <w:lang w:val="es-ES"/>
        </w:rPr>
        <w:t>sistema de defensa penal a 26 personas. Además, señaló que el servicio de defensa de víctimas cuenta con 497 defensores públicos a nivel nacional y con 1262 defensores públicos penales distribuidos en 34 Direcciones Distritales</w:t>
      </w:r>
      <w:r w:rsidR="0DB6E35C" w:rsidRPr="00672AC2">
        <w:rPr>
          <w:szCs w:val="20"/>
          <w:lang w:val="es-ES"/>
        </w:rPr>
        <w:t>,</w:t>
      </w:r>
      <w:r w:rsidRPr="00672AC2">
        <w:rPr>
          <w:szCs w:val="20"/>
          <w:lang w:val="es-ES"/>
        </w:rPr>
        <w:t xml:space="preserve"> Defensa Pública y Acceso a la Justicia a nivel nacional. Asimismo, el Estado </w:t>
      </w:r>
      <w:r w:rsidR="76C0D211" w:rsidRPr="00672AC2">
        <w:rPr>
          <w:szCs w:val="20"/>
          <w:lang w:val="es-ES"/>
        </w:rPr>
        <w:t>ex</w:t>
      </w:r>
      <w:r w:rsidR="2B15A5CD" w:rsidRPr="00672AC2">
        <w:rPr>
          <w:szCs w:val="20"/>
          <w:lang w:val="es-ES"/>
        </w:rPr>
        <w:t>puso sobre</w:t>
      </w:r>
      <w:r w:rsidR="76C0D211" w:rsidRPr="00672AC2">
        <w:rPr>
          <w:szCs w:val="20"/>
          <w:lang w:val="es-ES"/>
        </w:rPr>
        <w:t xml:space="preserve"> </w:t>
      </w:r>
      <w:r w:rsidRPr="00672AC2">
        <w:rPr>
          <w:szCs w:val="20"/>
          <w:lang w:val="es-ES"/>
        </w:rPr>
        <w:t>el servicio de orientación legal gratuita telefónica a través del “Fono Alegra 1884”, donde se puede recibir orientación, absolución de dudas, y, de ser necesario, que el caso sea derivado a la dirección distrital correspondiente.</w:t>
      </w:r>
    </w:p>
    <w:p w14:paraId="49FB4CE9" w14:textId="6C12F210" w:rsidR="001161A5" w:rsidRPr="00A9340B" w:rsidRDefault="001161A5" w:rsidP="001161A5">
      <w:pPr>
        <w:pStyle w:val="IAPrrafo"/>
        <w:rPr>
          <w:color w:val="000000" w:themeColor="text1"/>
          <w:szCs w:val="20"/>
          <w:lang w:val="es-CO"/>
        </w:rPr>
      </w:pPr>
      <w:r w:rsidRPr="00672AC2">
        <w:rPr>
          <w:color w:val="000000" w:themeColor="text1"/>
          <w:szCs w:val="20"/>
          <w:lang w:val="es-CO"/>
        </w:rPr>
        <w:t xml:space="preserve">De otro lado, el Estado </w:t>
      </w:r>
      <w:r w:rsidR="002F01C3" w:rsidRPr="00672AC2">
        <w:rPr>
          <w:color w:val="000000" w:themeColor="text1"/>
          <w:szCs w:val="20"/>
          <w:lang w:val="es-CO"/>
        </w:rPr>
        <w:t xml:space="preserve">comunicó </w:t>
      </w:r>
      <w:r w:rsidRPr="00672AC2">
        <w:rPr>
          <w:color w:val="000000" w:themeColor="text1"/>
          <w:szCs w:val="20"/>
          <w:lang w:val="es-CO"/>
        </w:rPr>
        <w:t xml:space="preserve">la elaboración del </w:t>
      </w:r>
      <w:r w:rsidRPr="00672AC2">
        <w:rPr>
          <w:szCs w:val="20"/>
          <w:lang w:val="es-ES"/>
        </w:rPr>
        <w:t>proyecto de “Protocolo de actuación interinstitucional para la coordinación y atención a periodistas y comunicadores sociales en el contexto de alteración al orden público”</w:t>
      </w:r>
      <w:r w:rsidR="00F36B41">
        <w:rPr>
          <w:rFonts w:ascii="ZWAdobeF" w:hAnsi="ZWAdobeF" w:cs="ZWAdobeF"/>
          <w:color w:val="auto"/>
          <w:sz w:val="2"/>
          <w:szCs w:val="2"/>
          <w:lang w:val="es-ES"/>
        </w:rPr>
        <w:t>153F</w:t>
      </w:r>
      <w:r w:rsidRPr="00672AC2">
        <w:rPr>
          <w:rStyle w:val="FootnoteReference"/>
          <w:szCs w:val="20"/>
          <w:lang w:val="es-ES"/>
        </w:rPr>
        <w:footnoteReference w:id="155"/>
      </w:r>
      <w:r w:rsidRPr="00672AC2">
        <w:rPr>
          <w:szCs w:val="20"/>
          <w:lang w:val="es-ES"/>
        </w:rPr>
        <w:t>, que propone mecanismos de atención y coordinación sobre seguridad, salud y defensa pública. Dicho proyecto se encuentra en revisión por los distintos sectores del Poder Ejecutivo.</w:t>
      </w:r>
    </w:p>
    <w:p w14:paraId="641065D0" w14:textId="2DDD435A" w:rsidR="001161A5" w:rsidRPr="00A9340B" w:rsidRDefault="001161A5" w:rsidP="001161A5">
      <w:pPr>
        <w:pStyle w:val="IAPrrafo"/>
        <w:rPr>
          <w:color w:val="000000" w:themeColor="text1"/>
          <w:szCs w:val="20"/>
          <w:lang w:val="es-CO"/>
        </w:rPr>
      </w:pPr>
      <w:r w:rsidRPr="00672AC2">
        <w:rPr>
          <w:color w:val="000000" w:themeColor="text1"/>
          <w:szCs w:val="20"/>
          <w:lang w:val="es-CO"/>
        </w:rPr>
        <w:t xml:space="preserve">Por su </w:t>
      </w:r>
      <w:r w:rsidR="000C4082" w:rsidRPr="00672AC2">
        <w:rPr>
          <w:color w:val="000000" w:themeColor="text1"/>
          <w:szCs w:val="20"/>
          <w:lang w:val="es-CO"/>
        </w:rPr>
        <w:t>parte</w:t>
      </w:r>
      <w:r w:rsidRPr="00672AC2">
        <w:rPr>
          <w:color w:val="000000" w:themeColor="text1"/>
          <w:szCs w:val="20"/>
          <w:lang w:val="es-CO"/>
        </w:rPr>
        <w:t xml:space="preserve">, las organizaciones de sociedad civil </w:t>
      </w:r>
      <w:r w:rsidR="005E228B" w:rsidRPr="00672AC2">
        <w:rPr>
          <w:color w:val="000000" w:themeColor="text1"/>
          <w:szCs w:val="20"/>
          <w:lang w:val="es-CO"/>
        </w:rPr>
        <w:t>comunicaron</w:t>
      </w:r>
      <w:r w:rsidRPr="00672AC2">
        <w:rPr>
          <w:color w:val="000000" w:themeColor="text1"/>
          <w:szCs w:val="20"/>
          <w:lang w:val="es-CO"/>
        </w:rPr>
        <w:t xml:space="preserve"> que el proyecto de </w:t>
      </w:r>
      <w:r w:rsidRPr="00672AC2">
        <w:rPr>
          <w:szCs w:val="20"/>
          <w:lang w:val="es-ES"/>
        </w:rPr>
        <w:t xml:space="preserve">“Protocolo de actuación interinstitucional para la coordinación y atención a periodistas y comunicadores sociales en el contexto de alteración al orden público” fue materia de crítica por diversos actores de sociedad civil por poner la cobertura periodística de las protestas bajo supervisión estatal, representando un atentado contra la libertad de expresión. </w:t>
      </w:r>
      <w:r w:rsidR="005E228B" w:rsidRPr="00672AC2">
        <w:rPr>
          <w:szCs w:val="20"/>
          <w:lang w:val="es-ES"/>
        </w:rPr>
        <w:t>Asimismo</w:t>
      </w:r>
      <w:r w:rsidRPr="00672AC2">
        <w:rPr>
          <w:szCs w:val="20"/>
          <w:lang w:val="es-ES"/>
        </w:rPr>
        <w:t>, la Asociación Nacional de Periodistas cuestionó que el documento no delimitaría el alcance del concepto de “alteraciones al orden público”</w:t>
      </w:r>
      <w:r w:rsidR="00902090" w:rsidRPr="00672AC2">
        <w:rPr>
          <w:szCs w:val="20"/>
          <w:lang w:val="es-ES"/>
        </w:rPr>
        <w:t>;</w:t>
      </w:r>
      <w:r w:rsidRPr="00672AC2">
        <w:rPr>
          <w:szCs w:val="20"/>
          <w:lang w:val="es-ES"/>
        </w:rPr>
        <w:t xml:space="preserve"> no consideraría los mecanismos para afrontar casos en los que la agresión se realice por parte de miembros de la Policía</w:t>
      </w:r>
      <w:r w:rsidR="00902090" w:rsidRPr="00672AC2">
        <w:rPr>
          <w:szCs w:val="20"/>
          <w:lang w:val="es-ES"/>
        </w:rPr>
        <w:t>;</w:t>
      </w:r>
      <w:r w:rsidRPr="00672AC2">
        <w:rPr>
          <w:szCs w:val="20"/>
          <w:lang w:val="es-ES"/>
        </w:rPr>
        <w:t xml:space="preserve"> y tampoco incluiría a periodistas no colegiados o miembros de la prensa extranjera</w:t>
      </w:r>
      <w:r w:rsidR="00F36B41">
        <w:rPr>
          <w:rFonts w:ascii="ZWAdobeF" w:hAnsi="ZWAdobeF" w:cs="ZWAdobeF"/>
          <w:color w:val="auto"/>
          <w:sz w:val="2"/>
          <w:szCs w:val="2"/>
          <w:lang w:val="es-ES"/>
        </w:rPr>
        <w:t>154F</w:t>
      </w:r>
      <w:r w:rsidRPr="00672AC2">
        <w:rPr>
          <w:rStyle w:val="FootnoteReference"/>
          <w:szCs w:val="20"/>
          <w:lang w:val="es-ES"/>
        </w:rPr>
        <w:footnoteReference w:id="156"/>
      </w:r>
      <w:r w:rsidRPr="00672AC2">
        <w:rPr>
          <w:szCs w:val="20"/>
          <w:lang w:val="es-ES"/>
        </w:rPr>
        <w:t>.</w:t>
      </w:r>
    </w:p>
    <w:p w14:paraId="0AA42F72" w14:textId="36613347" w:rsidR="001161A5" w:rsidRPr="00A9340B" w:rsidRDefault="001161A5" w:rsidP="001161A5">
      <w:pPr>
        <w:pStyle w:val="IAPrrafo"/>
        <w:rPr>
          <w:color w:val="000000" w:themeColor="text1"/>
          <w:szCs w:val="20"/>
          <w:lang w:val="es-CO"/>
        </w:rPr>
      </w:pPr>
      <w:r w:rsidRPr="00672AC2">
        <w:rPr>
          <w:color w:val="000000" w:themeColor="text1"/>
          <w:szCs w:val="20"/>
          <w:lang w:val="es-CO"/>
        </w:rPr>
        <w:t xml:space="preserve">Asimismo, la sociedad civil mostró su preocupación por diversas iniciativas legislativas impulsadas por el Congreso de la República en relación con la libertad de prensa. </w:t>
      </w:r>
      <w:r w:rsidR="0061571F" w:rsidRPr="00672AC2">
        <w:rPr>
          <w:color w:val="000000" w:themeColor="text1"/>
          <w:szCs w:val="20"/>
          <w:lang w:val="es-CO"/>
        </w:rPr>
        <w:t>En efecto</w:t>
      </w:r>
      <w:r w:rsidRPr="00672AC2">
        <w:rPr>
          <w:color w:val="000000" w:themeColor="text1"/>
          <w:szCs w:val="20"/>
          <w:lang w:val="es-CO"/>
        </w:rPr>
        <w:t xml:space="preserve">, </w:t>
      </w:r>
      <w:r w:rsidR="0061571F" w:rsidRPr="00672AC2">
        <w:rPr>
          <w:color w:val="000000" w:themeColor="text1"/>
          <w:szCs w:val="20"/>
          <w:lang w:val="es-CO"/>
        </w:rPr>
        <w:t>resaltó</w:t>
      </w:r>
      <w:r w:rsidRPr="00672AC2">
        <w:rPr>
          <w:color w:val="000000" w:themeColor="text1"/>
          <w:szCs w:val="20"/>
          <w:lang w:val="es-CO"/>
        </w:rPr>
        <w:t xml:space="preserve"> la iniciativa para modificar la estructura del Instituto Nacional de Radio y Televisión del Perú (en adelante “IRTP”), incorporando a representantes del Congreso y del Poder Judicial como parte de su directorio, lo que podría ser un riesgo para la independencia editorial de los medios estatales. De otro lado, </w:t>
      </w:r>
      <w:r w:rsidR="006A46E7" w:rsidRPr="00672AC2">
        <w:rPr>
          <w:color w:val="000000" w:themeColor="text1"/>
          <w:szCs w:val="20"/>
          <w:lang w:val="es-CO"/>
        </w:rPr>
        <w:t>hizo énfasis en</w:t>
      </w:r>
      <w:r w:rsidRPr="00672AC2">
        <w:rPr>
          <w:color w:val="000000" w:themeColor="text1"/>
          <w:szCs w:val="20"/>
          <w:lang w:val="es-CO"/>
        </w:rPr>
        <w:t xml:space="preserve"> una iniciativa legislativa que buscaría sancionar a periodistas que publiquen información proveniente de declaraciones de colaboradores eficaces en casos judiciales, que estaría dirigida a proteger a las personas relacionadas a casos de corrupción y de organización criminal. </w:t>
      </w:r>
    </w:p>
    <w:p w14:paraId="57BCDB84" w14:textId="37312C3C" w:rsidR="001161A5" w:rsidRPr="00672AC2" w:rsidRDefault="001161A5" w:rsidP="00E83710">
      <w:pPr>
        <w:pStyle w:val="IAPrrafo"/>
        <w:rPr>
          <w:color w:val="000000" w:themeColor="text1"/>
          <w:szCs w:val="20"/>
        </w:rPr>
      </w:pPr>
      <w:r w:rsidRPr="00672AC2">
        <w:t xml:space="preserve">Igualmente, en 2024, la Comisión y su Relatoría Especial para la Libertad de Expresión (RELE) </w:t>
      </w:r>
      <w:r w:rsidR="005E228B" w:rsidRPr="00672AC2">
        <w:t>conocieron</w:t>
      </w:r>
      <w:r w:rsidRPr="00672AC2">
        <w:t xml:space="preserve"> sobre iniciativas legislativas que podrían restringir indebida</w:t>
      </w:r>
      <w:r w:rsidR="005E228B" w:rsidRPr="00672AC2">
        <w:t>mente</w:t>
      </w:r>
      <w:r w:rsidRPr="00672AC2">
        <w:t xml:space="preserve"> los derechos a la libertad de expresión y asociación. Entre ellas, se conoció sobre una propuesta para crear el “Colegio Profesional de Comunicadores del Perú”, que establecería un registro obligatorio para el ejercicio del periodismo</w:t>
      </w:r>
      <w:r w:rsidR="00F36B41">
        <w:rPr>
          <w:rFonts w:ascii="ZWAdobeF" w:hAnsi="ZWAdobeF" w:cs="ZWAdobeF"/>
          <w:color w:val="auto"/>
          <w:sz w:val="2"/>
          <w:szCs w:val="2"/>
        </w:rPr>
        <w:t>155F</w:t>
      </w:r>
      <w:r w:rsidRPr="00672AC2">
        <w:rPr>
          <w:rStyle w:val="FootnoteReference"/>
          <w:lang w:val="es-ES_tradnl"/>
        </w:rPr>
        <w:footnoteReference w:id="157"/>
      </w:r>
      <w:r w:rsidRPr="00672AC2">
        <w:t>. Además, el 2 de abril de 2024, se presentó un proyecto de ley que buscaría prohibir que periodistas y sus familiares hasta el segundo grado de consanguinidad suscriban contratos con el Estado peruano</w:t>
      </w:r>
      <w:r w:rsidR="00F36B41">
        <w:rPr>
          <w:rFonts w:ascii="ZWAdobeF" w:hAnsi="ZWAdobeF" w:cs="ZWAdobeF"/>
          <w:color w:val="auto"/>
          <w:sz w:val="2"/>
          <w:szCs w:val="2"/>
        </w:rPr>
        <w:t>156F</w:t>
      </w:r>
      <w:r w:rsidRPr="00672AC2">
        <w:rPr>
          <w:rStyle w:val="FootnoteReference"/>
          <w:lang w:val="es-CO"/>
        </w:rPr>
        <w:footnoteReference w:id="158"/>
      </w:r>
      <w:r w:rsidRPr="00672AC2">
        <w:t>.</w:t>
      </w:r>
    </w:p>
    <w:p w14:paraId="033E2C27" w14:textId="77777777" w:rsidR="001161A5" w:rsidRPr="00672AC2" w:rsidRDefault="001161A5" w:rsidP="00A9340B">
      <w:pPr>
        <w:pStyle w:val="IAPrrafo"/>
        <w:numPr>
          <w:ilvl w:val="0"/>
          <w:numId w:val="0"/>
        </w:numPr>
        <w:ind w:left="360" w:firstLine="360"/>
        <w:rPr>
          <w:lang w:val="es-CO"/>
        </w:rPr>
      </w:pPr>
      <w:r w:rsidRPr="00672AC2">
        <w:t>Análisis y nivel de cumplimiento de la recomendación</w:t>
      </w:r>
    </w:p>
    <w:p w14:paraId="7516160A" w14:textId="7D57B23C" w:rsidR="001161A5" w:rsidRPr="00A9340B" w:rsidRDefault="001161A5" w:rsidP="00A9340B">
      <w:pPr>
        <w:pStyle w:val="IAPrrafo"/>
        <w:rPr>
          <w:color w:val="000000" w:themeColor="text1"/>
          <w:szCs w:val="20"/>
          <w:lang w:val="es-CO"/>
        </w:rPr>
      </w:pPr>
      <w:r w:rsidRPr="00672AC2">
        <w:rPr>
          <w:szCs w:val="20"/>
          <w:lang w:eastAsia="es-US"/>
        </w:rPr>
        <w:t xml:space="preserve">La CIDH agradece la información proporcionada por el Estado y valora positivamente la aprobación del Protocolo </w:t>
      </w:r>
      <w:r w:rsidRPr="00672AC2">
        <w:rPr>
          <w:szCs w:val="20"/>
          <w:lang w:val="es-ES"/>
        </w:rPr>
        <w:t xml:space="preserve">de actuación para la orientación y patrocinio legal a Periodistas y Comunicadores/as Sociales, así como la implementación de servicios de defensa legal. </w:t>
      </w:r>
      <w:r w:rsidR="005E228B" w:rsidRPr="00672AC2">
        <w:rPr>
          <w:szCs w:val="20"/>
          <w:lang w:val="es-ES"/>
        </w:rPr>
        <w:t>Además</w:t>
      </w:r>
      <w:r w:rsidRPr="00672AC2">
        <w:rPr>
          <w:szCs w:val="20"/>
          <w:lang w:val="es-ES"/>
        </w:rPr>
        <w:t>, toma nota de la elaboración del proyecto de “Protocolo de actuación interinstitucional para la coordinación y atención a periodistas y comunicadores sociales en el contexto de alteración al orden público”</w:t>
      </w:r>
      <w:r w:rsidR="00367BC7" w:rsidRPr="00672AC2">
        <w:rPr>
          <w:szCs w:val="20"/>
          <w:lang w:val="es-ES"/>
        </w:rPr>
        <w:t>;</w:t>
      </w:r>
      <w:r w:rsidRPr="00672AC2">
        <w:rPr>
          <w:szCs w:val="20"/>
          <w:lang w:val="es-ES"/>
        </w:rPr>
        <w:t xml:space="preserve"> aunque, </w:t>
      </w:r>
      <w:r w:rsidR="005E228B" w:rsidRPr="00672AC2">
        <w:rPr>
          <w:szCs w:val="20"/>
          <w:lang w:val="es-ES"/>
        </w:rPr>
        <w:t>tomando en cuenta</w:t>
      </w:r>
      <w:r w:rsidRPr="00672AC2">
        <w:rPr>
          <w:szCs w:val="20"/>
          <w:lang w:val="es-ES"/>
        </w:rPr>
        <w:t xml:space="preserve"> las preocupaciones expresadas por sociedad civil sobre la independencia del rol del periodismo, sobre todo en situaciones de alta conflictividad como en el caso de las protestas, y las implicancias de permitir el control de los medios para su protección, solicita información al Estado que permita entender el alcance de la supervisión estatal a la que estaría sujeta la actividad periodística. </w:t>
      </w:r>
      <w:r w:rsidR="00967E66" w:rsidRPr="00672AC2">
        <w:rPr>
          <w:szCs w:val="20"/>
          <w:lang w:val="es-ES"/>
        </w:rPr>
        <w:t>A su vez</w:t>
      </w:r>
      <w:r w:rsidRPr="00672AC2">
        <w:rPr>
          <w:szCs w:val="20"/>
          <w:lang w:val="es-ES"/>
        </w:rPr>
        <w:t xml:space="preserve">, la CIDH </w:t>
      </w:r>
      <w:r w:rsidR="00367BC7" w:rsidRPr="00672AC2">
        <w:rPr>
          <w:szCs w:val="20"/>
          <w:lang w:val="es-ES"/>
        </w:rPr>
        <w:t xml:space="preserve">entiende </w:t>
      </w:r>
      <w:r w:rsidRPr="00672AC2">
        <w:rPr>
          <w:szCs w:val="20"/>
          <w:lang w:val="es-ES"/>
        </w:rPr>
        <w:t xml:space="preserve">fundamental que estos instrumentos sean </w:t>
      </w:r>
      <w:r w:rsidR="004168E9" w:rsidRPr="00672AC2">
        <w:rPr>
          <w:szCs w:val="20"/>
          <w:lang w:val="es-ES"/>
        </w:rPr>
        <w:t xml:space="preserve">elaborados </w:t>
      </w:r>
      <w:r w:rsidRPr="00672AC2">
        <w:rPr>
          <w:szCs w:val="20"/>
          <w:lang w:val="es-ES"/>
        </w:rPr>
        <w:t>de manera participativa, con el objetivo de recoger e incorporar las necesidades de los actores a los que se busca proteger.</w:t>
      </w:r>
    </w:p>
    <w:p w14:paraId="3B19F2EB" w14:textId="747ACD30" w:rsidR="001161A5" w:rsidRPr="00A9340B" w:rsidRDefault="452B01BB" w:rsidP="00A9340B">
      <w:pPr>
        <w:pStyle w:val="IAPrrafo"/>
        <w:rPr>
          <w:color w:val="000000" w:themeColor="text1"/>
          <w:szCs w:val="20"/>
          <w:lang w:val="es-CO"/>
        </w:rPr>
      </w:pPr>
      <w:r w:rsidRPr="00672AC2">
        <w:rPr>
          <w:color w:val="000000" w:themeColor="text1"/>
          <w:szCs w:val="20"/>
          <w:lang w:val="es-CO"/>
        </w:rPr>
        <w:t xml:space="preserve">En ese sentido, la CIDH recuerda que la protección de la libertad de información y expresión parte de la construcción de un marco normativo que garantice su independencia y la protección de las fuentes de información que utilizan, resaltando que “el acceso a la información pública debe regirse siempre por el principio de máxima divulgación, </w:t>
      </w:r>
      <w:proofErr w:type="gramStart"/>
      <w:r w:rsidRPr="00672AC2">
        <w:rPr>
          <w:color w:val="000000" w:themeColor="text1"/>
          <w:szCs w:val="20"/>
          <w:lang w:val="es-CO"/>
        </w:rPr>
        <w:t>en razón del</w:t>
      </w:r>
      <w:proofErr w:type="gramEnd"/>
      <w:r w:rsidRPr="00672AC2">
        <w:rPr>
          <w:color w:val="000000" w:themeColor="text1"/>
          <w:szCs w:val="20"/>
          <w:lang w:val="es-CO"/>
        </w:rPr>
        <w:t xml:space="preserve"> cual el derecho de acceso a la información es la regla y el secreto es la excepción”</w:t>
      </w:r>
      <w:r w:rsidR="00F36B41">
        <w:rPr>
          <w:rFonts w:ascii="ZWAdobeF" w:hAnsi="ZWAdobeF" w:cs="ZWAdobeF"/>
          <w:color w:val="auto"/>
          <w:sz w:val="2"/>
          <w:szCs w:val="2"/>
          <w:lang w:val="es-CO"/>
        </w:rPr>
        <w:t>157F</w:t>
      </w:r>
      <w:r w:rsidR="001161A5" w:rsidRPr="00672AC2">
        <w:rPr>
          <w:rStyle w:val="FootnoteReference"/>
          <w:color w:val="000000" w:themeColor="text1"/>
          <w:szCs w:val="20"/>
          <w:lang w:val="es-CO"/>
        </w:rPr>
        <w:footnoteReference w:id="159"/>
      </w:r>
      <w:r w:rsidRPr="00672AC2">
        <w:rPr>
          <w:color w:val="000000" w:themeColor="text1"/>
          <w:szCs w:val="20"/>
          <w:lang w:val="es-CO"/>
        </w:rPr>
        <w:t xml:space="preserve">. </w:t>
      </w:r>
      <w:r w:rsidRPr="00672AC2">
        <w:rPr>
          <w:szCs w:val="20"/>
          <w:lang w:val="es-US"/>
        </w:rPr>
        <w:t xml:space="preserve">Considerando la importancia de garantizar esta protección </w:t>
      </w:r>
      <w:r w:rsidRPr="00672AC2">
        <w:rPr>
          <w:rFonts w:eastAsia="Cambria" w:cs="Cambria"/>
          <w:color w:val="000000" w:themeColor="text1"/>
          <w:szCs w:val="20"/>
          <w:lang w:val="es-CO"/>
        </w:rPr>
        <w:t xml:space="preserve">para concretar el objetivo señalado en la recomendación, la CIDH identifica que esta recomendación se encuentra </w:t>
      </w:r>
      <w:r w:rsidRPr="00672AC2">
        <w:rPr>
          <w:rFonts w:eastAsia="Cambria" w:cs="Cambria"/>
          <w:b/>
          <w:bCs/>
          <w:color w:val="000000" w:themeColor="text1"/>
          <w:szCs w:val="20"/>
          <w:lang w:val="es-CO"/>
        </w:rPr>
        <w:t>parcialmente cumplida</w:t>
      </w:r>
      <w:r w:rsidRPr="00672AC2">
        <w:rPr>
          <w:rFonts w:eastAsia="Cambria" w:cs="Cambria"/>
          <w:color w:val="000000" w:themeColor="text1"/>
          <w:szCs w:val="20"/>
          <w:lang w:val="es-CO"/>
        </w:rPr>
        <w:t>.</w:t>
      </w:r>
    </w:p>
    <w:p w14:paraId="43310AC0" w14:textId="77777777" w:rsidR="00757513" w:rsidRDefault="00757513" w:rsidP="00A9340B">
      <w:pPr>
        <w:ind w:firstLine="720"/>
        <w:jc w:val="both"/>
        <w:rPr>
          <w:rFonts w:eastAsia="Cambria" w:cs="Cambria"/>
          <w:i/>
          <w:iCs/>
          <w:color w:val="000000" w:themeColor="text1"/>
          <w:sz w:val="20"/>
          <w:szCs w:val="20"/>
          <w:lang w:val="es-ES"/>
        </w:rPr>
      </w:pPr>
    </w:p>
    <w:p w14:paraId="13490953" w14:textId="77777777" w:rsidR="00757513" w:rsidRDefault="00757513" w:rsidP="00A9340B">
      <w:pPr>
        <w:ind w:firstLine="720"/>
        <w:jc w:val="both"/>
        <w:rPr>
          <w:rFonts w:eastAsia="Cambria" w:cs="Cambria"/>
          <w:i/>
          <w:iCs/>
          <w:color w:val="000000" w:themeColor="text1"/>
          <w:sz w:val="20"/>
          <w:szCs w:val="20"/>
          <w:lang w:val="es-ES"/>
        </w:rPr>
      </w:pPr>
    </w:p>
    <w:p w14:paraId="747E8547" w14:textId="77777777" w:rsidR="00757513" w:rsidRDefault="00757513" w:rsidP="00A9340B">
      <w:pPr>
        <w:ind w:firstLine="720"/>
        <w:jc w:val="both"/>
        <w:rPr>
          <w:rFonts w:eastAsia="Cambria" w:cs="Cambria"/>
          <w:i/>
          <w:iCs/>
          <w:color w:val="000000" w:themeColor="text1"/>
          <w:sz w:val="20"/>
          <w:szCs w:val="20"/>
          <w:lang w:val="es-ES"/>
        </w:rPr>
      </w:pPr>
    </w:p>
    <w:p w14:paraId="6D88EC86" w14:textId="73F7622E" w:rsidR="001161A5" w:rsidRPr="00672AC2" w:rsidRDefault="001161A5" w:rsidP="00A9340B">
      <w:pPr>
        <w:ind w:firstLine="720"/>
        <w:jc w:val="both"/>
        <w:rPr>
          <w:sz w:val="20"/>
          <w:szCs w:val="20"/>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38E6B1A3" w14:textId="77777777" w:rsidR="001161A5" w:rsidRPr="00672AC2" w:rsidRDefault="001161A5" w:rsidP="001161A5">
      <w:pPr>
        <w:ind w:firstLine="360"/>
        <w:jc w:val="both"/>
        <w:rPr>
          <w:sz w:val="20"/>
          <w:szCs w:val="20"/>
          <w:lang w:val="es-US"/>
        </w:rPr>
      </w:pPr>
    </w:p>
    <w:p w14:paraId="503E5B1E" w14:textId="447155DF" w:rsidR="00324500" w:rsidRPr="00A9340B" w:rsidRDefault="001161A5" w:rsidP="00A9340B">
      <w:pPr>
        <w:pStyle w:val="IAPrrafo"/>
        <w:rPr>
          <w:szCs w:val="20"/>
          <w:lang w:val="es-CO" w:eastAsia="es-US"/>
        </w:rPr>
      </w:pPr>
      <w:r w:rsidRPr="00672AC2">
        <w:rPr>
          <w:szCs w:val="20"/>
          <w:lang w:eastAsia="es-US"/>
        </w:rPr>
        <w:t xml:space="preserve">La Comisión </w:t>
      </w:r>
      <w:r w:rsidR="00542E97" w:rsidRPr="00672AC2">
        <w:rPr>
          <w:szCs w:val="20"/>
          <w:lang w:eastAsia="es-US"/>
        </w:rPr>
        <w:t xml:space="preserve">entiende </w:t>
      </w:r>
      <w:r w:rsidRPr="00672AC2">
        <w:rPr>
          <w:szCs w:val="20"/>
          <w:lang w:eastAsia="es-US"/>
        </w:rPr>
        <w:t xml:space="preserve">importante para </w:t>
      </w:r>
      <w:r w:rsidRPr="00672AC2">
        <w:rPr>
          <w:szCs w:val="20"/>
          <w:lang w:val="es-US"/>
        </w:rPr>
        <w:t xml:space="preserve">el avance en el cumplimiento de esta recomendación que se pueda avanzar en la </w:t>
      </w:r>
      <w:r w:rsidR="00881138" w:rsidRPr="00672AC2">
        <w:rPr>
          <w:szCs w:val="20"/>
          <w:lang w:val="es-US"/>
        </w:rPr>
        <w:t xml:space="preserve">adopción y fortalecimiento de un marco normativo que incluya la adopción de protocolos que respondan a las necesidades de los periodistas, comunicadores y trabajadores de los medios de comunicación frente a las persecuciones, </w:t>
      </w:r>
      <w:r w:rsidR="00881138" w:rsidRPr="00672AC2">
        <w:rPr>
          <w:rFonts w:eastAsia="Cambria" w:cs="Cambria"/>
          <w:color w:val="000000" w:themeColor="text1"/>
          <w:szCs w:val="20"/>
          <w:lang w:val="es-CO"/>
        </w:rPr>
        <w:t>detenciones, intimidaciones, hostigamientos, agresiones de cualquier tipo; así como cesar acciones estatales que intervengan con el libre funcionamiento de los medios de comunicación.</w:t>
      </w:r>
    </w:p>
    <w:tbl>
      <w:tblPr>
        <w:tblStyle w:val="TableGrid"/>
        <w:tblW w:w="0" w:type="auto"/>
        <w:tblLook w:val="04A0" w:firstRow="1" w:lastRow="0" w:firstColumn="1" w:lastColumn="0" w:noHBand="0" w:noVBand="1"/>
      </w:tblPr>
      <w:tblGrid>
        <w:gridCol w:w="9350"/>
      </w:tblGrid>
      <w:tr w:rsidR="001161A5" w:rsidRPr="00F51AED" w14:paraId="64B20DE8" w14:textId="77777777" w:rsidTr="00A323C0">
        <w:tc>
          <w:tcPr>
            <w:tcW w:w="9350" w:type="dxa"/>
            <w:tcBorders>
              <w:top w:val="nil"/>
              <w:left w:val="nil"/>
              <w:bottom w:val="nil"/>
              <w:right w:val="nil"/>
            </w:tcBorders>
            <w:shd w:val="clear" w:color="auto" w:fill="D9D9D9" w:themeFill="background1" w:themeFillShade="D9"/>
          </w:tcPr>
          <w:p w14:paraId="797A523E" w14:textId="196C0553" w:rsidR="001161A5" w:rsidRPr="00672AC2" w:rsidRDefault="00A9340B" w:rsidP="00E83710">
            <w:pPr>
              <w:pStyle w:val="IAPrrafo"/>
              <w:numPr>
                <w:ilvl w:val="0"/>
                <w:numId w:val="0"/>
              </w:numPr>
            </w:pPr>
            <w:r>
              <w:rPr>
                <w:b/>
                <w:bCs/>
              </w:rPr>
              <w:t>R</w:t>
            </w:r>
            <w:r w:rsidR="001161A5" w:rsidRPr="00672AC2">
              <w:rPr>
                <w:b/>
                <w:bCs/>
              </w:rPr>
              <w:t xml:space="preserve">ecomendación </w:t>
            </w:r>
            <w:proofErr w:type="spellStart"/>
            <w:r w:rsidR="002137DD" w:rsidRPr="00672AC2">
              <w:rPr>
                <w:b/>
                <w:bCs/>
              </w:rPr>
              <w:t>Nº</w:t>
            </w:r>
            <w:proofErr w:type="spellEnd"/>
            <w:r w:rsidR="001161A5" w:rsidRPr="00672AC2">
              <w:rPr>
                <w:b/>
                <w:bCs/>
              </w:rPr>
              <w:t xml:space="preserve"> 35. </w:t>
            </w:r>
            <w:r w:rsidR="001161A5" w:rsidRPr="00672AC2">
              <w:t>Realizar campañas y otras medidas de incidencia en la cultura institucional sobre el deber de las y los funcionarios de abstenerse de estigmatizar y obstaculizar la labor de las personas defensoras de derechos humanos y periodistas, como así también la importancia de que reconozcan públicamente el rol de su labor en contextos de protestas sociales.</w:t>
            </w:r>
          </w:p>
        </w:tc>
      </w:tr>
    </w:tbl>
    <w:p w14:paraId="5D843346" w14:textId="77777777" w:rsidR="00ED5E6C" w:rsidRPr="00672AC2" w:rsidRDefault="00ED5E6C" w:rsidP="001161A5">
      <w:pPr>
        <w:shd w:val="clear" w:color="auto" w:fill="FFFFFF" w:themeFill="background1"/>
        <w:jc w:val="both"/>
        <w:rPr>
          <w:sz w:val="20"/>
          <w:szCs w:val="20"/>
          <w:lang w:val="es-US"/>
        </w:rPr>
      </w:pPr>
    </w:p>
    <w:p w14:paraId="44B280DD" w14:textId="24A72972" w:rsidR="001161A5" w:rsidRPr="00672AC2" w:rsidRDefault="001161A5" w:rsidP="00A9340B">
      <w:pPr>
        <w:pBdr>
          <w:top w:val="nil"/>
          <w:left w:val="nil"/>
          <w:bottom w:val="nil"/>
          <w:right w:val="nil"/>
          <w:between w:val="nil"/>
        </w:pBdr>
        <w:ind w:firstLine="720"/>
        <w:jc w:val="both"/>
        <w:rPr>
          <w:sz w:val="20"/>
          <w:szCs w:val="20"/>
        </w:rPr>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0F0670C9" w14:textId="77777777" w:rsidR="001161A5" w:rsidRPr="00672AC2" w:rsidRDefault="001161A5" w:rsidP="001161A5">
      <w:pPr>
        <w:shd w:val="clear" w:color="auto" w:fill="FFFFFF" w:themeFill="background1"/>
        <w:jc w:val="both"/>
        <w:rPr>
          <w:rFonts w:cs="Calibri"/>
          <w:b/>
          <w:bCs/>
          <w:sz w:val="20"/>
          <w:szCs w:val="20"/>
          <w:lang w:val="es-419"/>
        </w:rPr>
      </w:pPr>
    </w:p>
    <w:p w14:paraId="7183F4B6" w14:textId="261EB103" w:rsidR="001161A5" w:rsidRPr="00A9340B" w:rsidRDefault="001161A5" w:rsidP="00A9340B">
      <w:pPr>
        <w:pStyle w:val="IAPrrafo"/>
        <w:rPr>
          <w:szCs w:val="20"/>
          <w:lang w:val="es-CO" w:eastAsia="es-US"/>
        </w:rPr>
      </w:pPr>
      <w:r w:rsidRPr="00672AC2">
        <w:rPr>
          <w:szCs w:val="20"/>
          <w:lang w:eastAsia="es-US"/>
        </w:rPr>
        <w:t>En el año 2024, el Estado informó de la realización de diversos talleres</w:t>
      </w:r>
      <w:r w:rsidR="00F36B41">
        <w:rPr>
          <w:rFonts w:ascii="ZWAdobeF" w:hAnsi="ZWAdobeF" w:cs="ZWAdobeF"/>
          <w:color w:val="auto"/>
          <w:sz w:val="2"/>
          <w:szCs w:val="2"/>
          <w:lang w:eastAsia="es-US"/>
        </w:rPr>
        <w:t>158F</w:t>
      </w:r>
      <w:r w:rsidRPr="00672AC2">
        <w:rPr>
          <w:rStyle w:val="FootnoteReference"/>
          <w:szCs w:val="20"/>
          <w:lang w:eastAsia="es-US"/>
        </w:rPr>
        <w:footnoteReference w:id="160"/>
      </w:r>
      <w:r w:rsidRPr="00672AC2">
        <w:rPr>
          <w:szCs w:val="20"/>
          <w:lang w:eastAsia="es-US"/>
        </w:rPr>
        <w:t xml:space="preserve"> sobre el funcionamiento del Mecanismo Intersectorial para la protección de las personas defensoras de derechos humanos dirigidos a policías, jueces y fiscales. Entre las temáticas que se abordaron en los talleres se encuentran el rol de los trabajadores de la prensa, y el derecho a la libertad de expresión y opinión. Asimismo, el Estado </w:t>
      </w:r>
      <w:r w:rsidR="005E228B" w:rsidRPr="00672AC2">
        <w:rPr>
          <w:szCs w:val="20"/>
          <w:lang w:eastAsia="es-US"/>
        </w:rPr>
        <w:t>informó sobre</w:t>
      </w:r>
      <w:r w:rsidRPr="00672AC2">
        <w:rPr>
          <w:szCs w:val="20"/>
          <w:lang w:eastAsia="es-US"/>
        </w:rPr>
        <w:t xml:space="preserve"> espacios de diálogo con periodistas nacionales y especialistas internacionales en materia de libertad de expresión. Además, el Estado </w:t>
      </w:r>
      <w:r w:rsidR="00683E6A" w:rsidRPr="00672AC2">
        <w:rPr>
          <w:szCs w:val="20"/>
          <w:lang w:eastAsia="es-US"/>
        </w:rPr>
        <w:t>res</w:t>
      </w:r>
      <w:r w:rsidR="004E3576" w:rsidRPr="00672AC2">
        <w:rPr>
          <w:szCs w:val="20"/>
          <w:lang w:eastAsia="es-US"/>
        </w:rPr>
        <w:t>altó</w:t>
      </w:r>
      <w:r w:rsidRPr="00672AC2">
        <w:rPr>
          <w:szCs w:val="20"/>
          <w:lang w:eastAsia="es-US"/>
        </w:rPr>
        <w:t xml:space="preserve"> la organización de actos de conmemoración a tres lideresas indígenas defensoras de derechos humanos, concediéndoles el reconocimiento como “personalidad meritoria de la Cultura”.</w:t>
      </w:r>
    </w:p>
    <w:p w14:paraId="095ECEAA" w14:textId="02797C43" w:rsidR="001161A5" w:rsidRPr="00A9340B" w:rsidRDefault="001161A5" w:rsidP="001161A5">
      <w:pPr>
        <w:pStyle w:val="IAPrrafo"/>
        <w:rPr>
          <w:szCs w:val="20"/>
          <w:lang w:val="es-CO" w:eastAsia="es-US"/>
        </w:rPr>
      </w:pPr>
      <w:r w:rsidRPr="00672AC2">
        <w:rPr>
          <w:szCs w:val="20"/>
          <w:lang w:val="es-CO" w:eastAsia="es-US"/>
        </w:rPr>
        <w:t xml:space="preserve">Asimismo, el Estado </w:t>
      </w:r>
      <w:r w:rsidR="004E3576" w:rsidRPr="00672AC2">
        <w:rPr>
          <w:szCs w:val="20"/>
          <w:lang w:val="es-CO" w:eastAsia="es-US"/>
        </w:rPr>
        <w:t xml:space="preserve">transmitió </w:t>
      </w:r>
      <w:r w:rsidRPr="00672AC2">
        <w:rPr>
          <w:szCs w:val="20"/>
          <w:lang w:val="es-CO" w:eastAsia="es-US"/>
        </w:rPr>
        <w:t>la aprobación de la Política Nacional Multisectorial de Derechos Humanos en el 2024</w:t>
      </w:r>
      <w:r w:rsidR="00F36B41">
        <w:rPr>
          <w:rFonts w:ascii="ZWAdobeF" w:hAnsi="ZWAdobeF" w:cs="ZWAdobeF"/>
          <w:color w:val="auto"/>
          <w:sz w:val="2"/>
          <w:szCs w:val="2"/>
          <w:lang w:val="es-CO" w:eastAsia="es-US"/>
        </w:rPr>
        <w:t>159F</w:t>
      </w:r>
      <w:r w:rsidRPr="00672AC2">
        <w:rPr>
          <w:rStyle w:val="FootnoteReference"/>
          <w:szCs w:val="20"/>
          <w:lang w:val="es-CO" w:eastAsia="es-US"/>
        </w:rPr>
        <w:footnoteReference w:id="161"/>
      </w:r>
      <w:r w:rsidRPr="00672AC2">
        <w:rPr>
          <w:szCs w:val="20"/>
          <w:lang w:val="es-CO" w:eastAsia="es-US"/>
        </w:rPr>
        <w:t>, la cual establece un “servicio de formación en materia de prevención y protección para personas defensoras de derechos humanos con pertinencia cultural dirigido a organizaciones de sociedad civil y de pueblos indígenas u originarios y del pueblo afroperuano, funcionarios y servidores públicos”.</w:t>
      </w:r>
    </w:p>
    <w:p w14:paraId="2FC0141B" w14:textId="1B66263E" w:rsidR="001161A5" w:rsidRPr="00A9340B" w:rsidRDefault="001161A5" w:rsidP="001161A5">
      <w:pPr>
        <w:pStyle w:val="IAPrrafo"/>
        <w:rPr>
          <w:szCs w:val="20"/>
          <w:lang w:val="es-CO" w:eastAsia="es-US"/>
        </w:rPr>
      </w:pPr>
      <w:r w:rsidRPr="00672AC2">
        <w:rPr>
          <w:szCs w:val="20"/>
          <w:lang w:val="es-CO" w:eastAsia="es-US"/>
        </w:rPr>
        <w:t>Por su parte, sociedad civil indicó que el Mecanismo Intersectorial se estaría enfocando principalmente en las amenazas provenientes de las actividades ilegales, excluyendo otros contextos como los casos relacionados a la protesta social y su criminalización.</w:t>
      </w:r>
    </w:p>
    <w:p w14:paraId="2953A891" w14:textId="4FED33F2" w:rsidR="001161A5" w:rsidRPr="00A9340B" w:rsidRDefault="001161A5" w:rsidP="00A9340B">
      <w:pPr>
        <w:pStyle w:val="IAPrrafo"/>
        <w:rPr>
          <w:szCs w:val="20"/>
          <w:lang w:val="es-CO" w:eastAsia="es-US"/>
        </w:rPr>
      </w:pPr>
      <w:r w:rsidRPr="00672AC2">
        <w:rPr>
          <w:szCs w:val="20"/>
          <w:lang w:val="es-CO"/>
        </w:rPr>
        <w:t xml:space="preserve">Asimismo, en 2024, la Comisión y su RELE recibieron diversos informes sobre presuntos casos de persecución judicial contra personas defensoras de derechos humanos en contexto de protestas sociales, así como de periodistas y trabajadores de la prensa. También se </w:t>
      </w:r>
      <w:r w:rsidR="00E534BD" w:rsidRPr="00672AC2">
        <w:rPr>
          <w:szCs w:val="20"/>
          <w:lang w:val="es-CO"/>
        </w:rPr>
        <w:t xml:space="preserve">refirieron </w:t>
      </w:r>
      <w:r w:rsidRPr="00672AC2">
        <w:rPr>
          <w:szCs w:val="20"/>
          <w:lang w:val="es-CO"/>
        </w:rPr>
        <w:t>presuntos obstáculos a la cobertura periodística, restricciones al acceso a la información y declaraciones estigmatizantes por parte de funcionarios del Estado contra la prensa</w:t>
      </w:r>
      <w:r w:rsidR="00F36B41">
        <w:rPr>
          <w:rFonts w:ascii="ZWAdobeF" w:hAnsi="ZWAdobeF" w:cs="ZWAdobeF"/>
          <w:color w:val="auto"/>
          <w:sz w:val="2"/>
          <w:szCs w:val="2"/>
          <w:lang w:val="es-CO"/>
        </w:rPr>
        <w:t>160F</w:t>
      </w:r>
      <w:r w:rsidRPr="00672AC2">
        <w:rPr>
          <w:rStyle w:val="FootnoteReference"/>
          <w:lang w:val="es-CO"/>
        </w:rPr>
        <w:footnoteReference w:id="162"/>
      </w:r>
      <w:r w:rsidRPr="00672AC2">
        <w:rPr>
          <w:szCs w:val="20"/>
          <w:lang w:val="es-CO"/>
        </w:rPr>
        <w:t xml:space="preserve">. En este marco, se </w:t>
      </w:r>
      <w:r w:rsidR="005E228B" w:rsidRPr="00672AC2">
        <w:rPr>
          <w:szCs w:val="20"/>
          <w:lang w:val="es-CO"/>
        </w:rPr>
        <w:t>tomó conocimiento de</w:t>
      </w:r>
      <w:r w:rsidRPr="00672AC2">
        <w:rPr>
          <w:szCs w:val="20"/>
          <w:lang w:val="es-CO"/>
        </w:rPr>
        <w:t xml:space="preserve"> la decisión del Tribunal Constitucional del Perú, que instruyó a la Presidencia a responder a las recomendaciones emitidas por la Defensoría del Pueblo, con el objetivo de garantizar el libre ejercicio del periodismo</w:t>
      </w:r>
      <w:r w:rsidR="00F36B41">
        <w:rPr>
          <w:rFonts w:ascii="ZWAdobeF" w:hAnsi="ZWAdobeF" w:cs="ZWAdobeF"/>
          <w:color w:val="auto"/>
          <w:sz w:val="2"/>
          <w:szCs w:val="2"/>
          <w:lang w:val="es-CO"/>
        </w:rPr>
        <w:t>161F</w:t>
      </w:r>
      <w:r w:rsidRPr="00672AC2">
        <w:rPr>
          <w:rStyle w:val="FootnoteReference"/>
          <w:szCs w:val="20"/>
          <w:lang w:val="es-ES_tradnl"/>
        </w:rPr>
        <w:footnoteReference w:id="163"/>
      </w:r>
      <w:r w:rsidRPr="00672AC2">
        <w:rPr>
          <w:szCs w:val="20"/>
          <w:lang w:val="es-CO"/>
        </w:rPr>
        <w:t xml:space="preserve">. Además, se </w:t>
      </w:r>
      <w:r w:rsidR="005E228B" w:rsidRPr="00672AC2">
        <w:rPr>
          <w:szCs w:val="20"/>
          <w:lang w:val="es-CO"/>
        </w:rPr>
        <w:t>reportó</w:t>
      </w:r>
      <w:r w:rsidRPr="00672AC2">
        <w:rPr>
          <w:szCs w:val="20"/>
          <w:lang w:val="es-CO"/>
        </w:rPr>
        <w:t xml:space="preserve"> sobre la implementación de esquemas de seguridad en eventos oficiales, que incluyeron la instalación de perímetros y barreras, lo que habría limitado el acceso de las y los periodistas y su capacidad para formular preguntas durante la cobertura</w:t>
      </w:r>
      <w:r w:rsidR="00F36B41">
        <w:rPr>
          <w:rFonts w:ascii="ZWAdobeF" w:hAnsi="ZWAdobeF" w:cs="ZWAdobeF"/>
          <w:color w:val="auto"/>
          <w:sz w:val="2"/>
          <w:szCs w:val="2"/>
          <w:lang w:val="es-CO"/>
        </w:rPr>
        <w:t>162F</w:t>
      </w:r>
      <w:r w:rsidRPr="00672AC2">
        <w:rPr>
          <w:rStyle w:val="FootnoteReference"/>
          <w:szCs w:val="20"/>
          <w:lang w:val="es-ES_tradnl"/>
        </w:rPr>
        <w:footnoteReference w:id="164"/>
      </w:r>
      <w:r w:rsidRPr="00672AC2">
        <w:rPr>
          <w:szCs w:val="20"/>
          <w:lang w:val="es-CO"/>
        </w:rPr>
        <w:t>.</w:t>
      </w:r>
    </w:p>
    <w:p w14:paraId="09768D15" w14:textId="77777777" w:rsidR="001161A5" w:rsidRPr="00672AC2" w:rsidRDefault="001161A5" w:rsidP="00A9340B">
      <w:pPr>
        <w:ind w:firstLine="720"/>
        <w:jc w:val="both"/>
        <w:rPr>
          <w:sz w:val="20"/>
          <w:szCs w:val="20"/>
          <w:lang w:val="es-CO"/>
        </w:rPr>
      </w:pPr>
      <w:r w:rsidRPr="00672AC2">
        <w:rPr>
          <w:rFonts w:eastAsia="Cambria" w:cs="Cambria"/>
          <w:i/>
          <w:iCs/>
          <w:color w:val="000000" w:themeColor="text1"/>
          <w:sz w:val="20"/>
          <w:szCs w:val="20"/>
          <w:lang w:val="es-ES"/>
        </w:rPr>
        <w:t>Análisis y nivel de cumplimiento de la recomendación</w:t>
      </w:r>
    </w:p>
    <w:p w14:paraId="240F2045" w14:textId="77777777" w:rsidR="001161A5" w:rsidRPr="00672AC2" w:rsidRDefault="001161A5" w:rsidP="001161A5">
      <w:pPr>
        <w:ind w:firstLine="360"/>
        <w:jc w:val="both"/>
        <w:rPr>
          <w:rFonts w:eastAsia="Cambria" w:cs="Cambria"/>
          <w:i/>
          <w:iCs/>
          <w:color w:val="000000" w:themeColor="text1"/>
          <w:sz w:val="20"/>
          <w:szCs w:val="20"/>
          <w:lang w:val="es-ES"/>
        </w:rPr>
      </w:pPr>
    </w:p>
    <w:p w14:paraId="3928E069" w14:textId="59EEB23D" w:rsidR="001161A5" w:rsidRPr="00A9340B" w:rsidRDefault="452B01BB" w:rsidP="00A9340B">
      <w:pPr>
        <w:pStyle w:val="IAPrrafo"/>
        <w:rPr>
          <w:szCs w:val="20"/>
          <w:lang w:val="es-CO" w:eastAsia="es-US"/>
        </w:rPr>
      </w:pPr>
      <w:r w:rsidRPr="00672AC2">
        <w:rPr>
          <w:szCs w:val="20"/>
          <w:lang w:val="es-US"/>
        </w:rPr>
        <w:t>La CIDH agradece la información proporcionada y resalta la organización de espacios para el fortalecimiento de capacidades y de diálogo con personas de la prensa y personas defensoras de derechos humanos. Asimismo, toma nota de la preocupación por parte de sociedad civil en relación con la protección de estos actores en el marco de los contextos de protesta social, lo que constituye uno de los contextos donde ocurren situaciones de mayor vulnerabilidad. En ese sentido, la CIDH recuerda que los contextos de protesta social y su criminalización son uno de los obstáculos que enfrentan las personas defensoras de derechos humanos</w:t>
      </w:r>
      <w:r w:rsidR="00F36B41">
        <w:rPr>
          <w:rFonts w:ascii="ZWAdobeF" w:hAnsi="ZWAdobeF" w:cs="ZWAdobeF"/>
          <w:color w:val="auto"/>
          <w:sz w:val="2"/>
          <w:szCs w:val="2"/>
          <w:lang w:val="es-US"/>
        </w:rPr>
        <w:t>163F</w:t>
      </w:r>
      <w:r w:rsidR="001161A5" w:rsidRPr="00672AC2">
        <w:rPr>
          <w:rStyle w:val="FootnoteReference"/>
          <w:szCs w:val="20"/>
          <w:lang w:val="es-US"/>
        </w:rPr>
        <w:footnoteReference w:id="165"/>
      </w:r>
      <w:r w:rsidRPr="00672AC2">
        <w:rPr>
          <w:szCs w:val="20"/>
          <w:lang w:val="es-US"/>
        </w:rPr>
        <w:t xml:space="preserve">, por lo que es fundamental valorar y comprender el rol y los riesgos que sufren las personas periodistas y defensoras de derechos humanos en el marco de las protestas sociales. La Comisión también toma nota de los numerosos informes recibidos en 2024, tanto de organizaciones de la sociedad civil como de periodistas, que señalan la persistencia de declaraciones estigmatizantes, incluso por parte de funcionarios del Estado, y de presuntos obstáculos al ejercicio de la labor de las y los periodistas y defensores de derechos humanos. Por ello, la CIDH </w:t>
      </w:r>
      <w:r w:rsidR="7F0A0722" w:rsidRPr="00672AC2">
        <w:rPr>
          <w:szCs w:val="20"/>
          <w:lang w:val="es-US"/>
        </w:rPr>
        <w:t>sostiene</w:t>
      </w:r>
      <w:r w:rsidRPr="00672AC2">
        <w:rPr>
          <w:szCs w:val="20"/>
          <w:lang w:val="es-US"/>
        </w:rPr>
        <w:t xml:space="preserve"> que esta recomendación </w:t>
      </w:r>
      <w:r w:rsidRPr="00672AC2">
        <w:rPr>
          <w:rFonts w:eastAsia="Cambria" w:cs="Cambria"/>
          <w:color w:val="000000" w:themeColor="text1"/>
          <w:szCs w:val="20"/>
          <w:lang w:val="es-CO"/>
        </w:rPr>
        <w:t xml:space="preserve">se encuentra </w:t>
      </w:r>
      <w:r w:rsidRPr="00672AC2">
        <w:rPr>
          <w:rFonts w:eastAsia="Cambria" w:cs="Cambria"/>
          <w:b/>
          <w:bCs/>
          <w:color w:val="000000" w:themeColor="text1"/>
          <w:szCs w:val="20"/>
          <w:lang w:val="es-CO"/>
        </w:rPr>
        <w:t>pendiente de cumplimiento</w:t>
      </w:r>
      <w:r w:rsidRPr="00672AC2">
        <w:rPr>
          <w:rFonts w:eastAsia="Cambria" w:cs="Cambria"/>
          <w:color w:val="000000" w:themeColor="text1"/>
          <w:szCs w:val="20"/>
          <w:lang w:val="es-CO"/>
        </w:rPr>
        <w:t>.</w:t>
      </w:r>
    </w:p>
    <w:p w14:paraId="7035E473" w14:textId="1A06EBBF" w:rsidR="001161A5" w:rsidRPr="00672AC2" w:rsidRDefault="001161A5" w:rsidP="00A9340B">
      <w:pPr>
        <w:ind w:firstLine="720"/>
        <w:jc w:val="both"/>
        <w:rPr>
          <w:sz w:val="20"/>
          <w:szCs w:val="20"/>
          <w:lang w:val="es-CO"/>
        </w:rPr>
      </w:pP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5E89F47B" w14:textId="77777777" w:rsidR="001161A5" w:rsidRPr="00672AC2" w:rsidRDefault="001161A5" w:rsidP="001161A5">
      <w:pPr>
        <w:ind w:firstLine="360"/>
        <w:jc w:val="both"/>
        <w:rPr>
          <w:sz w:val="20"/>
          <w:szCs w:val="20"/>
          <w:lang w:val="es-US"/>
        </w:rPr>
      </w:pPr>
    </w:p>
    <w:p w14:paraId="3A5A9A13" w14:textId="4E79A7DB" w:rsidR="001161A5" w:rsidRPr="0090660F" w:rsidRDefault="00372E54" w:rsidP="0090660F">
      <w:pPr>
        <w:pStyle w:val="IAPrrafo"/>
        <w:rPr>
          <w:szCs w:val="20"/>
          <w:lang w:val="es-US" w:eastAsia="es-US"/>
        </w:rPr>
      </w:pPr>
      <w:r w:rsidRPr="00672AC2">
        <w:rPr>
          <w:szCs w:val="20"/>
          <w:lang w:val="es-US"/>
        </w:rPr>
        <w:t>Para l</w:t>
      </w:r>
      <w:r w:rsidR="001161A5" w:rsidRPr="00672AC2">
        <w:rPr>
          <w:szCs w:val="20"/>
          <w:lang w:val="es-US"/>
        </w:rPr>
        <w:t>a CIDH</w:t>
      </w:r>
      <w:r w:rsidRPr="00672AC2">
        <w:rPr>
          <w:szCs w:val="20"/>
          <w:lang w:val="es-US"/>
        </w:rPr>
        <w:t xml:space="preserve">, a fin de evaluar </w:t>
      </w:r>
      <w:r w:rsidR="001161A5" w:rsidRPr="00672AC2">
        <w:rPr>
          <w:szCs w:val="20"/>
          <w:lang w:val="es-US"/>
        </w:rPr>
        <w:t>el avance del cumplimiento de esta recomendación</w:t>
      </w:r>
      <w:r w:rsidRPr="00672AC2">
        <w:rPr>
          <w:szCs w:val="20"/>
          <w:lang w:val="es-US"/>
        </w:rPr>
        <w:t xml:space="preserve">, es </w:t>
      </w:r>
      <w:r w:rsidR="00904C08" w:rsidRPr="00672AC2">
        <w:rPr>
          <w:szCs w:val="20"/>
          <w:lang w:val="es-US"/>
        </w:rPr>
        <w:t>importante</w:t>
      </w:r>
      <w:r w:rsidR="001161A5" w:rsidRPr="00672AC2">
        <w:rPr>
          <w:szCs w:val="20"/>
          <w:lang w:val="es-US"/>
        </w:rPr>
        <w:t xml:space="preserve"> que se fortalezca y especifique, en las campañas y otras medidas de incidencia institucional, el rol que las personas defensoras de derechos humanos y las personas periodistas cumplen en los contextos de protesta social, de manera que se puedan evitar futuras vulneraciones en el ejercicio de sus derechos. De esa manera, el Estado debe fomentar el uso de los mecanismos de protección existentes a favor de estos grupos, e incidir en la valoración del rol que cumplen en dichos contextos.</w:t>
      </w:r>
    </w:p>
    <w:p w14:paraId="40D5A916" w14:textId="77777777" w:rsidR="001161A5" w:rsidRPr="00672AC2" w:rsidRDefault="452B01BB" w:rsidP="001161A5">
      <w:pPr>
        <w:pStyle w:val="IASubttulo2"/>
        <w:rPr>
          <w:sz w:val="20"/>
          <w:szCs w:val="20"/>
          <w:lang w:val="es-CO"/>
        </w:rPr>
      </w:pPr>
      <w:bookmarkStart w:id="35" w:name="_Toc195618300"/>
      <w:r w:rsidRPr="24019998">
        <w:rPr>
          <w:sz w:val="20"/>
          <w:szCs w:val="20"/>
          <w:lang w:val="es-CO"/>
        </w:rPr>
        <w:t>Otras</w:t>
      </w:r>
      <w:bookmarkEnd w:id="35"/>
    </w:p>
    <w:tbl>
      <w:tblPr>
        <w:tblStyle w:val="TableGrid"/>
        <w:tblW w:w="0" w:type="auto"/>
        <w:tblLook w:val="04A0" w:firstRow="1" w:lastRow="0" w:firstColumn="1" w:lastColumn="0" w:noHBand="0" w:noVBand="1"/>
      </w:tblPr>
      <w:tblGrid>
        <w:gridCol w:w="9350"/>
      </w:tblGrid>
      <w:tr w:rsidR="001161A5" w:rsidRPr="00F51AED" w14:paraId="4B390B37" w14:textId="77777777" w:rsidTr="00A323C0">
        <w:tc>
          <w:tcPr>
            <w:tcW w:w="9350" w:type="dxa"/>
            <w:tcBorders>
              <w:top w:val="nil"/>
              <w:left w:val="nil"/>
              <w:bottom w:val="nil"/>
              <w:right w:val="nil"/>
            </w:tcBorders>
            <w:shd w:val="clear" w:color="auto" w:fill="D9D9D9" w:themeFill="background1" w:themeFillShade="D9"/>
          </w:tcPr>
          <w:p w14:paraId="72F20F12" w14:textId="1EEDB0DF" w:rsidR="001161A5" w:rsidRPr="0090660F" w:rsidRDefault="001161A5" w:rsidP="00A323C0">
            <w:pPr>
              <w:jc w:val="both"/>
              <w:rPr>
                <w:sz w:val="20"/>
                <w:szCs w:val="20"/>
                <w:lang w:val="es-CO"/>
              </w:rPr>
            </w:pPr>
            <w:r w:rsidRPr="00672AC2">
              <w:rPr>
                <w:b/>
                <w:bCs/>
                <w:sz w:val="20"/>
                <w:szCs w:val="20"/>
                <w:lang w:val="es-MX"/>
              </w:rPr>
              <w:t xml:space="preserve">Recomendación </w:t>
            </w:r>
            <w:proofErr w:type="spellStart"/>
            <w:r w:rsidR="002137DD" w:rsidRPr="00672AC2">
              <w:rPr>
                <w:b/>
                <w:bCs/>
                <w:sz w:val="20"/>
                <w:szCs w:val="20"/>
                <w:lang w:val="es-MX"/>
              </w:rPr>
              <w:t>Nº</w:t>
            </w:r>
            <w:proofErr w:type="spellEnd"/>
            <w:r w:rsidRPr="00672AC2">
              <w:rPr>
                <w:b/>
                <w:bCs/>
                <w:sz w:val="20"/>
                <w:szCs w:val="20"/>
                <w:lang w:val="es-MX"/>
              </w:rPr>
              <w:t xml:space="preserve"> 36. </w:t>
            </w:r>
            <w:r w:rsidRPr="00672AC2">
              <w:rPr>
                <w:sz w:val="20"/>
                <w:szCs w:val="20"/>
                <w:lang w:val="es-CO"/>
              </w:rPr>
              <w:t>Adoptar las disposiciones necesarias para garantizar la vida, integridad personal y seguridad de todas y cada una de las personas que dialogaron y testificaron ante la Comisión Interamericana en sus visitas. Asimismo, abstenerse de tomar represalias y/o de permitir que estas sean tomadas por terceros en su contra.</w:t>
            </w:r>
          </w:p>
        </w:tc>
      </w:tr>
    </w:tbl>
    <w:p w14:paraId="6670298D" w14:textId="77777777" w:rsidR="001161A5" w:rsidRPr="00672AC2" w:rsidRDefault="001161A5" w:rsidP="001161A5">
      <w:pPr>
        <w:shd w:val="clear" w:color="auto" w:fill="FFFFFF" w:themeFill="background1"/>
        <w:jc w:val="both"/>
        <w:rPr>
          <w:sz w:val="20"/>
          <w:szCs w:val="20"/>
          <w:lang w:val="es-US"/>
        </w:rPr>
      </w:pPr>
    </w:p>
    <w:p w14:paraId="6EBC663D" w14:textId="77777777" w:rsidR="000D63BC" w:rsidRDefault="000D63BC" w:rsidP="0090660F">
      <w:pPr>
        <w:pBdr>
          <w:top w:val="nil"/>
          <w:left w:val="nil"/>
          <w:bottom w:val="nil"/>
          <w:right w:val="nil"/>
          <w:between w:val="nil"/>
        </w:pBdr>
        <w:ind w:firstLine="720"/>
        <w:jc w:val="both"/>
        <w:rPr>
          <w:rFonts w:eastAsia="Cambria" w:cs="Cambria"/>
          <w:i/>
          <w:iCs/>
          <w:color w:val="000000" w:themeColor="text1"/>
          <w:sz w:val="20"/>
          <w:szCs w:val="20"/>
          <w:lang w:val="es-ES"/>
        </w:rPr>
      </w:pPr>
    </w:p>
    <w:p w14:paraId="77F6E7A0" w14:textId="7A2168BF" w:rsidR="001161A5" w:rsidRPr="00672AC2" w:rsidRDefault="001161A5" w:rsidP="0090660F">
      <w:pPr>
        <w:pBdr>
          <w:top w:val="nil"/>
          <w:left w:val="nil"/>
          <w:bottom w:val="nil"/>
          <w:right w:val="nil"/>
          <w:between w:val="nil"/>
        </w:pBdr>
        <w:ind w:firstLine="720"/>
        <w:jc w:val="both"/>
        <w:rPr>
          <w:sz w:val="20"/>
          <w:szCs w:val="20"/>
        </w:rPr>
      </w:pPr>
      <w:r w:rsidRPr="00672AC2">
        <w:rPr>
          <w:rFonts w:eastAsia="Cambria" w:cs="Cambria"/>
          <w:i/>
          <w:iCs/>
          <w:color w:val="000000" w:themeColor="text1"/>
          <w:sz w:val="20"/>
          <w:szCs w:val="20"/>
          <w:lang w:val="es-ES"/>
        </w:rPr>
        <w:t>Información sobre el cumplimiento</w:t>
      </w:r>
      <w:r w:rsidR="001E5003" w:rsidRPr="00672AC2">
        <w:rPr>
          <w:rFonts w:eastAsia="Cambria" w:cs="Cambria"/>
          <w:i/>
          <w:iCs/>
          <w:color w:val="000000" w:themeColor="text1"/>
          <w:sz w:val="20"/>
          <w:szCs w:val="20"/>
          <w:lang w:val="es-ES"/>
        </w:rPr>
        <w:t xml:space="preserve"> </w:t>
      </w:r>
    </w:p>
    <w:p w14:paraId="5620EA6C" w14:textId="77777777" w:rsidR="001161A5" w:rsidRPr="00672AC2" w:rsidRDefault="001161A5" w:rsidP="001161A5">
      <w:pPr>
        <w:shd w:val="clear" w:color="auto" w:fill="FFFFFF" w:themeFill="background1"/>
        <w:jc w:val="both"/>
        <w:rPr>
          <w:rFonts w:cs="Calibri"/>
          <w:b/>
          <w:bCs/>
          <w:sz w:val="20"/>
          <w:szCs w:val="20"/>
          <w:lang w:val="es-419"/>
        </w:rPr>
      </w:pPr>
    </w:p>
    <w:p w14:paraId="475AA043" w14:textId="3538BA82" w:rsidR="001161A5" w:rsidRPr="0090660F" w:rsidRDefault="001161A5" w:rsidP="001161A5">
      <w:pPr>
        <w:pStyle w:val="IAPrrafo"/>
        <w:rPr>
          <w:szCs w:val="20"/>
          <w:lang w:val="es-CO" w:eastAsia="es-US"/>
        </w:rPr>
      </w:pPr>
      <w:r w:rsidRPr="00672AC2">
        <w:rPr>
          <w:szCs w:val="20"/>
          <w:lang w:val="es-US"/>
        </w:rPr>
        <w:t xml:space="preserve">Durante el año 2024, el Estado afirmó que, en el marco de las diversas investigaciones dirigidas por las Fiscalías Penales Supraprovinciales especializadas en Derechos Humanos e Interculturalidad, se ha dispuesto que las personas afectadas sean incorporadas al Programa de Protección y Asistencia a Víctimas y Testigos, gestionado por la Oficina de la Unidad Central de Protección y Asistencia a Víctimas y Testigos (OUCAVIT), e implementado por las Unidades Distritales (UDAVIT). En ese sentido, el Estado reportó que, al 9 de agosto del 2024, se han incluido a 68 agraviados a dicho Programa. </w:t>
      </w:r>
      <w:r w:rsidRPr="00672AC2">
        <w:rPr>
          <w:szCs w:val="20"/>
          <w:lang w:val="es-CO" w:eastAsia="es-US"/>
        </w:rPr>
        <w:t>Adicionalmente, el Estado informó que se han realizado 3.359 intervenciones psicológicas a favor de víctimas de las protestas sociales y sus familiares</w:t>
      </w:r>
      <w:r w:rsidR="00F36B41">
        <w:rPr>
          <w:rFonts w:ascii="ZWAdobeF" w:hAnsi="ZWAdobeF" w:cs="ZWAdobeF"/>
          <w:color w:val="auto"/>
          <w:sz w:val="2"/>
          <w:szCs w:val="2"/>
          <w:lang w:val="es-CO" w:eastAsia="es-US"/>
        </w:rPr>
        <w:t>164F</w:t>
      </w:r>
      <w:r w:rsidRPr="00672AC2">
        <w:rPr>
          <w:rStyle w:val="FootnoteReference"/>
          <w:szCs w:val="20"/>
          <w:lang w:val="es-CO" w:eastAsia="es-US"/>
        </w:rPr>
        <w:footnoteReference w:id="166"/>
      </w:r>
      <w:r w:rsidRPr="00672AC2">
        <w:rPr>
          <w:szCs w:val="20"/>
          <w:lang w:val="es-CO" w:eastAsia="es-US"/>
        </w:rPr>
        <w:t>.</w:t>
      </w:r>
    </w:p>
    <w:p w14:paraId="27F9D992" w14:textId="5C57D9BA" w:rsidR="001161A5" w:rsidRPr="0090660F" w:rsidRDefault="001161A5" w:rsidP="0090660F">
      <w:pPr>
        <w:pStyle w:val="IAPrrafo"/>
        <w:rPr>
          <w:szCs w:val="20"/>
          <w:lang w:val="es-US"/>
        </w:rPr>
      </w:pPr>
      <w:r w:rsidRPr="00672AC2">
        <w:rPr>
          <w:szCs w:val="20"/>
          <w:lang w:val="es-CO" w:eastAsia="es-US"/>
        </w:rPr>
        <w:t>Por su parte, sociedad civil expresó su preocupación por la alegada falta de medidas concretas para las personas que testificaron o dialogaron con la CIDH durante las visitas, y a través de otros medios, como las audiencias públicas. En ese sentido, señaló que se han llevado a cabo campañas de estigmatización y “</w:t>
      </w:r>
      <w:proofErr w:type="spellStart"/>
      <w:r w:rsidRPr="00672AC2">
        <w:rPr>
          <w:szCs w:val="20"/>
          <w:lang w:val="es-CO" w:eastAsia="es-US"/>
        </w:rPr>
        <w:t>terruqueo</w:t>
      </w:r>
      <w:proofErr w:type="spellEnd"/>
      <w:r w:rsidRPr="00672AC2">
        <w:rPr>
          <w:szCs w:val="20"/>
          <w:lang w:val="es-CO" w:eastAsia="es-US"/>
        </w:rPr>
        <w:t>” que, según fue expresado a la Comisión, estarían fomentadas por autoridades y grupos de sociedad civil (grupos como “La Resistencia” o “La Insurgencia”), contra defensores y defensoras de derechos humanos, tanto hacia personas víctimas de violaciones a derechos humanos durante el Conflicto Armado de 1980-2000, como contra integrantes de organizaciones de sociedad civil que trabajan por la protección de los derechos humanos (ver recomendación 30)</w:t>
      </w:r>
      <w:r w:rsidR="00F36B41">
        <w:rPr>
          <w:rFonts w:ascii="ZWAdobeF" w:hAnsi="ZWAdobeF" w:cs="ZWAdobeF"/>
          <w:color w:val="auto"/>
          <w:sz w:val="2"/>
          <w:szCs w:val="2"/>
          <w:lang w:val="es-CO" w:eastAsia="es-US"/>
        </w:rPr>
        <w:t>165F</w:t>
      </w:r>
      <w:r w:rsidRPr="00672AC2">
        <w:rPr>
          <w:rStyle w:val="FootnoteReference"/>
          <w:szCs w:val="20"/>
          <w:lang w:val="es-CO" w:eastAsia="es-US"/>
        </w:rPr>
        <w:footnoteReference w:id="167"/>
      </w:r>
      <w:r w:rsidRPr="00672AC2">
        <w:rPr>
          <w:szCs w:val="20"/>
          <w:lang w:val="es-CO" w:eastAsia="es-US"/>
        </w:rPr>
        <w:t>.</w:t>
      </w:r>
    </w:p>
    <w:p w14:paraId="371C90C7" w14:textId="77777777" w:rsidR="001161A5" w:rsidRPr="00672AC2" w:rsidRDefault="001161A5" w:rsidP="0090660F">
      <w:pPr>
        <w:ind w:firstLine="720"/>
        <w:jc w:val="both"/>
        <w:rPr>
          <w:rFonts w:eastAsia="Cambria" w:cs="Cambria"/>
          <w:i/>
          <w:iCs/>
          <w:color w:val="000000" w:themeColor="text1"/>
          <w:sz w:val="20"/>
          <w:szCs w:val="20"/>
          <w:lang w:val="es-ES"/>
        </w:rPr>
      </w:pPr>
      <w:r w:rsidRPr="00672AC2">
        <w:rPr>
          <w:rFonts w:eastAsia="Cambria" w:cs="Cambria"/>
          <w:i/>
          <w:iCs/>
          <w:color w:val="000000" w:themeColor="text1"/>
          <w:sz w:val="20"/>
          <w:szCs w:val="20"/>
          <w:lang w:val="es-ES"/>
        </w:rPr>
        <w:t>Análisis y nivel de cumplimiento de la recomendación</w:t>
      </w:r>
    </w:p>
    <w:p w14:paraId="5DEAFADB" w14:textId="77777777" w:rsidR="001161A5" w:rsidRPr="00672AC2" w:rsidRDefault="001161A5" w:rsidP="001161A5">
      <w:pPr>
        <w:jc w:val="both"/>
        <w:rPr>
          <w:sz w:val="20"/>
          <w:szCs w:val="20"/>
          <w:lang w:val="es-CO"/>
        </w:rPr>
      </w:pPr>
    </w:p>
    <w:p w14:paraId="042A956F" w14:textId="2987D1BF" w:rsidR="001161A5" w:rsidRPr="0090660F" w:rsidRDefault="001161A5" w:rsidP="0090660F">
      <w:pPr>
        <w:pStyle w:val="IAPrrafo"/>
        <w:rPr>
          <w:szCs w:val="20"/>
          <w:lang w:val="es-CO" w:eastAsia="es-US"/>
        </w:rPr>
      </w:pPr>
      <w:r w:rsidRPr="00672AC2">
        <w:rPr>
          <w:szCs w:val="20"/>
          <w:lang w:val="es-US"/>
        </w:rPr>
        <w:t xml:space="preserve">La Comisión enfatiza que la protección de aquellas personas que dialogaron y testificaron con la CIDH en el marco de la elaboración del Informe de País es un elemento esencial para el cumplimiento de las obligaciones internacionales de los </w:t>
      </w:r>
      <w:r w:rsidR="008F7904" w:rsidRPr="00672AC2">
        <w:rPr>
          <w:szCs w:val="20"/>
          <w:lang w:val="es-US"/>
        </w:rPr>
        <w:t>E</w:t>
      </w:r>
      <w:r w:rsidRPr="00672AC2">
        <w:rPr>
          <w:szCs w:val="20"/>
          <w:lang w:val="es-US"/>
        </w:rPr>
        <w:t xml:space="preserve">stados contenidas en la Carta de la OEA y en la Convención Americana sobre Derechos Humanos, y el cumplimiento del rol asignado a la CIDH. </w:t>
      </w:r>
      <w:r w:rsidR="005E228B" w:rsidRPr="00672AC2">
        <w:rPr>
          <w:szCs w:val="20"/>
          <w:lang w:val="es-US"/>
        </w:rPr>
        <w:t>Consecuentemente</w:t>
      </w:r>
      <w:r w:rsidRPr="00672AC2">
        <w:rPr>
          <w:szCs w:val="20"/>
          <w:lang w:val="es-US"/>
        </w:rPr>
        <w:t>, el Estado no solo debe evitar vulnerar la vida, integridad y seguridad de las personas</w:t>
      </w:r>
      <w:r w:rsidR="0088338C" w:rsidRPr="00672AC2">
        <w:rPr>
          <w:szCs w:val="20"/>
          <w:lang w:val="es-US"/>
        </w:rPr>
        <w:t>;</w:t>
      </w:r>
      <w:r w:rsidRPr="00672AC2">
        <w:rPr>
          <w:szCs w:val="20"/>
          <w:lang w:val="es-US"/>
        </w:rPr>
        <w:t xml:space="preserve"> sino, además, adoptar las medidas para prevenir, investigar y sancionar cualquier acción que se realice por terceros para violar estos derechos. </w:t>
      </w:r>
    </w:p>
    <w:p w14:paraId="2D2F872F" w14:textId="336FE41E" w:rsidR="001161A5" w:rsidRPr="0090660F" w:rsidRDefault="00904C08" w:rsidP="001161A5">
      <w:pPr>
        <w:pStyle w:val="IAPrrafo"/>
        <w:rPr>
          <w:szCs w:val="20"/>
          <w:lang w:val="es-CO" w:eastAsia="es-US"/>
        </w:rPr>
      </w:pPr>
      <w:r w:rsidRPr="00672AC2">
        <w:rPr>
          <w:szCs w:val="20"/>
          <w:lang w:val="es-US"/>
        </w:rPr>
        <w:t>L</w:t>
      </w:r>
      <w:r w:rsidR="001161A5" w:rsidRPr="00672AC2">
        <w:rPr>
          <w:szCs w:val="20"/>
          <w:lang w:val="es-US"/>
        </w:rPr>
        <w:t xml:space="preserve">a CIDH saluda la inclusión de las víctimas en el marco de los hechos recogidos en el Informe en el Programa de protección y Asistencia de Víctimas y Testigos. Sin embargo, expresa su preocupación por las denuncias provenientes de la sociedad civil arriba indicadas, </w:t>
      </w:r>
      <w:r w:rsidR="005E228B" w:rsidRPr="00672AC2">
        <w:rPr>
          <w:szCs w:val="20"/>
          <w:lang w:val="es-US"/>
        </w:rPr>
        <w:t>sobre</w:t>
      </w:r>
      <w:r w:rsidR="001161A5" w:rsidRPr="00672AC2">
        <w:rPr>
          <w:szCs w:val="20"/>
          <w:lang w:val="es-US"/>
        </w:rPr>
        <w:t xml:space="preserve"> la continuidad de los ataques y acoso recibidos contra personas defensoras de derechos humanos por parte de grupos de sociedad civil, sin mecanismos de control, investigación o sanción por parte de los agentes de seguridad. </w:t>
      </w:r>
      <w:r w:rsidR="009F479C" w:rsidRPr="00672AC2">
        <w:rPr>
          <w:szCs w:val="20"/>
          <w:lang w:val="es-US"/>
        </w:rPr>
        <w:t>Por ello</w:t>
      </w:r>
      <w:r w:rsidR="001161A5" w:rsidRPr="00672AC2">
        <w:rPr>
          <w:szCs w:val="20"/>
          <w:lang w:val="es-US"/>
        </w:rPr>
        <w:t>, hace un llamado al Estado a responder oportuna y efectiva</w:t>
      </w:r>
      <w:r w:rsidR="005E228B" w:rsidRPr="00672AC2">
        <w:rPr>
          <w:szCs w:val="20"/>
          <w:lang w:val="es-US"/>
        </w:rPr>
        <w:t>mente</w:t>
      </w:r>
      <w:r w:rsidR="001161A5" w:rsidRPr="00672AC2">
        <w:rPr>
          <w:szCs w:val="20"/>
          <w:lang w:val="es-US"/>
        </w:rPr>
        <w:t xml:space="preserve"> a las denuncias, implementando los mecanismos para la prevención, protección y garantía de acceso a la justicia, </w:t>
      </w:r>
      <w:r w:rsidR="001161A5" w:rsidRPr="00672AC2">
        <w:rPr>
          <w:szCs w:val="20"/>
          <w:lang w:val="es-CO"/>
        </w:rPr>
        <w:t xml:space="preserve">de acuerdo con las particularidades de cada caso. </w:t>
      </w:r>
    </w:p>
    <w:p w14:paraId="2DEA84F1" w14:textId="78A7C4CC" w:rsidR="001161A5" w:rsidRPr="0090660F" w:rsidRDefault="001161A5" w:rsidP="0090660F">
      <w:pPr>
        <w:pStyle w:val="IAPrrafo"/>
        <w:rPr>
          <w:szCs w:val="20"/>
          <w:lang w:val="es-US"/>
        </w:rPr>
      </w:pPr>
      <w:r w:rsidRPr="00672AC2">
        <w:rPr>
          <w:szCs w:val="20"/>
          <w:lang w:val="es-US"/>
        </w:rPr>
        <w:t xml:space="preserve">Considerando las preocupaciones expresadas y la </w:t>
      </w:r>
      <w:r w:rsidR="0083183F" w:rsidRPr="00672AC2">
        <w:rPr>
          <w:szCs w:val="20"/>
          <w:lang w:val="es-US"/>
        </w:rPr>
        <w:t>urgencia</w:t>
      </w:r>
      <w:r w:rsidRPr="00672AC2">
        <w:rPr>
          <w:szCs w:val="20"/>
          <w:lang w:val="es-US"/>
        </w:rPr>
        <w:t xml:space="preserve"> de protección de los defensores de derechos humanos y del periodismo, la Comisión identifica que la información remitida por el Estado requiere ser complementada con acciones dirigidas no sólo para las personas víctimas de los hechos recogidos en el Informe, sino que deben abarcar a todas aquellas personas y organizaciones que apoyaron con información y con sus testimonios al informe que se realizó, y a aquellas que otorgan información para el actual proceso de seguimiento. A la espera de información específica sobre medidas de cumplimiento, la Comisión </w:t>
      </w:r>
      <w:r w:rsidR="002C1AD6" w:rsidRPr="00672AC2">
        <w:rPr>
          <w:szCs w:val="20"/>
          <w:lang w:val="es-US"/>
        </w:rPr>
        <w:t xml:space="preserve">advierte </w:t>
      </w:r>
      <w:r w:rsidRPr="00672AC2">
        <w:rPr>
          <w:szCs w:val="20"/>
          <w:lang w:val="es-US"/>
        </w:rPr>
        <w:t xml:space="preserve">que esta recomendación se encuentra </w:t>
      </w:r>
      <w:r w:rsidRPr="00672AC2">
        <w:rPr>
          <w:b/>
          <w:bCs/>
          <w:szCs w:val="20"/>
          <w:lang w:val="es-US"/>
        </w:rPr>
        <w:t>pendiente de cumplimiento</w:t>
      </w:r>
      <w:r w:rsidRPr="00672AC2">
        <w:rPr>
          <w:szCs w:val="20"/>
          <w:lang w:val="es-US"/>
        </w:rPr>
        <w:t>.</w:t>
      </w:r>
    </w:p>
    <w:p w14:paraId="5BF4CB58" w14:textId="77777777" w:rsidR="000D63BC" w:rsidRDefault="000D63BC" w:rsidP="0090660F">
      <w:pPr>
        <w:suppressAutoHyphens w:val="0"/>
        <w:ind w:firstLine="720"/>
        <w:jc w:val="both"/>
        <w:rPr>
          <w:color w:val="000000" w:themeColor="text1"/>
          <w:sz w:val="20"/>
          <w:szCs w:val="20"/>
          <w:lang w:val="es-CO"/>
        </w:rPr>
      </w:pPr>
    </w:p>
    <w:p w14:paraId="3676376D" w14:textId="77777777" w:rsidR="000D63BC" w:rsidRDefault="000D63BC" w:rsidP="0090660F">
      <w:pPr>
        <w:suppressAutoHyphens w:val="0"/>
        <w:ind w:firstLine="720"/>
        <w:jc w:val="both"/>
        <w:rPr>
          <w:color w:val="000000" w:themeColor="text1"/>
          <w:sz w:val="20"/>
          <w:szCs w:val="20"/>
          <w:lang w:val="es-CO"/>
        </w:rPr>
      </w:pPr>
    </w:p>
    <w:p w14:paraId="18FADE81" w14:textId="5929DFA9" w:rsidR="001161A5" w:rsidRPr="00672AC2" w:rsidRDefault="001161A5" w:rsidP="0090660F">
      <w:pPr>
        <w:suppressAutoHyphens w:val="0"/>
        <w:ind w:firstLine="720"/>
        <w:jc w:val="both"/>
        <w:rPr>
          <w:b/>
          <w:bCs/>
          <w:color w:val="000000" w:themeColor="text1"/>
          <w:sz w:val="20"/>
          <w:szCs w:val="20"/>
          <w:lang w:val="es-CO"/>
        </w:rPr>
      </w:pPr>
      <w:r w:rsidRPr="00672AC2">
        <w:rPr>
          <w:color w:val="000000" w:themeColor="text1"/>
          <w:sz w:val="20"/>
          <w:szCs w:val="20"/>
          <w:lang w:val="es-CO"/>
        </w:rPr>
        <w:t xml:space="preserve"> </w:t>
      </w:r>
      <w:r w:rsidRPr="00672AC2">
        <w:rPr>
          <w:rFonts w:eastAsia="Cambria" w:cs="Cambria"/>
          <w:i/>
          <w:iCs/>
          <w:color w:val="000000" w:themeColor="text1"/>
          <w:sz w:val="20"/>
          <w:szCs w:val="20"/>
          <w:lang w:val="es-ES"/>
        </w:rPr>
        <w:t>Medidas e información para avanzar en el cumplimiento de la recomendación</w:t>
      </w:r>
      <w:r w:rsidR="001E5003" w:rsidRPr="00672AC2">
        <w:rPr>
          <w:rFonts w:eastAsia="Cambria" w:cs="Cambria"/>
          <w:i/>
          <w:iCs/>
          <w:color w:val="000000" w:themeColor="text1"/>
          <w:sz w:val="20"/>
          <w:szCs w:val="20"/>
          <w:lang w:val="es-ES"/>
        </w:rPr>
        <w:t xml:space="preserve"> </w:t>
      </w:r>
    </w:p>
    <w:p w14:paraId="6B36C33E" w14:textId="77777777" w:rsidR="001161A5" w:rsidRPr="00672AC2" w:rsidRDefault="001161A5" w:rsidP="001161A5">
      <w:pPr>
        <w:shd w:val="clear" w:color="auto" w:fill="FFFFFF" w:themeFill="background1"/>
        <w:suppressAutoHyphens w:val="0"/>
        <w:jc w:val="both"/>
        <w:rPr>
          <w:b/>
          <w:bCs/>
          <w:color w:val="000000" w:themeColor="text1"/>
          <w:sz w:val="20"/>
          <w:szCs w:val="20"/>
          <w:lang w:val="es-CO"/>
        </w:rPr>
      </w:pPr>
    </w:p>
    <w:p w14:paraId="58B6F1B5" w14:textId="088EF7CC" w:rsidR="00ED5E6C" w:rsidRPr="000D63BC" w:rsidRDefault="001161A5" w:rsidP="000D63BC">
      <w:pPr>
        <w:pStyle w:val="IAPrrafo"/>
        <w:rPr>
          <w:szCs w:val="20"/>
          <w:lang w:val="es-US" w:eastAsia="es-US"/>
        </w:rPr>
      </w:pPr>
      <w:r w:rsidRPr="00672AC2">
        <w:rPr>
          <w:szCs w:val="20"/>
          <w:lang w:eastAsia="es-US"/>
        </w:rPr>
        <w:t xml:space="preserve">La CIDH resalta que el avance en el cumplimiento de esta recomendación requiere de la adopción de </w:t>
      </w:r>
      <w:r w:rsidRPr="00672AC2">
        <w:rPr>
          <w:szCs w:val="20"/>
          <w:lang w:val="es-US"/>
        </w:rPr>
        <w:t>medidas prácticas que</w:t>
      </w:r>
      <w:r w:rsidR="00CC17A7" w:rsidRPr="00672AC2">
        <w:rPr>
          <w:szCs w:val="20"/>
          <w:lang w:val="es-US"/>
        </w:rPr>
        <w:t>:</w:t>
      </w:r>
      <w:r w:rsidRPr="00672AC2">
        <w:rPr>
          <w:szCs w:val="20"/>
          <w:lang w:val="es-US"/>
        </w:rPr>
        <w:t xml:space="preserve"> (i) protejan el derecho a la vida, integridad y seguridad de las personas que dialogaron y testificaron ante la CIDH; (</w:t>
      </w:r>
      <w:proofErr w:type="spellStart"/>
      <w:r w:rsidRPr="00672AC2">
        <w:rPr>
          <w:szCs w:val="20"/>
          <w:lang w:val="es-US"/>
        </w:rPr>
        <w:t>ii</w:t>
      </w:r>
      <w:proofErr w:type="spellEnd"/>
      <w:r w:rsidRPr="00672AC2">
        <w:rPr>
          <w:szCs w:val="20"/>
          <w:lang w:val="es-US"/>
        </w:rPr>
        <w:t xml:space="preserve">) eviten su estigmatización en tanto </w:t>
      </w:r>
      <w:r w:rsidR="00CC17A7" w:rsidRPr="00672AC2">
        <w:rPr>
          <w:szCs w:val="20"/>
          <w:lang w:val="es-US"/>
        </w:rPr>
        <w:t xml:space="preserve">personas </w:t>
      </w:r>
      <w:r w:rsidRPr="00672AC2">
        <w:rPr>
          <w:szCs w:val="20"/>
          <w:lang w:val="es-US"/>
        </w:rPr>
        <w:t>defensor</w:t>
      </w:r>
      <w:r w:rsidR="004118EC" w:rsidRPr="00672AC2">
        <w:rPr>
          <w:szCs w:val="20"/>
          <w:lang w:val="es-US"/>
        </w:rPr>
        <w:t>a</w:t>
      </w:r>
      <w:r w:rsidRPr="00672AC2">
        <w:rPr>
          <w:szCs w:val="20"/>
          <w:lang w:val="es-US"/>
        </w:rPr>
        <w:t>s de derechos humanos, y (</w:t>
      </w:r>
      <w:proofErr w:type="spellStart"/>
      <w:r w:rsidRPr="00672AC2">
        <w:rPr>
          <w:szCs w:val="20"/>
          <w:lang w:val="es-US"/>
        </w:rPr>
        <w:t>iii</w:t>
      </w:r>
      <w:proofErr w:type="spellEnd"/>
      <w:r w:rsidRPr="00672AC2">
        <w:rPr>
          <w:szCs w:val="20"/>
          <w:lang w:val="es-US"/>
        </w:rPr>
        <w:t>) l</w:t>
      </w:r>
      <w:r w:rsidR="004118EC" w:rsidRPr="00672AC2">
        <w:rPr>
          <w:szCs w:val="20"/>
          <w:lang w:val="es-US"/>
        </w:rPr>
        <w:t>a</w:t>
      </w:r>
      <w:r w:rsidRPr="00672AC2">
        <w:rPr>
          <w:szCs w:val="20"/>
          <w:lang w:val="es-US"/>
        </w:rPr>
        <w:t>s protejan de la actuación de grupos civiles que busquen intimidarl</w:t>
      </w:r>
      <w:r w:rsidR="004118EC" w:rsidRPr="00672AC2">
        <w:rPr>
          <w:szCs w:val="20"/>
          <w:lang w:val="es-US"/>
        </w:rPr>
        <w:t>a</w:t>
      </w:r>
      <w:r w:rsidRPr="00672AC2">
        <w:rPr>
          <w:szCs w:val="20"/>
          <w:lang w:val="es-US"/>
        </w:rPr>
        <w:t>s o agredirl</w:t>
      </w:r>
      <w:r w:rsidR="004118EC" w:rsidRPr="00672AC2">
        <w:rPr>
          <w:szCs w:val="20"/>
          <w:lang w:val="es-US"/>
        </w:rPr>
        <w:t>a</w:t>
      </w:r>
      <w:r w:rsidRPr="00672AC2">
        <w:rPr>
          <w:szCs w:val="20"/>
          <w:lang w:val="es-US"/>
        </w:rPr>
        <w:t>s.</w:t>
      </w:r>
    </w:p>
    <w:p w14:paraId="149A4EC7" w14:textId="77777777" w:rsidR="0036705A" w:rsidRPr="00672AC2" w:rsidRDefault="0036705A" w:rsidP="00A57A6B">
      <w:pPr>
        <w:pStyle w:val="ListParagraph"/>
        <w:shd w:val="clear" w:color="auto" w:fill="FFFFFF" w:themeFill="background1"/>
        <w:jc w:val="both"/>
        <w:rPr>
          <w:sz w:val="20"/>
          <w:szCs w:val="20"/>
          <w:lang w:val="es-US" w:eastAsia="es-US"/>
        </w:rPr>
      </w:pPr>
    </w:p>
    <w:p w14:paraId="03479E7B" w14:textId="77777777" w:rsidR="00AD1708" w:rsidRPr="00672AC2" w:rsidRDefault="00AD1708" w:rsidP="00AD1708">
      <w:pPr>
        <w:pStyle w:val="IATtulo"/>
        <w:rPr>
          <w:lang w:val="es-CO"/>
        </w:rPr>
      </w:pPr>
      <w:bookmarkStart w:id="36" w:name="_Toc195618301"/>
      <w:r w:rsidRPr="00672AC2">
        <w:rPr>
          <w:lang w:val="es-CO"/>
        </w:rPr>
        <w:t>CUADRO RESUMEN DE NIVEL DE CUMPLIMIENTO DE LAS RECOMENDACIONES</w:t>
      </w:r>
      <w:bookmarkEnd w:id="36"/>
    </w:p>
    <w:p w14:paraId="6D978A1B" w14:textId="596B6E71" w:rsidR="00AD1708" w:rsidRPr="00672AC2" w:rsidRDefault="00AD1708" w:rsidP="00E83710">
      <w:pPr>
        <w:pStyle w:val="IAPrrafo"/>
        <w:rPr>
          <w:szCs w:val="20"/>
          <w:lang w:val="es-CO"/>
        </w:rPr>
      </w:pPr>
      <w:r w:rsidRPr="00672AC2">
        <w:rPr>
          <w:szCs w:val="20"/>
          <w:lang w:val="es-CO"/>
        </w:rPr>
        <w:t xml:space="preserve">El siguiente cuadro muestra el nivel de cumplimiento por parte del Estado del Perú con respecto de las 36 recomendaciones del </w:t>
      </w:r>
      <w:r w:rsidRPr="00672AC2">
        <w:rPr>
          <w:szCs w:val="20"/>
          <w:lang w:val="es-MX"/>
        </w:rPr>
        <w:t xml:space="preserve">Informe sobre la </w:t>
      </w:r>
      <w:r w:rsidRPr="00672AC2">
        <w:rPr>
          <w:rFonts w:eastAsia="Calibri" w:cs="Times New Roman"/>
          <w:bCs/>
          <w:szCs w:val="20"/>
          <w:lang w:val="es-ES"/>
        </w:rPr>
        <w:t>Situación de Derechos Humanos en Perú en el contexto de las protestas sociales</w:t>
      </w:r>
      <w:r w:rsidRPr="00672AC2">
        <w:rPr>
          <w:szCs w:val="20"/>
          <w:lang w:val="es-MX"/>
        </w:rPr>
        <w:t xml:space="preserve"> </w:t>
      </w:r>
      <w:r w:rsidRPr="00672AC2">
        <w:rPr>
          <w:szCs w:val="20"/>
          <w:lang w:val="es-CO"/>
        </w:rPr>
        <w:t>que fueron analizadas en el presente informe de seguimiento:</w:t>
      </w:r>
    </w:p>
    <w:p w14:paraId="4ED7C33C" w14:textId="77777777" w:rsidR="00AD1708" w:rsidRPr="00672AC2" w:rsidRDefault="00AD1708" w:rsidP="00AD1708">
      <w:pPr>
        <w:jc w:val="both"/>
        <w:rPr>
          <w:sz w:val="20"/>
          <w:szCs w:val="20"/>
          <w:lang w:val="es-CO"/>
        </w:rPr>
      </w:pPr>
    </w:p>
    <w:tbl>
      <w:tblPr>
        <w:tblStyle w:val="TableGrid"/>
        <w:tblW w:w="0" w:type="auto"/>
        <w:tblLook w:val="04A0" w:firstRow="1" w:lastRow="0" w:firstColumn="1" w:lastColumn="0" w:noHBand="0" w:noVBand="1"/>
      </w:tblPr>
      <w:tblGrid>
        <w:gridCol w:w="3964"/>
        <w:gridCol w:w="1985"/>
        <w:gridCol w:w="3401"/>
      </w:tblGrid>
      <w:tr w:rsidR="00AD1708" w:rsidRPr="00672AC2" w14:paraId="2673E949" w14:textId="77777777" w:rsidTr="009C55FE">
        <w:tc>
          <w:tcPr>
            <w:tcW w:w="3964" w:type="dxa"/>
            <w:vAlign w:val="center"/>
          </w:tcPr>
          <w:p w14:paraId="43F5FE67" w14:textId="002DA887" w:rsidR="00AD1708" w:rsidRPr="00672AC2" w:rsidRDefault="00AD1708" w:rsidP="009C55FE">
            <w:pPr>
              <w:jc w:val="center"/>
              <w:rPr>
                <w:sz w:val="20"/>
                <w:szCs w:val="20"/>
                <w:lang w:val="es-CO"/>
              </w:rPr>
            </w:pPr>
            <w:r w:rsidRPr="00672AC2">
              <w:rPr>
                <w:b/>
                <w:sz w:val="20"/>
                <w:szCs w:val="20"/>
                <w:lang w:val="es-CO"/>
              </w:rPr>
              <w:t>Tema de la recomendación</w:t>
            </w:r>
          </w:p>
        </w:tc>
        <w:tc>
          <w:tcPr>
            <w:tcW w:w="1985" w:type="dxa"/>
            <w:vAlign w:val="center"/>
          </w:tcPr>
          <w:p w14:paraId="4F2D8750" w14:textId="087D52D1" w:rsidR="00AD1708" w:rsidRPr="00672AC2" w:rsidRDefault="00AD1708" w:rsidP="009C55FE">
            <w:pPr>
              <w:jc w:val="center"/>
              <w:rPr>
                <w:sz w:val="20"/>
                <w:szCs w:val="20"/>
                <w:lang w:val="es-CO"/>
              </w:rPr>
            </w:pPr>
            <w:r w:rsidRPr="00672AC2">
              <w:rPr>
                <w:b/>
                <w:sz w:val="20"/>
                <w:szCs w:val="20"/>
                <w:lang w:val="es-CO"/>
              </w:rPr>
              <w:t>Número recomendación</w:t>
            </w:r>
          </w:p>
        </w:tc>
        <w:tc>
          <w:tcPr>
            <w:tcW w:w="3401" w:type="dxa"/>
            <w:vAlign w:val="center"/>
          </w:tcPr>
          <w:p w14:paraId="4ADEC237" w14:textId="73343BD9" w:rsidR="00AD1708" w:rsidRPr="00672AC2" w:rsidRDefault="00AD1708" w:rsidP="009C55FE">
            <w:pPr>
              <w:jc w:val="center"/>
              <w:rPr>
                <w:b/>
                <w:bCs/>
                <w:sz w:val="20"/>
                <w:szCs w:val="20"/>
                <w:lang w:val="es-CO"/>
              </w:rPr>
            </w:pPr>
            <w:r w:rsidRPr="00672AC2">
              <w:rPr>
                <w:b/>
                <w:bCs/>
                <w:sz w:val="20"/>
                <w:szCs w:val="20"/>
                <w:lang w:val="es-CO"/>
              </w:rPr>
              <w:t>2024</w:t>
            </w:r>
          </w:p>
          <w:p w14:paraId="20ACF65C" w14:textId="5ECD8AD9" w:rsidR="00AD1708" w:rsidRPr="00672AC2" w:rsidRDefault="00AD1708" w:rsidP="009C55FE">
            <w:pPr>
              <w:jc w:val="center"/>
              <w:rPr>
                <w:sz w:val="20"/>
                <w:szCs w:val="20"/>
                <w:lang w:val="es-CO"/>
              </w:rPr>
            </w:pPr>
            <w:r w:rsidRPr="00672AC2">
              <w:rPr>
                <w:b/>
                <w:sz w:val="20"/>
                <w:szCs w:val="20"/>
                <w:lang w:val="es-CO"/>
              </w:rPr>
              <w:t>Nivel cumplimiento</w:t>
            </w:r>
          </w:p>
        </w:tc>
      </w:tr>
      <w:tr w:rsidR="00AD1708" w:rsidRPr="00672AC2" w14:paraId="7A5E1551" w14:textId="77777777" w:rsidTr="009C55FE">
        <w:tc>
          <w:tcPr>
            <w:tcW w:w="3964" w:type="dxa"/>
            <w:vMerge w:val="restart"/>
            <w:vAlign w:val="center"/>
          </w:tcPr>
          <w:p w14:paraId="47C96265" w14:textId="2C1737BD" w:rsidR="00AD1708" w:rsidRPr="00672AC2" w:rsidRDefault="00AD1708" w:rsidP="00324500">
            <w:pPr>
              <w:jc w:val="center"/>
              <w:rPr>
                <w:sz w:val="20"/>
                <w:szCs w:val="20"/>
                <w:lang w:val="es-CO"/>
              </w:rPr>
            </w:pPr>
            <w:r w:rsidRPr="00672AC2">
              <w:rPr>
                <w:sz w:val="20"/>
                <w:szCs w:val="20"/>
                <w:lang w:val="es-US"/>
              </w:rPr>
              <w:t>Diálogo y superación de la crisis</w:t>
            </w:r>
          </w:p>
        </w:tc>
        <w:tc>
          <w:tcPr>
            <w:tcW w:w="1985" w:type="dxa"/>
            <w:vAlign w:val="center"/>
          </w:tcPr>
          <w:p w14:paraId="13D0A478" w14:textId="272EFAEF" w:rsidR="00AD1708" w:rsidRPr="00672AC2" w:rsidRDefault="00AD1708" w:rsidP="009C55FE">
            <w:pPr>
              <w:jc w:val="center"/>
              <w:rPr>
                <w:sz w:val="20"/>
                <w:szCs w:val="20"/>
                <w:lang w:val="es-CO"/>
              </w:rPr>
            </w:pPr>
            <w:r w:rsidRPr="00672AC2">
              <w:rPr>
                <w:sz w:val="20"/>
                <w:szCs w:val="20"/>
                <w:lang w:val="es-CO"/>
              </w:rPr>
              <w:t>1</w:t>
            </w:r>
          </w:p>
        </w:tc>
        <w:tc>
          <w:tcPr>
            <w:tcW w:w="3401" w:type="dxa"/>
            <w:vAlign w:val="center"/>
          </w:tcPr>
          <w:p w14:paraId="46425906" w14:textId="282A38F4" w:rsidR="00AD1708" w:rsidRPr="00672AC2" w:rsidRDefault="00C3309F" w:rsidP="009C55FE">
            <w:pPr>
              <w:jc w:val="center"/>
              <w:rPr>
                <w:sz w:val="20"/>
                <w:szCs w:val="20"/>
                <w:lang w:val="es-CO"/>
              </w:rPr>
            </w:pPr>
            <w:r w:rsidRPr="00672AC2">
              <w:rPr>
                <w:sz w:val="20"/>
                <w:szCs w:val="20"/>
                <w:lang w:val="es-CO"/>
              </w:rPr>
              <w:t>Parcial</w:t>
            </w:r>
          </w:p>
        </w:tc>
      </w:tr>
      <w:tr w:rsidR="00AD1708" w:rsidRPr="00672AC2" w14:paraId="6D2B0A17" w14:textId="77777777" w:rsidTr="009C55FE">
        <w:tc>
          <w:tcPr>
            <w:tcW w:w="3964" w:type="dxa"/>
            <w:vMerge/>
            <w:vAlign w:val="center"/>
          </w:tcPr>
          <w:p w14:paraId="76996B6C" w14:textId="77777777" w:rsidR="00AD1708" w:rsidRPr="00672AC2" w:rsidRDefault="00AD1708" w:rsidP="00324500">
            <w:pPr>
              <w:jc w:val="center"/>
              <w:rPr>
                <w:sz w:val="20"/>
                <w:szCs w:val="20"/>
                <w:lang w:val="es-US"/>
              </w:rPr>
            </w:pPr>
          </w:p>
        </w:tc>
        <w:tc>
          <w:tcPr>
            <w:tcW w:w="1985" w:type="dxa"/>
            <w:vAlign w:val="center"/>
          </w:tcPr>
          <w:p w14:paraId="76BAFBB4" w14:textId="505D6FED" w:rsidR="00AD1708" w:rsidRPr="00672AC2" w:rsidRDefault="00AD1708" w:rsidP="009C55FE">
            <w:pPr>
              <w:jc w:val="center"/>
              <w:rPr>
                <w:sz w:val="20"/>
                <w:szCs w:val="20"/>
                <w:lang w:val="es-CO"/>
              </w:rPr>
            </w:pPr>
            <w:r w:rsidRPr="00672AC2">
              <w:rPr>
                <w:sz w:val="20"/>
                <w:szCs w:val="20"/>
                <w:lang w:val="es-CO"/>
              </w:rPr>
              <w:t>2</w:t>
            </w:r>
          </w:p>
        </w:tc>
        <w:tc>
          <w:tcPr>
            <w:tcW w:w="3401" w:type="dxa"/>
            <w:vAlign w:val="center"/>
          </w:tcPr>
          <w:p w14:paraId="7E5710C3" w14:textId="76D7A089" w:rsidR="00AD1708" w:rsidRPr="00672AC2" w:rsidRDefault="00C3309F" w:rsidP="009C55FE">
            <w:pPr>
              <w:jc w:val="center"/>
              <w:rPr>
                <w:sz w:val="20"/>
                <w:szCs w:val="20"/>
                <w:lang w:val="es-CO"/>
              </w:rPr>
            </w:pPr>
            <w:r w:rsidRPr="00672AC2">
              <w:rPr>
                <w:sz w:val="20"/>
                <w:szCs w:val="20"/>
                <w:lang w:val="es-CO"/>
              </w:rPr>
              <w:t>Pendiente</w:t>
            </w:r>
          </w:p>
        </w:tc>
      </w:tr>
      <w:tr w:rsidR="00AD1708" w:rsidRPr="00672AC2" w14:paraId="64DE6DCB" w14:textId="77777777" w:rsidTr="009C55FE">
        <w:tc>
          <w:tcPr>
            <w:tcW w:w="3964" w:type="dxa"/>
            <w:vMerge/>
            <w:vAlign w:val="center"/>
          </w:tcPr>
          <w:p w14:paraId="7D443991" w14:textId="77777777" w:rsidR="00AD1708" w:rsidRPr="00672AC2" w:rsidRDefault="00AD1708" w:rsidP="00324500">
            <w:pPr>
              <w:jc w:val="center"/>
              <w:rPr>
                <w:sz w:val="20"/>
                <w:szCs w:val="20"/>
                <w:lang w:val="es-US"/>
              </w:rPr>
            </w:pPr>
          </w:p>
        </w:tc>
        <w:tc>
          <w:tcPr>
            <w:tcW w:w="1985" w:type="dxa"/>
            <w:vAlign w:val="center"/>
          </w:tcPr>
          <w:p w14:paraId="3D61635E" w14:textId="2B9BAD6B" w:rsidR="00AD1708" w:rsidRPr="00672AC2" w:rsidRDefault="00AD1708" w:rsidP="009C55FE">
            <w:pPr>
              <w:jc w:val="center"/>
              <w:rPr>
                <w:sz w:val="20"/>
                <w:szCs w:val="20"/>
                <w:lang w:val="es-CO"/>
              </w:rPr>
            </w:pPr>
            <w:r w:rsidRPr="00672AC2">
              <w:rPr>
                <w:sz w:val="20"/>
                <w:szCs w:val="20"/>
                <w:lang w:val="es-CO"/>
              </w:rPr>
              <w:t>3</w:t>
            </w:r>
          </w:p>
        </w:tc>
        <w:tc>
          <w:tcPr>
            <w:tcW w:w="3401" w:type="dxa"/>
            <w:vAlign w:val="center"/>
          </w:tcPr>
          <w:p w14:paraId="5C2DD202" w14:textId="0316C522" w:rsidR="00AD1708" w:rsidRPr="00672AC2" w:rsidRDefault="00C3309F" w:rsidP="009C55FE">
            <w:pPr>
              <w:jc w:val="center"/>
              <w:rPr>
                <w:sz w:val="20"/>
                <w:szCs w:val="20"/>
                <w:lang w:val="es-CO"/>
              </w:rPr>
            </w:pPr>
            <w:r w:rsidRPr="00672AC2">
              <w:rPr>
                <w:sz w:val="20"/>
                <w:szCs w:val="20"/>
                <w:lang w:val="es-CO"/>
              </w:rPr>
              <w:t>Parcial</w:t>
            </w:r>
          </w:p>
        </w:tc>
      </w:tr>
      <w:tr w:rsidR="00AD1708" w:rsidRPr="00672AC2" w14:paraId="173BD842" w14:textId="77777777" w:rsidTr="009C55FE">
        <w:tc>
          <w:tcPr>
            <w:tcW w:w="3964" w:type="dxa"/>
            <w:vMerge w:val="restart"/>
            <w:vAlign w:val="center"/>
          </w:tcPr>
          <w:p w14:paraId="0664B1FA" w14:textId="0ECB4B60" w:rsidR="00AD1708" w:rsidRPr="00672AC2" w:rsidRDefault="00AD1708" w:rsidP="00324500">
            <w:pPr>
              <w:jc w:val="center"/>
              <w:rPr>
                <w:sz w:val="20"/>
                <w:szCs w:val="20"/>
                <w:lang w:val="es-CO"/>
              </w:rPr>
            </w:pPr>
            <w:r w:rsidRPr="00672AC2">
              <w:rPr>
                <w:sz w:val="20"/>
                <w:szCs w:val="20"/>
                <w:lang w:val="es-US"/>
              </w:rPr>
              <w:t>Seguridad ciudadana</w:t>
            </w:r>
          </w:p>
        </w:tc>
        <w:tc>
          <w:tcPr>
            <w:tcW w:w="1985" w:type="dxa"/>
            <w:vAlign w:val="center"/>
          </w:tcPr>
          <w:p w14:paraId="600C665C" w14:textId="43F0E25D" w:rsidR="00AD1708" w:rsidRPr="00672AC2" w:rsidRDefault="00AD1708" w:rsidP="009C55FE">
            <w:pPr>
              <w:jc w:val="center"/>
              <w:rPr>
                <w:sz w:val="20"/>
                <w:szCs w:val="20"/>
                <w:lang w:val="es-CO"/>
              </w:rPr>
            </w:pPr>
            <w:r w:rsidRPr="00672AC2">
              <w:rPr>
                <w:sz w:val="20"/>
                <w:szCs w:val="20"/>
                <w:lang w:val="es-CO"/>
              </w:rPr>
              <w:t>4</w:t>
            </w:r>
          </w:p>
        </w:tc>
        <w:tc>
          <w:tcPr>
            <w:tcW w:w="3401" w:type="dxa"/>
            <w:vAlign w:val="center"/>
          </w:tcPr>
          <w:p w14:paraId="56BFCD82" w14:textId="4D22E8C1" w:rsidR="00AD1708" w:rsidRPr="00672AC2" w:rsidRDefault="00C3309F" w:rsidP="009C55FE">
            <w:pPr>
              <w:jc w:val="center"/>
              <w:rPr>
                <w:sz w:val="20"/>
                <w:szCs w:val="20"/>
                <w:lang w:val="es-CO"/>
              </w:rPr>
            </w:pPr>
            <w:r w:rsidRPr="00672AC2">
              <w:rPr>
                <w:sz w:val="20"/>
                <w:szCs w:val="20"/>
                <w:lang w:val="es-CO"/>
              </w:rPr>
              <w:t>Parcial</w:t>
            </w:r>
            <w:r w:rsidR="00336910">
              <w:rPr>
                <w:sz w:val="20"/>
                <w:szCs w:val="20"/>
                <w:lang w:val="es-CO"/>
              </w:rPr>
              <w:t xml:space="preserve"> sustancial</w:t>
            </w:r>
          </w:p>
        </w:tc>
      </w:tr>
      <w:tr w:rsidR="00AD1708" w:rsidRPr="00672AC2" w14:paraId="449930C6" w14:textId="77777777" w:rsidTr="009C55FE">
        <w:tc>
          <w:tcPr>
            <w:tcW w:w="3964" w:type="dxa"/>
            <w:vMerge/>
            <w:vAlign w:val="center"/>
          </w:tcPr>
          <w:p w14:paraId="3749E572" w14:textId="77777777" w:rsidR="00AD1708" w:rsidRPr="00672AC2" w:rsidRDefault="00AD1708" w:rsidP="00324500">
            <w:pPr>
              <w:jc w:val="center"/>
              <w:rPr>
                <w:sz w:val="20"/>
                <w:szCs w:val="20"/>
                <w:lang w:val="es-US"/>
              </w:rPr>
            </w:pPr>
          </w:p>
        </w:tc>
        <w:tc>
          <w:tcPr>
            <w:tcW w:w="1985" w:type="dxa"/>
            <w:vAlign w:val="center"/>
          </w:tcPr>
          <w:p w14:paraId="28F407AE" w14:textId="0B28D9BD" w:rsidR="00AD1708" w:rsidRPr="00672AC2" w:rsidRDefault="00AD1708" w:rsidP="009C55FE">
            <w:pPr>
              <w:jc w:val="center"/>
              <w:rPr>
                <w:sz w:val="20"/>
                <w:szCs w:val="20"/>
                <w:lang w:val="es-CO"/>
              </w:rPr>
            </w:pPr>
            <w:r w:rsidRPr="00672AC2">
              <w:rPr>
                <w:sz w:val="20"/>
                <w:szCs w:val="20"/>
                <w:lang w:val="es-CO"/>
              </w:rPr>
              <w:t>5</w:t>
            </w:r>
          </w:p>
        </w:tc>
        <w:tc>
          <w:tcPr>
            <w:tcW w:w="3401" w:type="dxa"/>
            <w:vAlign w:val="center"/>
          </w:tcPr>
          <w:p w14:paraId="34D759B4" w14:textId="1AACA78C" w:rsidR="00AD1708" w:rsidRPr="00672AC2" w:rsidRDefault="00C3309F" w:rsidP="009C55FE">
            <w:pPr>
              <w:jc w:val="center"/>
              <w:rPr>
                <w:sz w:val="20"/>
                <w:szCs w:val="20"/>
                <w:lang w:val="es-CO"/>
              </w:rPr>
            </w:pPr>
            <w:r w:rsidRPr="00672AC2">
              <w:rPr>
                <w:sz w:val="20"/>
                <w:szCs w:val="20"/>
                <w:lang w:val="es-CO"/>
              </w:rPr>
              <w:t>Pendiente</w:t>
            </w:r>
          </w:p>
        </w:tc>
      </w:tr>
      <w:tr w:rsidR="00AD1708" w:rsidRPr="00672AC2" w14:paraId="717E69C9" w14:textId="77777777" w:rsidTr="009C55FE">
        <w:tc>
          <w:tcPr>
            <w:tcW w:w="3964" w:type="dxa"/>
            <w:vMerge/>
            <w:vAlign w:val="center"/>
          </w:tcPr>
          <w:p w14:paraId="5F74AF14" w14:textId="77777777" w:rsidR="00AD1708" w:rsidRPr="00672AC2" w:rsidRDefault="00AD1708" w:rsidP="00324500">
            <w:pPr>
              <w:jc w:val="center"/>
              <w:rPr>
                <w:sz w:val="20"/>
                <w:szCs w:val="20"/>
                <w:lang w:val="es-US"/>
              </w:rPr>
            </w:pPr>
          </w:p>
        </w:tc>
        <w:tc>
          <w:tcPr>
            <w:tcW w:w="1985" w:type="dxa"/>
            <w:vAlign w:val="center"/>
          </w:tcPr>
          <w:p w14:paraId="1A6D85A8" w14:textId="3935D3DE" w:rsidR="00AD1708" w:rsidRPr="00672AC2" w:rsidRDefault="00AD1708" w:rsidP="009C55FE">
            <w:pPr>
              <w:jc w:val="center"/>
              <w:rPr>
                <w:sz w:val="20"/>
                <w:szCs w:val="20"/>
                <w:lang w:val="es-CO"/>
              </w:rPr>
            </w:pPr>
            <w:r w:rsidRPr="00672AC2">
              <w:rPr>
                <w:sz w:val="20"/>
                <w:szCs w:val="20"/>
                <w:lang w:val="es-CO"/>
              </w:rPr>
              <w:t>6</w:t>
            </w:r>
          </w:p>
        </w:tc>
        <w:tc>
          <w:tcPr>
            <w:tcW w:w="3401" w:type="dxa"/>
            <w:vAlign w:val="center"/>
          </w:tcPr>
          <w:p w14:paraId="76AD4D61" w14:textId="6CA4659F" w:rsidR="00AD1708" w:rsidRPr="00672AC2" w:rsidRDefault="00C3309F" w:rsidP="009C55FE">
            <w:pPr>
              <w:jc w:val="center"/>
              <w:rPr>
                <w:b/>
                <w:bCs/>
                <w:sz w:val="20"/>
                <w:szCs w:val="20"/>
                <w:lang w:val="es-CO"/>
              </w:rPr>
            </w:pPr>
            <w:r w:rsidRPr="00672AC2">
              <w:rPr>
                <w:sz w:val="20"/>
                <w:szCs w:val="20"/>
                <w:lang w:val="es-CO"/>
              </w:rPr>
              <w:t>Pendiente</w:t>
            </w:r>
          </w:p>
        </w:tc>
      </w:tr>
      <w:tr w:rsidR="00C3309F" w:rsidRPr="00672AC2" w14:paraId="45DE8BFA" w14:textId="77777777" w:rsidTr="009C55FE">
        <w:tc>
          <w:tcPr>
            <w:tcW w:w="3964" w:type="dxa"/>
            <w:vMerge/>
            <w:vAlign w:val="center"/>
          </w:tcPr>
          <w:p w14:paraId="0F3D5CA0" w14:textId="77777777" w:rsidR="00C3309F" w:rsidRPr="00672AC2" w:rsidRDefault="00C3309F" w:rsidP="00324500">
            <w:pPr>
              <w:jc w:val="center"/>
              <w:rPr>
                <w:sz w:val="20"/>
                <w:szCs w:val="20"/>
                <w:lang w:val="es-US"/>
              </w:rPr>
            </w:pPr>
          </w:p>
        </w:tc>
        <w:tc>
          <w:tcPr>
            <w:tcW w:w="1985" w:type="dxa"/>
            <w:vAlign w:val="center"/>
          </w:tcPr>
          <w:p w14:paraId="40171CE6" w14:textId="610DCBEE" w:rsidR="00C3309F" w:rsidRPr="00672AC2" w:rsidRDefault="00C3309F" w:rsidP="009C55FE">
            <w:pPr>
              <w:jc w:val="center"/>
              <w:rPr>
                <w:sz w:val="20"/>
                <w:szCs w:val="20"/>
                <w:lang w:val="es-CO"/>
              </w:rPr>
            </w:pPr>
            <w:r w:rsidRPr="00672AC2">
              <w:rPr>
                <w:sz w:val="20"/>
                <w:szCs w:val="20"/>
                <w:lang w:val="es-CO"/>
              </w:rPr>
              <w:t>7</w:t>
            </w:r>
          </w:p>
        </w:tc>
        <w:tc>
          <w:tcPr>
            <w:tcW w:w="3401" w:type="dxa"/>
            <w:vMerge w:val="restart"/>
            <w:vAlign w:val="center"/>
          </w:tcPr>
          <w:p w14:paraId="51BC74ED" w14:textId="79DB74B4" w:rsidR="00C3309F" w:rsidRPr="00672AC2" w:rsidRDefault="00C3309F" w:rsidP="009C55FE">
            <w:pPr>
              <w:jc w:val="center"/>
              <w:rPr>
                <w:b/>
                <w:bCs/>
                <w:sz w:val="20"/>
                <w:szCs w:val="20"/>
                <w:lang w:val="es-CO"/>
              </w:rPr>
            </w:pPr>
            <w:r w:rsidRPr="00672AC2">
              <w:rPr>
                <w:sz w:val="20"/>
                <w:szCs w:val="20"/>
                <w:lang w:val="es-CO"/>
              </w:rPr>
              <w:t>Pendiente</w:t>
            </w:r>
          </w:p>
        </w:tc>
      </w:tr>
      <w:tr w:rsidR="00C3309F" w:rsidRPr="00672AC2" w14:paraId="1CBB51FD" w14:textId="77777777" w:rsidTr="009C55FE">
        <w:tc>
          <w:tcPr>
            <w:tcW w:w="3964" w:type="dxa"/>
            <w:vMerge/>
            <w:vAlign w:val="center"/>
          </w:tcPr>
          <w:p w14:paraId="3D18C85E" w14:textId="77777777" w:rsidR="00C3309F" w:rsidRPr="00672AC2" w:rsidRDefault="00C3309F" w:rsidP="00324500">
            <w:pPr>
              <w:jc w:val="center"/>
              <w:rPr>
                <w:sz w:val="20"/>
                <w:szCs w:val="20"/>
                <w:lang w:val="es-US"/>
              </w:rPr>
            </w:pPr>
          </w:p>
        </w:tc>
        <w:tc>
          <w:tcPr>
            <w:tcW w:w="1985" w:type="dxa"/>
            <w:vAlign w:val="center"/>
          </w:tcPr>
          <w:p w14:paraId="7ACB9A75" w14:textId="695552F5" w:rsidR="00C3309F" w:rsidRPr="00672AC2" w:rsidRDefault="00C3309F" w:rsidP="009C55FE">
            <w:pPr>
              <w:jc w:val="center"/>
              <w:rPr>
                <w:sz w:val="20"/>
                <w:szCs w:val="20"/>
                <w:lang w:val="es-CO"/>
              </w:rPr>
            </w:pPr>
            <w:r w:rsidRPr="00672AC2">
              <w:rPr>
                <w:sz w:val="20"/>
                <w:szCs w:val="20"/>
                <w:lang w:val="es-CO"/>
              </w:rPr>
              <w:t>8</w:t>
            </w:r>
          </w:p>
        </w:tc>
        <w:tc>
          <w:tcPr>
            <w:tcW w:w="3401" w:type="dxa"/>
            <w:vMerge/>
            <w:vAlign w:val="center"/>
          </w:tcPr>
          <w:p w14:paraId="6FF17250" w14:textId="77777777" w:rsidR="00C3309F" w:rsidRPr="00672AC2" w:rsidRDefault="00C3309F" w:rsidP="009C55FE">
            <w:pPr>
              <w:jc w:val="center"/>
              <w:rPr>
                <w:sz w:val="20"/>
                <w:szCs w:val="20"/>
                <w:lang w:val="es-CO"/>
              </w:rPr>
            </w:pPr>
          </w:p>
        </w:tc>
      </w:tr>
      <w:tr w:rsidR="00AD1708" w:rsidRPr="00672AC2" w14:paraId="1025ABA2" w14:textId="77777777" w:rsidTr="009C55FE">
        <w:tc>
          <w:tcPr>
            <w:tcW w:w="3964" w:type="dxa"/>
            <w:vMerge w:val="restart"/>
            <w:vAlign w:val="center"/>
          </w:tcPr>
          <w:p w14:paraId="6DE42242" w14:textId="568F083A" w:rsidR="00AD1708" w:rsidRPr="00672AC2" w:rsidRDefault="00AD1708" w:rsidP="00324500">
            <w:pPr>
              <w:jc w:val="center"/>
              <w:rPr>
                <w:sz w:val="20"/>
                <w:szCs w:val="20"/>
                <w:lang w:val="es-CO"/>
              </w:rPr>
            </w:pPr>
            <w:r w:rsidRPr="00672AC2">
              <w:rPr>
                <w:sz w:val="20"/>
                <w:szCs w:val="20"/>
                <w:lang w:val="es-US"/>
              </w:rPr>
              <w:t>Reparación y atención a víctimas de derechos humanos</w:t>
            </w:r>
          </w:p>
        </w:tc>
        <w:tc>
          <w:tcPr>
            <w:tcW w:w="1985" w:type="dxa"/>
            <w:vAlign w:val="center"/>
          </w:tcPr>
          <w:p w14:paraId="6403265A" w14:textId="254A93E9" w:rsidR="00AD1708" w:rsidRPr="00672AC2" w:rsidRDefault="00AD1708" w:rsidP="009C55FE">
            <w:pPr>
              <w:jc w:val="center"/>
              <w:rPr>
                <w:sz w:val="20"/>
                <w:szCs w:val="20"/>
                <w:lang w:val="es-CO"/>
              </w:rPr>
            </w:pPr>
            <w:r w:rsidRPr="00672AC2">
              <w:rPr>
                <w:sz w:val="20"/>
                <w:szCs w:val="20"/>
                <w:lang w:val="es-CO"/>
              </w:rPr>
              <w:t>9</w:t>
            </w:r>
          </w:p>
        </w:tc>
        <w:tc>
          <w:tcPr>
            <w:tcW w:w="3401" w:type="dxa"/>
            <w:vAlign w:val="center"/>
          </w:tcPr>
          <w:p w14:paraId="67E32595" w14:textId="73190577" w:rsidR="00AD1708" w:rsidRPr="00672AC2" w:rsidRDefault="00C3309F" w:rsidP="009C55FE">
            <w:pPr>
              <w:jc w:val="center"/>
              <w:rPr>
                <w:sz w:val="20"/>
                <w:szCs w:val="20"/>
                <w:lang w:val="es-CO"/>
              </w:rPr>
            </w:pPr>
            <w:r w:rsidRPr="00672AC2">
              <w:rPr>
                <w:sz w:val="20"/>
                <w:szCs w:val="20"/>
                <w:lang w:val="es-CO"/>
              </w:rPr>
              <w:t>Pendiente</w:t>
            </w:r>
          </w:p>
        </w:tc>
      </w:tr>
      <w:tr w:rsidR="00AD1708" w:rsidRPr="00672AC2" w14:paraId="40054591" w14:textId="77777777" w:rsidTr="009C55FE">
        <w:tc>
          <w:tcPr>
            <w:tcW w:w="3964" w:type="dxa"/>
            <w:vMerge/>
            <w:vAlign w:val="center"/>
          </w:tcPr>
          <w:p w14:paraId="56A00D3A" w14:textId="77777777" w:rsidR="00AD1708" w:rsidRPr="00672AC2" w:rsidRDefault="00AD1708" w:rsidP="00324500">
            <w:pPr>
              <w:jc w:val="center"/>
              <w:rPr>
                <w:sz w:val="20"/>
                <w:szCs w:val="20"/>
                <w:lang w:val="es-US"/>
              </w:rPr>
            </w:pPr>
          </w:p>
        </w:tc>
        <w:tc>
          <w:tcPr>
            <w:tcW w:w="1985" w:type="dxa"/>
            <w:vAlign w:val="center"/>
          </w:tcPr>
          <w:p w14:paraId="552842B6" w14:textId="107BC136" w:rsidR="00AD1708" w:rsidRPr="00672AC2" w:rsidRDefault="00AD1708" w:rsidP="009C55FE">
            <w:pPr>
              <w:jc w:val="center"/>
              <w:rPr>
                <w:sz w:val="20"/>
                <w:szCs w:val="20"/>
                <w:lang w:val="es-CO"/>
              </w:rPr>
            </w:pPr>
            <w:r w:rsidRPr="00672AC2">
              <w:rPr>
                <w:sz w:val="20"/>
                <w:szCs w:val="20"/>
                <w:lang w:val="es-CO"/>
              </w:rPr>
              <w:t>10</w:t>
            </w:r>
          </w:p>
        </w:tc>
        <w:tc>
          <w:tcPr>
            <w:tcW w:w="3401" w:type="dxa"/>
            <w:vAlign w:val="center"/>
          </w:tcPr>
          <w:p w14:paraId="04941564" w14:textId="1084D595" w:rsidR="00AD1708" w:rsidRPr="00672AC2" w:rsidRDefault="00C3309F" w:rsidP="009C55FE">
            <w:pPr>
              <w:jc w:val="center"/>
              <w:rPr>
                <w:sz w:val="20"/>
                <w:szCs w:val="20"/>
                <w:lang w:val="es-CO"/>
              </w:rPr>
            </w:pPr>
            <w:r w:rsidRPr="00672AC2">
              <w:rPr>
                <w:sz w:val="20"/>
                <w:szCs w:val="20"/>
                <w:lang w:val="es-CO"/>
              </w:rPr>
              <w:t>Parcial</w:t>
            </w:r>
          </w:p>
        </w:tc>
      </w:tr>
      <w:tr w:rsidR="00AD1708" w:rsidRPr="00672AC2" w14:paraId="3F32C724" w14:textId="77777777" w:rsidTr="009C55FE">
        <w:tc>
          <w:tcPr>
            <w:tcW w:w="3964" w:type="dxa"/>
            <w:vMerge/>
            <w:vAlign w:val="center"/>
          </w:tcPr>
          <w:p w14:paraId="00F58C05" w14:textId="77777777" w:rsidR="00AD1708" w:rsidRPr="00672AC2" w:rsidRDefault="00AD1708" w:rsidP="00324500">
            <w:pPr>
              <w:jc w:val="center"/>
              <w:rPr>
                <w:sz w:val="20"/>
                <w:szCs w:val="20"/>
                <w:lang w:val="es-US"/>
              </w:rPr>
            </w:pPr>
          </w:p>
        </w:tc>
        <w:tc>
          <w:tcPr>
            <w:tcW w:w="1985" w:type="dxa"/>
            <w:vAlign w:val="center"/>
          </w:tcPr>
          <w:p w14:paraId="67095E6D" w14:textId="57B7D7C0" w:rsidR="00AD1708" w:rsidRPr="00672AC2" w:rsidRDefault="00AD1708" w:rsidP="009C55FE">
            <w:pPr>
              <w:jc w:val="center"/>
              <w:rPr>
                <w:sz w:val="20"/>
                <w:szCs w:val="20"/>
                <w:lang w:val="es-CO"/>
              </w:rPr>
            </w:pPr>
            <w:r w:rsidRPr="00672AC2">
              <w:rPr>
                <w:sz w:val="20"/>
                <w:szCs w:val="20"/>
                <w:lang w:val="es-CO"/>
              </w:rPr>
              <w:t>11</w:t>
            </w:r>
          </w:p>
        </w:tc>
        <w:tc>
          <w:tcPr>
            <w:tcW w:w="3401" w:type="dxa"/>
            <w:vAlign w:val="center"/>
          </w:tcPr>
          <w:p w14:paraId="6D7867CB" w14:textId="3DEDFBB8" w:rsidR="00AD1708" w:rsidRPr="00672AC2" w:rsidRDefault="00C3309F" w:rsidP="009C55FE">
            <w:pPr>
              <w:jc w:val="center"/>
              <w:rPr>
                <w:sz w:val="20"/>
                <w:szCs w:val="20"/>
                <w:lang w:val="es-CO"/>
              </w:rPr>
            </w:pPr>
            <w:r w:rsidRPr="00672AC2">
              <w:rPr>
                <w:sz w:val="20"/>
                <w:szCs w:val="20"/>
                <w:lang w:val="es-CO"/>
              </w:rPr>
              <w:t>Parcial</w:t>
            </w:r>
          </w:p>
        </w:tc>
      </w:tr>
      <w:tr w:rsidR="00AD1708" w:rsidRPr="00672AC2" w14:paraId="127A5F60" w14:textId="77777777" w:rsidTr="009C55FE">
        <w:tc>
          <w:tcPr>
            <w:tcW w:w="3964" w:type="dxa"/>
            <w:vMerge/>
            <w:vAlign w:val="center"/>
          </w:tcPr>
          <w:p w14:paraId="4725437A" w14:textId="77777777" w:rsidR="00AD1708" w:rsidRPr="00672AC2" w:rsidRDefault="00AD1708" w:rsidP="00324500">
            <w:pPr>
              <w:jc w:val="center"/>
              <w:rPr>
                <w:sz w:val="20"/>
                <w:szCs w:val="20"/>
                <w:lang w:val="es-US"/>
              </w:rPr>
            </w:pPr>
          </w:p>
        </w:tc>
        <w:tc>
          <w:tcPr>
            <w:tcW w:w="1985" w:type="dxa"/>
            <w:vAlign w:val="center"/>
          </w:tcPr>
          <w:p w14:paraId="7B9A74E3" w14:textId="28200DD7" w:rsidR="00AD1708" w:rsidRPr="00672AC2" w:rsidRDefault="00AD1708" w:rsidP="009C55FE">
            <w:pPr>
              <w:jc w:val="center"/>
              <w:rPr>
                <w:sz w:val="20"/>
                <w:szCs w:val="20"/>
                <w:lang w:val="es-CO"/>
              </w:rPr>
            </w:pPr>
            <w:r w:rsidRPr="00672AC2">
              <w:rPr>
                <w:sz w:val="20"/>
                <w:szCs w:val="20"/>
                <w:lang w:val="es-CO"/>
              </w:rPr>
              <w:t>12</w:t>
            </w:r>
          </w:p>
        </w:tc>
        <w:tc>
          <w:tcPr>
            <w:tcW w:w="3401" w:type="dxa"/>
            <w:vAlign w:val="center"/>
          </w:tcPr>
          <w:p w14:paraId="6F8312EF" w14:textId="6DDE892D" w:rsidR="00AD1708" w:rsidRPr="00672AC2" w:rsidRDefault="00C3309F" w:rsidP="009C55FE">
            <w:pPr>
              <w:jc w:val="center"/>
              <w:rPr>
                <w:sz w:val="20"/>
                <w:szCs w:val="20"/>
                <w:lang w:val="es-CO"/>
              </w:rPr>
            </w:pPr>
            <w:r w:rsidRPr="00672AC2">
              <w:rPr>
                <w:sz w:val="20"/>
                <w:szCs w:val="20"/>
                <w:lang w:val="es-CO"/>
              </w:rPr>
              <w:t>Pendiente</w:t>
            </w:r>
          </w:p>
        </w:tc>
      </w:tr>
      <w:tr w:rsidR="00AD1708" w:rsidRPr="00672AC2" w14:paraId="7107A562" w14:textId="77777777" w:rsidTr="009C55FE">
        <w:tc>
          <w:tcPr>
            <w:tcW w:w="3964" w:type="dxa"/>
            <w:vMerge/>
            <w:vAlign w:val="center"/>
          </w:tcPr>
          <w:p w14:paraId="030517CB" w14:textId="77777777" w:rsidR="00AD1708" w:rsidRPr="00672AC2" w:rsidRDefault="00AD1708" w:rsidP="00324500">
            <w:pPr>
              <w:jc w:val="center"/>
              <w:rPr>
                <w:sz w:val="20"/>
                <w:szCs w:val="20"/>
                <w:lang w:val="es-US"/>
              </w:rPr>
            </w:pPr>
          </w:p>
        </w:tc>
        <w:tc>
          <w:tcPr>
            <w:tcW w:w="1985" w:type="dxa"/>
            <w:vAlign w:val="center"/>
          </w:tcPr>
          <w:p w14:paraId="756E7666" w14:textId="074149F4" w:rsidR="00AD1708" w:rsidRPr="00672AC2" w:rsidRDefault="00AD1708" w:rsidP="009C55FE">
            <w:pPr>
              <w:jc w:val="center"/>
              <w:rPr>
                <w:sz w:val="20"/>
                <w:szCs w:val="20"/>
                <w:lang w:val="es-CO"/>
              </w:rPr>
            </w:pPr>
            <w:r w:rsidRPr="00672AC2">
              <w:rPr>
                <w:sz w:val="20"/>
                <w:szCs w:val="20"/>
                <w:lang w:val="es-CO"/>
              </w:rPr>
              <w:t>13</w:t>
            </w:r>
          </w:p>
        </w:tc>
        <w:tc>
          <w:tcPr>
            <w:tcW w:w="3401" w:type="dxa"/>
            <w:vAlign w:val="center"/>
          </w:tcPr>
          <w:p w14:paraId="29C1207A" w14:textId="586B36C7" w:rsidR="00AD1708" w:rsidRPr="00672AC2" w:rsidRDefault="00336910" w:rsidP="009C55FE">
            <w:pPr>
              <w:jc w:val="center"/>
              <w:rPr>
                <w:sz w:val="20"/>
                <w:szCs w:val="20"/>
                <w:lang w:val="es-CO"/>
              </w:rPr>
            </w:pPr>
            <w:r>
              <w:rPr>
                <w:sz w:val="20"/>
                <w:szCs w:val="20"/>
                <w:lang w:val="es-CO"/>
              </w:rPr>
              <w:t>Parcial</w:t>
            </w:r>
          </w:p>
        </w:tc>
      </w:tr>
      <w:tr w:rsidR="00AD1708" w:rsidRPr="00672AC2" w14:paraId="10FFA2A7" w14:textId="77777777" w:rsidTr="009C55FE">
        <w:tc>
          <w:tcPr>
            <w:tcW w:w="3964" w:type="dxa"/>
            <w:vMerge/>
            <w:vAlign w:val="center"/>
          </w:tcPr>
          <w:p w14:paraId="1E740FAF" w14:textId="77777777" w:rsidR="00AD1708" w:rsidRPr="00672AC2" w:rsidRDefault="00AD1708" w:rsidP="00324500">
            <w:pPr>
              <w:jc w:val="center"/>
              <w:rPr>
                <w:sz w:val="20"/>
                <w:szCs w:val="20"/>
                <w:lang w:val="es-US"/>
              </w:rPr>
            </w:pPr>
          </w:p>
        </w:tc>
        <w:tc>
          <w:tcPr>
            <w:tcW w:w="1985" w:type="dxa"/>
            <w:vAlign w:val="center"/>
          </w:tcPr>
          <w:p w14:paraId="658A6EBC" w14:textId="299AC589" w:rsidR="00AD1708" w:rsidRPr="00672AC2" w:rsidRDefault="00AD1708" w:rsidP="009C55FE">
            <w:pPr>
              <w:jc w:val="center"/>
              <w:rPr>
                <w:sz w:val="20"/>
                <w:szCs w:val="20"/>
                <w:lang w:val="es-CO"/>
              </w:rPr>
            </w:pPr>
            <w:r w:rsidRPr="00672AC2">
              <w:rPr>
                <w:sz w:val="20"/>
                <w:szCs w:val="20"/>
                <w:lang w:val="es-CO"/>
              </w:rPr>
              <w:t>14</w:t>
            </w:r>
          </w:p>
        </w:tc>
        <w:tc>
          <w:tcPr>
            <w:tcW w:w="3401" w:type="dxa"/>
            <w:vAlign w:val="center"/>
          </w:tcPr>
          <w:p w14:paraId="0AC70B0D" w14:textId="20E59D7F" w:rsidR="00AD1708" w:rsidRPr="00672AC2" w:rsidRDefault="00C3309F" w:rsidP="009C55FE">
            <w:pPr>
              <w:jc w:val="center"/>
              <w:rPr>
                <w:b/>
                <w:bCs/>
                <w:sz w:val="20"/>
                <w:szCs w:val="20"/>
                <w:lang w:val="es-CO"/>
              </w:rPr>
            </w:pPr>
            <w:r w:rsidRPr="00672AC2">
              <w:rPr>
                <w:sz w:val="20"/>
                <w:szCs w:val="20"/>
                <w:lang w:val="es-CO"/>
              </w:rPr>
              <w:t>Pendiente</w:t>
            </w:r>
          </w:p>
        </w:tc>
      </w:tr>
      <w:tr w:rsidR="00AD1708" w:rsidRPr="00672AC2" w14:paraId="6D2F0C86" w14:textId="77777777" w:rsidTr="009C55FE">
        <w:tc>
          <w:tcPr>
            <w:tcW w:w="3964" w:type="dxa"/>
            <w:vMerge w:val="restart"/>
            <w:vAlign w:val="center"/>
          </w:tcPr>
          <w:p w14:paraId="10362BEA" w14:textId="5CD774AF" w:rsidR="00AD1708" w:rsidRPr="00672AC2" w:rsidRDefault="00AD1708" w:rsidP="00324500">
            <w:pPr>
              <w:jc w:val="center"/>
              <w:rPr>
                <w:sz w:val="20"/>
                <w:szCs w:val="20"/>
                <w:lang w:val="es-CO"/>
              </w:rPr>
            </w:pPr>
            <w:r w:rsidRPr="00672AC2">
              <w:rPr>
                <w:sz w:val="20"/>
                <w:szCs w:val="20"/>
                <w:lang w:val="es-US"/>
              </w:rPr>
              <w:t>Lucha contra la impunidad</w:t>
            </w:r>
          </w:p>
        </w:tc>
        <w:tc>
          <w:tcPr>
            <w:tcW w:w="1985" w:type="dxa"/>
            <w:vAlign w:val="center"/>
          </w:tcPr>
          <w:p w14:paraId="093F5D1E" w14:textId="6B0B87A5" w:rsidR="00AD1708" w:rsidRPr="00672AC2" w:rsidRDefault="00AD1708" w:rsidP="009C55FE">
            <w:pPr>
              <w:jc w:val="center"/>
              <w:rPr>
                <w:sz w:val="20"/>
                <w:szCs w:val="20"/>
                <w:lang w:val="es-CO"/>
              </w:rPr>
            </w:pPr>
            <w:r w:rsidRPr="00672AC2">
              <w:rPr>
                <w:sz w:val="20"/>
                <w:szCs w:val="20"/>
                <w:lang w:val="es-CO"/>
              </w:rPr>
              <w:t>15</w:t>
            </w:r>
          </w:p>
        </w:tc>
        <w:tc>
          <w:tcPr>
            <w:tcW w:w="3401" w:type="dxa"/>
            <w:vAlign w:val="center"/>
          </w:tcPr>
          <w:p w14:paraId="5EE408B6" w14:textId="16612AEE" w:rsidR="00AD1708" w:rsidRPr="00672AC2" w:rsidRDefault="00AD1708" w:rsidP="009C55FE">
            <w:pPr>
              <w:jc w:val="center"/>
              <w:rPr>
                <w:sz w:val="20"/>
                <w:szCs w:val="20"/>
                <w:lang w:val="es-CO"/>
              </w:rPr>
            </w:pPr>
            <w:r w:rsidRPr="00672AC2">
              <w:rPr>
                <w:sz w:val="20"/>
                <w:szCs w:val="20"/>
                <w:lang w:val="es-CO"/>
              </w:rPr>
              <w:t>Pendiente</w:t>
            </w:r>
          </w:p>
        </w:tc>
      </w:tr>
      <w:tr w:rsidR="00AD1708" w:rsidRPr="00672AC2" w14:paraId="619C52AB" w14:textId="77777777" w:rsidTr="009C55FE">
        <w:tc>
          <w:tcPr>
            <w:tcW w:w="3964" w:type="dxa"/>
            <w:vMerge/>
            <w:vAlign w:val="center"/>
          </w:tcPr>
          <w:p w14:paraId="02052DEB" w14:textId="77777777" w:rsidR="00AD1708" w:rsidRPr="00672AC2" w:rsidRDefault="00AD1708" w:rsidP="00324500">
            <w:pPr>
              <w:jc w:val="center"/>
              <w:rPr>
                <w:sz w:val="20"/>
                <w:szCs w:val="20"/>
                <w:lang w:val="es-US"/>
              </w:rPr>
            </w:pPr>
          </w:p>
        </w:tc>
        <w:tc>
          <w:tcPr>
            <w:tcW w:w="1985" w:type="dxa"/>
            <w:vAlign w:val="center"/>
          </w:tcPr>
          <w:p w14:paraId="1BBF347D" w14:textId="57A25F0E" w:rsidR="00AD1708" w:rsidRPr="00672AC2" w:rsidRDefault="00AD1708" w:rsidP="009C55FE">
            <w:pPr>
              <w:jc w:val="center"/>
              <w:rPr>
                <w:sz w:val="20"/>
                <w:szCs w:val="20"/>
                <w:lang w:val="es-CO"/>
              </w:rPr>
            </w:pPr>
            <w:r w:rsidRPr="00672AC2">
              <w:rPr>
                <w:sz w:val="20"/>
                <w:szCs w:val="20"/>
                <w:lang w:val="es-CO"/>
              </w:rPr>
              <w:t>16</w:t>
            </w:r>
          </w:p>
        </w:tc>
        <w:tc>
          <w:tcPr>
            <w:tcW w:w="3401" w:type="dxa"/>
            <w:vAlign w:val="center"/>
          </w:tcPr>
          <w:p w14:paraId="114D6805" w14:textId="0A14C27D" w:rsidR="00AD1708" w:rsidRPr="00672AC2" w:rsidRDefault="00AD1708" w:rsidP="009C55FE">
            <w:pPr>
              <w:jc w:val="center"/>
              <w:rPr>
                <w:sz w:val="20"/>
                <w:szCs w:val="20"/>
                <w:lang w:val="es-CO"/>
              </w:rPr>
            </w:pPr>
            <w:r w:rsidRPr="00672AC2">
              <w:rPr>
                <w:sz w:val="20"/>
                <w:szCs w:val="20"/>
                <w:lang w:val="es-CO"/>
              </w:rPr>
              <w:t>Parcial</w:t>
            </w:r>
          </w:p>
        </w:tc>
      </w:tr>
      <w:tr w:rsidR="00AD1708" w:rsidRPr="00672AC2" w14:paraId="12E4F422" w14:textId="77777777" w:rsidTr="009C55FE">
        <w:tc>
          <w:tcPr>
            <w:tcW w:w="3964" w:type="dxa"/>
            <w:vMerge/>
            <w:vAlign w:val="center"/>
          </w:tcPr>
          <w:p w14:paraId="15E3C61E" w14:textId="77777777" w:rsidR="00AD1708" w:rsidRPr="00672AC2" w:rsidRDefault="00AD1708" w:rsidP="00324500">
            <w:pPr>
              <w:jc w:val="center"/>
              <w:rPr>
                <w:sz w:val="20"/>
                <w:szCs w:val="20"/>
                <w:lang w:val="es-US"/>
              </w:rPr>
            </w:pPr>
          </w:p>
        </w:tc>
        <w:tc>
          <w:tcPr>
            <w:tcW w:w="1985" w:type="dxa"/>
            <w:vAlign w:val="center"/>
          </w:tcPr>
          <w:p w14:paraId="5E342E29" w14:textId="3782F2C3" w:rsidR="00AD1708" w:rsidRPr="00672AC2" w:rsidRDefault="00AD1708" w:rsidP="009C55FE">
            <w:pPr>
              <w:jc w:val="center"/>
              <w:rPr>
                <w:sz w:val="20"/>
                <w:szCs w:val="20"/>
                <w:lang w:val="es-CO"/>
              </w:rPr>
            </w:pPr>
            <w:r w:rsidRPr="00672AC2">
              <w:rPr>
                <w:sz w:val="20"/>
                <w:szCs w:val="20"/>
                <w:lang w:val="es-CO"/>
              </w:rPr>
              <w:t>17</w:t>
            </w:r>
          </w:p>
        </w:tc>
        <w:tc>
          <w:tcPr>
            <w:tcW w:w="3401" w:type="dxa"/>
            <w:vAlign w:val="center"/>
          </w:tcPr>
          <w:p w14:paraId="12DBBCC1" w14:textId="6A6095D6" w:rsidR="00AD1708" w:rsidRPr="00672AC2" w:rsidRDefault="00AD1708" w:rsidP="009C55FE">
            <w:pPr>
              <w:jc w:val="center"/>
              <w:rPr>
                <w:sz w:val="20"/>
                <w:szCs w:val="20"/>
                <w:lang w:val="es-CO"/>
              </w:rPr>
            </w:pPr>
            <w:r w:rsidRPr="00672AC2">
              <w:rPr>
                <w:sz w:val="20"/>
                <w:szCs w:val="20"/>
                <w:lang w:val="es-CO"/>
              </w:rPr>
              <w:t>Parcial</w:t>
            </w:r>
          </w:p>
        </w:tc>
      </w:tr>
      <w:tr w:rsidR="00AD1708" w:rsidRPr="00672AC2" w14:paraId="1AB7494E" w14:textId="77777777" w:rsidTr="009C55FE">
        <w:tc>
          <w:tcPr>
            <w:tcW w:w="3964" w:type="dxa"/>
            <w:vMerge/>
            <w:vAlign w:val="center"/>
          </w:tcPr>
          <w:p w14:paraId="60DCBAFD" w14:textId="77777777" w:rsidR="00AD1708" w:rsidRPr="00672AC2" w:rsidRDefault="00AD1708" w:rsidP="00324500">
            <w:pPr>
              <w:jc w:val="center"/>
              <w:rPr>
                <w:sz w:val="20"/>
                <w:szCs w:val="20"/>
                <w:lang w:val="es-US"/>
              </w:rPr>
            </w:pPr>
          </w:p>
        </w:tc>
        <w:tc>
          <w:tcPr>
            <w:tcW w:w="1985" w:type="dxa"/>
            <w:vAlign w:val="center"/>
          </w:tcPr>
          <w:p w14:paraId="0EFE645D" w14:textId="069E6785" w:rsidR="00AD1708" w:rsidRPr="00672AC2" w:rsidRDefault="00AD1708" w:rsidP="009C55FE">
            <w:pPr>
              <w:jc w:val="center"/>
              <w:rPr>
                <w:sz w:val="20"/>
                <w:szCs w:val="20"/>
                <w:lang w:val="es-CO"/>
              </w:rPr>
            </w:pPr>
            <w:r w:rsidRPr="00672AC2">
              <w:rPr>
                <w:sz w:val="20"/>
                <w:szCs w:val="20"/>
                <w:lang w:val="es-CO"/>
              </w:rPr>
              <w:t>18</w:t>
            </w:r>
          </w:p>
        </w:tc>
        <w:tc>
          <w:tcPr>
            <w:tcW w:w="3401" w:type="dxa"/>
            <w:vAlign w:val="center"/>
          </w:tcPr>
          <w:p w14:paraId="505CFF34" w14:textId="2CE6635C" w:rsidR="00AD1708" w:rsidRPr="00672AC2" w:rsidRDefault="00ED4786" w:rsidP="009C55FE">
            <w:pPr>
              <w:jc w:val="center"/>
              <w:rPr>
                <w:sz w:val="20"/>
                <w:szCs w:val="20"/>
                <w:lang w:val="es-CO"/>
              </w:rPr>
            </w:pPr>
            <w:r>
              <w:rPr>
                <w:sz w:val="20"/>
                <w:szCs w:val="20"/>
                <w:lang w:val="es-CO"/>
              </w:rPr>
              <w:t>Total</w:t>
            </w:r>
          </w:p>
        </w:tc>
      </w:tr>
      <w:tr w:rsidR="00AD1708" w:rsidRPr="00672AC2" w14:paraId="21FE9A6D" w14:textId="77777777" w:rsidTr="009C55FE">
        <w:tc>
          <w:tcPr>
            <w:tcW w:w="3964" w:type="dxa"/>
            <w:vMerge/>
            <w:vAlign w:val="center"/>
          </w:tcPr>
          <w:p w14:paraId="65F0024A" w14:textId="77777777" w:rsidR="00AD1708" w:rsidRPr="00672AC2" w:rsidRDefault="00AD1708" w:rsidP="00324500">
            <w:pPr>
              <w:jc w:val="center"/>
              <w:rPr>
                <w:sz w:val="20"/>
                <w:szCs w:val="20"/>
                <w:lang w:val="es-US"/>
              </w:rPr>
            </w:pPr>
          </w:p>
        </w:tc>
        <w:tc>
          <w:tcPr>
            <w:tcW w:w="1985" w:type="dxa"/>
            <w:vAlign w:val="center"/>
          </w:tcPr>
          <w:p w14:paraId="4394C53F" w14:textId="4A1C4784" w:rsidR="00AD1708" w:rsidRPr="00672AC2" w:rsidRDefault="00AD1708" w:rsidP="009C55FE">
            <w:pPr>
              <w:jc w:val="center"/>
              <w:rPr>
                <w:sz w:val="20"/>
                <w:szCs w:val="20"/>
                <w:lang w:val="es-CO"/>
              </w:rPr>
            </w:pPr>
            <w:r w:rsidRPr="00672AC2">
              <w:rPr>
                <w:sz w:val="20"/>
                <w:szCs w:val="20"/>
                <w:lang w:val="es-CO"/>
              </w:rPr>
              <w:t>19</w:t>
            </w:r>
          </w:p>
        </w:tc>
        <w:tc>
          <w:tcPr>
            <w:tcW w:w="3401" w:type="dxa"/>
            <w:vAlign w:val="center"/>
          </w:tcPr>
          <w:p w14:paraId="3D5FDF19" w14:textId="28A2852A" w:rsidR="00AD1708" w:rsidRPr="00672AC2" w:rsidRDefault="00AD1708" w:rsidP="009C55FE">
            <w:pPr>
              <w:jc w:val="center"/>
              <w:rPr>
                <w:sz w:val="20"/>
                <w:szCs w:val="20"/>
                <w:lang w:val="es-CO"/>
              </w:rPr>
            </w:pPr>
            <w:r w:rsidRPr="00672AC2">
              <w:rPr>
                <w:sz w:val="20"/>
                <w:szCs w:val="20"/>
                <w:lang w:val="es-CO"/>
              </w:rPr>
              <w:t>Pendiente</w:t>
            </w:r>
          </w:p>
        </w:tc>
      </w:tr>
      <w:tr w:rsidR="00AD1708" w:rsidRPr="00672AC2" w14:paraId="6825DF39" w14:textId="77777777" w:rsidTr="00AD1708">
        <w:tc>
          <w:tcPr>
            <w:tcW w:w="3964" w:type="dxa"/>
            <w:vMerge/>
          </w:tcPr>
          <w:p w14:paraId="619A962D" w14:textId="77777777" w:rsidR="00AD1708" w:rsidRPr="00672AC2" w:rsidRDefault="00AD1708" w:rsidP="00324500">
            <w:pPr>
              <w:jc w:val="center"/>
              <w:rPr>
                <w:sz w:val="20"/>
                <w:szCs w:val="20"/>
                <w:lang w:val="es-US"/>
              </w:rPr>
            </w:pPr>
          </w:p>
        </w:tc>
        <w:tc>
          <w:tcPr>
            <w:tcW w:w="1985" w:type="dxa"/>
          </w:tcPr>
          <w:p w14:paraId="02801F55" w14:textId="55CCED76" w:rsidR="00AD1708" w:rsidRPr="00672AC2" w:rsidRDefault="00AD1708" w:rsidP="00AD1708">
            <w:pPr>
              <w:jc w:val="center"/>
              <w:rPr>
                <w:sz w:val="20"/>
                <w:szCs w:val="20"/>
                <w:lang w:val="es-CO"/>
              </w:rPr>
            </w:pPr>
            <w:r w:rsidRPr="00672AC2">
              <w:rPr>
                <w:sz w:val="20"/>
                <w:szCs w:val="20"/>
                <w:lang w:val="es-CO"/>
              </w:rPr>
              <w:t>20</w:t>
            </w:r>
          </w:p>
        </w:tc>
        <w:tc>
          <w:tcPr>
            <w:tcW w:w="3401" w:type="dxa"/>
          </w:tcPr>
          <w:p w14:paraId="083EB156" w14:textId="2E059E9C" w:rsidR="00AD1708" w:rsidRPr="00672AC2" w:rsidRDefault="00AD1708" w:rsidP="00324500">
            <w:pPr>
              <w:jc w:val="center"/>
              <w:rPr>
                <w:sz w:val="20"/>
                <w:szCs w:val="20"/>
                <w:lang w:val="es-CO"/>
              </w:rPr>
            </w:pPr>
            <w:r w:rsidRPr="00672AC2">
              <w:rPr>
                <w:sz w:val="20"/>
                <w:szCs w:val="20"/>
                <w:lang w:val="es-CO"/>
              </w:rPr>
              <w:t>Parcial</w:t>
            </w:r>
          </w:p>
        </w:tc>
      </w:tr>
      <w:tr w:rsidR="00AD1708" w:rsidRPr="00672AC2" w14:paraId="23A71C1E" w14:textId="77777777" w:rsidTr="00AD1708">
        <w:tc>
          <w:tcPr>
            <w:tcW w:w="3964" w:type="dxa"/>
            <w:vMerge w:val="restart"/>
          </w:tcPr>
          <w:p w14:paraId="41006BCA" w14:textId="49A37003" w:rsidR="00AD1708" w:rsidRPr="00672AC2" w:rsidRDefault="00AD1708" w:rsidP="00324500">
            <w:pPr>
              <w:jc w:val="center"/>
              <w:rPr>
                <w:sz w:val="20"/>
                <w:szCs w:val="20"/>
                <w:lang w:val="es-CO"/>
              </w:rPr>
            </w:pPr>
            <w:r w:rsidRPr="00672AC2">
              <w:rPr>
                <w:sz w:val="20"/>
                <w:szCs w:val="20"/>
                <w:lang w:val="es-ES"/>
              </w:rPr>
              <w:t>Institucionalidad democrática</w:t>
            </w:r>
          </w:p>
        </w:tc>
        <w:tc>
          <w:tcPr>
            <w:tcW w:w="1985" w:type="dxa"/>
          </w:tcPr>
          <w:p w14:paraId="4833E8A4" w14:textId="1AA41266" w:rsidR="00AD1708" w:rsidRPr="00672AC2" w:rsidRDefault="00AD1708" w:rsidP="00AD1708">
            <w:pPr>
              <w:jc w:val="center"/>
              <w:rPr>
                <w:sz w:val="20"/>
                <w:szCs w:val="20"/>
                <w:lang w:val="es-CO"/>
              </w:rPr>
            </w:pPr>
            <w:r w:rsidRPr="00672AC2">
              <w:rPr>
                <w:sz w:val="20"/>
                <w:szCs w:val="20"/>
                <w:lang w:val="es-CO"/>
              </w:rPr>
              <w:t>21</w:t>
            </w:r>
          </w:p>
        </w:tc>
        <w:tc>
          <w:tcPr>
            <w:tcW w:w="3401" w:type="dxa"/>
          </w:tcPr>
          <w:p w14:paraId="0A70C7A1" w14:textId="1577F881" w:rsidR="00AD1708" w:rsidRPr="00672AC2" w:rsidRDefault="00AD1708" w:rsidP="00324500">
            <w:pPr>
              <w:jc w:val="center"/>
              <w:rPr>
                <w:sz w:val="20"/>
                <w:szCs w:val="20"/>
                <w:lang w:val="es-CO"/>
              </w:rPr>
            </w:pPr>
            <w:r w:rsidRPr="00672AC2">
              <w:rPr>
                <w:sz w:val="20"/>
                <w:szCs w:val="20"/>
                <w:lang w:val="es-CO"/>
              </w:rPr>
              <w:t>Pendiente</w:t>
            </w:r>
          </w:p>
        </w:tc>
      </w:tr>
      <w:tr w:rsidR="00AD1708" w:rsidRPr="00672AC2" w14:paraId="5D581E9D" w14:textId="77777777" w:rsidTr="00AD1708">
        <w:tc>
          <w:tcPr>
            <w:tcW w:w="3964" w:type="dxa"/>
            <w:vMerge/>
          </w:tcPr>
          <w:p w14:paraId="5B3DAD43" w14:textId="77777777" w:rsidR="00AD1708" w:rsidRPr="00672AC2" w:rsidRDefault="00AD1708" w:rsidP="00324500">
            <w:pPr>
              <w:jc w:val="center"/>
              <w:rPr>
                <w:sz w:val="20"/>
                <w:szCs w:val="20"/>
                <w:lang w:val="es-ES"/>
              </w:rPr>
            </w:pPr>
          </w:p>
        </w:tc>
        <w:tc>
          <w:tcPr>
            <w:tcW w:w="1985" w:type="dxa"/>
          </w:tcPr>
          <w:p w14:paraId="682CBB61" w14:textId="18DADE09" w:rsidR="00AD1708" w:rsidRPr="00672AC2" w:rsidRDefault="00AD1708" w:rsidP="00AD1708">
            <w:pPr>
              <w:jc w:val="center"/>
              <w:rPr>
                <w:sz w:val="20"/>
                <w:szCs w:val="20"/>
                <w:lang w:val="es-CO"/>
              </w:rPr>
            </w:pPr>
            <w:r w:rsidRPr="00672AC2">
              <w:rPr>
                <w:sz w:val="20"/>
                <w:szCs w:val="20"/>
                <w:lang w:val="es-CO"/>
              </w:rPr>
              <w:t>22</w:t>
            </w:r>
          </w:p>
        </w:tc>
        <w:tc>
          <w:tcPr>
            <w:tcW w:w="3401" w:type="dxa"/>
          </w:tcPr>
          <w:p w14:paraId="171D627D" w14:textId="0FE44F18" w:rsidR="00AD1708" w:rsidRPr="00672AC2" w:rsidRDefault="00AD1708" w:rsidP="00324500">
            <w:pPr>
              <w:jc w:val="center"/>
              <w:rPr>
                <w:sz w:val="20"/>
                <w:szCs w:val="20"/>
                <w:lang w:val="es-CO"/>
              </w:rPr>
            </w:pPr>
            <w:r w:rsidRPr="00672AC2">
              <w:rPr>
                <w:sz w:val="20"/>
                <w:szCs w:val="20"/>
                <w:lang w:val="es-CO"/>
              </w:rPr>
              <w:t>Pendiente</w:t>
            </w:r>
          </w:p>
        </w:tc>
      </w:tr>
      <w:tr w:rsidR="00AD1708" w:rsidRPr="00672AC2" w14:paraId="06183499" w14:textId="77777777" w:rsidTr="00AD1708">
        <w:tc>
          <w:tcPr>
            <w:tcW w:w="3964" w:type="dxa"/>
            <w:vMerge/>
          </w:tcPr>
          <w:p w14:paraId="061FD6D1" w14:textId="77777777" w:rsidR="00AD1708" w:rsidRPr="00672AC2" w:rsidRDefault="00AD1708" w:rsidP="00324500">
            <w:pPr>
              <w:jc w:val="center"/>
              <w:rPr>
                <w:sz w:val="20"/>
                <w:szCs w:val="20"/>
                <w:lang w:val="es-ES"/>
              </w:rPr>
            </w:pPr>
          </w:p>
        </w:tc>
        <w:tc>
          <w:tcPr>
            <w:tcW w:w="1985" w:type="dxa"/>
          </w:tcPr>
          <w:p w14:paraId="0E80CB0C" w14:textId="40150335" w:rsidR="00AD1708" w:rsidRPr="00672AC2" w:rsidRDefault="00AD1708" w:rsidP="00AD1708">
            <w:pPr>
              <w:jc w:val="center"/>
              <w:rPr>
                <w:sz w:val="20"/>
                <w:szCs w:val="20"/>
                <w:lang w:val="es-CO"/>
              </w:rPr>
            </w:pPr>
            <w:r w:rsidRPr="00672AC2">
              <w:rPr>
                <w:sz w:val="20"/>
                <w:szCs w:val="20"/>
                <w:lang w:val="es-CO"/>
              </w:rPr>
              <w:t>23</w:t>
            </w:r>
          </w:p>
        </w:tc>
        <w:tc>
          <w:tcPr>
            <w:tcW w:w="3401" w:type="dxa"/>
          </w:tcPr>
          <w:p w14:paraId="7DFA4AE5" w14:textId="44BAF754" w:rsidR="00AD1708" w:rsidRPr="00672AC2" w:rsidRDefault="00AD1708" w:rsidP="00324500">
            <w:pPr>
              <w:jc w:val="center"/>
              <w:rPr>
                <w:sz w:val="20"/>
                <w:szCs w:val="20"/>
                <w:lang w:val="es-CO"/>
              </w:rPr>
            </w:pPr>
            <w:r w:rsidRPr="00672AC2">
              <w:rPr>
                <w:sz w:val="20"/>
                <w:szCs w:val="20"/>
                <w:lang w:val="es-CO"/>
              </w:rPr>
              <w:t>Pendiente</w:t>
            </w:r>
          </w:p>
        </w:tc>
      </w:tr>
      <w:tr w:rsidR="00AD1708" w:rsidRPr="00672AC2" w14:paraId="230B091A" w14:textId="77777777" w:rsidTr="00AD1708">
        <w:tc>
          <w:tcPr>
            <w:tcW w:w="3964" w:type="dxa"/>
            <w:vMerge/>
          </w:tcPr>
          <w:p w14:paraId="0691FB53" w14:textId="77777777" w:rsidR="00AD1708" w:rsidRPr="00672AC2" w:rsidRDefault="00AD1708" w:rsidP="00324500">
            <w:pPr>
              <w:jc w:val="center"/>
              <w:rPr>
                <w:sz w:val="20"/>
                <w:szCs w:val="20"/>
                <w:lang w:val="es-ES"/>
              </w:rPr>
            </w:pPr>
          </w:p>
        </w:tc>
        <w:tc>
          <w:tcPr>
            <w:tcW w:w="1985" w:type="dxa"/>
          </w:tcPr>
          <w:p w14:paraId="296358EC" w14:textId="170F348F" w:rsidR="00AD1708" w:rsidRPr="00672AC2" w:rsidRDefault="00AD1708" w:rsidP="00AD1708">
            <w:pPr>
              <w:jc w:val="center"/>
              <w:rPr>
                <w:sz w:val="20"/>
                <w:szCs w:val="20"/>
                <w:lang w:val="es-CO"/>
              </w:rPr>
            </w:pPr>
            <w:r w:rsidRPr="00672AC2">
              <w:rPr>
                <w:sz w:val="20"/>
                <w:szCs w:val="20"/>
                <w:lang w:val="es-CO"/>
              </w:rPr>
              <w:t>24</w:t>
            </w:r>
          </w:p>
        </w:tc>
        <w:tc>
          <w:tcPr>
            <w:tcW w:w="3401" w:type="dxa"/>
          </w:tcPr>
          <w:p w14:paraId="6357314B" w14:textId="1D7E923F" w:rsidR="00AD1708" w:rsidRPr="00672AC2" w:rsidRDefault="002D725A" w:rsidP="00324500">
            <w:pPr>
              <w:jc w:val="center"/>
              <w:rPr>
                <w:sz w:val="20"/>
                <w:szCs w:val="20"/>
                <w:lang w:val="es-CO"/>
              </w:rPr>
            </w:pPr>
            <w:r>
              <w:rPr>
                <w:sz w:val="20"/>
                <w:szCs w:val="20"/>
                <w:lang w:val="es-CO"/>
              </w:rPr>
              <w:t>Parcial</w:t>
            </w:r>
          </w:p>
        </w:tc>
      </w:tr>
      <w:tr w:rsidR="00AD1708" w:rsidRPr="00672AC2" w14:paraId="3D519797" w14:textId="77777777" w:rsidTr="00AD1708">
        <w:tc>
          <w:tcPr>
            <w:tcW w:w="3964" w:type="dxa"/>
            <w:vMerge/>
          </w:tcPr>
          <w:p w14:paraId="0F8A9203" w14:textId="77777777" w:rsidR="00AD1708" w:rsidRPr="00672AC2" w:rsidRDefault="00AD1708" w:rsidP="00324500">
            <w:pPr>
              <w:jc w:val="center"/>
              <w:rPr>
                <w:sz w:val="20"/>
                <w:szCs w:val="20"/>
                <w:lang w:val="es-ES"/>
              </w:rPr>
            </w:pPr>
          </w:p>
        </w:tc>
        <w:tc>
          <w:tcPr>
            <w:tcW w:w="1985" w:type="dxa"/>
          </w:tcPr>
          <w:p w14:paraId="52104279" w14:textId="2A21483A" w:rsidR="00AD1708" w:rsidRPr="00672AC2" w:rsidRDefault="00AD1708" w:rsidP="00AD1708">
            <w:pPr>
              <w:jc w:val="center"/>
              <w:rPr>
                <w:sz w:val="20"/>
                <w:szCs w:val="20"/>
                <w:lang w:val="es-CO"/>
              </w:rPr>
            </w:pPr>
            <w:r w:rsidRPr="00672AC2">
              <w:rPr>
                <w:sz w:val="20"/>
                <w:szCs w:val="20"/>
                <w:lang w:val="es-CO"/>
              </w:rPr>
              <w:t>25</w:t>
            </w:r>
          </w:p>
        </w:tc>
        <w:tc>
          <w:tcPr>
            <w:tcW w:w="3401" w:type="dxa"/>
          </w:tcPr>
          <w:p w14:paraId="54D2FD70" w14:textId="007B669E" w:rsidR="00AD1708" w:rsidRPr="00672AC2" w:rsidRDefault="00AD1708" w:rsidP="00324500">
            <w:pPr>
              <w:jc w:val="center"/>
              <w:rPr>
                <w:sz w:val="20"/>
                <w:szCs w:val="20"/>
                <w:lang w:val="es-CO"/>
              </w:rPr>
            </w:pPr>
            <w:r w:rsidRPr="00672AC2">
              <w:rPr>
                <w:sz w:val="20"/>
                <w:szCs w:val="20"/>
                <w:lang w:val="es-CO"/>
              </w:rPr>
              <w:t>Pendiente</w:t>
            </w:r>
          </w:p>
        </w:tc>
      </w:tr>
      <w:tr w:rsidR="00AD1708" w:rsidRPr="00672AC2" w14:paraId="3DE130DB" w14:textId="77777777" w:rsidTr="00AD1708">
        <w:tc>
          <w:tcPr>
            <w:tcW w:w="3964" w:type="dxa"/>
            <w:vMerge/>
          </w:tcPr>
          <w:p w14:paraId="3704D553" w14:textId="77777777" w:rsidR="00AD1708" w:rsidRPr="00672AC2" w:rsidRDefault="00AD1708" w:rsidP="00324500">
            <w:pPr>
              <w:jc w:val="center"/>
              <w:rPr>
                <w:sz w:val="20"/>
                <w:szCs w:val="20"/>
                <w:lang w:val="es-ES"/>
              </w:rPr>
            </w:pPr>
          </w:p>
        </w:tc>
        <w:tc>
          <w:tcPr>
            <w:tcW w:w="1985" w:type="dxa"/>
          </w:tcPr>
          <w:p w14:paraId="4F789D0E" w14:textId="7FDA2811" w:rsidR="00AD1708" w:rsidRPr="00672AC2" w:rsidRDefault="00AD1708" w:rsidP="00AD1708">
            <w:pPr>
              <w:jc w:val="center"/>
              <w:rPr>
                <w:sz w:val="20"/>
                <w:szCs w:val="20"/>
                <w:lang w:val="es-CO"/>
              </w:rPr>
            </w:pPr>
            <w:r w:rsidRPr="00672AC2">
              <w:rPr>
                <w:sz w:val="20"/>
                <w:szCs w:val="20"/>
                <w:lang w:val="es-CO"/>
              </w:rPr>
              <w:t>26</w:t>
            </w:r>
          </w:p>
        </w:tc>
        <w:tc>
          <w:tcPr>
            <w:tcW w:w="3401" w:type="dxa"/>
          </w:tcPr>
          <w:p w14:paraId="612E0776" w14:textId="191C624A" w:rsidR="00AD1708" w:rsidRPr="00672AC2" w:rsidRDefault="00AD1708" w:rsidP="00324500">
            <w:pPr>
              <w:jc w:val="center"/>
              <w:rPr>
                <w:sz w:val="20"/>
                <w:szCs w:val="20"/>
                <w:lang w:val="es-CO"/>
              </w:rPr>
            </w:pPr>
            <w:r w:rsidRPr="00672AC2">
              <w:rPr>
                <w:sz w:val="20"/>
                <w:szCs w:val="20"/>
                <w:lang w:val="es-CO"/>
              </w:rPr>
              <w:t>Pendiente</w:t>
            </w:r>
          </w:p>
        </w:tc>
      </w:tr>
      <w:tr w:rsidR="00AD1708" w:rsidRPr="00672AC2" w14:paraId="615E5581" w14:textId="77777777" w:rsidTr="00AD1708">
        <w:tc>
          <w:tcPr>
            <w:tcW w:w="3964" w:type="dxa"/>
            <w:vMerge/>
          </w:tcPr>
          <w:p w14:paraId="37E53E71" w14:textId="77777777" w:rsidR="00AD1708" w:rsidRPr="00672AC2" w:rsidRDefault="00AD1708" w:rsidP="00324500">
            <w:pPr>
              <w:jc w:val="center"/>
              <w:rPr>
                <w:sz w:val="20"/>
                <w:szCs w:val="20"/>
                <w:lang w:val="es-ES"/>
              </w:rPr>
            </w:pPr>
          </w:p>
        </w:tc>
        <w:tc>
          <w:tcPr>
            <w:tcW w:w="1985" w:type="dxa"/>
          </w:tcPr>
          <w:p w14:paraId="70994020" w14:textId="087FFD3C" w:rsidR="00AD1708" w:rsidRPr="00672AC2" w:rsidRDefault="00AD1708" w:rsidP="00AD1708">
            <w:pPr>
              <w:jc w:val="center"/>
              <w:rPr>
                <w:sz w:val="20"/>
                <w:szCs w:val="20"/>
                <w:lang w:val="es-CO"/>
              </w:rPr>
            </w:pPr>
            <w:r w:rsidRPr="00672AC2">
              <w:rPr>
                <w:sz w:val="20"/>
                <w:szCs w:val="20"/>
                <w:lang w:val="es-CO"/>
              </w:rPr>
              <w:t>27</w:t>
            </w:r>
          </w:p>
        </w:tc>
        <w:tc>
          <w:tcPr>
            <w:tcW w:w="3401" w:type="dxa"/>
          </w:tcPr>
          <w:p w14:paraId="423E0BFA" w14:textId="70F36EC6" w:rsidR="00AD1708" w:rsidRPr="00672AC2" w:rsidRDefault="00AD1708" w:rsidP="00324500">
            <w:pPr>
              <w:jc w:val="center"/>
              <w:rPr>
                <w:sz w:val="20"/>
                <w:szCs w:val="20"/>
                <w:lang w:val="es-CO"/>
              </w:rPr>
            </w:pPr>
            <w:r w:rsidRPr="00672AC2">
              <w:rPr>
                <w:sz w:val="20"/>
                <w:szCs w:val="20"/>
                <w:lang w:val="es-CO"/>
              </w:rPr>
              <w:t>Pendiente</w:t>
            </w:r>
          </w:p>
        </w:tc>
      </w:tr>
      <w:tr w:rsidR="00AD1708" w:rsidRPr="00672AC2" w14:paraId="7FB9FF53" w14:textId="77777777" w:rsidTr="00AD1708">
        <w:tc>
          <w:tcPr>
            <w:tcW w:w="3964" w:type="dxa"/>
            <w:vMerge w:val="restart"/>
          </w:tcPr>
          <w:p w14:paraId="5CEE8051" w14:textId="73E2A189" w:rsidR="00AD1708" w:rsidRPr="00672AC2" w:rsidRDefault="00AD1708" w:rsidP="00324500">
            <w:pPr>
              <w:jc w:val="center"/>
              <w:rPr>
                <w:sz w:val="20"/>
                <w:szCs w:val="20"/>
                <w:lang w:val="es-CO"/>
              </w:rPr>
            </w:pPr>
            <w:r w:rsidRPr="00672AC2">
              <w:rPr>
                <w:sz w:val="20"/>
                <w:szCs w:val="20"/>
                <w:lang w:val="es-ES"/>
              </w:rPr>
              <w:t>Libertad de expresión, reunión y asociación</w:t>
            </w:r>
          </w:p>
        </w:tc>
        <w:tc>
          <w:tcPr>
            <w:tcW w:w="1985" w:type="dxa"/>
          </w:tcPr>
          <w:p w14:paraId="44BD7FF6" w14:textId="683662EC" w:rsidR="00AD1708" w:rsidRPr="00672AC2" w:rsidRDefault="00AD1708" w:rsidP="00AD1708">
            <w:pPr>
              <w:jc w:val="center"/>
              <w:rPr>
                <w:sz w:val="20"/>
                <w:szCs w:val="20"/>
                <w:lang w:val="es-CO"/>
              </w:rPr>
            </w:pPr>
            <w:r w:rsidRPr="00672AC2">
              <w:rPr>
                <w:sz w:val="20"/>
                <w:szCs w:val="20"/>
                <w:lang w:val="es-CO"/>
              </w:rPr>
              <w:t>28</w:t>
            </w:r>
          </w:p>
        </w:tc>
        <w:tc>
          <w:tcPr>
            <w:tcW w:w="3401" w:type="dxa"/>
          </w:tcPr>
          <w:p w14:paraId="34E2E6B8" w14:textId="2F8A453D" w:rsidR="00AD1708" w:rsidRPr="00672AC2" w:rsidRDefault="00AD1708" w:rsidP="00324500">
            <w:pPr>
              <w:jc w:val="center"/>
              <w:rPr>
                <w:sz w:val="20"/>
                <w:szCs w:val="20"/>
                <w:lang w:val="es-CO"/>
              </w:rPr>
            </w:pPr>
            <w:r w:rsidRPr="00672AC2">
              <w:rPr>
                <w:sz w:val="20"/>
                <w:szCs w:val="20"/>
                <w:lang w:val="es-CO"/>
              </w:rPr>
              <w:t>Pendiente</w:t>
            </w:r>
          </w:p>
        </w:tc>
      </w:tr>
      <w:tr w:rsidR="00AD1708" w:rsidRPr="00672AC2" w14:paraId="759EC1DF" w14:textId="77777777" w:rsidTr="00AD1708">
        <w:tc>
          <w:tcPr>
            <w:tcW w:w="3964" w:type="dxa"/>
            <w:vMerge/>
          </w:tcPr>
          <w:p w14:paraId="08BF3C0E" w14:textId="77777777" w:rsidR="00AD1708" w:rsidRPr="00672AC2" w:rsidRDefault="00AD1708" w:rsidP="00324500">
            <w:pPr>
              <w:jc w:val="center"/>
              <w:rPr>
                <w:sz w:val="20"/>
                <w:szCs w:val="20"/>
                <w:lang w:val="es-ES"/>
              </w:rPr>
            </w:pPr>
          </w:p>
        </w:tc>
        <w:tc>
          <w:tcPr>
            <w:tcW w:w="1985" w:type="dxa"/>
          </w:tcPr>
          <w:p w14:paraId="2B6F95DE" w14:textId="3B25A2D7" w:rsidR="00AD1708" w:rsidRPr="00672AC2" w:rsidRDefault="00AD1708" w:rsidP="00AD1708">
            <w:pPr>
              <w:jc w:val="center"/>
              <w:rPr>
                <w:sz w:val="20"/>
                <w:szCs w:val="20"/>
                <w:lang w:val="es-CO"/>
              </w:rPr>
            </w:pPr>
            <w:r w:rsidRPr="00672AC2">
              <w:rPr>
                <w:sz w:val="20"/>
                <w:szCs w:val="20"/>
                <w:lang w:val="es-CO"/>
              </w:rPr>
              <w:t>29</w:t>
            </w:r>
          </w:p>
        </w:tc>
        <w:tc>
          <w:tcPr>
            <w:tcW w:w="3401" w:type="dxa"/>
          </w:tcPr>
          <w:p w14:paraId="72D522A3" w14:textId="74908378" w:rsidR="00AD1708" w:rsidRPr="00672AC2" w:rsidRDefault="00AD1708" w:rsidP="00324500">
            <w:pPr>
              <w:jc w:val="center"/>
              <w:rPr>
                <w:sz w:val="20"/>
                <w:szCs w:val="20"/>
                <w:lang w:val="es-CO"/>
              </w:rPr>
            </w:pPr>
            <w:r w:rsidRPr="00672AC2">
              <w:rPr>
                <w:sz w:val="20"/>
                <w:szCs w:val="20"/>
                <w:lang w:val="es-CO"/>
              </w:rPr>
              <w:t>Parcial</w:t>
            </w:r>
          </w:p>
        </w:tc>
      </w:tr>
      <w:tr w:rsidR="00AD1708" w:rsidRPr="00672AC2" w14:paraId="1A6A5F5B" w14:textId="77777777" w:rsidTr="00AD1708">
        <w:tc>
          <w:tcPr>
            <w:tcW w:w="3964" w:type="dxa"/>
            <w:vMerge/>
          </w:tcPr>
          <w:p w14:paraId="3F68BEA3" w14:textId="77777777" w:rsidR="00AD1708" w:rsidRPr="00672AC2" w:rsidRDefault="00AD1708" w:rsidP="00324500">
            <w:pPr>
              <w:jc w:val="center"/>
              <w:rPr>
                <w:sz w:val="20"/>
                <w:szCs w:val="20"/>
                <w:lang w:val="es-ES"/>
              </w:rPr>
            </w:pPr>
          </w:p>
        </w:tc>
        <w:tc>
          <w:tcPr>
            <w:tcW w:w="1985" w:type="dxa"/>
          </w:tcPr>
          <w:p w14:paraId="30665393" w14:textId="43FA008A" w:rsidR="00AD1708" w:rsidRPr="00672AC2" w:rsidRDefault="00AD1708" w:rsidP="00AD1708">
            <w:pPr>
              <w:jc w:val="center"/>
              <w:rPr>
                <w:sz w:val="20"/>
                <w:szCs w:val="20"/>
                <w:lang w:val="es-CO"/>
              </w:rPr>
            </w:pPr>
            <w:r w:rsidRPr="00672AC2">
              <w:rPr>
                <w:sz w:val="20"/>
                <w:szCs w:val="20"/>
                <w:lang w:val="es-CO"/>
              </w:rPr>
              <w:t>30</w:t>
            </w:r>
          </w:p>
        </w:tc>
        <w:tc>
          <w:tcPr>
            <w:tcW w:w="3401" w:type="dxa"/>
          </w:tcPr>
          <w:p w14:paraId="60A0F881" w14:textId="668EF0BA" w:rsidR="00AD1708" w:rsidRPr="00672AC2" w:rsidRDefault="00AD1708" w:rsidP="00324500">
            <w:pPr>
              <w:jc w:val="center"/>
              <w:rPr>
                <w:b/>
                <w:bCs/>
                <w:sz w:val="20"/>
                <w:szCs w:val="20"/>
                <w:lang w:val="es-CO"/>
              </w:rPr>
            </w:pPr>
            <w:r w:rsidRPr="00672AC2">
              <w:rPr>
                <w:sz w:val="20"/>
                <w:szCs w:val="20"/>
                <w:lang w:val="es-CO"/>
              </w:rPr>
              <w:t>Pendiente</w:t>
            </w:r>
          </w:p>
        </w:tc>
      </w:tr>
      <w:tr w:rsidR="00AD1708" w:rsidRPr="00672AC2" w14:paraId="72AE2011" w14:textId="77777777" w:rsidTr="00AD1708">
        <w:tc>
          <w:tcPr>
            <w:tcW w:w="3964" w:type="dxa"/>
            <w:vMerge/>
          </w:tcPr>
          <w:p w14:paraId="5FF9081B" w14:textId="77777777" w:rsidR="00AD1708" w:rsidRPr="00672AC2" w:rsidRDefault="00AD1708" w:rsidP="00324500">
            <w:pPr>
              <w:jc w:val="center"/>
              <w:rPr>
                <w:sz w:val="20"/>
                <w:szCs w:val="20"/>
                <w:lang w:val="es-ES"/>
              </w:rPr>
            </w:pPr>
          </w:p>
        </w:tc>
        <w:tc>
          <w:tcPr>
            <w:tcW w:w="1985" w:type="dxa"/>
          </w:tcPr>
          <w:p w14:paraId="6FB8ED44" w14:textId="63A576C1" w:rsidR="00AD1708" w:rsidRPr="00672AC2" w:rsidRDefault="00AD1708" w:rsidP="00AD1708">
            <w:pPr>
              <w:jc w:val="center"/>
              <w:rPr>
                <w:sz w:val="20"/>
                <w:szCs w:val="20"/>
                <w:lang w:val="es-CO"/>
              </w:rPr>
            </w:pPr>
            <w:r w:rsidRPr="00672AC2">
              <w:rPr>
                <w:sz w:val="20"/>
                <w:szCs w:val="20"/>
                <w:lang w:val="es-CO"/>
              </w:rPr>
              <w:t>31</w:t>
            </w:r>
          </w:p>
        </w:tc>
        <w:tc>
          <w:tcPr>
            <w:tcW w:w="3401" w:type="dxa"/>
          </w:tcPr>
          <w:p w14:paraId="24733467" w14:textId="1058C481" w:rsidR="00AD1708" w:rsidRPr="00672AC2" w:rsidRDefault="00AD1708" w:rsidP="00324500">
            <w:pPr>
              <w:jc w:val="center"/>
              <w:rPr>
                <w:sz w:val="20"/>
                <w:szCs w:val="20"/>
                <w:lang w:val="es-CO"/>
              </w:rPr>
            </w:pPr>
            <w:r w:rsidRPr="00672AC2">
              <w:rPr>
                <w:sz w:val="20"/>
                <w:szCs w:val="20"/>
                <w:lang w:val="es-CO"/>
              </w:rPr>
              <w:t>Pendiente</w:t>
            </w:r>
          </w:p>
        </w:tc>
      </w:tr>
      <w:tr w:rsidR="00AD1708" w:rsidRPr="00672AC2" w14:paraId="261CD3AA" w14:textId="77777777" w:rsidTr="00AD1708">
        <w:tc>
          <w:tcPr>
            <w:tcW w:w="3964" w:type="dxa"/>
            <w:vMerge/>
          </w:tcPr>
          <w:p w14:paraId="57DAE257" w14:textId="77777777" w:rsidR="00AD1708" w:rsidRPr="00672AC2" w:rsidRDefault="00AD1708" w:rsidP="00324500">
            <w:pPr>
              <w:jc w:val="center"/>
              <w:rPr>
                <w:sz w:val="20"/>
                <w:szCs w:val="20"/>
                <w:lang w:val="es-ES"/>
              </w:rPr>
            </w:pPr>
          </w:p>
        </w:tc>
        <w:tc>
          <w:tcPr>
            <w:tcW w:w="1985" w:type="dxa"/>
          </w:tcPr>
          <w:p w14:paraId="0329F668" w14:textId="1DF69E8B" w:rsidR="00AD1708" w:rsidRPr="00672AC2" w:rsidRDefault="00AD1708" w:rsidP="00AD1708">
            <w:pPr>
              <w:jc w:val="center"/>
              <w:rPr>
                <w:sz w:val="20"/>
                <w:szCs w:val="20"/>
                <w:lang w:val="es-CO"/>
              </w:rPr>
            </w:pPr>
            <w:r w:rsidRPr="00672AC2">
              <w:rPr>
                <w:sz w:val="20"/>
                <w:szCs w:val="20"/>
                <w:lang w:val="es-CO"/>
              </w:rPr>
              <w:t>32</w:t>
            </w:r>
          </w:p>
        </w:tc>
        <w:tc>
          <w:tcPr>
            <w:tcW w:w="3401" w:type="dxa"/>
          </w:tcPr>
          <w:p w14:paraId="7BDE9C3D" w14:textId="387747F4" w:rsidR="00AD1708" w:rsidRPr="00672AC2" w:rsidRDefault="00AD1708" w:rsidP="00324500">
            <w:pPr>
              <w:jc w:val="center"/>
              <w:rPr>
                <w:b/>
                <w:bCs/>
                <w:sz w:val="20"/>
                <w:szCs w:val="20"/>
                <w:lang w:val="es-CO"/>
              </w:rPr>
            </w:pPr>
            <w:r w:rsidRPr="00672AC2">
              <w:rPr>
                <w:sz w:val="20"/>
                <w:szCs w:val="20"/>
                <w:lang w:val="es-CO"/>
              </w:rPr>
              <w:t>Pendiente</w:t>
            </w:r>
          </w:p>
        </w:tc>
      </w:tr>
      <w:tr w:rsidR="00AD1708" w:rsidRPr="00672AC2" w14:paraId="26133D52" w14:textId="77777777" w:rsidTr="00AD1708">
        <w:tc>
          <w:tcPr>
            <w:tcW w:w="3964" w:type="dxa"/>
            <w:vMerge/>
          </w:tcPr>
          <w:p w14:paraId="254E03F4" w14:textId="77777777" w:rsidR="00AD1708" w:rsidRPr="00672AC2" w:rsidRDefault="00AD1708" w:rsidP="00324500">
            <w:pPr>
              <w:jc w:val="center"/>
              <w:rPr>
                <w:sz w:val="20"/>
                <w:szCs w:val="20"/>
                <w:lang w:val="es-ES"/>
              </w:rPr>
            </w:pPr>
          </w:p>
        </w:tc>
        <w:tc>
          <w:tcPr>
            <w:tcW w:w="1985" w:type="dxa"/>
          </w:tcPr>
          <w:p w14:paraId="3CFA7C16" w14:textId="7004E956" w:rsidR="00AD1708" w:rsidRPr="00672AC2" w:rsidRDefault="00AD1708" w:rsidP="00AD1708">
            <w:pPr>
              <w:jc w:val="center"/>
              <w:rPr>
                <w:sz w:val="20"/>
                <w:szCs w:val="20"/>
                <w:lang w:val="es-CO"/>
              </w:rPr>
            </w:pPr>
            <w:r w:rsidRPr="00672AC2">
              <w:rPr>
                <w:sz w:val="20"/>
                <w:szCs w:val="20"/>
                <w:lang w:val="es-CO"/>
              </w:rPr>
              <w:t>33</w:t>
            </w:r>
          </w:p>
        </w:tc>
        <w:tc>
          <w:tcPr>
            <w:tcW w:w="3401" w:type="dxa"/>
          </w:tcPr>
          <w:p w14:paraId="707726AA" w14:textId="5310333B" w:rsidR="00AD1708" w:rsidRPr="00672AC2" w:rsidRDefault="00AD1708" w:rsidP="00324500">
            <w:pPr>
              <w:jc w:val="center"/>
              <w:rPr>
                <w:sz w:val="20"/>
                <w:szCs w:val="20"/>
                <w:lang w:val="es-CO"/>
              </w:rPr>
            </w:pPr>
            <w:r w:rsidRPr="00672AC2">
              <w:rPr>
                <w:sz w:val="20"/>
                <w:szCs w:val="20"/>
                <w:lang w:val="es-CO"/>
              </w:rPr>
              <w:t>Pendiente</w:t>
            </w:r>
          </w:p>
        </w:tc>
      </w:tr>
      <w:tr w:rsidR="00AD1708" w:rsidRPr="00672AC2" w14:paraId="3BA17DDC" w14:textId="77777777" w:rsidTr="00AD1708">
        <w:tc>
          <w:tcPr>
            <w:tcW w:w="3964" w:type="dxa"/>
            <w:vMerge/>
          </w:tcPr>
          <w:p w14:paraId="5AD46B1A" w14:textId="77777777" w:rsidR="00AD1708" w:rsidRPr="00672AC2" w:rsidRDefault="00AD1708" w:rsidP="00324500">
            <w:pPr>
              <w:jc w:val="center"/>
              <w:rPr>
                <w:sz w:val="20"/>
                <w:szCs w:val="20"/>
                <w:lang w:val="es-ES"/>
              </w:rPr>
            </w:pPr>
          </w:p>
        </w:tc>
        <w:tc>
          <w:tcPr>
            <w:tcW w:w="1985" w:type="dxa"/>
          </w:tcPr>
          <w:p w14:paraId="221D99B7" w14:textId="33F80788" w:rsidR="00AD1708" w:rsidRPr="00672AC2" w:rsidRDefault="00AD1708" w:rsidP="00AD1708">
            <w:pPr>
              <w:jc w:val="center"/>
              <w:rPr>
                <w:sz w:val="20"/>
                <w:szCs w:val="20"/>
                <w:lang w:val="es-CO"/>
              </w:rPr>
            </w:pPr>
            <w:r w:rsidRPr="00672AC2">
              <w:rPr>
                <w:sz w:val="20"/>
                <w:szCs w:val="20"/>
                <w:lang w:val="es-CO"/>
              </w:rPr>
              <w:t>34</w:t>
            </w:r>
          </w:p>
        </w:tc>
        <w:tc>
          <w:tcPr>
            <w:tcW w:w="3401" w:type="dxa"/>
          </w:tcPr>
          <w:p w14:paraId="649ED014" w14:textId="1804EF30" w:rsidR="00AD1708" w:rsidRPr="00672AC2" w:rsidRDefault="00AD1708" w:rsidP="00324500">
            <w:pPr>
              <w:jc w:val="center"/>
              <w:rPr>
                <w:sz w:val="20"/>
                <w:szCs w:val="20"/>
                <w:lang w:val="es-CO"/>
              </w:rPr>
            </w:pPr>
            <w:r w:rsidRPr="00672AC2">
              <w:rPr>
                <w:sz w:val="20"/>
                <w:szCs w:val="20"/>
                <w:lang w:val="es-CO"/>
              </w:rPr>
              <w:t>Parcial</w:t>
            </w:r>
          </w:p>
        </w:tc>
      </w:tr>
      <w:tr w:rsidR="00AD1708" w:rsidRPr="00672AC2" w14:paraId="7460DBE8" w14:textId="77777777" w:rsidTr="00AD1708">
        <w:tc>
          <w:tcPr>
            <w:tcW w:w="3964" w:type="dxa"/>
            <w:vMerge/>
          </w:tcPr>
          <w:p w14:paraId="57D42480" w14:textId="77777777" w:rsidR="00AD1708" w:rsidRPr="00672AC2" w:rsidRDefault="00AD1708" w:rsidP="00324500">
            <w:pPr>
              <w:jc w:val="center"/>
              <w:rPr>
                <w:sz w:val="20"/>
                <w:szCs w:val="20"/>
                <w:lang w:val="es-ES"/>
              </w:rPr>
            </w:pPr>
          </w:p>
        </w:tc>
        <w:tc>
          <w:tcPr>
            <w:tcW w:w="1985" w:type="dxa"/>
          </w:tcPr>
          <w:p w14:paraId="00892CFA" w14:textId="04BFBF82" w:rsidR="00AD1708" w:rsidRPr="00672AC2" w:rsidRDefault="00AD1708" w:rsidP="00AD1708">
            <w:pPr>
              <w:jc w:val="center"/>
              <w:rPr>
                <w:sz w:val="20"/>
                <w:szCs w:val="20"/>
                <w:lang w:val="es-CO"/>
              </w:rPr>
            </w:pPr>
            <w:r w:rsidRPr="00672AC2">
              <w:rPr>
                <w:sz w:val="20"/>
                <w:szCs w:val="20"/>
                <w:lang w:val="es-CO"/>
              </w:rPr>
              <w:t>35</w:t>
            </w:r>
          </w:p>
        </w:tc>
        <w:tc>
          <w:tcPr>
            <w:tcW w:w="3401" w:type="dxa"/>
          </w:tcPr>
          <w:p w14:paraId="298F2A92" w14:textId="449F0005" w:rsidR="00AD1708" w:rsidRPr="00672AC2" w:rsidRDefault="00AD1708" w:rsidP="00324500">
            <w:pPr>
              <w:jc w:val="center"/>
              <w:rPr>
                <w:sz w:val="20"/>
                <w:szCs w:val="20"/>
                <w:lang w:val="es-CO"/>
              </w:rPr>
            </w:pPr>
            <w:r w:rsidRPr="00672AC2">
              <w:rPr>
                <w:sz w:val="20"/>
                <w:szCs w:val="20"/>
                <w:lang w:val="es-CO"/>
              </w:rPr>
              <w:t>Pendiente</w:t>
            </w:r>
          </w:p>
        </w:tc>
      </w:tr>
      <w:tr w:rsidR="00AD1708" w:rsidRPr="00672AC2" w14:paraId="6B5A8972" w14:textId="77777777" w:rsidTr="00AD1708">
        <w:tc>
          <w:tcPr>
            <w:tcW w:w="3964" w:type="dxa"/>
          </w:tcPr>
          <w:p w14:paraId="1D85153B" w14:textId="42B76F18" w:rsidR="00AD1708" w:rsidRPr="00672AC2" w:rsidRDefault="00AD1708" w:rsidP="00324500">
            <w:pPr>
              <w:jc w:val="center"/>
              <w:rPr>
                <w:sz w:val="20"/>
                <w:szCs w:val="20"/>
                <w:lang w:val="es-CO"/>
              </w:rPr>
            </w:pPr>
            <w:r w:rsidRPr="00672AC2">
              <w:rPr>
                <w:sz w:val="20"/>
                <w:szCs w:val="20"/>
                <w:lang w:val="es-CO"/>
              </w:rPr>
              <w:t>Otros</w:t>
            </w:r>
          </w:p>
        </w:tc>
        <w:tc>
          <w:tcPr>
            <w:tcW w:w="1985" w:type="dxa"/>
          </w:tcPr>
          <w:p w14:paraId="158C3880" w14:textId="0822993B" w:rsidR="00AD1708" w:rsidRPr="00672AC2" w:rsidRDefault="00AD1708" w:rsidP="00AD1708">
            <w:pPr>
              <w:jc w:val="center"/>
              <w:rPr>
                <w:sz w:val="20"/>
                <w:szCs w:val="20"/>
                <w:lang w:val="es-CO"/>
              </w:rPr>
            </w:pPr>
            <w:r w:rsidRPr="00672AC2">
              <w:rPr>
                <w:sz w:val="20"/>
                <w:szCs w:val="20"/>
                <w:lang w:val="es-CO"/>
              </w:rPr>
              <w:t>36</w:t>
            </w:r>
          </w:p>
        </w:tc>
        <w:tc>
          <w:tcPr>
            <w:tcW w:w="3401" w:type="dxa"/>
          </w:tcPr>
          <w:p w14:paraId="3F604597" w14:textId="45ED889E" w:rsidR="00AD1708" w:rsidRPr="00672AC2" w:rsidRDefault="00AD1708" w:rsidP="00324500">
            <w:pPr>
              <w:jc w:val="center"/>
              <w:rPr>
                <w:sz w:val="20"/>
                <w:szCs w:val="20"/>
                <w:lang w:val="es-CO"/>
              </w:rPr>
            </w:pPr>
            <w:r w:rsidRPr="00672AC2">
              <w:rPr>
                <w:sz w:val="20"/>
                <w:szCs w:val="20"/>
                <w:lang w:val="es-CO"/>
              </w:rPr>
              <w:t>Pendiente</w:t>
            </w:r>
          </w:p>
        </w:tc>
      </w:tr>
    </w:tbl>
    <w:p w14:paraId="05020006" w14:textId="59ACB2BD" w:rsidR="00936191" w:rsidRDefault="00936191" w:rsidP="00AD1708">
      <w:pPr>
        <w:jc w:val="both"/>
        <w:rPr>
          <w:sz w:val="20"/>
          <w:szCs w:val="20"/>
          <w:lang w:val="es-CO"/>
        </w:rPr>
      </w:pPr>
    </w:p>
    <w:p w14:paraId="6A2EC394" w14:textId="631EBFC7" w:rsidR="00C3309F" w:rsidRPr="00672AC2" w:rsidRDefault="00C3309F" w:rsidP="00C3309F">
      <w:pPr>
        <w:pStyle w:val="IATtulo"/>
        <w:rPr>
          <w:lang w:val="es-CO"/>
        </w:rPr>
      </w:pPr>
      <w:bookmarkStart w:id="37" w:name="_Toc195618302"/>
      <w:r w:rsidRPr="00672AC2">
        <w:rPr>
          <w:lang w:val="es-CO"/>
        </w:rPr>
        <w:t>CONCLUSIONES</w:t>
      </w:r>
      <w:bookmarkEnd w:id="37"/>
    </w:p>
    <w:p w14:paraId="7E4E13BD" w14:textId="69EDB047" w:rsidR="00C3309F" w:rsidRPr="0090660F" w:rsidRDefault="00C3309F" w:rsidP="0090660F">
      <w:pPr>
        <w:pStyle w:val="IAPrrafo"/>
        <w:rPr>
          <w:lang w:val="es-CO"/>
        </w:rPr>
      </w:pPr>
      <w:r w:rsidRPr="00672AC2">
        <w:t xml:space="preserve">El cumplimiento integral de las recomendaciones de la CIDH por parte de los Estados miembros de la OEA es fundamental para asegurar la plena vigencia de los derechos humanos en la región y fortalecer la efectividad del sistema interamericano de derechos humanos. En ejercicio de su mandato de seguimiento a estas decisiones, la Comisión elabora informes en los que identifica los avances, desafíos y retrocesos en la adopción de las medidas de cumplimiento que, a través de sus distintos mecanismos de trabajo, esta ha solicitado a los Estados. </w:t>
      </w:r>
    </w:p>
    <w:p w14:paraId="0097A10E" w14:textId="24472348" w:rsidR="00A57A6B" w:rsidRPr="00474C73" w:rsidRDefault="0092787B" w:rsidP="00A57A6B">
      <w:pPr>
        <w:pStyle w:val="IAPrrafo"/>
        <w:rPr>
          <w:szCs w:val="20"/>
        </w:rPr>
      </w:pPr>
      <w:r w:rsidRPr="00672AC2">
        <w:rPr>
          <w:szCs w:val="20"/>
        </w:rPr>
        <w:t xml:space="preserve">El presente informe de seguimiento </w:t>
      </w:r>
      <w:r w:rsidR="005E228B" w:rsidRPr="00672AC2">
        <w:rPr>
          <w:szCs w:val="20"/>
        </w:rPr>
        <w:t>desarrolla</w:t>
      </w:r>
      <w:r w:rsidRPr="00672AC2">
        <w:rPr>
          <w:szCs w:val="20"/>
        </w:rPr>
        <w:t xml:space="preserve"> la implementación de las recomendaciones que la Comisión emitió en </w:t>
      </w:r>
      <w:r w:rsidRPr="00672AC2">
        <w:rPr>
          <w:szCs w:val="20"/>
          <w:lang w:val="es-US"/>
        </w:rPr>
        <w:t>el</w:t>
      </w:r>
      <w:r w:rsidRPr="00672AC2">
        <w:rPr>
          <w:szCs w:val="20"/>
        </w:rPr>
        <w:t xml:space="preserve"> Informe sobre la Situación de Derechos Humanos en Perú en el contexto de las protestas sociales, el cual fue aprobado el 23 de abril de 2023 por la CIDH.</w:t>
      </w:r>
      <w:r w:rsidR="00A57A6B" w:rsidRPr="00672AC2">
        <w:rPr>
          <w:szCs w:val="20"/>
        </w:rPr>
        <w:t xml:space="preserve"> Las recomendaciones </w:t>
      </w:r>
      <w:r w:rsidR="00A808D6" w:rsidRPr="00672AC2">
        <w:rPr>
          <w:szCs w:val="20"/>
        </w:rPr>
        <w:t>allí contenidas</w:t>
      </w:r>
      <w:r w:rsidR="00F12619" w:rsidRPr="00672AC2">
        <w:rPr>
          <w:szCs w:val="20"/>
        </w:rPr>
        <w:t xml:space="preserve"> </w:t>
      </w:r>
      <w:r w:rsidR="00A57A6B" w:rsidRPr="00672AC2">
        <w:rPr>
          <w:szCs w:val="20"/>
        </w:rPr>
        <w:t xml:space="preserve">fueron formuladas con base en los hallazgos e información obtenida por la CIDH antes, durante y con posterioridad a su visita </w:t>
      </w:r>
      <w:r w:rsidR="00A57A6B" w:rsidRPr="00672AC2">
        <w:rPr>
          <w:i/>
          <w:iCs/>
          <w:szCs w:val="20"/>
        </w:rPr>
        <w:t xml:space="preserve">in </w:t>
      </w:r>
      <w:proofErr w:type="gramStart"/>
      <w:r w:rsidR="00A57A6B" w:rsidRPr="00672AC2">
        <w:rPr>
          <w:i/>
          <w:iCs/>
          <w:szCs w:val="20"/>
        </w:rPr>
        <w:t>loco</w:t>
      </w:r>
      <w:r w:rsidR="00A57A6B" w:rsidRPr="00672AC2">
        <w:rPr>
          <w:szCs w:val="20"/>
        </w:rPr>
        <w:t xml:space="preserve"> realizada</w:t>
      </w:r>
      <w:proofErr w:type="gramEnd"/>
      <w:r w:rsidR="00A57A6B" w:rsidRPr="00672AC2">
        <w:rPr>
          <w:szCs w:val="20"/>
        </w:rPr>
        <w:t xml:space="preserve"> en el contexto de la crisis de institucionalidad democrática y social del Perú entre el 11 al 13 de enero de 2023, la cual fue precedida por una misión técnica preparatoria de la Secretaría Ejecutiva, que se llevó a cabo del 20 al 22 de diciembre de 2022.</w:t>
      </w:r>
    </w:p>
    <w:p w14:paraId="731D2C17" w14:textId="1CB22A54" w:rsidR="00A57A6B" w:rsidRPr="00474C73" w:rsidRDefault="00A57A6B" w:rsidP="00A57A6B">
      <w:pPr>
        <w:pStyle w:val="IAPrrafo"/>
        <w:rPr>
          <w:rStyle w:val="eop"/>
          <w:szCs w:val="20"/>
        </w:rPr>
      </w:pPr>
      <w:r w:rsidRPr="00672AC2">
        <w:rPr>
          <w:szCs w:val="20"/>
          <w:lang w:val="es-US"/>
        </w:rPr>
        <w:t xml:space="preserve">En el referido </w:t>
      </w:r>
      <w:r w:rsidR="00A808D6" w:rsidRPr="00672AC2">
        <w:rPr>
          <w:szCs w:val="20"/>
          <w:lang w:val="es-US"/>
        </w:rPr>
        <w:t>I</w:t>
      </w:r>
      <w:r w:rsidRPr="00672AC2">
        <w:rPr>
          <w:szCs w:val="20"/>
          <w:lang w:val="es-US"/>
        </w:rPr>
        <w:t xml:space="preserve">nforme de </w:t>
      </w:r>
      <w:r w:rsidR="00774B07" w:rsidRPr="00672AC2">
        <w:rPr>
          <w:szCs w:val="20"/>
          <w:lang w:val="es-US"/>
        </w:rPr>
        <w:t>P</w:t>
      </w:r>
      <w:r w:rsidRPr="00672AC2">
        <w:rPr>
          <w:szCs w:val="20"/>
          <w:lang w:val="es-US"/>
        </w:rPr>
        <w:t>aís, la CIDH incluyó</w:t>
      </w:r>
      <w:r w:rsidRPr="00672AC2">
        <w:rPr>
          <w:rStyle w:val="normaltextrun"/>
          <w:szCs w:val="20"/>
          <w:lang w:val="es-MX"/>
        </w:rPr>
        <w:t xml:space="preserve"> 36 recomendaciones dirigidas al Estado, de acuerdo con los siguientes </w:t>
      </w:r>
      <w:r w:rsidRPr="00672AC2">
        <w:rPr>
          <w:rStyle w:val="normaltextrun"/>
          <w:szCs w:val="20"/>
          <w:lang w:val="es-ES"/>
        </w:rPr>
        <w:t>seis ejes temáticos</w:t>
      </w:r>
      <w:r w:rsidRPr="00672AC2">
        <w:rPr>
          <w:rStyle w:val="normaltextrun"/>
          <w:szCs w:val="20"/>
          <w:lang w:val="es-US"/>
        </w:rPr>
        <w:t>: (i) Diálogo y superación de la crisis, (</w:t>
      </w:r>
      <w:proofErr w:type="spellStart"/>
      <w:r w:rsidRPr="00672AC2">
        <w:rPr>
          <w:rStyle w:val="normaltextrun"/>
          <w:szCs w:val="20"/>
          <w:lang w:val="es-US"/>
        </w:rPr>
        <w:t>ii</w:t>
      </w:r>
      <w:proofErr w:type="spellEnd"/>
      <w:r w:rsidRPr="00672AC2">
        <w:rPr>
          <w:rStyle w:val="normaltextrun"/>
          <w:szCs w:val="20"/>
          <w:lang w:val="es-US"/>
        </w:rPr>
        <w:t>) seguridad ciudadana, (</w:t>
      </w:r>
      <w:proofErr w:type="spellStart"/>
      <w:r w:rsidRPr="00672AC2">
        <w:rPr>
          <w:rStyle w:val="normaltextrun"/>
          <w:szCs w:val="20"/>
          <w:lang w:val="es-US"/>
        </w:rPr>
        <w:t>iii</w:t>
      </w:r>
      <w:proofErr w:type="spellEnd"/>
      <w:r w:rsidRPr="00672AC2">
        <w:rPr>
          <w:rStyle w:val="normaltextrun"/>
          <w:szCs w:val="20"/>
          <w:lang w:val="es-US"/>
        </w:rPr>
        <w:t>) reparación y atención a víctimas de derechos humanos, (</w:t>
      </w:r>
      <w:proofErr w:type="spellStart"/>
      <w:r w:rsidRPr="00672AC2">
        <w:rPr>
          <w:rStyle w:val="normaltextrun"/>
          <w:szCs w:val="20"/>
          <w:lang w:val="es-US"/>
        </w:rPr>
        <w:t>iv</w:t>
      </w:r>
      <w:proofErr w:type="spellEnd"/>
      <w:r w:rsidRPr="00672AC2">
        <w:rPr>
          <w:rStyle w:val="normaltextrun"/>
          <w:szCs w:val="20"/>
          <w:lang w:val="es-US"/>
        </w:rPr>
        <w:t xml:space="preserve">) lucha contra la impunidad, (v) </w:t>
      </w:r>
      <w:r w:rsidRPr="00672AC2">
        <w:rPr>
          <w:rStyle w:val="normaltextrun"/>
          <w:szCs w:val="20"/>
          <w:lang w:val="es-ES"/>
        </w:rPr>
        <w:t>institucionalidad democrática y (vi) libertad de expresión, reunión y asociación. </w:t>
      </w:r>
    </w:p>
    <w:p w14:paraId="2987B87F" w14:textId="31489FDE" w:rsidR="00A57A6B" w:rsidRPr="00474C73" w:rsidRDefault="0AE70535" w:rsidP="00A57A6B">
      <w:pPr>
        <w:pStyle w:val="IAPrrafo"/>
        <w:rPr>
          <w:szCs w:val="20"/>
        </w:rPr>
      </w:pPr>
      <w:r w:rsidRPr="00672AC2">
        <w:rPr>
          <w:szCs w:val="20"/>
          <w:lang w:val="es-MX"/>
        </w:rPr>
        <w:t>Con base en las Directrices Generales de Seguimiento de Recomendaciones y Decisiones de la CIDH</w:t>
      </w:r>
      <w:r w:rsidRPr="00672AC2">
        <w:rPr>
          <w:szCs w:val="20"/>
          <w:lang w:val="es-CO"/>
        </w:rPr>
        <w:t>, este informe de seguimiento identifica las medidas de cumplimiento adoptadas, avances alcanzados y desafíos en materia de implementación de las recomendaciones analizadas</w:t>
      </w:r>
      <w:r w:rsidR="00F36B41">
        <w:rPr>
          <w:rFonts w:ascii="ZWAdobeF" w:hAnsi="ZWAdobeF" w:cs="ZWAdobeF"/>
          <w:color w:val="auto"/>
          <w:sz w:val="2"/>
          <w:szCs w:val="2"/>
          <w:lang w:val="es-CO"/>
        </w:rPr>
        <w:t>166F</w:t>
      </w:r>
      <w:r w:rsidR="00A57A6B" w:rsidRPr="00672AC2">
        <w:rPr>
          <w:rStyle w:val="FootnoteReference"/>
          <w:szCs w:val="20"/>
          <w:lang w:val="es-MX"/>
        </w:rPr>
        <w:footnoteReference w:id="168"/>
      </w:r>
      <w:r w:rsidRPr="00672AC2">
        <w:rPr>
          <w:szCs w:val="20"/>
          <w:lang w:val="es-CO"/>
        </w:rPr>
        <w:t xml:space="preserve">. Para su elaboración, </w:t>
      </w:r>
      <w:r w:rsidRPr="00672AC2">
        <w:rPr>
          <w:szCs w:val="20"/>
          <w:lang w:val="es-MX"/>
        </w:rPr>
        <w:t xml:space="preserve">la CIDH recibió información </w:t>
      </w:r>
      <w:r w:rsidR="6D4C3B98" w:rsidRPr="00672AC2">
        <w:rPr>
          <w:szCs w:val="20"/>
          <w:lang w:val="es-MX"/>
        </w:rPr>
        <w:t xml:space="preserve">del Estado </w:t>
      </w:r>
      <w:r w:rsidRPr="00672AC2">
        <w:rPr>
          <w:rStyle w:val="normaltextrun"/>
          <w:szCs w:val="20"/>
          <w:lang w:val="es-MX"/>
        </w:rPr>
        <w:t xml:space="preserve">el 8 de enero del 2024 y que publicó a través del SIMORE Interamericano. Asimismo, el 8 de noviembre de 2024, la CIDH solicitó nuevamente información al Estado. En consecuencia, el Estado aportó la información solicitada el 11 de </w:t>
      </w:r>
      <w:r w:rsidRPr="00224684">
        <w:rPr>
          <w:rStyle w:val="normaltextrun"/>
          <w:szCs w:val="20"/>
          <w:lang w:val="es-MX"/>
        </w:rPr>
        <w:t>diciembre de 2024</w:t>
      </w:r>
      <w:r w:rsidR="00224684">
        <w:rPr>
          <w:rStyle w:val="superscript"/>
          <w:szCs w:val="20"/>
          <w:vertAlign w:val="superscript"/>
          <w:lang w:val="es-MX"/>
        </w:rPr>
        <w:t xml:space="preserve"> </w:t>
      </w:r>
      <w:r w:rsidRPr="00672AC2">
        <w:rPr>
          <w:rStyle w:val="normaltextrun"/>
          <w:szCs w:val="20"/>
          <w:lang w:val="es-MX"/>
        </w:rPr>
        <w:t>y la publicó a través del SIMORE Interamericano.</w:t>
      </w:r>
      <w:r w:rsidR="7B33E34A" w:rsidRPr="00672AC2">
        <w:rPr>
          <w:rStyle w:val="normaltextrun"/>
          <w:szCs w:val="20"/>
          <w:lang w:val="es-MX"/>
        </w:rPr>
        <w:t xml:space="preserve"> </w:t>
      </w:r>
      <w:r w:rsidRPr="00672AC2">
        <w:rPr>
          <w:rStyle w:val="normaltextrun"/>
          <w:szCs w:val="20"/>
          <w:lang w:val="es-MX"/>
        </w:rPr>
        <w:t>Por su parte, la CIDH también remitió un cuestionario a las organizaciones de la sociedad civil con la finalidad de proporcionar información relevante al seguimiento de las recomendaciones. Parte de estas respuestas fueron publicadas a través del SIMORE Interamericano.</w:t>
      </w:r>
    </w:p>
    <w:p w14:paraId="5F759EF8" w14:textId="38F01CD5" w:rsidR="00A57A6B" w:rsidRPr="00672AC2" w:rsidRDefault="00A57A6B" w:rsidP="00474C73">
      <w:pPr>
        <w:pStyle w:val="IAPrrafo"/>
      </w:pPr>
      <w:r w:rsidRPr="00672AC2">
        <w:t xml:space="preserve">Para este informe de seguimiento, la Comisión concluyó que, de las 36 recomendaciones analizadas, </w:t>
      </w:r>
      <w:r w:rsidR="00336910">
        <w:t>una</w:t>
      </w:r>
      <w:r w:rsidR="00336910" w:rsidRPr="00672AC2">
        <w:t xml:space="preserve"> </w:t>
      </w:r>
      <w:r w:rsidRPr="00672AC2">
        <w:t>tiene nivel de cumplimiento total (</w:t>
      </w:r>
      <w:r w:rsidR="00E169C7">
        <w:t>2</w:t>
      </w:r>
      <w:r w:rsidR="00DA5B25">
        <w:t>,</w:t>
      </w:r>
      <w:r w:rsidR="00E169C7">
        <w:t>7</w:t>
      </w:r>
      <w:r w:rsidRPr="00672AC2">
        <w:t xml:space="preserve">%); </w:t>
      </w:r>
      <w:r w:rsidR="005E228B" w:rsidRPr="00672AC2">
        <w:t>una</w:t>
      </w:r>
      <w:r w:rsidRPr="00672AC2">
        <w:t xml:space="preserve"> tiene nivel de cumplimiento parcial sustancial (</w:t>
      </w:r>
      <w:r w:rsidR="005E228B" w:rsidRPr="00672AC2">
        <w:t>2</w:t>
      </w:r>
      <w:r w:rsidR="00DA5B25">
        <w:t>,</w:t>
      </w:r>
      <w:r w:rsidR="005E228B" w:rsidRPr="00672AC2">
        <w:t>7</w:t>
      </w:r>
      <w:r w:rsidRPr="00672AC2">
        <w:t>%); 1</w:t>
      </w:r>
      <w:r w:rsidR="00737313">
        <w:t>1</w:t>
      </w:r>
      <w:r w:rsidRPr="00672AC2">
        <w:t xml:space="preserve"> están parcialmente cumplidas (3</w:t>
      </w:r>
      <w:r w:rsidR="00737313">
        <w:t>0</w:t>
      </w:r>
      <w:r w:rsidR="0052131A">
        <w:t>,</w:t>
      </w:r>
      <w:r w:rsidR="00737313">
        <w:t>6</w:t>
      </w:r>
      <w:r w:rsidRPr="00672AC2">
        <w:t>%), y 2</w:t>
      </w:r>
      <w:r w:rsidR="00737313">
        <w:t>3</w:t>
      </w:r>
      <w:r w:rsidRPr="00672AC2">
        <w:t xml:space="preserve"> están pendientes de cumplimiento (6</w:t>
      </w:r>
      <w:r w:rsidR="00737313">
        <w:t>3.9</w:t>
      </w:r>
      <w:r w:rsidRPr="00672AC2">
        <w:t>%). La CIDH reitera al Estado la importancia de dar cumplimiento efectivo a las recomendaciones que no hayan sido cumplidas en su totalidad. A continuación, se presentan los principales hallazgos de la CIDH respecto al cumplimiento de las recomendaciones, de acuerdo con los siguientes ejes temáticos.</w:t>
      </w:r>
    </w:p>
    <w:p w14:paraId="0DDDA057" w14:textId="052E3792" w:rsidR="00A57A6B" w:rsidRPr="00474C73" w:rsidRDefault="00A57A6B" w:rsidP="00A57A6B">
      <w:pPr>
        <w:pStyle w:val="IAPrrafo"/>
        <w:rPr>
          <w:szCs w:val="20"/>
        </w:rPr>
      </w:pPr>
      <w:r w:rsidRPr="00672AC2">
        <w:rPr>
          <w:szCs w:val="20"/>
        </w:rPr>
        <w:t xml:space="preserve">Respecto a las recomendaciones en materia de </w:t>
      </w:r>
      <w:r w:rsidRPr="00672AC2">
        <w:rPr>
          <w:rStyle w:val="normaltextrun"/>
          <w:szCs w:val="20"/>
          <w:lang w:val="es-US"/>
        </w:rPr>
        <w:t>diálogo y superación de la crisis:</w:t>
      </w:r>
    </w:p>
    <w:p w14:paraId="27EB6DBC" w14:textId="640FD08F" w:rsidR="00A57A6B" w:rsidRPr="00672AC2" w:rsidRDefault="00F143FE" w:rsidP="00474C73">
      <w:pPr>
        <w:pStyle w:val="ListParagraph"/>
        <w:numPr>
          <w:ilvl w:val="0"/>
          <w:numId w:val="25"/>
        </w:numPr>
        <w:ind w:left="1800"/>
        <w:jc w:val="both"/>
        <w:rPr>
          <w:rStyle w:val="normaltextrun"/>
          <w:color w:val="000000"/>
          <w:sz w:val="20"/>
          <w:szCs w:val="20"/>
          <w:lang w:val="es-419"/>
        </w:rPr>
      </w:pPr>
      <w:r w:rsidRPr="00672AC2">
        <w:rPr>
          <w:rStyle w:val="normaltextrun"/>
          <w:color w:val="000000"/>
          <w:sz w:val="20"/>
          <w:szCs w:val="20"/>
          <w:shd w:val="clear" w:color="auto" w:fill="FFFFFF"/>
          <w:lang w:val="es-ES"/>
        </w:rPr>
        <w:t>Se debe garantizar una estrategia de diálogo genuina y efectiva con resultados, para ello se deben fortalecer los mecanismos de seguimiento de los acuerdos y el impacto de dichos acuerdos en la toma efectiva de decisiones.</w:t>
      </w:r>
    </w:p>
    <w:p w14:paraId="7E170487" w14:textId="12545BC6" w:rsidR="00F143FE" w:rsidRPr="00672AC2" w:rsidRDefault="00F143FE" w:rsidP="00474C73">
      <w:pPr>
        <w:pStyle w:val="ListParagraph"/>
        <w:numPr>
          <w:ilvl w:val="0"/>
          <w:numId w:val="25"/>
        </w:numPr>
        <w:ind w:left="1800"/>
        <w:jc w:val="both"/>
        <w:rPr>
          <w:rStyle w:val="eop"/>
          <w:color w:val="000000"/>
          <w:sz w:val="20"/>
          <w:szCs w:val="20"/>
          <w:lang w:val="es-419"/>
        </w:rPr>
      </w:pPr>
      <w:r w:rsidRPr="00672AC2">
        <w:rPr>
          <w:rStyle w:val="normaltextrun"/>
          <w:color w:val="000000"/>
          <w:sz w:val="20"/>
          <w:szCs w:val="20"/>
          <w:lang w:val="es-US"/>
        </w:rPr>
        <w:t xml:space="preserve">Se deben generar nuevos o mejorar los canales de diálogo existentes entre pueblos indígenas y el Estado, que permitan incluir, de manera efectiva, las necesidades e intereses de los pueblos indígenas en los procesos de toma de decisiones, y que cumplan con las características determinadas en las sentencias de la Corte IDH y en el marco del Convenio </w:t>
      </w:r>
      <w:proofErr w:type="spellStart"/>
      <w:r w:rsidR="002137DD" w:rsidRPr="00672AC2">
        <w:rPr>
          <w:rStyle w:val="normaltextrun"/>
          <w:color w:val="000000"/>
          <w:sz w:val="20"/>
          <w:szCs w:val="20"/>
          <w:lang w:val="es-US"/>
        </w:rPr>
        <w:t>Nº</w:t>
      </w:r>
      <w:proofErr w:type="spellEnd"/>
      <w:r w:rsidRPr="00672AC2">
        <w:rPr>
          <w:rStyle w:val="normaltextrun"/>
          <w:color w:val="000000"/>
          <w:sz w:val="20"/>
          <w:szCs w:val="20"/>
          <w:lang w:val="es-US"/>
        </w:rPr>
        <w:t xml:space="preserve"> 169 de la Organización Internacional del Trabajo.</w:t>
      </w:r>
    </w:p>
    <w:p w14:paraId="4599D131" w14:textId="49516484" w:rsidR="00AA42A2" w:rsidRPr="00672AC2" w:rsidRDefault="00AA42A2" w:rsidP="00474C73">
      <w:pPr>
        <w:pStyle w:val="ListParagraph"/>
        <w:numPr>
          <w:ilvl w:val="0"/>
          <w:numId w:val="25"/>
        </w:numPr>
        <w:ind w:left="1800"/>
        <w:jc w:val="both"/>
        <w:rPr>
          <w:rStyle w:val="normaltextrun"/>
          <w:color w:val="000000"/>
          <w:sz w:val="20"/>
          <w:szCs w:val="20"/>
          <w:lang w:val="es-419"/>
        </w:rPr>
      </w:pPr>
      <w:r w:rsidRPr="00672AC2">
        <w:rPr>
          <w:color w:val="000000"/>
          <w:sz w:val="20"/>
          <w:szCs w:val="20"/>
          <w:lang w:val="es-419"/>
        </w:rPr>
        <w:t xml:space="preserve">Falta conocer de la implementación de </w:t>
      </w:r>
      <w:r w:rsidRPr="00672AC2">
        <w:rPr>
          <w:rStyle w:val="normaltextrun"/>
          <w:color w:val="000000"/>
          <w:sz w:val="20"/>
          <w:szCs w:val="20"/>
          <w:lang w:val="es-US"/>
        </w:rPr>
        <w:t xml:space="preserve">la </w:t>
      </w:r>
      <w:r w:rsidRPr="00672AC2">
        <w:rPr>
          <w:rStyle w:val="normaltextrun"/>
          <w:color w:val="000000"/>
          <w:sz w:val="20"/>
          <w:szCs w:val="20"/>
          <w:lang w:val="es-419"/>
        </w:rPr>
        <w:t>Política Nacional Multisectorial de Derechos Humanos y de otras medidas reportadas dirigidas a combatir la discri</w:t>
      </w:r>
      <w:r w:rsidR="00881138" w:rsidRPr="00672AC2">
        <w:rPr>
          <w:rStyle w:val="normaltextrun"/>
          <w:color w:val="000000"/>
          <w:sz w:val="20"/>
          <w:szCs w:val="20"/>
          <w:lang w:val="es-419"/>
        </w:rPr>
        <w:t>m</w:t>
      </w:r>
      <w:r w:rsidRPr="00672AC2">
        <w:rPr>
          <w:rStyle w:val="normaltextrun"/>
          <w:color w:val="000000"/>
          <w:sz w:val="20"/>
          <w:szCs w:val="20"/>
          <w:lang w:val="es-419"/>
        </w:rPr>
        <w:t xml:space="preserve">inación étnico y racial. Además, </w:t>
      </w:r>
      <w:r w:rsidR="003D0FA6" w:rsidRPr="00672AC2">
        <w:rPr>
          <w:rStyle w:val="normaltextrun"/>
          <w:color w:val="000000"/>
          <w:sz w:val="20"/>
          <w:szCs w:val="20"/>
          <w:lang w:val="es-419"/>
        </w:rPr>
        <w:t xml:space="preserve">se debe </w:t>
      </w:r>
      <w:r w:rsidRPr="00672AC2">
        <w:rPr>
          <w:rStyle w:val="normaltextrun"/>
          <w:color w:val="000000"/>
          <w:sz w:val="20"/>
          <w:szCs w:val="20"/>
          <w:lang w:val="es-US"/>
        </w:rPr>
        <w:t>trabajar en su currículo educativo lo referido a la discriminación étnico racial o condición socioeconómica.</w:t>
      </w:r>
    </w:p>
    <w:p w14:paraId="73B71DDA" w14:textId="77777777" w:rsidR="00AA42A2" w:rsidRPr="00672AC2" w:rsidRDefault="00AA42A2" w:rsidP="00AA42A2">
      <w:pPr>
        <w:pStyle w:val="ListParagraph"/>
        <w:ind w:left="1440"/>
        <w:jc w:val="both"/>
        <w:rPr>
          <w:rStyle w:val="normaltextrun"/>
          <w:color w:val="000000"/>
          <w:sz w:val="20"/>
          <w:szCs w:val="20"/>
          <w:lang w:val="es-419"/>
        </w:rPr>
      </w:pPr>
    </w:p>
    <w:p w14:paraId="512C5A56" w14:textId="4C38818C" w:rsidR="00AA42A2" w:rsidRPr="00474C73" w:rsidRDefault="00AA42A2" w:rsidP="00AA42A2">
      <w:pPr>
        <w:pStyle w:val="IAPrrafo"/>
        <w:rPr>
          <w:rStyle w:val="normaltextrun"/>
          <w:szCs w:val="20"/>
        </w:rPr>
      </w:pPr>
      <w:r w:rsidRPr="00672AC2">
        <w:rPr>
          <w:szCs w:val="20"/>
        </w:rPr>
        <w:t>Respecto a las recomendaciones en materia de</w:t>
      </w:r>
      <w:r w:rsidRPr="00672AC2">
        <w:rPr>
          <w:rStyle w:val="eop"/>
          <w:szCs w:val="20"/>
          <w:lang w:val="es-ES"/>
        </w:rPr>
        <w:t> </w:t>
      </w:r>
      <w:r w:rsidRPr="00672AC2">
        <w:rPr>
          <w:rStyle w:val="normaltextrun"/>
          <w:szCs w:val="20"/>
          <w:lang w:val="es-US"/>
        </w:rPr>
        <w:t>seguridad ciudadana:</w:t>
      </w:r>
    </w:p>
    <w:p w14:paraId="0F0AE293" w14:textId="5289EE86" w:rsidR="00AA42A2" w:rsidRPr="00672AC2" w:rsidRDefault="00AA42A2" w:rsidP="00474C73">
      <w:pPr>
        <w:pStyle w:val="ListParagraph"/>
        <w:numPr>
          <w:ilvl w:val="0"/>
          <w:numId w:val="26"/>
        </w:numPr>
        <w:ind w:left="1800"/>
        <w:jc w:val="both"/>
        <w:rPr>
          <w:color w:val="000000"/>
          <w:sz w:val="20"/>
          <w:szCs w:val="20"/>
          <w:lang w:val="es-419"/>
        </w:rPr>
      </w:pPr>
      <w:r w:rsidRPr="00672AC2">
        <w:rPr>
          <w:color w:val="000000"/>
          <w:sz w:val="20"/>
          <w:szCs w:val="20"/>
          <w:lang w:val="es-419"/>
        </w:rPr>
        <w:t>Se debe</w:t>
      </w:r>
      <w:r w:rsidR="003D0FA6" w:rsidRPr="00672AC2">
        <w:rPr>
          <w:color w:val="000000"/>
          <w:sz w:val="20"/>
          <w:szCs w:val="20"/>
          <w:lang w:val="es-419"/>
        </w:rPr>
        <w:t>n</w:t>
      </w:r>
      <w:r w:rsidRPr="00672AC2">
        <w:rPr>
          <w:color w:val="000000"/>
          <w:sz w:val="20"/>
          <w:szCs w:val="20"/>
          <w:lang w:val="es-419"/>
        </w:rPr>
        <w:t xml:space="preserve"> fortalecer los mecanismos de capacitación y evaluación a las fuerzas de seguridad de manera que se garantice l</w:t>
      </w:r>
      <w:r w:rsidRPr="00672AC2">
        <w:rPr>
          <w:rStyle w:val="normaltextrun"/>
          <w:color w:val="000000"/>
          <w:sz w:val="20"/>
          <w:szCs w:val="20"/>
          <w:bdr w:val="none" w:sz="0" w:space="0" w:color="auto" w:frame="1"/>
          <w:lang w:val="es-CO"/>
        </w:rPr>
        <w:t>a defensa de la vida y la integridad de todas las personas.</w:t>
      </w:r>
      <w:r w:rsidRPr="00672AC2">
        <w:rPr>
          <w:color w:val="000000"/>
          <w:sz w:val="20"/>
          <w:szCs w:val="20"/>
          <w:lang w:val="es-419"/>
        </w:rPr>
        <w:t xml:space="preserve"> Además, </w:t>
      </w:r>
      <w:r w:rsidR="003D0FA6" w:rsidRPr="00672AC2">
        <w:rPr>
          <w:color w:val="000000"/>
          <w:sz w:val="20"/>
          <w:szCs w:val="20"/>
          <w:lang w:val="es-419"/>
        </w:rPr>
        <w:t xml:space="preserve">es preciso </w:t>
      </w:r>
      <w:r w:rsidRPr="00672AC2">
        <w:rPr>
          <w:color w:val="000000"/>
          <w:sz w:val="20"/>
          <w:szCs w:val="20"/>
          <w:lang w:val="es-419"/>
        </w:rPr>
        <w:t>garantizar la información pública sobre estos mecanismos de capacitación.</w:t>
      </w:r>
    </w:p>
    <w:p w14:paraId="6527C751" w14:textId="5421DF2F" w:rsidR="00AA42A2" w:rsidRPr="00672AC2" w:rsidRDefault="00AA42A2" w:rsidP="00474C73">
      <w:pPr>
        <w:pStyle w:val="ListParagraph"/>
        <w:numPr>
          <w:ilvl w:val="0"/>
          <w:numId w:val="26"/>
        </w:numPr>
        <w:ind w:left="1800"/>
        <w:jc w:val="both"/>
        <w:rPr>
          <w:rStyle w:val="normaltextrun"/>
          <w:color w:val="000000"/>
          <w:sz w:val="20"/>
          <w:szCs w:val="20"/>
          <w:lang w:val="es-419"/>
        </w:rPr>
      </w:pPr>
      <w:r w:rsidRPr="00672AC2">
        <w:rPr>
          <w:rStyle w:val="normaltextrun"/>
          <w:color w:val="000000"/>
          <w:sz w:val="20"/>
          <w:szCs w:val="20"/>
          <w:bdr w:val="none" w:sz="0" w:space="0" w:color="auto" w:frame="1"/>
          <w:lang w:val="es-419"/>
        </w:rPr>
        <w:t xml:space="preserve">El marco normativo debe </w:t>
      </w:r>
      <w:r w:rsidRPr="00672AC2">
        <w:rPr>
          <w:rStyle w:val="normaltextrun"/>
          <w:color w:val="000000"/>
          <w:sz w:val="20"/>
          <w:szCs w:val="20"/>
          <w:bdr w:val="none" w:sz="0" w:space="0" w:color="auto" w:frame="1"/>
          <w:lang w:val="es-US"/>
        </w:rPr>
        <w:t xml:space="preserve">adecuar sus contenidos para implementar los principios de </w:t>
      </w:r>
      <w:r w:rsidRPr="00672AC2">
        <w:rPr>
          <w:rStyle w:val="normaltextrun"/>
          <w:color w:val="000000"/>
          <w:sz w:val="20"/>
          <w:szCs w:val="20"/>
          <w:shd w:val="clear" w:color="auto" w:fill="FFFFFF"/>
          <w:lang w:val="es-ES"/>
        </w:rPr>
        <w:t>legalidad, necesidad y proporcionalidad. Para ello</w:t>
      </w:r>
      <w:r w:rsidR="00006DE0" w:rsidRPr="00672AC2">
        <w:rPr>
          <w:rStyle w:val="normaltextrun"/>
          <w:color w:val="000000"/>
          <w:sz w:val="20"/>
          <w:szCs w:val="20"/>
          <w:shd w:val="clear" w:color="auto" w:fill="FFFFFF"/>
          <w:lang w:val="es-ES"/>
        </w:rPr>
        <w:t>,</w:t>
      </w:r>
      <w:r w:rsidRPr="00672AC2">
        <w:rPr>
          <w:rStyle w:val="normaltextrun"/>
          <w:color w:val="000000"/>
          <w:sz w:val="20"/>
          <w:szCs w:val="20"/>
          <w:shd w:val="clear" w:color="auto" w:fill="FFFFFF"/>
          <w:lang w:val="es-ES"/>
        </w:rPr>
        <w:t xml:space="preserve"> se debe</w:t>
      </w:r>
      <w:r w:rsidR="00006DE0" w:rsidRPr="00672AC2">
        <w:rPr>
          <w:rStyle w:val="normaltextrun"/>
          <w:color w:val="000000"/>
          <w:sz w:val="20"/>
          <w:szCs w:val="20"/>
          <w:shd w:val="clear" w:color="auto" w:fill="FFFFFF"/>
          <w:lang w:val="es-ES"/>
        </w:rPr>
        <w:t xml:space="preserve"> regular el uso de la fuerza y el derecho a la protesta, garantizando </w:t>
      </w:r>
      <w:r w:rsidRPr="00672AC2">
        <w:rPr>
          <w:rStyle w:val="normaltextrun"/>
          <w:color w:val="000000"/>
          <w:sz w:val="20"/>
          <w:szCs w:val="20"/>
          <w:bdr w:val="none" w:sz="0" w:space="0" w:color="auto" w:frame="1"/>
          <w:lang w:val="es-US"/>
        </w:rPr>
        <w:t>mecanismos de prevención y sanción adecuados</w:t>
      </w:r>
      <w:r w:rsidR="00006DE0" w:rsidRPr="00672AC2">
        <w:rPr>
          <w:rStyle w:val="normaltextrun"/>
          <w:color w:val="000000"/>
          <w:sz w:val="20"/>
          <w:szCs w:val="20"/>
          <w:bdr w:val="none" w:sz="0" w:space="0" w:color="auto" w:frame="1"/>
          <w:lang w:val="es-US"/>
        </w:rPr>
        <w:t xml:space="preserve"> a la actuación de las fuerzas de seguridad</w:t>
      </w:r>
      <w:r w:rsidRPr="00672AC2">
        <w:rPr>
          <w:rStyle w:val="normaltextrun"/>
          <w:color w:val="000000"/>
          <w:sz w:val="20"/>
          <w:szCs w:val="20"/>
          <w:bdr w:val="none" w:sz="0" w:space="0" w:color="auto" w:frame="1"/>
          <w:lang w:val="es-US"/>
        </w:rPr>
        <w:t xml:space="preserve">, </w:t>
      </w:r>
      <w:r w:rsidR="00006DE0" w:rsidRPr="00672AC2">
        <w:rPr>
          <w:rStyle w:val="normaltextrun"/>
          <w:color w:val="000000"/>
          <w:sz w:val="20"/>
          <w:szCs w:val="20"/>
          <w:bdr w:val="none" w:sz="0" w:space="0" w:color="auto" w:frame="1"/>
          <w:lang w:val="es-US"/>
        </w:rPr>
        <w:t>la prohibición de armas de fuego en el contexto de protestas</w:t>
      </w:r>
      <w:r w:rsidRPr="00672AC2">
        <w:rPr>
          <w:rStyle w:val="normaltextrun"/>
          <w:color w:val="000000"/>
          <w:sz w:val="20"/>
          <w:szCs w:val="20"/>
          <w:bdr w:val="none" w:sz="0" w:space="0" w:color="auto" w:frame="1"/>
          <w:lang w:val="es-US"/>
        </w:rPr>
        <w:t xml:space="preserve">, </w:t>
      </w:r>
      <w:r w:rsidR="00006DE0" w:rsidRPr="00672AC2">
        <w:rPr>
          <w:rStyle w:val="normaltextrun"/>
          <w:color w:val="000000"/>
          <w:sz w:val="20"/>
          <w:szCs w:val="20"/>
          <w:bdr w:val="none" w:sz="0" w:space="0" w:color="auto" w:frame="1"/>
          <w:lang w:val="es-US"/>
        </w:rPr>
        <w:t>la excepcionalidad del uso de los “estados de emergencia”, la protección y no crimin</w:t>
      </w:r>
      <w:r w:rsidR="00881138" w:rsidRPr="00672AC2">
        <w:rPr>
          <w:rStyle w:val="normaltextrun"/>
          <w:color w:val="000000"/>
          <w:sz w:val="20"/>
          <w:szCs w:val="20"/>
          <w:bdr w:val="none" w:sz="0" w:space="0" w:color="auto" w:frame="1"/>
          <w:lang w:val="es-US"/>
        </w:rPr>
        <w:t>a</w:t>
      </w:r>
      <w:r w:rsidR="00006DE0" w:rsidRPr="00672AC2">
        <w:rPr>
          <w:rStyle w:val="normaltextrun"/>
          <w:color w:val="000000"/>
          <w:sz w:val="20"/>
          <w:szCs w:val="20"/>
          <w:bdr w:val="none" w:sz="0" w:space="0" w:color="auto" w:frame="1"/>
          <w:lang w:val="es-US"/>
        </w:rPr>
        <w:t xml:space="preserve">lización de las personas que participan de las manifestaciones, </w:t>
      </w:r>
      <w:r w:rsidRPr="00672AC2">
        <w:rPr>
          <w:rStyle w:val="normaltextrun"/>
          <w:color w:val="000000"/>
          <w:sz w:val="20"/>
          <w:szCs w:val="20"/>
          <w:bdr w:val="none" w:sz="0" w:space="0" w:color="auto" w:frame="1"/>
          <w:lang w:val="es-US"/>
        </w:rPr>
        <w:t>y garantizar la transparencia</w:t>
      </w:r>
      <w:r w:rsidR="00006DE0" w:rsidRPr="00672AC2">
        <w:rPr>
          <w:rStyle w:val="normaltextrun"/>
          <w:color w:val="000000"/>
          <w:sz w:val="20"/>
          <w:szCs w:val="20"/>
          <w:bdr w:val="none" w:sz="0" w:space="0" w:color="auto" w:frame="1"/>
          <w:lang w:val="es-US"/>
        </w:rPr>
        <w:t>, imparcialidad</w:t>
      </w:r>
      <w:r w:rsidRPr="00672AC2">
        <w:rPr>
          <w:rStyle w:val="normaltextrun"/>
          <w:color w:val="000000"/>
          <w:sz w:val="20"/>
          <w:szCs w:val="20"/>
          <w:bdr w:val="none" w:sz="0" w:space="0" w:color="auto" w:frame="1"/>
          <w:lang w:val="es-US"/>
        </w:rPr>
        <w:t xml:space="preserve"> y el control </w:t>
      </w:r>
      <w:r w:rsidR="00006DE0" w:rsidRPr="00672AC2">
        <w:rPr>
          <w:rStyle w:val="normaltextrun"/>
          <w:color w:val="000000"/>
          <w:sz w:val="20"/>
          <w:szCs w:val="20"/>
          <w:bdr w:val="none" w:sz="0" w:space="0" w:color="auto" w:frame="1"/>
          <w:lang w:val="es-US"/>
        </w:rPr>
        <w:t xml:space="preserve">de dichas acciones, </w:t>
      </w:r>
      <w:r w:rsidRPr="00672AC2">
        <w:rPr>
          <w:rStyle w:val="normaltextrun"/>
          <w:color w:val="000000"/>
          <w:sz w:val="20"/>
          <w:szCs w:val="20"/>
          <w:bdr w:val="none" w:sz="0" w:space="0" w:color="auto" w:frame="1"/>
          <w:lang w:val="es-US"/>
        </w:rPr>
        <w:t xml:space="preserve">por parte de actores </w:t>
      </w:r>
      <w:r w:rsidR="00006DE0" w:rsidRPr="00672AC2">
        <w:rPr>
          <w:rStyle w:val="normaltextrun"/>
          <w:color w:val="000000"/>
          <w:sz w:val="20"/>
          <w:szCs w:val="20"/>
          <w:bdr w:val="none" w:sz="0" w:space="0" w:color="auto" w:frame="1"/>
          <w:lang w:val="es-US"/>
        </w:rPr>
        <w:t>competentes e independientes.</w:t>
      </w:r>
    </w:p>
    <w:p w14:paraId="00832346" w14:textId="77777777" w:rsidR="00006DE0" w:rsidRPr="00672AC2" w:rsidRDefault="00006DE0" w:rsidP="00006DE0">
      <w:pPr>
        <w:ind w:left="1080"/>
        <w:jc w:val="both"/>
        <w:rPr>
          <w:color w:val="000000"/>
          <w:sz w:val="20"/>
          <w:szCs w:val="20"/>
          <w:lang w:val="es-419"/>
        </w:rPr>
      </w:pPr>
    </w:p>
    <w:p w14:paraId="7E7CAEEB" w14:textId="0FD974C0" w:rsidR="00340A5D" w:rsidRPr="00474C73" w:rsidRDefault="00006DE0" w:rsidP="00340A5D">
      <w:pPr>
        <w:pStyle w:val="IAPrrafo"/>
        <w:rPr>
          <w:rStyle w:val="normaltextrun"/>
          <w:szCs w:val="20"/>
        </w:rPr>
      </w:pPr>
      <w:r w:rsidRPr="00672AC2">
        <w:rPr>
          <w:szCs w:val="20"/>
        </w:rPr>
        <w:t xml:space="preserve">Respecto a las recomendaciones en materia de </w:t>
      </w:r>
      <w:r w:rsidRPr="00672AC2">
        <w:rPr>
          <w:rStyle w:val="normaltextrun"/>
          <w:szCs w:val="20"/>
          <w:lang w:val="es-US"/>
        </w:rPr>
        <w:t>reparación y atención a víctimas de derechos humanos</w:t>
      </w:r>
      <w:r w:rsidR="00340A5D" w:rsidRPr="00672AC2">
        <w:rPr>
          <w:rStyle w:val="normaltextrun"/>
          <w:szCs w:val="20"/>
          <w:lang w:val="es-US"/>
        </w:rPr>
        <w:t>:</w:t>
      </w:r>
    </w:p>
    <w:p w14:paraId="207C325F" w14:textId="0F6448DF" w:rsidR="00006DE0" w:rsidRPr="00672AC2" w:rsidRDefault="00006DE0" w:rsidP="00474C73">
      <w:pPr>
        <w:pStyle w:val="ListParagraph"/>
        <w:numPr>
          <w:ilvl w:val="0"/>
          <w:numId w:val="27"/>
        </w:numPr>
        <w:ind w:left="1800"/>
        <w:jc w:val="both"/>
        <w:rPr>
          <w:color w:val="000000"/>
          <w:sz w:val="20"/>
          <w:szCs w:val="20"/>
          <w:lang w:val="es-419"/>
        </w:rPr>
      </w:pPr>
      <w:bookmarkStart w:id="38" w:name="OLE_LINK4"/>
      <w:r w:rsidRPr="00672AC2">
        <w:rPr>
          <w:color w:val="000000"/>
          <w:sz w:val="20"/>
          <w:szCs w:val="20"/>
          <w:lang w:val="es-419"/>
        </w:rPr>
        <w:t xml:space="preserve">Se debe iniciar lo antes posible el proceso de implementación de las reparaciones integrales para todas las personas afectadas en el marco de los hechos recogidos por el Informe </w:t>
      </w:r>
      <w:r w:rsidR="00353EC9" w:rsidRPr="00672AC2">
        <w:rPr>
          <w:color w:val="000000"/>
          <w:sz w:val="20"/>
          <w:szCs w:val="20"/>
          <w:lang w:val="es-419"/>
        </w:rPr>
        <w:t xml:space="preserve">de </w:t>
      </w:r>
      <w:r w:rsidRPr="00672AC2">
        <w:rPr>
          <w:color w:val="000000"/>
          <w:sz w:val="20"/>
          <w:szCs w:val="20"/>
          <w:lang w:val="es-419"/>
        </w:rPr>
        <w:t>País</w:t>
      </w:r>
      <w:bookmarkEnd w:id="38"/>
      <w:r w:rsidRPr="00672AC2">
        <w:rPr>
          <w:color w:val="000000"/>
          <w:sz w:val="20"/>
          <w:szCs w:val="20"/>
          <w:lang w:val="es-419"/>
        </w:rPr>
        <w:t xml:space="preserve">. Para ello, se deben </w:t>
      </w:r>
      <w:r w:rsidR="0057398B" w:rsidRPr="00672AC2">
        <w:rPr>
          <w:color w:val="000000"/>
          <w:sz w:val="20"/>
          <w:szCs w:val="20"/>
          <w:lang w:val="es-419"/>
        </w:rPr>
        <w:t xml:space="preserve">poner en marcha </w:t>
      </w:r>
      <w:r w:rsidRPr="00672AC2">
        <w:rPr>
          <w:color w:val="000000"/>
          <w:sz w:val="20"/>
          <w:szCs w:val="20"/>
          <w:lang w:val="es-419"/>
        </w:rPr>
        <w:t>mecanismos de reparación que acompañen a la asistencia económica de carácter no reparatoria que fue entregada, y que efectivicen las medidas adicionales que se han reportado. Asimismo, el Estado debe garantizar el apoyo en salud a las personas afectadas, lo que no se cumple solo con su adscripción a un seguro universal nacional de salud.</w:t>
      </w:r>
    </w:p>
    <w:p w14:paraId="0AE35CDC" w14:textId="154C3CE6" w:rsidR="007B4AF2" w:rsidRPr="00672AC2" w:rsidRDefault="007B4AF2" w:rsidP="00474C73">
      <w:pPr>
        <w:pStyle w:val="ListParagraph"/>
        <w:numPr>
          <w:ilvl w:val="0"/>
          <w:numId w:val="27"/>
        </w:numPr>
        <w:ind w:left="1800"/>
        <w:jc w:val="both"/>
        <w:rPr>
          <w:color w:val="000000"/>
          <w:sz w:val="20"/>
          <w:szCs w:val="20"/>
          <w:lang w:val="es-419"/>
        </w:rPr>
      </w:pPr>
      <w:r w:rsidRPr="00672AC2">
        <w:rPr>
          <w:color w:val="000000"/>
          <w:sz w:val="20"/>
          <w:szCs w:val="20"/>
          <w:lang w:val="es-419"/>
        </w:rPr>
        <w:t>Es importante implementar un mecanismo de registro que recoja información de entidades públicas, y que coordine con las asociaciones de v</w:t>
      </w:r>
      <w:r w:rsidR="00E868D2" w:rsidRPr="00672AC2">
        <w:rPr>
          <w:color w:val="000000"/>
          <w:sz w:val="20"/>
          <w:szCs w:val="20"/>
          <w:lang w:val="es-419"/>
        </w:rPr>
        <w:t>í</w:t>
      </w:r>
      <w:r w:rsidRPr="00672AC2">
        <w:rPr>
          <w:color w:val="000000"/>
          <w:sz w:val="20"/>
          <w:szCs w:val="20"/>
          <w:lang w:val="es-419"/>
        </w:rPr>
        <w:t>ctimas y sus representantes, para otorgar información adecuada para su registro.</w:t>
      </w:r>
    </w:p>
    <w:p w14:paraId="38444971" w14:textId="28C90BA3" w:rsidR="00006DE0" w:rsidRPr="00672AC2" w:rsidRDefault="00006DE0" w:rsidP="00474C73">
      <w:pPr>
        <w:pStyle w:val="ListParagraph"/>
        <w:numPr>
          <w:ilvl w:val="0"/>
          <w:numId w:val="27"/>
        </w:numPr>
        <w:ind w:left="1800"/>
        <w:jc w:val="both"/>
        <w:rPr>
          <w:color w:val="000000"/>
          <w:sz w:val="20"/>
          <w:szCs w:val="20"/>
          <w:lang w:val="es-419"/>
        </w:rPr>
      </w:pPr>
      <w:r w:rsidRPr="00672AC2">
        <w:rPr>
          <w:color w:val="000000"/>
          <w:sz w:val="20"/>
          <w:szCs w:val="20"/>
          <w:lang w:val="es-419"/>
        </w:rPr>
        <w:t xml:space="preserve">Se deben </w:t>
      </w:r>
      <w:r w:rsidR="0057398B" w:rsidRPr="00672AC2">
        <w:rPr>
          <w:color w:val="000000"/>
          <w:sz w:val="20"/>
          <w:szCs w:val="20"/>
          <w:lang w:val="es-419"/>
        </w:rPr>
        <w:t>adopt</w:t>
      </w:r>
      <w:r w:rsidR="004119B7" w:rsidRPr="00672AC2">
        <w:rPr>
          <w:color w:val="000000"/>
          <w:sz w:val="20"/>
          <w:szCs w:val="20"/>
          <w:lang w:val="es-419"/>
        </w:rPr>
        <w:t>ar</w:t>
      </w:r>
      <w:r w:rsidR="0057398B" w:rsidRPr="00672AC2">
        <w:rPr>
          <w:color w:val="000000"/>
          <w:sz w:val="20"/>
          <w:szCs w:val="20"/>
          <w:lang w:val="es-419"/>
        </w:rPr>
        <w:t xml:space="preserve"> </w:t>
      </w:r>
      <w:r w:rsidRPr="00672AC2">
        <w:rPr>
          <w:color w:val="000000"/>
          <w:sz w:val="20"/>
          <w:szCs w:val="20"/>
          <w:lang w:val="es-419"/>
        </w:rPr>
        <w:t>mecanismos de acompañamiento psicosocial para las víctimas y sus familiares.</w:t>
      </w:r>
    </w:p>
    <w:p w14:paraId="74C6F565" w14:textId="77777777" w:rsidR="00006DE0" w:rsidRPr="00672AC2" w:rsidRDefault="00006DE0" w:rsidP="007B4AF2">
      <w:pPr>
        <w:jc w:val="both"/>
        <w:rPr>
          <w:color w:val="000000"/>
          <w:sz w:val="20"/>
          <w:szCs w:val="20"/>
          <w:lang w:val="es-419"/>
        </w:rPr>
      </w:pPr>
    </w:p>
    <w:p w14:paraId="7D198E4F" w14:textId="18AFBC98" w:rsidR="00340A5D" w:rsidRPr="00474C73" w:rsidRDefault="007B4AF2" w:rsidP="00340A5D">
      <w:pPr>
        <w:pStyle w:val="IAPrrafo"/>
        <w:rPr>
          <w:rStyle w:val="normaltextrun"/>
          <w:szCs w:val="20"/>
        </w:rPr>
      </w:pPr>
      <w:r w:rsidRPr="00672AC2">
        <w:rPr>
          <w:szCs w:val="20"/>
        </w:rPr>
        <w:t xml:space="preserve">Respecto a las recomendaciones en materia de </w:t>
      </w:r>
      <w:r w:rsidRPr="00672AC2">
        <w:rPr>
          <w:rStyle w:val="normaltextrun"/>
          <w:szCs w:val="20"/>
          <w:lang w:val="es-US"/>
        </w:rPr>
        <w:t>lucha contra la impunidad</w:t>
      </w:r>
      <w:r w:rsidR="00340A5D" w:rsidRPr="00672AC2">
        <w:rPr>
          <w:rStyle w:val="normaltextrun"/>
          <w:szCs w:val="20"/>
          <w:lang w:val="es-US"/>
        </w:rPr>
        <w:t>:</w:t>
      </w:r>
    </w:p>
    <w:p w14:paraId="7F3F7C2D" w14:textId="38DD6738" w:rsidR="007B4AF2" w:rsidRPr="00672AC2" w:rsidRDefault="007B4AF2" w:rsidP="00F964A0">
      <w:pPr>
        <w:pStyle w:val="ListParagraph"/>
        <w:numPr>
          <w:ilvl w:val="0"/>
          <w:numId w:val="28"/>
        </w:numPr>
        <w:ind w:left="1800"/>
        <w:jc w:val="both"/>
        <w:rPr>
          <w:color w:val="000000"/>
          <w:sz w:val="20"/>
          <w:szCs w:val="20"/>
          <w:lang w:val="es-419"/>
        </w:rPr>
      </w:pPr>
      <w:r w:rsidRPr="00672AC2">
        <w:rPr>
          <w:color w:val="000000"/>
          <w:sz w:val="20"/>
          <w:szCs w:val="20"/>
          <w:lang w:val="es-419"/>
        </w:rPr>
        <w:t xml:space="preserve">Es necesario avanzar en el proceso de investigación, sanción y reparación frente a las violaciones a derechos humanos cometidos en el marco de los hechos recogidos en el Informe </w:t>
      </w:r>
      <w:r w:rsidR="00353EC9" w:rsidRPr="00672AC2">
        <w:rPr>
          <w:color w:val="000000"/>
          <w:sz w:val="20"/>
          <w:szCs w:val="20"/>
          <w:lang w:val="es-419"/>
        </w:rPr>
        <w:t xml:space="preserve">de </w:t>
      </w:r>
      <w:r w:rsidRPr="00672AC2">
        <w:rPr>
          <w:color w:val="000000"/>
          <w:sz w:val="20"/>
          <w:szCs w:val="20"/>
          <w:lang w:val="es-419"/>
        </w:rPr>
        <w:t>País.</w:t>
      </w:r>
    </w:p>
    <w:p w14:paraId="426437C8" w14:textId="4D9DE11F" w:rsidR="007B4AF2" w:rsidRPr="00672AC2" w:rsidRDefault="007B4AF2" w:rsidP="00F964A0">
      <w:pPr>
        <w:pStyle w:val="ListParagraph"/>
        <w:numPr>
          <w:ilvl w:val="0"/>
          <w:numId w:val="28"/>
        </w:numPr>
        <w:ind w:left="1800"/>
        <w:jc w:val="both"/>
        <w:rPr>
          <w:color w:val="000000"/>
          <w:sz w:val="20"/>
          <w:szCs w:val="20"/>
          <w:lang w:val="es-419"/>
        </w:rPr>
      </w:pPr>
      <w:r w:rsidRPr="00672AC2">
        <w:rPr>
          <w:color w:val="000000"/>
          <w:sz w:val="20"/>
          <w:szCs w:val="20"/>
          <w:lang w:val="es-419"/>
        </w:rPr>
        <w:t>Se debe analizar la estrategia del Estado para garantizar la investigación, de manera que se eviten las demoras injustificadas, o la falta de atención frente a las posible</w:t>
      </w:r>
      <w:r w:rsidR="00B71813" w:rsidRPr="00672AC2">
        <w:rPr>
          <w:color w:val="000000"/>
          <w:sz w:val="20"/>
          <w:szCs w:val="20"/>
          <w:lang w:val="es-419"/>
        </w:rPr>
        <w:t>s</w:t>
      </w:r>
      <w:r w:rsidRPr="00672AC2">
        <w:rPr>
          <w:color w:val="000000"/>
          <w:sz w:val="20"/>
          <w:szCs w:val="20"/>
          <w:lang w:val="es-419"/>
        </w:rPr>
        <w:t xml:space="preserve"> barreras de acceso a la justicia que se pueden dar, sobre todo para aquellas personas con mayores dificultades para apersonarse a los actos procesales (personas que viven muy lejos, o en situación de pobreza, que no hablan español, mujeres con labores de cuidado, entre otros).</w:t>
      </w:r>
    </w:p>
    <w:p w14:paraId="11EF635F" w14:textId="77777777" w:rsidR="007B4AF2" w:rsidRPr="00672AC2" w:rsidRDefault="007B4AF2" w:rsidP="007B4AF2">
      <w:pPr>
        <w:jc w:val="both"/>
        <w:rPr>
          <w:color w:val="000000"/>
          <w:sz w:val="20"/>
          <w:szCs w:val="20"/>
          <w:lang w:val="es-419"/>
        </w:rPr>
      </w:pPr>
    </w:p>
    <w:p w14:paraId="41294E20" w14:textId="1ECF7DC5" w:rsidR="00340A5D" w:rsidRPr="00474C73" w:rsidRDefault="007B4AF2" w:rsidP="00340A5D">
      <w:pPr>
        <w:pStyle w:val="IAPrrafo"/>
        <w:rPr>
          <w:rStyle w:val="normaltextrun"/>
          <w:szCs w:val="20"/>
        </w:rPr>
      </w:pPr>
      <w:r w:rsidRPr="00672AC2">
        <w:rPr>
          <w:szCs w:val="20"/>
        </w:rPr>
        <w:t>Respecto a las recomendaciones en materia de</w:t>
      </w:r>
      <w:r w:rsidRPr="00672AC2">
        <w:rPr>
          <w:rStyle w:val="normaltextrun"/>
          <w:szCs w:val="20"/>
          <w:lang w:val="es-ES"/>
        </w:rPr>
        <w:t xml:space="preserve"> institucionalidad democrática</w:t>
      </w:r>
      <w:r w:rsidR="00340A5D" w:rsidRPr="00672AC2">
        <w:rPr>
          <w:rStyle w:val="normaltextrun"/>
          <w:szCs w:val="20"/>
          <w:lang w:val="es-ES"/>
        </w:rPr>
        <w:t>:</w:t>
      </w:r>
    </w:p>
    <w:p w14:paraId="11E0DD1C" w14:textId="269B2A17" w:rsidR="00F77933" w:rsidRPr="00672AC2" w:rsidRDefault="00F77933" w:rsidP="006B10D9">
      <w:pPr>
        <w:pStyle w:val="ListParagraph"/>
        <w:numPr>
          <w:ilvl w:val="0"/>
          <w:numId w:val="29"/>
        </w:numPr>
        <w:ind w:left="1800"/>
        <w:jc w:val="both"/>
        <w:rPr>
          <w:color w:val="000000"/>
          <w:sz w:val="20"/>
          <w:szCs w:val="20"/>
          <w:lang w:val="es-419"/>
        </w:rPr>
      </w:pPr>
      <w:r w:rsidRPr="00672AC2">
        <w:rPr>
          <w:rStyle w:val="normaltextrun"/>
          <w:color w:val="000000"/>
          <w:sz w:val="20"/>
          <w:szCs w:val="20"/>
          <w:shd w:val="clear" w:color="auto" w:fill="FFFFFF"/>
          <w:lang w:val="es-ES"/>
        </w:rPr>
        <w:t xml:space="preserve">No se han presentado acciones dirigidas a fortalecer la falta de confianza sobre la separación de poderes. </w:t>
      </w:r>
      <w:r w:rsidR="004119B7" w:rsidRPr="00672AC2">
        <w:rPr>
          <w:rStyle w:val="normaltextrun"/>
          <w:color w:val="000000"/>
          <w:sz w:val="20"/>
          <w:szCs w:val="20"/>
          <w:shd w:val="clear" w:color="auto" w:fill="FFFFFF"/>
          <w:lang w:val="es-ES"/>
        </w:rPr>
        <w:t xml:space="preserve">Por el </w:t>
      </w:r>
      <w:r w:rsidR="004C4C41" w:rsidRPr="00672AC2">
        <w:rPr>
          <w:rStyle w:val="normaltextrun"/>
          <w:color w:val="000000"/>
          <w:sz w:val="20"/>
          <w:szCs w:val="20"/>
          <w:shd w:val="clear" w:color="auto" w:fill="FFFFFF"/>
          <w:lang w:val="es-ES"/>
        </w:rPr>
        <w:t>contrario</w:t>
      </w:r>
      <w:r w:rsidRPr="00672AC2">
        <w:rPr>
          <w:rStyle w:val="normaltextrun"/>
          <w:color w:val="000000"/>
          <w:sz w:val="20"/>
          <w:szCs w:val="20"/>
          <w:shd w:val="clear" w:color="auto" w:fill="FFFFFF"/>
          <w:lang w:val="es-ES"/>
        </w:rPr>
        <w:t xml:space="preserve">, se han reportado diversas medidas que tendrían un efecto </w:t>
      </w:r>
      <w:r w:rsidR="004C4C41" w:rsidRPr="00672AC2">
        <w:rPr>
          <w:rStyle w:val="normaltextrun"/>
          <w:color w:val="000000"/>
          <w:sz w:val="20"/>
          <w:szCs w:val="20"/>
          <w:shd w:val="clear" w:color="auto" w:fill="FFFFFF"/>
          <w:lang w:val="es-ES"/>
        </w:rPr>
        <w:t>inverso</w:t>
      </w:r>
      <w:r w:rsidRPr="00672AC2">
        <w:rPr>
          <w:rStyle w:val="normaltextrun"/>
          <w:color w:val="000000"/>
          <w:sz w:val="20"/>
          <w:szCs w:val="20"/>
          <w:shd w:val="clear" w:color="auto" w:fill="FFFFFF"/>
          <w:lang w:val="es-ES"/>
        </w:rPr>
        <w:t>.</w:t>
      </w:r>
    </w:p>
    <w:p w14:paraId="64396493" w14:textId="7A8F2A60" w:rsidR="007B4AF2" w:rsidRPr="00672AC2" w:rsidRDefault="007B4AF2" w:rsidP="006B10D9">
      <w:pPr>
        <w:pStyle w:val="ListParagraph"/>
        <w:numPr>
          <w:ilvl w:val="0"/>
          <w:numId w:val="29"/>
        </w:numPr>
        <w:ind w:left="1800"/>
        <w:jc w:val="both"/>
        <w:rPr>
          <w:rStyle w:val="normaltextrun"/>
          <w:color w:val="000000"/>
          <w:sz w:val="20"/>
          <w:szCs w:val="20"/>
          <w:lang w:val="es-419"/>
        </w:rPr>
      </w:pPr>
      <w:r w:rsidRPr="00672AC2">
        <w:rPr>
          <w:rStyle w:val="normaltextrun"/>
          <w:color w:val="000000"/>
          <w:sz w:val="20"/>
          <w:szCs w:val="20"/>
          <w:shd w:val="clear" w:color="auto" w:fill="FFFFFF"/>
          <w:lang w:val="es-ES"/>
        </w:rPr>
        <w:t>En el marco del principio de separación de poderes, las normas legales que se presentan o aprueben no deben tener como objetivo o efecto restringir la actuación de otras entidades o de sus decisiones. Además, es esencial que se ejerza un real control de las normas que se quieren aprobar a través de mecanismos constitucionales existentes, tales como la facultad de observar normas que atenten contra de estos principios.</w:t>
      </w:r>
    </w:p>
    <w:p w14:paraId="688981D7" w14:textId="1681ECE7" w:rsidR="007B4AF2" w:rsidRPr="00672AC2" w:rsidRDefault="007B4AF2" w:rsidP="006B10D9">
      <w:pPr>
        <w:pStyle w:val="ListParagraph"/>
        <w:numPr>
          <w:ilvl w:val="0"/>
          <w:numId w:val="29"/>
        </w:numPr>
        <w:ind w:left="1800"/>
        <w:jc w:val="both"/>
        <w:rPr>
          <w:rStyle w:val="normaltextrun"/>
          <w:color w:val="000000"/>
          <w:sz w:val="20"/>
          <w:szCs w:val="20"/>
          <w:lang w:val="es-419"/>
        </w:rPr>
      </w:pPr>
      <w:r w:rsidRPr="00672AC2">
        <w:rPr>
          <w:rStyle w:val="normaltextrun"/>
          <w:color w:val="000000"/>
          <w:sz w:val="20"/>
          <w:szCs w:val="20"/>
          <w:shd w:val="clear" w:color="auto" w:fill="FFFFFF"/>
          <w:lang w:val="es-ES"/>
        </w:rPr>
        <w:t>Las entidades de control como el Tribunal Constitucional o la Defensoría del Pueblo deben cumplir con su rol, aplicando criterios y estándares internacionales de protección de derechos humanos.</w:t>
      </w:r>
    </w:p>
    <w:p w14:paraId="35FB9BB7" w14:textId="0BCE5FF6" w:rsidR="00A57A6B" w:rsidRPr="00672AC2" w:rsidRDefault="00A57A6B" w:rsidP="00A57A6B">
      <w:pPr>
        <w:pStyle w:val="ListParagraph"/>
        <w:jc w:val="both"/>
        <w:rPr>
          <w:color w:val="000000"/>
          <w:sz w:val="20"/>
          <w:szCs w:val="20"/>
          <w:lang w:val="es-419"/>
        </w:rPr>
      </w:pPr>
    </w:p>
    <w:p w14:paraId="704ED8D8" w14:textId="420E5E80" w:rsidR="00340A5D" w:rsidRPr="00474C73" w:rsidRDefault="009D72D0" w:rsidP="00340A5D">
      <w:pPr>
        <w:pStyle w:val="IAPrrafo"/>
        <w:rPr>
          <w:rStyle w:val="normaltextrun"/>
          <w:szCs w:val="20"/>
        </w:rPr>
      </w:pPr>
      <w:r w:rsidRPr="00672AC2">
        <w:rPr>
          <w:szCs w:val="20"/>
        </w:rPr>
        <w:t>Respecto a las recomendaciones en materia de</w:t>
      </w:r>
      <w:r w:rsidRPr="00672AC2">
        <w:rPr>
          <w:rStyle w:val="normaltextrun"/>
          <w:szCs w:val="20"/>
          <w:lang w:val="es-ES"/>
        </w:rPr>
        <w:t xml:space="preserve"> libertad de expresión, reunión y asociación</w:t>
      </w:r>
      <w:r w:rsidR="00340A5D" w:rsidRPr="00672AC2">
        <w:rPr>
          <w:rStyle w:val="normaltextrun"/>
          <w:szCs w:val="20"/>
          <w:lang w:val="es-ES"/>
        </w:rPr>
        <w:t xml:space="preserve">: </w:t>
      </w:r>
    </w:p>
    <w:p w14:paraId="78EAD53D" w14:textId="3D6DA505" w:rsidR="009D72D0" w:rsidRPr="00672AC2" w:rsidRDefault="009D72D0" w:rsidP="00474C73">
      <w:pPr>
        <w:pStyle w:val="ListParagraph"/>
        <w:numPr>
          <w:ilvl w:val="0"/>
          <w:numId w:val="31"/>
        </w:numPr>
        <w:ind w:left="1800"/>
        <w:jc w:val="both"/>
        <w:rPr>
          <w:color w:val="000000"/>
          <w:sz w:val="20"/>
          <w:szCs w:val="20"/>
          <w:lang w:val="es-419"/>
        </w:rPr>
      </w:pPr>
      <w:r w:rsidRPr="00672AC2">
        <w:rPr>
          <w:bCs/>
          <w:color w:val="000000" w:themeColor="text1"/>
          <w:sz w:val="20"/>
          <w:szCs w:val="20"/>
          <w:lang w:val="es-US"/>
        </w:rPr>
        <w:t>El Estado debe trabajar en el diseño, discusión, aprobación o aplicación de una</w:t>
      </w:r>
      <w:r w:rsidRPr="00672AC2">
        <w:rPr>
          <w:sz w:val="20"/>
          <w:szCs w:val="20"/>
          <w:lang w:val="es-CO"/>
        </w:rPr>
        <w:t xml:space="preserve"> política pública nacional dirigida a la protección de los derechos de reunión pacífica, libertad de expresión y libertad de asociación, que incluya la implementación de medidas de negociación, mediación y otros medios alternativos de conflictos; y la implementación de medidas de protección de personas defensoras de derechos humanos y periodistas.</w:t>
      </w:r>
    </w:p>
    <w:p w14:paraId="2EC040D1" w14:textId="29AA7685" w:rsidR="009D72D0" w:rsidRPr="00672AC2" w:rsidRDefault="009D72D0" w:rsidP="00474C73">
      <w:pPr>
        <w:pStyle w:val="IASubttulo2"/>
        <w:numPr>
          <w:ilvl w:val="0"/>
          <w:numId w:val="31"/>
        </w:numPr>
        <w:spacing w:after="0"/>
        <w:ind w:left="1800"/>
        <w:jc w:val="both"/>
        <w:rPr>
          <w:b w:val="0"/>
          <w:sz w:val="20"/>
          <w:szCs w:val="20"/>
          <w:lang w:val="es-US" w:eastAsia="es-US"/>
        </w:rPr>
      </w:pPr>
      <w:bookmarkStart w:id="39" w:name="_Toc195618303"/>
      <w:r w:rsidRPr="00672AC2">
        <w:rPr>
          <w:b w:val="0"/>
          <w:sz w:val="20"/>
          <w:szCs w:val="20"/>
          <w:lang w:val="es-US"/>
        </w:rPr>
        <w:t>Las autoridades y personas funcionarias se deben abstener de emitir declaraciones estigmatizantes sobre las personas que participen de las protestas</w:t>
      </w:r>
      <w:r w:rsidR="00881138" w:rsidRPr="00672AC2">
        <w:rPr>
          <w:b w:val="0"/>
          <w:sz w:val="20"/>
          <w:szCs w:val="20"/>
          <w:lang w:val="es-US"/>
        </w:rPr>
        <w:t>, y</w:t>
      </w:r>
      <w:r w:rsidRPr="00672AC2">
        <w:rPr>
          <w:b w:val="0"/>
          <w:sz w:val="20"/>
          <w:szCs w:val="20"/>
          <w:lang w:val="es-US"/>
        </w:rPr>
        <w:t xml:space="preserve"> procurar mecanismos de rendición de cuentas </w:t>
      </w:r>
      <w:r w:rsidR="00881138" w:rsidRPr="00672AC2">
        <w:rPr>
          <w:b w:val="0"/>
          <w:sz w:val="20"/>
          <w:szCs w:val="20"/>
          <w:lang w:val="es-US"/>
        </w:rPr>
        <w:t>cuando ocurran.</w:t>
      </w:r>
      <w:r w:rsidRPr="00672AC2">
        <w:rPr>
          <w:b w:val="0"/>
          <w:sz w:val="20"/>
          <w:szCs w:val="20"/>
          <w:lang w:val="es-US"/>
        </w:rPr>
        <w:t xml:space="preserve"> </w:t>
      </w:r>
      <w:r w:rsidR="00881138" w:rsidRPr="00672AC2">
        <w:rPr>
          <w:b w:val="0"/>
          <w:sz w:val="20"/>
          <w:szCs w:val="20"/>
          <w:lang w:val="es-US"/>
        </w:rPr>
        <w:t xml:space="preserve">Además, </w:t>
      </w:r>
      <w:r w:rsidR="003A75B6" w:rsidRPr="00672AC2">
        <w:rPr>
          <w:b w:val="0"/>
          <w:sz w:val="20"/>
          <w:szCs w:val="20"/>
          <w:lang w:val="es-US"/>
        </w:rPr>
        <w:t xml:space="preserve">es preciso </w:t>
      </w:r>
      <w:r w:rsidR="00881138" w:rsidRPr="00672AC2">
        <w:rPr>
          <w:b w:val="0"/>
          <w:sz w:val="20"/>
          <w:szCs w:val="20"/>
          <w:lang w:val="es-US"/>
        </w:rPr>
        <w:t>i</w:t>
      </w:r>
      <w:r w:rsidRPr="00672AC2">
        <w:rPr>
          <w:b w:val="0"/>
          <w:sz w:val="20"/>
          <w:szCs w:val="20"/>
          <w:lang w:val="es-US"/>
        </w:rPr>
        <w:t>mpartir medidas pedagógicas para que las autoridades y personas funcionarias conozcan</w:t>
      </w:r>
      <w:r w:rsidR="001E5003" w:rsidRPr="00672AC2">
        <w:rPr>
          <w:b w:val="0"/>
          <w:sz w:val="20"/>
          <w:szCs w:val="20"/>
          <w:lang w:val="es-US"/>
        </w:rPr>
        <w:t xml:space="preserve"> </w:t>
      </w:r>
      <w:r w:rsidRPr="00672AC2">
        <w:rPr>
          <w:b w:val="0"/>
          <w:sz w:val="20"/>
          <w:szCs w:val="20"/>
          <w:lang w:val="es-US"/>
        </w:rPr>
        <w:t>y apliquen esa prohibición.</w:t>
      </w:r>
      <w:bookmarkEnd w:id="39"/>
    </w:p>
    <w:p w14:paraId="6BBA7E88" w14:textId="77777777" w:rsidR="00881138" w:rsidRPr="00672AC2" w:rsidRDefault="00881138" w:rsidP="00474C73">
      <w:pPr>
        <w:pStyle w:val="ListParagraph"/>
        <w:numPr>
          <w:ilvl w:val="0"/>
          <w:numId w:val="31"/>
        </w:numPr>
        <w:ind w:left="1800"/>
        <w:jc w:val="both"/>
        <w:rPr>
          <w:color w:val="000000"/>
          <w:sz w:val="20"/>
          <w:szCs w:val="20"/>
          <w:lang w:val="es-419"/>
        </w:rPr>
      </w:pPr>
      <w:r w:rsidRPr="00672AC2">
        <w:rPr>
          <w:rFonts w:eastAsia="Cambria" w:cs="Cambria"/>
          <w:bCs/>
          <w:color w:val="000000" w:themeColor="text1"/>
          <w:sz w:val="20"/>
          <w:szCs w:val="20"/>
          <w:lang w:val="es-419"/>
        </w:rPr>
        <w:t>Se deben tomar medidas p</w:t>
      </w:r>
      <w:r w:rsidR="009D72D0" w:rsidRPr="00672AC2">
        <w:rPr>
          <w:rFonts w:eastAsia="Cambria" w:cs="Cambria"/>
          <w:bCs/>
          <w:color w:val="000000" w:themeColor="text1"/>
          <w:sz w:val="20"/>
          <w:szCs w:val="20"/>
          <w:lang w:val="es-419"/>
        </w:rPr>
        <w:t xml:space="preserve">ara garantizar el ejercicio del derecho a la protesta y </w:t>
      </w:r>
      <w:r w:rsidRPr="00672AC2">
        <w:rPr>
          <w:rFonts w:eastAsia="Cambria" w:cs="Cambria"/>
          <w:bCs/>
          <w:color w:val="000000" w:themeColor="text1"/>
          <w:sz w:val="20"/>
          <w:szCs w:val="20"/>
          <w:lang w:val="es-419"/>
        </w:rPr>
        <w:t>aclarar</w:t>
      </w:r>
      <w:r w:rsidR="009D72D0" w:rsidRPr="00672AC2">
        <w:rPr>
          <w:rFonts w:eastAsia="Cambria" w:cs="Cambria"/>
          <w:bCs/>
          <w:color w:val="000000" w:themeColor="text1"/>
          <w:sz w:val="20"/>
          <w:szCs w:val="20"/>
          <w:lang w:val="es-419"/>
        </w:rPr>
        <w:t xml:space="preserve"> que la adopción de medidas para su disolución solo se </w:t>
      </w:r>
      <w:r w:rsidRPr="00672AC2">
        <w:rPr>
          <w:rFonts w:eastAsia="Cambria" w:cs="Cambria"/>
          <w:bCs/>
          <w:color w:val="000000" w:themeColor="text1"/>
          <w:sz w:val="20"/>
          <w:szCs w:val="20"/>
          <w:lang w:val="es-419"/>
        </w:rPr>
        <w:t>debe dar cuando</w:t>
      </w:r>
      <w:r w:rsidR="009D72D0" w:rsidRPr="00672AC2">
        <w:rPr>
          <w:rFonts w:eastAsia="Cambria" w:cs="Cambria"/>
          <w:bCs/>
          <w:color w:val="000000" w:themeColor="text1"/>
          <w:sz w:val="20"/>
          <w:szCs w:val="20"/>
          <w:lang w:val="es-419"/>
        </w:rPr>
        <w:t xml:space="preserve"> hay riesgo grave para la vida o integridad física de las personas, siempre que no sean posibles otras medidas menos restrictivas</w:t>
      </w:r>
      <w:r w:rsidRPr="00672AC2">
        <w:rPr>
          <w:rFonts w:eastAsia="Cambria" w:cs="Cambria"/>
          <w:bCs/>
          <w:color w:val="000000" w:themeColor="text1"/>
          <w:sz w:val="20"/>
          <w:szCs w:val="20"/>
          <w:lang w:val="es-419"/>
        </w:rPr>
        <w:t>.</w:t>
      </w:r>
      <w:r w:rsidR="009D72D0" w:rsidRPr="00672AC2">
        <w:rPr>
          <w:rFonts w:eastAsia="Cambria" w:cs="Cambria"/>
          <w:bCs/>
          <w:color w:val="000000" w:themeColor="text1"/>
          <w:sz w:val="20"/>
          <w:szCs w:val="20"/>
          <w:lang w:val="es-419"/>
        </w:rPr>
        <w:t xml:space="preserve"> </w:t>
      </w:r>
    </w:p>
    <w:p w14:paraId="44D2E9FF" w14:textId="0B918EB5" w:rsidR="009D72D0" w:rsidRPr="00672AC2" w:rsidRDefault="00881138" w:rsidP="00474C73">
      <w:pPr>
        <w:pStyle w:val="ListParagraph"/>
        <w:numPr>
          <w:ilvl w:val="0"/>
          <w:numId w:val="31"/>
        </w:numPr>
        <w:ind w:left="1800"/>
        <w:jc w:val="both"/>
        <w:rPr>
          <w:color w:val="000000"/>
          <w:sz w:val="20"/>
          <w:szCs w:val="20"/>
          <w:lang w:val="es-419"/>
        </w:rPr>
      </w:pPr>
      <w:r w:rsidRPr="00672AC2">
        <w:rPr>
          <w:rFonts w:eastAsia="Cambria" w:cs="Cambria"/>
          <w:bCs/>
          <w:color w:val="000000" w:themeColor="text1"/>
          <w:sz w:val="20"/>
          <w:szCs w:val="20"/>
          <w:lang w:val="es-419"/>
        </w:rPr>
        <w:t xml:space="preserve">Se requieren </w:t>
      </w:r>
      <w:r w:rsidR="009D72D0" w:rsidRPr="00672AC2">
        <w:rPr>
          <w:bCs/>
          <w:sz w:val="20"/>
          <w:szCs w:val="20"/>
          <w:lang w:val="es-US"/>
        </w:rPr>
        <w:t xml:space="preserve">medidas concretas </w:t>
      </w:r>
      <w:r w:rsidRPr="00672AC2">
        <w:rPr>
          <w:bCs/>
          <w:sz w:val="20"/>
          <w:szCs w:val="20"/>
          <w:lang w:val="es-US"/>
        </w:rPr>
        <w:t>con el</w:t>
      </w:r>
      <w:r w:rsidR="009D72D0" w:rsidRPr="00672AC2">
        <w:rPr>
          <w:bCs/>
          <w:sz w:val="20"/>
          <w:szCs w:val="20"/>
          <w:lang w:val="es-US"/>
        </w:rPr>
        <w:t xml:space="preserve"> objetivo </w:t>
      </w:r>
      <w:r w:rsidRPr="00672AC2">
        <w:rPr>
          <w:bCs/>
          <w:sz w:val="20"/>
          <w:szCs w:val="20"/>
          <w:lang w:val="es-US"/>
        </w:rPr>
        <w:t>de</w:t>
      </w:r>
      <w:r w:rsidR="009D72D0" w:rsidRPr="00672AC2">
        <w:rPr>
          <w:bCs/>
          <w:sz w:val="20"/>
          <w:szCs w:val="20"/>
          <w:lang w:val="es-US"/>
        </w:rPr>
        <w:t xml:space="preserve"> </w:t>
      </w:r>
      <w:r w:rsidRPr="00672AC2">
        <w:rPr>
          <w:bCs/>
          <w:sz w:val="20"/>
          <w:szCs w:val="20"/>
          <w:lang w:val="es-US"/>
        </w:rPr>
        <w:t>proteger</w:t>
      </w:r>
      <w:r w:rsidR="009D72D0" w:rsidRPr="00672AC2">
        <w:rPr>
          <w:bCs/>
          <w:sz w:val="20"/>
          <w:szCs w:val="20"/>
          <w:lang w:val="es-US"/>
        </w:rPr>
        <w:t xml:space="preserve"> el derecho a la protesta, evitando criminalizar o generar un marco normativo que precarice la protección de las personas que participan de </w:t>
      </w:r>
      <w:r w:rsidR="003A75B6" w:rsidRPr="00672AC2">
        <w:rPr>
          <w:bCs/>
          <w:sz w:val="20"/>
          <w:szCs w:val="20"/>
          <w:lang w:val="es-US"/>
        </w:rPr>
        <w:t>aq</w:t>
      </w:r>
      <w:r w:rsidR="00207938" w:rsidRPr="00672AC2">
        <w:rPr>
          <w:bCs/>
          <w:sz w:val="20"/>
          <w:szCs w:val="20"/>
          <w:lang w:val="es-US"/>
        </w:rPr>
        <w:t>uel</w:t>
      </w:r>
      <w:r w:rsidR="009D72D0" w:rsidRPr="00672AC2">
        <w:rPr>
          <w:bCs/>
          <w:sz w:val="20"/>
          <w:szCs w:val="20"/>
          <w:lang w:val="es-US"/>
        </w:rPr>
        <w:t>las</w:t>
      </w:r>
      <w:r w:rsidRPr="00672AC2">
        <w:rPr>
          <w:bCs/>
          <w:sz w:val="20"/>
          <w:szCs w:val="20"/>
          <w:lang w:val="es-US"/>
        </w:rPr>
        <w:t>.</w:t>
      </w:r>
    </w:p>
    <w:p w14:paraId="19175008" w14:textId="1B605A53" w:rsidR="00881138" w:rsidRPr="00672AC2" w:rsidRDefault="00523D80" w:rsidP="00474C73">
      <w:pPr>
        <w:pStyle w:val="ListParagraph"/>
        <w:numPr>
          <w:ilvl w:val="0"/>
          <w:numId w:val="31"/>
        </w:numPr>
        <w:ind w:left="1800"/>
        <w:jc w:val="both"/>
        <w:rPr>
          <w:color w:val="000000"/>
          <w:sz w:val="20"/>
          <w:szCs w:val="20"/>
          <w:lang w:val="es-419"/>
        </w:rPr>
      </w:pPr>
      <w:r w:rsidRPr="00672AC2">
        <w:rPr>
          <w:sz w:val="20"/>
          <w:szCs w:val="20"/>
          <w:lang w:val="es-US"/>
        </w:rPr>
        <w:t>Es indispensable l</w:t>
      </w:r>
      <w:r w:rsidR="00881138" w:rsidRPr="00672AC2">
        <w:rPr>
          <w:sz w:val="20"/>
          <w:szCs w:val="20"/>
          <w:lang w:val="es-US"/>
        </w:rPr>
        <w:t>a adopción y fortalecimiento de un marco normativo que responda a las necesidades de l</w:t>
      </w:r>
      <w:r w:rsidR="00207938" w:rsidRPr="00672AC2">
        <w:rPr>
          <w:sz w:val="20"/>
          <w:szCs w:val="20"/>
          <w:lang w:val="es-US"/>
        </w:rPr>
        <w:t>as pe</w:t>
      </w:r>
      <w:r w:rsidRPr="00672AC2">
        <w:rPr>
          <w:sz w:val="20"/>
          <w:szCs w:val="20"/>
          <w:lang w:val="es-US"/>
        </w:rPr>
        <w:t>r</w:t>
      </w:r>
      <w:r w:rsidR="00207938" w:rsidRPr="00672AC2">
        <w:rPr>
          <w:sz w:val="20"/>
          <w:szCs w:val="20"/>
          <w:lang w:val="es-US"/>
        </w:rPr>
        <w:t>sonas</w:t>
      </w:r>
      <w:r w:rsidR="00881138" w:rsidRPr="00672AC2">
        <w:rPr>
          <w:sz w:val="20"/>
          <w:szCs w:val="20"/>
          <w:lang w:val="es-US"/>
        </w:rPr>
        <w:t xml:space="preserve"> periodistas, comunicador</w:t>
      </w:r>
      <w:r w:rsidRPr="00672AC2">
        <w:rPr>
          <w:sz w:val="20"/>
          <w:szCs w:val="20"/>
          <w:lang w:val="es-US"/>
        </w:rPr>
        <w:t>a</w:t>
      </w:r>
      <w:r w:rsidR="00881138" w:rsidRPr="00672AC2">
        <w:rPr>
          <w:sz w:val="20"/>
          <w:szCs w:val="20"/>
          <w:lang w:val="es-US"/>
        </w:rPr>
        <w:t>s y trabajador</w:t>
      </w:r>
      <w:r w:rsidRPr="00672AC2">
        <w:rPr>
          <w:sz w:val="20"/>
          <w:szCs w:val="20"/>
          <w:lang w:val="es-US"/>
        </w:rPr>
        <w:t>a</w:t>
      </w:r>
      <w:r w:rsidR="00881138" w:rsidRPr="00672AC2">
        <w:rPr>
          <w:sz w:val="20"/>
          <w:szCs w:val="20"/>
          <w:lang w:val="es-US"/>
        </w:rPr>
        <w:t xml:space="preserve">s de los medios de comunicación frente a las persecuciones, </w:t>
      </w:r>
      <w:r w:rsidR="00881138" w:rsidRPr="00672AC2">
        <w:rPr>
          <w:rFonts w:eastAsia="Cambria" w:cs="Cambria"/>
          <w:color w:val="000000" w:themeColor="text1"/>
          <w:sz w:val="20"/>
          <w:szCs w:val="20"/>
          <w:lang w:val="es-CO"/>
        </w:rPr>
        <w:t>detenciones, intimidaciones, hostigamientos, agresiones de cualquier tipo; así como cesar acciones estatales que intervengan con el libre funcionamiento de los medios de comunicación.</w:t>
      </w:r>
    </w:p>
    <w:p w14:paraId="30D2D166" w14:textId="0AA12C4C" w:rsidR="00881138" w:rsidRPr="00474C73" w:rsidRDefault="00881138" w:rsidP="00474C73">
      <w:pPr>
        <w:pStyle w:val="ListParagraph"/>
        <w:numPr>
          <w:ilvl w:val="0"/>
          <w:numId w:val="31"/>
        </w:numPr>
        <w:ind w:left="1800"/>
        <w:jc w:val="both"/>
        <w:rPr>
          <w:color w:val="000000"/>
          <w:sz w:val="20"/>
          <w:szCs w:val="20"/>
          <w:lang w:val="es-419"/>
        </w:rPr>
      </w:pPr>
      <w:r w:rsidRPr="00672AC2">
        <w:rPr>
          <w:sz w:val="20"/>
          <w:szCs w:val="20"/>
          <w:lang w:val="es-419"/>
        </w:rPr>
        <w:t xml:space="preserve">Se requiere </w:t>
      </w:r>
      <w:r w:rsidRPr="00672AC2">
        <w:rPr>
          <w:sz w:val="20"/>
          <w:szCs w:val="20"/>
          <w:lang w:val="es-US"/>
        </w:rPr>
        <w:t>fortalecer, en las campañas y otras medidas de incidencia institucional, el rol que las personas defensoras de derechos humanos y las personas periodistas cumplen en los contextos de protesta social, de manera que se puedan evitar futuras vulneraciones en el ejercicio de sus derechos.</w:t>
      </w:r>
    </w:p>
    <w:p w14:paraId="32AC08DC" w14:textId="77777777" w:rsidR="00474C73" w:rsidRPr="00474C73" w:rsidRDefault="00474C73" w:rsidP="00DF4954">
      <w:pPr>
        <w:pStyle w:val="ListParagraph"/>
        <w:ind w:left="1800"/>
        <w:jc w:val="both"/>
        <w:rPr>
          <w:color w:val="000000"/>
          <w:sz w:val="20"/>
          <w:szCs w:val="20"/>
          <w:lang w:val="es-419"/>
        </w:rPr>
      </w:pPr>
    </w:p>
    <w:p w14:paraId="7EB561CD" w14:textId="19565303" w:rsidR="00C3309F" w:rsidRPr="00672AC2" w:rsidRDefault="00881138" w:rsidP="00E83710">
      <w:pPr>
        <w:pStyle w:val="IAPrrafo"/>
      </w:pPr>
      <w:r w:rsidRPr="00672AC2">
        <w:t xml:space="preserve">Finalmente, la Comisión agradece la información proporcionada tanto por el Estado como por las organizaciones de la sociedad civil para la elaboración de este informe de seguimiento. </w:t>
      </w:r>
      <w:r w:rsidRPr="00672AC2">
        <w:rPr>
          <w:lang w:val="es-MX"/>
        </w:rPr>
        <w:t>También,</w:t>
      </w:r>
      <w:r w:rsidRPr="00672AC2">
        <w:t xml:space="preserve"> reitera su disposición para brindar asistencia técnica para promover la implementación de las recomendaciones analizadas, de conformidad con los estándares interamericanos</w:t>
      </w:r>
      <w:r w:rsidRPr="00672AC2">
        <w:rPr>
          <w:szCs w:val="20"/>
          <w:lang w:val="es-MX"/>
        </w:rPr>
        <w:t xml:space="preserve"> aplicables.</w:t>
      </w:r>
    </w:p>
    <w:sectPr w:rsidR="00C3309F" w:rsidRPr="00672AC2" w:rsidSect="008F6F4A">
      <w:type w:val="oddPage"/>
      <w:pgSz w:w="12240" w:h="15840"/>
      <w:pgMar w:top="1440" w:right="1440" w:bottom="1440" w:left="1440" w:header="720" w:footer="720" w:gutter="0"/>
      <w:pgNumType w:start="12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F1D4" w14:textId="77777777" w:rsidR="00064F96" w:rsidRDefault="00064F96" w:rsidP="003B41C5">
      <w:r>
        <w:separator/>
      </w:r>
    </w:p>
  </w:endnote>
  <w:endnote w:type="continuationSeparator" w:id="0">
    <w:p w14:paraId="03928481" w14:textId="77777777" w:rsidR="00064F96" w:rsidRDefault="00064F96" w:rsidP="003B41C5">
      <w:r>
        <w:continuationSeparator/>
      </w:r>
    </w:p>
  </w:endnote>
  <w:endnote w:type="continuationNotice" w:id="1">
    <w:p w14:paraId="2F082925" w14:textId="77777777" w:rsidR="00064F96" w:rsidRDefault="00064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ZWAdobeF">
    <w:panose1 w:val="00000000000000000000"/>
    <w:charset w:val="00"/>
    <w:family w:val="auto"/>
    <w:pitch w:val="variable"/>
    <w:sig w:usb0="20002A87" w:usb1="00000000" w:usb2="00000000" w:usb3="00000000" w:csb0="000001FF" w:csb1="00000000"/>
  </w:font>
  <w:font w:name="AppleSystemUIFon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DAD2" w14:textId="77777777" w:rsidR="00064F96" w:rsidRDefault="00064F96" w:rsidP="003B41C5">
      <w:r>
        <w:separator/>
      </w:r>
    </w:p>
  </w:footnote>
  <w:footnote w:type="continuationSeparator" w:id="0">
    <w:p w14:paraId="3AA625A1" w14:textId="77777777" w:rsidR="00064F96" w:rsidRDefault="00064F96" w:rsidP="003B41C5">
      <w:r>
        <w:continuationSeparator/>
      </w:r>
    </w:p>
  </w:footnote>
  <w:footnote w:type="continuationNotice" w:id="1">
    <w:p w14:paraId="4628DE86" w14:textId="77777777" w:rsidR="00064F96" w:rsidRDefault="00064F96"/>
  </w:footnote>
  <w:footnote w:id="2">
    <w:p w14:paraId="2EDB2364" w14:textId="77777777" w:rsidR="005B081B" w:rsidRPr="00A55563" w:rsidRDefault="005B081B" w:rsidP="005B081B">
      <w:pPr>
        <w:pStyle w:val="FootnoteText"/>
        <w:rPr>
          <w:szCs w:val="16"/>
          <w:lang w:val="es-ES"/>
        </w:rPr>
      </w:pPr>
      <w:r w:rsidRPr="00A55563">
        <w:rPr>
          <w:rStyle w:val="FootnoteReference"/>
          <w:szCs w:val="16"/>
        </w:rPr>
        <w:footnoteRef/>
      </w:r>
      <w:r w:rsidRPr="00A55563">
        <w:rPr>
          <w:szCs w:val="16"/>
          <w:lang w:val="es-ES"/>
        </w:rPr>
        <w:t xml:space="preserve"> CIDH</w:t>
      </w:r>
      <w:r>
        <w:rPr>
          <w:szCs w:val="16"/>
          <w:lang w:val="es-ES"/>
        </w:rPr>
        <w:t>,</w:t>
      </w:r>
      <w:r w:rsidRPr="00A55563">
        <w:rPr>
          <w:szCs w:val="16"/>
          <w:lang w:val="es-ES"/>
        </w:rPr>
        <w:t xml:space="preserve"> </w:t>
      </w:r>
      <w:r w:rsidR="00000000">
        <w:fldChar w:fldCharType="begin"/>
      </w:r>
      <w:r w:rsidR="00000000" w:rsidRPr="00F51AED">
        <w:rPr>
          <w:lang w:val="es-US"/>
        </w:rPr>
        <w:instrText>HYPERLINK "https://www.oas.org/es/cidh/informes/pdfs/2023/informe-situacionddhh-peru.pdf"</w:instrText>
      </w:r>
      <w:r w:rsidR="00000000">
        <w:fldChar w:fldCharType="separate"/>
      </w:r>
      <w:r w:rsidRPr="00A55563">
        <w:rPr>
          <w:rStyle w:val="Hyperlink"/>
          <w:szCs w:val="16"/>
          <w:lang w:val="es-ES"/>
        </w:rPr>
        <w:t>Informe sobre la situación de Derechos Humanos en Perú en el Contexto de las Protestas Sociales</w:t>
      </w:r>
      <w:r w:rsidR="00000000">
        <w:rPr>
          <w:rStyle w:val="Hyperlink"/>
          <w:szCs w:val="16"/>
          <w:lang w:val="es-ES"/>
        </w:rPr>
        <w:fldChar w:fldCharType="end"/>
      </w:r>
      <w:r>
        <w:rPr>
          <w:szCs w:val="16"/>
          <w:lang w:val="es-ES"/>
        </w:rPr>
        <w:t xml:space="preserve">, </w:t>
      </w:r>
      <w:r w:rsidRPr="00A55563">
        <w:rPr>
          <w:szCs w:val="16"/>
          <w:lang w:val="es-ES"/>
        </w:rPr>
        <w:t>OEA/</w:t>
      </w:r>
      <w:proofErr w:type="spellStart"/>
      <w:r w:rsidRPr="00A55563">
        <w:rPr>
          <w:szCs w:val="16"/>
          <w:lang w:val="es-ES"/>
        </w:rPr>
        <w:t>Ser.L</w:t>
      </w:r>
      <w:proofErr w:type="spellEnd"/>
      <w:r w:rsidRPr="00A55563">
        <w:rPr>
          <w:szCs w:val="16"/>
          <w:lang w:val="es-ES"/>
        </w:rPr>
        <w:t xml:space="preserve">/V/II. Doc. 57/23, 23 de abril de 2023. </w:t>
      </w:r>
    </w:p>
  </w:footnote>
  <w:footnote w:id="3">
    <w:p w14:paraId="27E97857" w14:textId="77777777" w:rsidR="005B081B" w:rsidRPr="00A55563" w:rsidRDefault="005B081B" w:rsidP="005B081B">
      <w:pPr>
        <w:pStyle w:val="FootnoteText"/>
        <w:rPr>
          <w:szCs w:val="16"/>
          <w:lang w:val="es-ES"/>
        </w:rPr>
      </w:pPr>
      <w:r w:rsidRPr="00A55563">
        <w:rPr>
          <w:rStyle w:val="FootnoteReference"/>
          <w:szCs w:val="16"/>
        </w:rPr>
        <w:footnoteRef/>
      </w:r>
      <w:r w:rsidRPr="00A55563">
        <w:rPr>
          <w:szCs w:val="16"/>
          <w:lang w:val="es-ES"/>
        </w:rPr>
        <w:t xml:space="preserve"> CIDH</w:t>
      </w:r>
      <w:r>
        <w:rPr>
          <w:szCs w:val="16"/>
          <w:lang w:val="es-ES"/>
        </w:rPr>
        <w:t>,</w:t>
      </w:r>
      <w:r w:rsidRPr="00A55563">
        <w:rPr>
          <w:szCs w:val="16"/>
          <w:lang w:val="es-ES"/>
        </w:rPr>
        <w:t xml:space="preserve"> </w:t>
      </w:r>
      <w:r w:rsidR="00000000">
        <w:fldChar w:fldCharType="begin"/>
      </w:r>
      <w:r w:rsidR="00000000" w:rsidRPr="00F51AED">
        <w:rPr>
          <w:lang w:val="es-US"/>
        </w:rPr>
        <w:instrText>HYPERLINK "https://www.oas.org/es/cidh/informes/pdfs/2023/informe-situacionddhh-peru.pdf"</w:instrText>
      </w:r>
      <w:r w:rsidR="00000000">
        <w:fldChar w:fldCharType="separate"/>
      </w:r>
      <w:r w:rsidRPr="00A55563">
        <w:rPr>
          <w:rStyle w:val="Hyperlink"/>
          <w:szCs w:val="16"/>
          <w:lang w:val="es-ES"/>
        </w:rPr>
        <w:t>Informe sobre la situación de Derechos Humanos en Perú en el Contexto de las Protestas Sociales</w:t>
      </w:r>
      <w:r w:rsidR="00000000">
        <w:rPr>
          <w:rStyle w:val="Hyperlink"/>
          <w:szCs w:val="16"/>
          <w:lang w:val="es-ES"/>
        </w:rPr>
        <w:fldChar w:fldCharType="end"/>
      </w:r>
      <w:r w:rsidRPr="00A55563">
        <w:rPr>
          <w:szCs w:val="16"/>
          <w:lang w:val="es-ES"/>
        </w:rPr>
        <w:t>, OEA/</w:t>
      </w:r>
      <w:proofErr w:type="spellStart"/>
      <w:r w:rsidRPr="00A55563">
        <w:rPr>
          <w:szCs w:val="16"/>
          <w:lang w:val="es-ES"/>
        </w:rPr>
        <w:t>Ser.L</w:t>
      </w:r>
      <w:proofErr w:type="spellEnd"/>
      <w:r w:rsidRPr="00A55563">
        <w:rPr>
          <w:szCs w:val="16"/>
          <w:lang w:val="es-ES"/>
        </w:rPr>
        <w:t>/V/II. Doc. 57/23, 23 de abril de 2023</w:t>
      </w:r>
      <w:r>
        <w:rPr>
          <w:szCs w:val="16"/>
          <w:lang w:val="es-ES"/>
        </w:rPr>
        <w:t>,</w:t>
      </w:r>
      <w:r w:rsidRPr="00A55563">
        <w:rPr>
          <w:szCs w:val="16"/>
          <w:lang w:val="es-ES"/>
        </w:rPr>
        <w:t xml:space="preserve"> párr</w:t>
      </w:r>
      <w:r>
        <w:rPr>
          <w:szCs w:val="16"/>
          <w:lang w:val="es-ES"/>
        </w:rPr>
        <w:t>.</w:t>
      </w:r>
      <w:r w:rsidRPr="00A55563">
        <w:rPr>
          <w:szCs w:val="16"/>
          <w:lang w:val="es-ES"/>
        </w:rPr>
        <w:t xml:space="preserve"> 26</w:t>
      </w:r>
      <w:r>
        <w:rPr>
          <w:szCs w:val="16"/>
          <w:lang w:val="es-ES"/>
        </w:rPr>
        <w:t>.</w:t>
      </w:r>
      <w:r w:rsidRPr="00A55563">
        <w:rPr>
          <w:szCs w:val="16"/>
          <w:lang w:val="es-ES"/>
        </w:rPr>
        <w:t xml:space="preserve"> </w:t>
      </w:r>
    </w:p>
  </w:footnote>
  <w:footnote w:id="4">
    <w:p w14:paraId="42BA603F" w14:textId="349AEDB8" w:rsidR="005B081B" w:rsidRPr="00A55563" w:rsidRDefault="005B081B" w:rsidP="00987F8B">
      <w:pPr>
        <w:pStyle w:val="FootnoteText"/>
        <w:rPr>
          <w:lang w:val="es-CO"/>
        </w:rPr>
      </w:pPr>
      <w:r w:rsidRPr="00A55563">
        <w:rPr>
          <w:rStyle w:val="FootnoteReference"/>
          <w:rFonts w:eastAsia="Cambria" w:cs="Cambria"/>
          <w:color w:val="000000" w:themeColor="text1"/>
          <w:szCs w:val="16"/>
        </w:rPr>
        <w:footnoteRef/>
      </w:r>
      <w:r w:rsidRPr="00A55563">
        <w:rPr>
          <w:lang w:val="es-CO"/>
        </w:rPr>
        <w:t xml:space="preserve"> Estado del Perú, </w:t>
      </w:r>
      <w:r w:rsidR="00000000">
        <w:fldChar w:fldCharType="begin"/>
      </w:r>
      <w:r w:rsidR="00000000" w:rsidRPr="00F51AED">
        <w:rPr>
          <w:lang w:val="es-US"/>
        </w:rPr>
        <w:instrText>HYPERLINK "1.%09https:/www.oas.org/es/cidh/docs/anual/2024/notas/Cap5_PER_Nota_236_2024.pdf"</w:instrText>
      </w:r>
      <w:r w:rsidR="00000000">
        <w:fldChar w:fldCharType="separate"/>
      </w:r>
      <w:r w:rsidRPr="0038566E">
        <w:rPr>
          <w:rStyle w:val="Hyperlink"/>
          <w:lang w:val="es-CO"/>
        </w:rPr>
        <w:t>Nota 7-5-M/236, Respuesta a</w:t>
      </w:r>
      <w:r w:rsidR="00F95C31" w:rsidRPr="0038566E">
        <w:rPr>
          <w:rStyle w:val="Hyperlink"/>
          <w:lang w:val="es-CO"/>
        </w:rPr>
        <w:t>l</w:t>
      </w:r>
      <w:r w:rsidRPr="0038566E">
        <w:rPr>
          <w:rStyle w:val="Hyperlink"/>
          <w:lang w:val="es-CO"/>
        </w:rPr>
        <w:t xml:space="preserve"> cuestionario de la CIDH</w:t>
      </w:r>
      <w:r w:rsidR="00000000">
        <w:rPr>
          <w:rStyle w:val="Hyperlink"/>
          <w:lang w:val="es-CO"/>
        </w:rPr>
        <w:fldChar w:fldCharType="end"/>
      </w:r>
      <w:r w:rsidRPr="00A55563">
        <w:rPr>
          <w:lang w:val="es-CO"/>
        </w:rPr>
        <w:t xml:space="preserve">, </w:t>
      </w:r>
      <w:r w:rsidR="0038566E">
        <w:rPr>
          <w:lang w:val="es-CO"/>
        </w:rPr>
        <w:t>11</w:t>
      </w:r>
      <w:r w:rsidRPr="00A55563">
        <w:rPr>
          <w:lang w:val="es-CO"/>
        </w:rPr>
        <w:t xml:space="preserve"> de </w:t>
      </w:r>
      <w:r w:rsidR="0038566E">
        <w:rPr>
          <w:lang w:val="es-CO"/>
        </w:rPr>
        <w:t>dic</w:t>
      </w:r>
      <w:r w:rsidRPr="00A55563">
        <w:rPr>
          <w:lang w:val="es-CO"/>
        </w:rPr>
        <w:t>iembre de 2024.</w:t>
      </w:r>
    </w:p>
  </w:footnote>
  <w:footnote w:id="5">
    <w:p w14:paraId="030B2509" w14:textId="77777777" w:rsidR="005B081B" w:rsidRPr="00A55563" w:rsidRDefault="005B081B" w:rsidP="00987F8B">
      <w:pPr>
        <w:pStyle w:val="FootnoteText"/>
        <w:rPr>
          <w:lang w:val="es-CO"/>
        </w:rPr>
      </w:pPr>
      <w:r w:rsidRPr="00A55563">
        <w:rPr>
          <w:rStyle w:val="FootnoteReference"/>
          <w:rFonts w:eastAsia="Cambria" w:cs="Cambria"/>
          <w:color w:val="000000" w:themeColor="text1"/>
          <w:szCs w:val="16"/>
        </w:rPr>
        <w:footnoteRef/>
      </w:r>
      <w:r w:rsidRPr="00A55563">
        <w:rPr>
          <w:lang w:val="es-ES"/>
        </w:rPr>
        <w:t xml:space="preserve"> SIMORE Interamericano,</w:t>
      </w:r>
      <w:r w:rsidRPr="00A55563">
        <w:rPr>
          <w:rStyle w:val="Nenhum"/>
          <w:rFonts w:eastAsia="Cambria" w:cs="Cambria"/>
          <w:szCs w:val="16"/>
          <w:lang w:val="es-CO"/>
        </w:rPr>
        <w:t xml:space="preserve"> </w:t>
      </w:r>
      <w:r w:rsidR="00000000">
        <w:fldChar w:fldCharType="begin"/>
      </w:r>
      <w:r w:rsidR="00000000" w:rsidRPr="00F51AED">
        <w:rPr>
          <w:lang w:val="es-US"/>
        </w:rPr>
        <w:instrText>HYPERLINK "https://www.oas.org/ext/es/derechos-humanos/simore/Recomendaciones?V=1&amp;search3322=+&amp;pagesize=12&amp;filter-Mechanism1=56&amp;filter-Reach=31"</w:instrText>
      </w:r>
      <w:r w:rsidR="00000000">
        <w:fldChar w:fldCharType="separate"/>
      </w:r>
      <w:r w:rsidRPr="00A55563">
        <w:rPr>
          <w:rStyle w:val="Hyperlink"/>
          <w:szCs w:val="16"/>
          <w:lang w:val="es-ES"/>
        </w:rPr>
        <w:t>Respuesta al cuestionario del Informe del Estado peruano sobre la implementación de recomendaciones del informe país “Situación de Derechos Humanos en Perú en el contexto de las protestas sociales de la Comisión Interamericana de Derechos Humanos”</w:t>
      </w:r>
      <w:r w:rsidR="00000000">
        <w:rPr>
          <w:rStyle w:val="Hyperlink"/>
          <w:szCs w:val="16"/>
          <w:lang w:val="es-ES"/>
        </w:rPr>
        <w:fldChar w:fldCharType="end"/>
      </w:r>
      <w:r w:rsidRPr="00A55563">
        <w:rPr>
          <w:rStyle w:val="Nenhum"/>
          <w:rFonts w:eastAsia="Cambria" w:cs="Cambria"/>
          <w:szCs w:val="16"/>
          <w:lang w:val="es-CO"/>
        </w:rPr>
        <w:t xml:space="preserve">, </w:t>
      </w:r>
      <w:r w:rsidRPr="00A55563">
        <w:rPr>
          <w:lang w:val="es-ES"/>
        </w:rPr>
        <w:t>diciembre de 2024</w:t>
      </w:r>
      <w:r w:rsidRPr="00A55563">
        <w:rPr>
          <w:rStyle w:val="Nenhum"/>
          <w:rFonts w:eastAsia="Cambria" w:cs="Cambria"/>
          <w:szCs w:val="16"/>
          <w:lang w:val="es-CO"/>
        </w:rPr>
        <w:t>.</w:t>
      </w:r>
    </w:p>
  </w:footnote>
  <w:footnote w:id="6">
    <w:p w14:paraId="5D987D12" w14:textId="77777777" w:rsidR="005B081B" w:rsidRPr="00A55563" w:rsidRDefault="005B081B" w:rsidP="00987F8B">
      <w:pPr>
        <w:pStyle w:val="FootnoteText"/>
        <w:rPr>
          <w:lang w:val="es-ES"/>
        </w:rPr>
      </w:pPr>
      <w:r w:rsidRPr="00A55563">
        <w:rPr>
          <w:rStyle w:val="FootnoteReference"/>
          <w:szCs w:val="16"/>
        </w:rPr>
        <w:footnoteRef/>
      </w:r>
      <w:r w:rsidRPr="00A55563">
        <w:rPr>
          <w:lang w:val="es-ES"/>
        </w:rPr>
        <w:t xml:space="preserve"> SIMORE Interamericano, </w:t>
      </w:r>
      <w:r w:rsidR="00000000">
        <w:fldChar w:fldCharType="begin"/>
      </w:r>
      <w:r w:rsidR="00000000" w:rsidRPr="00F51AED">
        <w:rPr>
          <w:lang w:val="es-US"/>
        </w:rPr>
        <w:instrText>HYPERLINK "https://www.oas.org/ext/es/derechos-humanos/simore/Recomendaciones?V=1&amp;search3322=+&amp;pagesize=12&amp;filter-Mechanism1=56&amp;filter-Reach=31"</w:instrText>
      </w:r>
      <w:r w:rsidR="00000000">
        <w:fldChar w:fldCharType="separate"/>
      </w:r>
      <w:r w:rsidRPr="00A55563">
        <w:rPr>
          <w:rStyle w:val="Hyperlink"/>
          <w:szCs w:val="16"/>
          <w:lang w:val="es-ES"/>
        </w:rPr>
        <w:t>Respuesta al cuestionario de seguimiento del Informe sobre la situación de derechos humanos en Perú</w:t>
      </w:r>
      <w:r w:rsidR="00000000">
        <w:rPr>
          <w:rStyle w:val="Hyperlink"/>
          <w:szCs w:val="16"/>
          <w:lang w:val="es-ES"/>
        </w:rPr>
        <w:fldChar w:fldCharType="end"/>
      </w:r>
      <w:r w:rsidRPr="00A55563">
        <w:rPr>
          <w:lang w:val="es-ES"/>
        </w:rPr>
        <w:t>, diciembre de 2024.</w:t>
      </w:r>
    </w:p>
  </w:footnote>
  <w:footnote w:id="7">
    <w:p w14:paraId="632E874E" w14:textId="66B71637" w:rsidR="00996AC4" w:rsidRPr="00A55563" w:rsidRDefault="00996AC4" w:rsidP="00987F8B">
      <w:pPr>
        <w:pStyle w:val="FootnoteText"/>
        <w:rPr>
          <w:rStyle w:val="ui-provider"/>
          <w:rFonts w:eastAsia="Cambria" w:cs="Cambria"/>
          <w:color w:val="000000" w:themeColor="text1"/>
          <w:szCs w:val="16"/>
          <w:highlight w:val="yellow"/>
          <w:lang w:val="es-US"/>
        </w:rPr>
      </w:pPr>
      <w:r w:rsidRPr="00A55563">
        <w:rPr>
          <w:rStyle w:val="FootnoteReference"/>
          <w:rFonts w:eastAsia="Cambria" w:cs="Cambria"/>
          <w:color w:val="000000" w:themeColor="text1"/>
          <w:szCs w:val="16"/>
        </w:rPr>
        <w:footnoteRef/>
      </w:r>
      <w:r w:rsidRPr="00A55563">
        <w:rPr>
          <w:lang w:val="es-US"/>
        </w:rPr>
        <w:t xml:space="preserve"> </w:t>
      </w:r>
      <w:r w:rsidRPr="00A55563">
        <w:rPr>
          <w:lang w:val="es-ES"/>
        </w:rPr>
        <w:t>La Asociación Pro Derechos Humanos (</w:t>
      </w:r>
      <w:proofErr w:type="spellStart"/>
      <w:r w:rsidRPr="00A55563">
        <w:rPr>
          <w:lang w:val="es-ES"/>
        </w:rPr>
        <w:t>Aprodeh</w:t>
      </w:r>
      <w:proofErr w:type="spellEnd"/>
      <w:r w:rsidRPr="00A55563">
        <w:rPr>
          <w:lang w:val="es-ES"/>
        </w:rPr>
        <w:t>), Comisión Episcopal de Acción Social (CEAS), la Coordinadora Nacional de Derechos Humanos (CNDDHH), Instituto de Defensa Legal (IDL), Estudio para la Defensa de los Derechos de la Mujer (</w:t>
      </w:r>
      <w:proofErr w:type="spellStart"/>
      <w:r w:rsidRPr="00A55563">
        <w:rPr>
          <w:lang w:val="es-ES"/>
        </w:rPr>
        <w:t>Demus</w:t>
      </w:r>
      <w:proofErr w:type="spellEnd"/>
      <w:r w:rsidRPr="00A55563">
        <w:rPr>
          <w:lang w:val="es-ES"/>
        </w:rPr>
        <w:t>), Fundación Ecuménica para el Desarrollo y la Paz (</w:t>
      </w:r>
      <w:proofErr w:type="spellStart"/>
      <w:r w:rsidRPr="00A55563">
        <w:rPr>
          <w:lang w:val="es-ES"/>
        </w:rPr>
        <w:t>Fedepaz</w:t>
      </w:r>
      <w:proofErr w:type="spellEnd"/>
      <w:r w:rsidRPr="00A55563">
        <w:rPr>
          <w:lang w:val="es-ES"/>
        </w:rPr>
        <w:t xml:space="preserve">), Paz y Esperanza y el Centro por la Justicia y el Derecho Internacional (CEJIL), Respuesta al cuestionario de seguimiento del Informe sobre la situación de derechos humanos en Perú, 17 de diciembre de 2024. </w:t>
      </w:r>
      <w:r w:rsidR="00F87C93" w:rsidRPr="00A55563">
        <w:rPr>
          <w:lang w:val="es-ES"/>
        </w:rPr>
        <w:t>Instituto de Democracia y Derechos Humanos de la Pontificia Universidad Católica del Perú, Informe sobre el cumplimiento de recomendaciones establecidas por la CIDH en su Informe sobre la situación de DDHH en Perú en el contexto de las protestas sociales, 9 de diciembre de 2024.</w:t>
      </w:r>
    </w:p>
  </w:footnote>
  <w:footnote w:id="8">
    <w:p w14:paraId="136CA8D4" w14:textId="77777777" w:rsidR="005B081B" w:rsidRPr="00A55563" w:rsidRDefault="005B081B" w:rsidP="00987F8B">
      <w:pPr>
        <w:pStyle w:val="FootnoteText"/>
        <w:rPr>
          <w:lang w:val="es-CO"/>
        </w:rPr>
      </w:pPr>
      <w:r w:rsidRPr="00A55563">
        <w:rPr>
          <w:rStyle w:val="FootnoteReference"/>
          <w:rFonts w:eastAsia="Cambria" w:cs="Cambria"/>
          <w:color w:val="000000" w:themeColor="text1"/>
          <w:szCs w:val="16"/>
        </w:rPr>
        <w:footnoteRef/>
      </w:r>
      <w:r w:rsidRPr="00A55563">
        <w:rPr>
          <w:lang w:val="es-CO"/>
        </w:rPr>
        <w:t xml:space="preserve"> CIDH, </w:t>
      </w:r>
      <w:r w:rsidR="00000000">
        <w:fldChar w:fldCharType="begin"/>
      </w:r>
      <w:r w:rsidR="00000000" w:rsidRPr="00F51AED">
        <w:rPr>
          <w:lang w:val="es-US"/>
        </w:rPr>
        <w:instrText>HYPERLINK "https://www.oas.org/es/cidh/informes/pdfs/2024/Directrices-generales-seguimiento-2daEdicion.pdf"</w:instrText>
      </w:r>
      <w:r w:rsidR="00000000">
        <w:fldChar w:fldCharType="separate"/>
      </w:r>
      <w:r w:rsidRPr="00C67BC5">
        <w:rPr>
          <w:rStyle w:val="Hyperlink"/>
          <w:szCs w:val="16"/>
          <w:lang w:val="es-ES"/>
        </w:rPr>
        <w:t>Directrices Generales de seguimiento de recomendaciones y decisiones de la Comisión Interamericana de Derechos Humanos</w:t>
      </w:r>
      <w:r w:rsidR="00000000">
        <w:rPr>
          <w:rStyle w:val="Hyperlink"/>
          <w:szCs w:val="16"/>
          <w:lang w:val="es-ES"/>
        </w:rPr>
        <w:fldChar w:fldCharType="end"/>
      </w:r>
      <w:r w:rsidRPr="00A55563">
        <w:rPr>
          <w:lang w:val="es-CO"/>
        </w:rPr>
        <w:t xml:space="preserve">, </w:t>
      </w:r>
      <w:r w:rsidRPr="00A55563">
        <w:rPr>
          <w:lang w:val="es-US"/>
        </w:rPr>
        <w:t>OEA/</w:t>
      </w:r>
      <w:proofErr w:type="spellStart"/>
      <w:r w:rsidRPr="00A55563">
        <w:rPr>
          <w:lang w:val="es-US"/>
        </w:rPr>
        <w:t>Ser.L</w:t>
      </w:r>
      <w:proofErr w:type="spellEnd"/>
      <w:r w:rsidRPr="00A55563">
        <w:rPr>
          <w:lang w:val="es-US"/>
        </w:rPr>
        <w:t>/V/II. Doc.385/23 (segunda edición), 20 de noviembre de 2023</w:t>
      </w:r>
      <w:r w:rsidRPr="00A55563">
        <w:rPr>
          <w:lang w:val="es-CO"/>
        </w:rPr>
        <w:t>.</w:t>
      </w:r>
    </w:p>
  </w:footnote>
  <w:footnote w:id="9">
    <w:p w14:paraId="4A958ECD" w14:textId="77777777" w:rsidR="005B081B" w:rsidRPr="00A55563" w:rsidRDefault="005B081B" w:rsidP="005B081B">
      <w:pPr>
        <w:pStyle w:val="NoSpacing"/>
        <w:ind w:firstLine="720"/>
        <w:jc w:val="both"/>
        <w:rPr>
          <w:rFonts w:ascii="Cambria" w:hAnsi="Cambria"/>
          <w:color w:val="000000" w:themeColor="text1"/>
          <w:sz w:val="16"/>
          <w:szCs w:val="16"/>
          <w:lang w:val="es-US"/>
        </w:rPr>
      </w:pPr>
      <w:r w:rsidRPr="00A55563">
        <w:rPr>
          <w:rStyle w:val="FootnoteReference"/>
          <w:rFonts w:ascii="Cambria" w:eastAsia="Cambria" w:hAnsi="Cambria" w:cs="Cambria"/>
          <w:color w:val="000000" w:themeColor="text1"/>
          <w:sz w:val="16"/>
          <w:szCs w:val="16"/>
        </w:rPr>
        <w:footnoteRef/>
      </w:r>
      <w:r w:rsidRPr="00A55563">
        <w:rPr>
          <w:rFonts w:ascii="Cambria" w:eastAsia="Cambria" w:hAnsi="Cambria" w:cs="Cambria"/>
          <w:color w:val="000000" w:themeColor="text1"/>
          <w:sz w:val="16"/>
          <w:szCs w:val="16"/>
          <w:lang w:val="es-US"/>
        </w:rPr>
        <w:t xml:space="preserve"> Para ello, la CIDH se ha valido de la información recabada durante audiencias públicas, investigaciones realizadas de oficio, insumos provenientes de los mecanismos de peticiones y casos y de medidas cautelares y las respuestas a las solicitudes de información remitidas bajo la facultad establecida en el artículo 41 de la Convención Americana sobre Derechos Humanos; así como de la información recabada a partir de otras fuentes públicas, y las decisiones y recomendaciones de organismos internacionales especializados, entre otros.</w:t>
      </w:r>
    </w:p>
  </w:footnote>
  <w:footnote w:id="10">
    <w:p w14:paraId="66943ABE" w14:textId="74FEB9C1" w:rsidR="005B081B" w:rsidRPr="000D30D7" w:rsidRDefault="005B081B" w:rsidP="005B081B">
      <w:pPr>
        <w:pStyle w:val="FootnoteText"/>
        <w:rPr>
          <w:lang w:val="es-ES"/>
        </w:rPr>
      </w:pPr>
      <w:r w:rsidRPr="000D30D7">
        <w:rPr>
          <w:rStyle w:val="FootnoteReference"/>
        </w:rPr>
        <w:footnoteRef/>
      </w:r>
      <w:r w:rsidRPr="000D30D7">
        <w:rPr>
          <w:lang w:val="es-ES"/>
        </w:rPr>
        <w:t xml:space="preserve"> </w:t>
      </w:r>
      <w:r w:rsidRPr="000D30D7">
        <w:rPr>
          <w:rFonts w:eastAsia="Cambria" w:cs="Cambria"/>
          <w:color w:val="000000" w:themeColor="text1"/>
          <w:szCs w:val="16"/>
          <w:lang w:val="es-CO"/>
        </w:rPr>
        <w:t xml:space="preserve">Estado del Perú, Nota </w:t>
      </w:r>
      <w:proofErr w:type="spellStart"/>
      <w:r w:rsidR="002A69C5">
        <w:rPr>
          <w:rFonts w:eastAsia="Cambria" w:cs="Cambria"/>
          <w:color w:val="000000" w:themeColor="text1"/>
          <w:szCs w:val="16"/>
          <w:lang w:val="es-CO"/>
        </w:rPr>
        <w:t>Nº</w:t>
      </w:r>
      <w:proofErr w:type="spellEnd"/>
      <w:r w:rsidRPr="000D30D7">
        <w:rPr>
          <w:rFonts w:eastAsia="Cambria" w:cs="Cambria"/>
          <w:color w:val="000000" w:themeColor="text1"/>
          <w:szCs w:val="16"/>
          <w:lang w:val="es-CO"/>
        </w:rPr>
        <w:t xml:space="preserve"> 7-5-M/010, Informe del Estado peruano sobre la implementación de recomendaciones del informe país “Situación de Derechos Humanos en Perú en el contexto de las protestas sociales de la Comisión Interamericana de Derechos Humanos”, 18 de enero de 2024, párr</w:t>
      </w:r>
      <w:r>
        <w:rPr>
          <w:rFonts w:eastAsia="Cambria" w:cs="Cambria"/>
          <w:color w:val="000000" w:themeColor="text1"/>
          <w:szCs w:val="16"/>
          <w:lang w:val="es-CO"/>
        </w:rPr>
        <w:t>.</w:t>
      </w:r>
      <w:r w:rsidRPr="000D30D7">
        <w:rPr>
          <w:rFonts w:eastAsia="Cambria" w:cs="Cambria"/>
          <w:color w:val="000000" w:themeColor="text1"/>
          <w:szCs w:val="16"/>
          <w:lang w:val="es-CO"/>
        </w:rPr>
        <w:t xml:space="preserve"> 11.</w:t>
      </w:r>
    </w:p>
  </w:footnote>
  <w:footnote w:id="11">
    <w:p w14:paraId="5F9E76EB" w14:textId="77777777" w:rsidR="005B081B" w:rsidRPr="000D30D7" w:rsidRDefault="005B081B" w:rsidP="005B081B">
      <w:pPr>
        <w:pStyle w:val="FootnoteText"/>
        <w:rPr>
          <w:lang w:val="es-ES"/>
        </w:rPr>
      </w:pPr>
      <w:r w:rsidRPr="000D30D7">
        <w:rPr>
          <w:rStyle w:val="FootnoteReference"/>
        </w:rPr>
        <w:footnoteRef/>
      </w:r>
      <w:r w:rsidRPr="000D30D7">
        <w:rPr>
          <w:lang w:val="es-ES"/>
        </w:rPr>
        <w:t xml:space="preserve"> </w:t>
      </w:r>
      <w:r>
        <w:rPr>
          <w:lang w:val="es-ES"/>
        </w:rPr>
        <w:t>Guía e</w:t>
      </w:r>
      <w:r w:rsidRPr="000D30D7">
        <w:rPr>
          <w:lang w:val="es-ES"/>
        </w:rPr>
        <w:t>laborada el 11 de diciembre del 2023.</w:t>
      </w:r>
    </w:p>
  </w:footnote>
  <w:footnote w:id="12">
    <w:p w14:paraId="5D4504CA" w14:textId="6B290CDC" w:rsidR="005B081B" w:rsidRPr="00E51DE8" w:rsidRDefault="005B081B" w:rsidP="005B081B">
      <w:pPr>
        <w:pStyle w:val="FootnoteText"/>
        <w:rPr>
          <w:lang w:val="es-ES"/>
        </w:rPr>
      </w:pPr>
      <w:r w:rsidRPr="000D30D7">
        <w:rPr>
          <w:rStyle w:val="FootnoteReference"/>
        </w:rPr>
        <w:footnoteRef/>
      </w:r>
      <w:r w:rsidRPr="000D30D7">
        <w:rPr>
          <w:lang w:val="es-ES"/>
        </w:rPr>
        <w:t xml:space="preserve"> Resolución </w:t>
      </w:r>
      <w:proofErr w:type="spellStart"/>
      <w:r w:rsidR="002A69C5">
        <w:rPr>
          <w:lang w:val="es-ES"/>
        </w:rPr>
        <w:t>Nº</w:t>
      </w:r>
      <w:proofErr w:type="spellEnd"/>
      <w:r w:rsidRPr="000D30D7">
        <w:rPr>
          <w:lang w:val="es-ES"/>
        </w:rPr>
        <w:t xml:space="preserve"> 009-2021-PCM/SGSD.</w:t>
      </w:r>
    </w:p>
  </w:footnote>
  <w:footnote w:id="13">
    <w:p w14:paraId="3BD5970B" w14:textId="77777777" w:rsidR="005B081B" w:rsidRPr="00005004" w:rsidRDefault="005B081B" w:rsidP="005B081B">
      <w:pPr>
        <w:pStyle w:val="FootnoteText"/>
        <w:rPr>
          <w:lang w:val="es-ES"/>
        </w:rPr>
      </w:pPr>
      <w:r w:rsidRPr="00005004">
        <w:rPr>
          <w:rStyle w:val="FootnoteReference"/>
        </w:rPr>
        <w:footnoteRef/>
      </w:r>
      <w:r w:rsidRPr="00005004">
        <w:rPr>
          <w:lang w:val="es-ES"/>
        </w:rPr>
        <w:t xml:space="preserve"> Resolución N°008-2021-PCM-SGSD</w:t>
      </w:r>
      <w:r>
        <w:rPr>
          <w:lang w:val="es-ES"/>
        </w:rPr>
        <w:t>.</w:t>
      </w:r>
    </w:p>
  </w:footnote>
  <w:footnote w:id="14">
    <w:p w14:paraId="0C105CC9" w14:textId="61DAACA2" w:rsidR="005B081B" w:rsidRPr="00F51AED" w:rsidRDefault="005B081B" w:rsidP="005B081B">
      <w:pPr>
        <w:pStyle w:val="FootnoteText"/>
        <w:rPr>
          <w:lang w:val="es-US"/>
        </w:rPr>
      </w:pPr>
      <w:r w:rsidRPr="00005004">
        <w:rPr>
          <w:rStyle w:val="FootnoteReference"/>
        </w:rPr>
        <w:footnoteRef/>
      </w:r>
      <w:r w:rsidRPr="00F51AED">
        <w:rPr>
          <w:lang w:val="es-US"/>
        </w:rPr>
        <w:t xml:space="preserve"> </w:t>
      </w:r>
      <w:r w:rsidR="001C646D" w:rsidRPr="00F51AED">
        <w:rPr>
          <w:lang w:val="es-US"/>
        </w:rPr>
        <w:t xml:space="preserve">Memorando Múltiple N° D000005-2024-PCMSGSD. </w:t>
      </w:r>
    </w:p>
  </w:footnote>
  <w:footnote w:id="15">
    <w:p w14:paraId="15985721" w14:textId="4B3953F3" w:rsidR="005B081B" w:rsidRPr="00005004" w:rsidRDefault="005B081B" w:rsidP="005B081B">
      <w:pPr>
        <w:pStyle w:val="FootnoteText"/>
        <w:rPr>
          <w:lang w:val="es-ES"/>
        </w:rPr>
      </w:pPr>
      <w:r w:rsidRPr="00005004">
        <w:rPr>
          <w:rStyle w:val="FootnoteReference"/>
        </w:rPr>
        <w:footnoteRef/>
      </w:r>
      <w:r w:rsidRPr="00005004">
        <w:rPr>
          <w:lang w:val="es-ES"/>
        </w:rPr>
        <w:t xml:space="preserve"> Resolución Ministerial </w:t>
      </w:r>
      <w:proofErr w:type="spellStart"/>
      <w:r w:rsidR="006708A7">
        <w:rPr>
          <w:lang w:val="es-ES"/>
        </w:rPr>
        <w:t>Nº</w:t>
      </w:r>
      <w:proofErr w:type="spellEnd"/>
      <w:r w:rsidRPr="00005004">
        <w:rPr>
          <w:lang w:val="es-ES"/>
        </w:rPr>
        <w:t xml:space="preserve"> 308-2024-PCM, del </w:t>
      </w:r>
      <w:r w:rsidR="00AC28D0">
        <w:rPr>
          <w:lang w:val="es-ES"/>
        </w:rPr>
        <w:t xml:space="preserve">24 </w:t>
      </w:r>
      <w:r>
        <w:rPr>
          <w:lang w:val="es-ES"/>
        </w:rPr>
        <w:t xml:space="preserve">de noviembre de </w:t>
      </w:r>
      <w:r w:rsidRPr="00005004">
        <w:rPr>
          <w:lang w:val="es-ES"/>
        </w:rPr>
        <w:t>2024</w:t>
      </w:r>
      <w:r>
        <w:rPr>
          <w:lang w:val="es-ES"/>
        </w:rPr>
        <w:t xml:space="preserve">. </w:t>
      </w:r>
      <w:r w:rsidRPr="00005004">
        <w:rPr>
          <w:rFonts w:eastAsia="Cambria" w:cs="Cambria"/>
          <w:color w:val="000000" w:themeColor="text1"/>
          <w:szCs w:val="16"/>
          <w:lang w:val="es-CO"/>
        </w:rPr>
        <w:t xml:space="preserve">Estado del Perú, </w:t>
      </w:r>
      <w:r w:rsidR="00000000">
        <w:fldChar w:fldCharType="begin"/>
      </w:r>
      <w:r w:rsidR="00000000" w:rsidRPr="00F51AED">
        <w:rPr>
          <w:lang w:val="es-US"/>
        </w:rPr>
        <w:instrText>HYPERLINK "1.%09https:/www.oas.org/es/cidh/docs/anual/2024/notas/Cap5_PER_Nota_236_2024.pdf"</w:instrText>
      </w:r>
      <w:r w:rsidR="00000000">
        <w:fldChar w:fldCharType="separate"/>
      </w:r>
      <w:r w:rsidRPr="00C86C2F">
        <w:rPr>
          <w:rStyle w:val="Hyperlink"/>
          <w:rFonts w:eastAsia="Cambria" w:cs="Cambria"/>
          <w:szCs w:val="16"/>
          <w:lang w:val="es-CO"/>
        </w:rPr>
        <w:t xml:space="preserve">Nota </w:t>
      </w:r>
      <w:proofErr w:type="spellStart"/>
      <w:r w:rsidR="006708A7" w:rsidRPr="00C86C2F">
        <w:rPr>
          <w:rStyle w:val="Hyperlink"/>
          <w:rFonts w:eastAsia="Cambria" w:cs="Cambria"/>
          <w:szCs w:val="16"/>
          <w:lang w:val="es-CO"/>
        </w:rPr>
        <w:t>Nº</w:t>
      </w:r>
      <w:proofErr w:type="spellEnd"/>
      <w:r w:rsidRPr="00C86C2F">
        <w:rPr>
          <w:rStyle w:val="Hyperlink"/>
          <w:rFonts w:eastAsia="Cambria" w:cs="Cambria"/>
          <w:szCs w:val="16"/>
          <w:lang w:val="es-CO"/>
        </w:rPr>
        <w:t xml:space="preserve"> 7-5-M/236</w:t>
      </w:r>
      <w:r w:rsidR="00000000">
        <w:rPr>
          <w:rStyle w:val="Hyperlink"/>
          <w:rFonts w:eastAsia="Cambria" w:cs="Cambria"/>
          <w:szCs w:val="16"/>
          <w:lang w:val="es-CO"/>
        </w:rPr>
        <w:fldChar w:fldCharType="end"/>
      </w:r>
      <w:r w:rsidRPr="00005004">
        <w:rPr>
          <w:rFonts w:eastAsia="Cambria" w:cs="Cambria"/>
          <w:color w:val="000000" w:themeColor="text1"/>
          <w:szCs w:val="16"/>
          <w:lang w:val="es-CO"/>
        </w:rPr>
        <w:t>, Respuesta al cuestionario del Informe del Estado peruano sobre la implementación de recomendaciones del informe país “Situación de Derechos Humanos en Perú en el contexto de las protestas sociales de la Comisión Interamericana de Derechos Humanos”, 11 de diciembre de 2024</w:t>
      </w:r>
      <w:r>
        <w:rPr>
          <w:rFonts w:eastAsia="Cambria" w:cs="Cambria"/>
          <w:color w:val="000000" w:themeColor="text1"/>
          <w:szCs w:val="16"/>
          <w:lang w:val="es-CO"/>
        </w:rPr>
        <w:t>.</w:t>
      </w:r>
    </w:p>
  </w:footnote>
  <w:footnote w:id="16">
    <w:p w14:paraId="75445060" w14:textId="77777777" w:rsidR="009F2F0A" w:rsidRPr="003520DF" w:rsidRDefault="009F2F0A" w:rsidP="009F2F0A">
      <w:pPr>
        <w:pStyle w:val="FootnoteText"/>
        <w:rPr>
          <w:lang w:val="es-ES"/>
        </w:rPr>
      </w:pPr>
      <w:r w:rsidRPr="00005004">
        <w:rPr>
          <w:rStyle w:val="FootnoteReference"/>
        </w:rPr>
        <w:footnoteRef/>
      </w:r>
      <w:r w:rsidR="24019998" w:rsidRPr="00005004">
        <w:rPr>
          <w:lang w:val="es-ES"/>
        </w:rPr>
        <w:t xml:space="preserve"> CIDH, </w:t>
      </w:r>
      <w:r w:rsidR="00000000">
        <w:fldChar w:fldCharType="begin"/>
      </w:r>
      <w:r w:rsidR="00000000" w:rsidRPr="00F51AED">
        <w:rPr>
          <w:lang w:val="es-US"/>
        </w:rPr>
        <w:instrText>HYPERLINK "https://www.oas.org/es/cidh/informes/pdfs/politicaspublicasddhh.pdf"</w:instrText>
      </w:r>
      <w:r w:rsidR="00000000">
        <w:fldChar w:fldCharType="separate"/>
      </w:r>
      <w:r w:rsidR="24019998" w:rsidRPr="24019998">
        <w:rPr>
          <w:rStyle w:val="Hyperlink"/>
          <w:lang w:val="es-ES"/>
        </w:rPr>
        <w:t>Informe Políticas públicas con enfoque de derechos humanos: aprobado por la Comisión Interamericana de Derechos Humanos</w:t>
      </w:r>
      <w:r w:rsidR="00000000">
        <w:rPr>
          <w:rStyle w:val="Hyperlink"/>
          <w:lang w:val="es-ES"/>
        </w:rPr>
        <w:fldChar w:fldCharType="end"/>
      </w:r>
      <w:r w:rsidR="24019998" w:rsidRPr="00005004">
        <w:rPr>
          <w:lang w:val="es-ES"/>
        </w:rPr>
        <w:t>, OEA/</w:t>
      </w:r>
      <w:proofErr w:type="spellStart"/>
      <w:r w:rsidR="24019998" w:rsidRPr="00005004">
        <w:rPr>
          <w:lang w:val="es-ES"/>
        </w:rPr>
        <w:t>Ser.L</w:t>
      </w:r>
      <w:proofErr w:type="spellEnd"/>
      <w:r w:rsidR="24019998" w:rsidRPr="00005004">
        <w:rPr>
          <w:lang w:val="es-ES"/>
        </w:rPr>
        <w:t>/V/II. Doc.191/18, 15 de septiembre de 2018, párr. 61</w:t>
      </w:r>
      <w:r w:rsidR="24019998">
        <w:rPr>
          <w:lang w:val="es-ES"/>
        </w:rPr>
        <w:t>.</w:t>
      </w:r>
    </w:p>
  </w:footnote>
  <w:footnote w:id="17">
    <w:p w14:paraId="5FCF9B5C" w14:textId="77777777" w:rsidR="005B081B" w:rsidRPr="003520DF" w:rsidRDefault="005B081B" w:rsidP="005B081B">
      <w:pPr>
        <w:pStyle w:val="FootnoteText"/>
        <w:rPr>
          <w:lang w:val="es-ES"/>
        </w:rPr>
      </w:pPr>
      <w:r w:rsidRPr="00005004">
        <w:rPr>
          <w:rStyle w:val="FootnoteReference"/>
        </w:rPr>
        <w:footnoteRef/>
      </w:r>
      <w:r w:rsidR="24019998" w:rsidRPr="00005004">
        <w:rPr>
          <w:lang w:val="es-ES"/>
        </w:rPr>
        <w:t xml:space="preserve"> CIDH, </w:t>
      </w:r>
      <w:r w:rsidR="00000000">
        <w:fldChar w:fldCharType="begin"/>
      </w:r>
      <w:r w:rsidR="00000000" w:rsidRPr="00F51AED">
        <w:rPr>
          <w:lang w:val="es-US"/>
        </w:rPr>
        <w:instrText>HYPERLINK "https://www.oas.org/es/cidh/informes/pdfs/politicaspublicasddhh.pdf"</w:instrText>
      </w:r>
      <w:r w:rsidR="00000000">
        <w:fldChar w:fldCharType="separate"/>
      </w:r>
      <w:r w:rsidR="24019998" w:rsidRPr="24019998">
        <w:rPr>
          <w:rStyle w:val="Hyperlink"/>
          <w:lang w:val="es-ES"/>
        </w:rPr>
        <w:t>Informe Políticas públicas con enfoque de derechos humanos: aprobado por la Comisión Interamericana de Derechos Humanos</w:t>
      </w:r>
      <w:r w:rsidR="00000000">
        <w:rPr>
          <w:rStyle w:val="Hyperlink"/>
          <w:lang w:val="es-ES"/>
        </w:rPr>
        <w:fldChar w:fldCharType="end"/>
      </w:r>
      <w:r w:rsidR="24019998" w:rsidRPr="00005004">
        <w:rPr>
          <w:lang w:val="es-ES"/>
        </w:rPr>
        <w:t>, OEA/</w:t>
      </w:r>
      <w:proofErr w:type="spellStart"/>
      <w:r w:rsidR="24019998" w:rsidRPr="00005004">
        <w:rPr>
          <w:lang w:val="es-ES"/>
        </w:rPr>
        <w:t>Ser.L</w:t>
      </w:r>
      <w:proofErr w:type="spellEnd"/>
      <w:r w:rsidR="24019998" w:rsidRPr="00005004">
        <w:rPr>
          <w:lang w:val="es-ES"/>
        </w:rPr>
        <w:t>/V/II. Doc.191/18, 15 de septiembre de 2018, párr. 61</w:t>
      </w:r>
      <w:r w:rsidR="24019998">
        <w:rPr>
          <w:lang w:val="es-ES"/>
        </w:rPr>
        <w:t>.</w:t>
      </w:r>
    </w:p>
  </w:footnote>
  <w:footnote w:id="18">
    <w:p w14:paraId="3A881255" w14:textId="33C6C2F3" w:rsidR="005B081B" w:rsidRPr="00650B68" w:rsidRDefault="005B081B" w:rsidP="00436690">
      <w:pPr>
        <w:pStyle w:val="FootnoteText"/>
        <w:rPr>
          <w:sz w:val="20"/>
          <w:lang w:val="es-ES"/>
        </w:rPr>
      </w:pPr>
      <w:r w:rsidRPr="009D2F8B">
        <w:rPr>
          <w:rStyle w:val="FootnoteReference"/>
          <w:color w:val="000000" w:themeColor="text1"/>
          <w:szCs w:val="16"/>
        </w:rPr>
        <w:footnoteRef/>
      </w:r>
      <w:r w:rsidRPr="009D2F8B">
        <w:rPr>
          <w:lang w:val="es-ES"/>
        </w:rPr>
        <w:t xml:space="preserve"> </w:t>
      </w:r>
      <w:r>
        <w:rPr>
          <w:szCs w:val="16"/>
          <w:lang w:val="es-ES"/>
        </w:rPr>
        <w:t xml:space="preserve">Según se informó, fue </w:t>
      </w:r>
      <w:r>
        <w:rPr>
          <w:lang w:val="es-ES"/>
        </w:rPr>
        <w:t>c</w:t>
      </w:r>
      <w:r w:rsidRPr="009D2F8B">
        <w:rPr>
          <w:lang w:val="es-ES"/>
        </w:rPr>
        <w:t xml:space="preserve">reada mediante Decreto Supremo </w:t>
      </w:r>
      <w:proofErr w:type="spellStart"/>
      <w:r w:rsidR="006708A7">
        <w:rPr>
          <w:lang w:val="es-ES"/>
        </w:rPr>
        <w:t>Nº</w:t>
      </w:r>
      <w:proofErr w:type="spellEnd"/>
      <w:r w:rsidRPr="009D2F8B">
        <w:rPr>
          <w:lang w:val="es-ES"/>
        </w:rPr>
        <w:t xml:space="preserve"> 005-2021-MC</w:t>
      </w:r>
      <w:r>
        <w:rPr>
          <w:lang w:val="es-ES"/>
        </w:rPr>
        <w:t xml:space="preserve"> y</w:t>
      </w:r>
      <w:r w:rsidRPr="009D2F8B">
        <w:rPr>
          <w:lang w:val="es-ES"/>
        </w:rPr>
        <w:t xml:space="preserve"> tiene como antecedente el Grupo de Trabajo de naturaleza permanente, encargado de coordinar, proponer y dar seguimiento a las políticas públicas que involucran a los pueblos indígenas y/o requieren un enfoque de interculturalidad, de manera participativa, entre representantes del Viceministerio de Interculturalidad y los pueblos indígenas, a través de sus organizaciones nacionales representativas- GTPI, el cual fue creado con la Resolución Ministerial </w:t>
      </w:r>
      <w:proofErr w:type="spellStart"/>
      <w:r w:rsidR="006708A7">
        <w:rPr>
          <w:lang w:val="es-ES"/>
        </w:rPr>
        <w:t>Nº</w:t>
      </w:r>
      <w:proofErr w:type="spellEnd"/>
      <w:r w:rsidRPr="009D2F8B">
        <w:rPr>
          <w:lang w:val="es-ES"/>
        </w:rPr>
        <w:t xml:space="preserve"> 403-2014-MC</w:t>
      </w:r>
      <w:r>
        <w:rPr>
          <w:lang w:val="es-ES"/>
        </w:rPr>
        <w:t xml:space="preserve"> del </w:t>
      </w:r>
      <w:r w:rsidRPr="009D2F8B">
        <w:rPr>
          <w:lang w:val="es-ES"/>
        </w:rPr>
        <w:t>6 de noviembre de 2014.</w:t>
      </w:r>
    </w:p>
  </w:footnote>
  <w:footnote w:id="19">
    <w:p w14:paraId="152343B0" w14:textId="6EE1505C" w:rsidR="005B081B" w:rsidRPr="00E4020F" w:rsidRDefault="005B081B" w:rsidP="00436690">
      <w:pPr>
        <w:pStyle w:val="FootnoteText"/>
        <w:rPr>
          <w:lang w:val="es-ES"/>
        </w:rPr>
      </w:pPr>
      <w:r>
        <w:rPr>
          <w:rStyle w:val="FootnoteReference"/>
        </w:rPr>
        <w:footnoteRef/>
      </w:r>
      <w:r w:rsidRPr="00E4020F">
        <w:rPr>
          <w:lang w:val="es-ES"/>
        </w:rPr>
        <w:t xml:space="preserve"> </w:t>
      </w:r>
      <w:r w:rsidRPr="00E4020F">
        <w:rPr>
          <w:rFonts w:eastAsia="Cambria" w:cs="Cambria"/>
          <w:color w:val="000000" w:themeColor="text1"/>
          <w:szCs w:val="16"/>
          <w:lang w:val="es-CO"/>
        </w:rPr>
        <w:t xml:space="preserve">Decreto Supremo </w:t>
      </w:r>
      <w:proofErr w:type="spellStart"/>
      <w:r w:rsidR="006708A7">
        <w:rPr>
          <w:rFonts w:eastAsia="Cambria" w:cs="Cambria"/>
          <w:color w:val="000000" w:themeColor="text1"/>
          <w:szCs w:val="16"/>
          <w:lang w:val="es-CO"/>
        </w:rPr>
        <w:t>Nº</w:t>
      </w:r>
      <w:proofErr w:type="spellEnd"/>
      <w:r w:rsidRPr="00E4020F">
        <w:rPr>
          <w:rFonts w:eastAsia="Cambria" w:cs="Cambria"/>
          <w:color w:val="000000" w:themeColor="text1"/>
          <w:szCs w:val="16"/>
          <w:lang w:val="es-CO"/>
        </w:rPr>
        <w:t xml:space="preserve"> 040-2023-PCM</w:t>
      </w:r>
      <w:r>
        <w:rPr>
          <w:rFonts w:eastAsia="Cambria" w:cs="Cambria"/>
          <w:color w:val="000000" w:themeColor="text1"/>
          <w:szCs w:val="16"/>
          <w:lang w:val="es-CO"/>
        </w:rPr>
        <w:t>, 24 de marzo de 2023.</w:t>
      </w:r>
    </w:p>
  </w:footnote>
  <w:footnote w:id="20">
    <w:p w14:paraId="75431525" w14:textId="720B424A" w:rsidR="00307177" w:rsidRPr="00336910" w:rsidRDefault="00307177" w:rsidP="00436690">
      <w:pPr>
        <w:pStyle w:val="FootnoteText"/>
        <w:rPr>
          <w:lang w:val="es-ES"/>
        </w:rPr>
      </w:pPr>
      <w:r>
        <w:rPr>
          <w:rStyle w:val="FootnoteReference"/>
        </w:rPr>
        <w:footnoteRef/>
      </w:r>
      <w:r w:rsidRPr="00336910">
        <w:rPr>
          <w:lang w:val="es-ES"/>
        </w:rPr>
        <w:t xml:space="preserve"> </w:t>
      </w:r>
      <w:r>
        <w:rPr>
          <w:lang w:val="es-ES"/>
        </w:rPr>
        <w:t>El Plan de Trabajo se aprobó en una reunión realizada en la ciudad de Satipo</w:t>
      </w:r>
      <w:r w:rsidR="00F35DF1">
        <w:rPr>
          <w:lang w:val="es-ES"/>
        </w:rPr>
        <w:t xml:space="preserve">, el </w:t>
      </w:r>
      <w:r w:rsidR="00F35DF1" w:rsidRPr="00F35DF1">
        <w:rPr>
          <w:lang w:val="es-ES"/>
        </w:rPr>
        <w:t>18 de julio de 2024</w:t>
      </w:r>
      <w:r w:rsidR="00F35DF1">
        <w:rPr>
          <w:lang w:val="es-ES"/>
        </w:rPr>
        <w:t>.</w:t>
      </w:r>
    </w:p>
  </w:footnote>
  <w:footnote w:id="21">
    <w:p w14:paraId="62921E53" w14:textId="54D4D32E" w:rsidR="005B081B" w:rsidRPr="00E4020F" w:rsidRDefault="005B081B" w:rsidP="00436690">
      <w:pPr>
        <w:pStyle w:val="FootnoteText"/>
        <w:rPr>
          <w:lang w:val="es-ES"/>
        </w:rPr>
      </w:pPr>
      <w:r>
        <w:rPr>
          <w:rStyle w:val="FootnoteReference"/>
        </w:rPr>
        <w:footnoteRef/>
      </w:r>
      <w:r w:rsidRPr="00E4020F">
        <w:rPr>
          <w:lang w:val="es-ES"/>
        </w:rPr>
        <w:t xml:space="preserve"> </w:t>
      </w:r>
      <w:r>
        <w:rPr>
          <w:lang w:val="es-ES"/>
        </w:rPr>
        <w:t>Se realizó el 2 de noviembre del 2023 en la ciudad de Iquitos, departamento de Loreto.</w:t>
      </w:r>
    </w:p>
  </w:footnote>
  <w:footnote w:id="22">
    <w:p w14:paraId="5F7062E5" w14:textId="03B66BFF" w:rsidR="005B081B" w:rsidRPr="00650B68" w:rsidRDefault="005B081B" w:rsidP="005B081B">
      <w:pPr>
        <w:pStyle w:val="FootnoteText"/>
        <w:rPr>
          <w:lang w:val="es-ES"/>
        </w:rPr>
      </w:pPr>
      <w:r>
        <w:rPr>
          <w:rStyle w:val="FootnoteReference"/>
        </w:rPr>
        <w:footnoteRef/>
      </w:r>
      <w:r w:rsidRPr="00650B68">
        <w:rPr>
          <w:lang w:val="es-ES"/>
        </w:rPr>
        <w:t xml:space="preserve"> Congreso</w:t>
      </w:r>
      <w:r>
        <w:rPr>
          <w:lang w:val="es-ES"/>
        </w:rPr>
        <w:t xml:space="preserve"> de la República del Perú, </w:t>
      </w:r>
      <w:r w:rsidR="00000000">
        <w:fldChar w:fldCharType="begin"/>
      </w:r>
      <w:r w:rsidR="00000000" w:rsidRPr="00F51AED">
        <w:rPr>
          <w:lang w:val="es-US"/>
        </w:rPr>
        <w:instrText>HYPERLINK "https://sinia.minam.gob.pe/sites/default/files/archivos/public/docs/Ley-31973.pdf"</w:instrText>
      </w:r>
      <w:r w:rsidR="00000000">
        <w:fldChar w:fldCharType="separate"/>
      </w:r>
      <w:r w:rsidRPr="00650B68">
        <w:rPr>
          <w:rStyle w:val="Hyperlink"/>
          <w:lang w:val="es-ES"/>
        </w:rPr>
        <w:t xml:space="preserve">Ley </w:t>
      </w:r>
      <w:proofErr w:type="spellStart"/>
      <w:r w:rsidR="006708A7">
        <w:rPr>
          <w:rStyle w:val="Hyperlink"/>
          <w:lang w:val="es-ES"/>
        </w:rPr>
        <w:t>Nº</w:t>
      </w:r>
      <w:proofErr w:type="spellEnd"/>
      <w:r w:rsidRPr="00650B68">
        <w:rPr>
          <w:rStyle w:val="Hyperlink"/>
          <w:lang w:val="es-ES"/>
        </w:rPr>
        <w:t xml:space="preserve"> 31973</w:t>
      </w:r>
      <w:r w:rsidR="00000000">
        <w:rPr>
          <w:rStyle w:val="Hyperlink"/>
          <w:lang w:val="es-ES"/>
        </w:rPr>
        <w:fldChar w:fldCharType="end"/>
      </w:r>
      <w:r>
        <w:rPr>
          <w:lang w:val="es-ES"/>
        </w:rPr>
        <w:t>, 11 de enero del 2024.</w:t>
      </w:r>
    </w:p>
  </w:footnote>
  <w:footnote w:id="23">
    <w:p w14:paraId="7E45CABF" w14:textId="0CB9FF5A" w:rsidR="00A0564B" w:rsidRPr="005A3F83" w:rsidRDefault="00A0564B" w:rsidP="00A0564B">
      <w:pPr>
        <w:pStyle w:val="FootnoteText"/>
        <w:rPr>
          <w:lang w:val="es-ES"/>
        </w:rPr>
      </w:pPr>
      <w:r>
        <w:rPr>
          <w:rStyle w:val="FootnoteReference"/>
        </w:rPr>
        <w:footnoteRef/>
      </w:r>
      <w:r w:rsidRPr="005A3F83">
        <w:rPr>
          <w:lang w:val="es-ES"/>
        </w:rPr>
        <w:t xml:space="preserve"> </w:t>
      </w:r>
      <w:r w:rsidR="00000000">
        <w:fldChar w:fldCharType="begin"/>
      </w:r>
      <w:r w:rsidR="00000000" w:rsidRPr="00F51AED">
        <w:rPr>
          <w:lang w:val="es-US"/>
        </w:rPr>
        <w:instrText>HYPERLINK "https://news.un.org/es/story/2024/01/1527437"</w:instrText>
      </w:r>
      <w:r w:rsidR="00000000">
        <w:fldChar w:fldCharType="separate"/>
      </w:r>
      <w:r w:rsidRPr="00A0564B">
        <w:rPr>
          <w:rStyle w:val="Hyperlink"/>
          <w:lang w:val="es-ES"/>
        </w:rPr>
        <w:t>Relator Especial sobre los derechos de los pueblos indígenas</w:t>
      </w:r>
      <w:r w:rsidR="00D6247C">
        <w:rPr>
          <w:rStyle w:val="Hyperlink"/>
          <w:lang w:val="es-ES"/>
        </w:rPr>
        <w:t xml:space="preserve"> del Consejo de Derechos Humanos de </w:t>
      </w:r>
      <w:r w:rsidR="0085147C">
        <w:rPr>
          <w:rStyle w:val="Hyperlink"/>
          <w:lang w:val="es-ES"/>
        </w:rPr>
        <w:t>l</w:t>
      </w:r>
      <w:r w:rsidR="00D6247C">
        <w:rPr>
          <w:rStyle w:val="Hyperlink"/>
          <w:lang w:val="es-ES"/>
        </w:rPr>
        <w:t>a</w:t>
      </w:r>
      <w:r w:rsidR="0085147C">
        <w:rPr>
          <w:rStyle w:val="Hyperlink"/>
          <w:lang w:val="es-ES"/>
        </w:rPr>
        <w:t xml:space="preserve"> ONU</w:t>
      </w:r>
      <w:r w:rsidRPr="00A0564B">
        <w:rPr>
          <w:rStyle w:val="Hyperlink"/>
          <w:lang w:val="es-ES"/>
        </w:rPr>
        <w:t>, Comunicado del 31 de enero de 2024</w:t>
      </w:r>
      <w:r w:rsidR="00000000">
        <w:rPr>
          <w:rStyle w:val="Hyperlink"/>
          <w:lang w:val="es-ES"/>
        </w:rPr>
        <w:fldChar w:fldCharType="end"/>
      </w:r>
      <w:r w:rsidR="00D6247C">
        <w:rPr>
          <w:lang w:val="es-ES"/>
        </w:rPr>
        <w:t>.</w:t>
      </w:r>
      <w:r>
        <w:rPr>
          <w:lang w:val="es-ES"/>
        </w:rPr>
        <w:t xml:space="preserve"> </w:t>
      </w:r>
    </w:p>
  </w:footnote>
  <w:footnote w:id="24">
    <w:p w14:paraId="758ED4FD" w14:textId="0859D8C7" w:rsidR="005B081B" w:rsidRPr="00ED5E6C" w:rsidRDefault="005B081B" w:rsidP="005B081B">
      <w:pPr>
        <w:pStyle w:val="FootnoteText"/>
        <w:rPr>
          <w:lang w:val="pt-BR"/>
        </w:rPr>
      </w:pPr>
      <w:r>
        <w:rPr>
          <w:rStyle w:val="FootnoteReference"/>
        </w:rPr>
        <w:footnoteRef/>
      </w:r>
      <w:r w:rsidRPr="00ED5E6C">
        <w:rPr>
          <w:lang w:val="pt-BR"/>
        </w:rPr>
        <w:t xml:space="preserve"> </w:t>
      </w:r>
      <w:r w:rsidR="00000000">
        <w:fldChar w:fldCharType="begin"/>
      </w:r>
      <w:r w:rsidR="00000000" w:rsidRPr="00F51AED">
        <w:rPr>
          <w:lang w:val="pt-BR"/>
        </w:rPr>
        <w:instrText>HYPERLINK "https://www.gob.pe/institucion/minam/normas-legales/5818014-005-2024-minam"</w:instrText>
      </w:r>
      <w:r w:rsidR="00000000">
        <w:fldChar w:fldCharType="separate"/>
      </w:r>
      <w:r w:rsidRPr="00ED5E6C">
        <w:rPr>
          <w:rStyle w:val="Hyperlink"/>
          <w:rFonts w:eastAsia="Cambria" w:cs="Cambria"/>
          <w:szCs w:val="16"/>
          <w:lang w:val="pt-BR"/>
        </w:rPr>
        <w:t xml:space="preserve">Decreto Supremo </w:t>
      </w:r>
      <w:r w:rsidR="006708A7" w:rsidRPr="00ED5E6C">
        <w:rPr>
          <w:rStyle w:val="Hyperlink"/>
          <w:rFonts w:eastAsia="Cambria" w:cs="Cambria"/>
          <w:szCs w:val="16"/>
          <w:lang w:val="pt-BR"/>
        </w:rPr>
        <w:t>Nº</w:t>
      </w:r>
      <w:r w:rsidRPr="00ED5E6C">
        <w:rPr>
          <w:rStyle w:val="Hyperlink"/>
          <w:rFonts w:eastAsia="Cambria" w:cs="Cambria"/>
          <w:szCs w:val="16"/>
          <w:lang w:val="pt-BR"/>
        </w:rPr>
        <w:t xml:space="preserve"> 005-2024-MINAM</w:t>
      </w:r>
      <w:r w:rsidR="00000000">
        <w:rPr>
          <w:rStyle w:val="Hyperlink"/>
          <w:rFonts w:eastAsia="Cambria" w:cs="Cambria"/>
          <w:szCs w:val="16"/>
          <w:lang w:val="pt-BR"/>
        </w:rPr>
        <w:fldChar w:fldCharType="end"/>
      </w:r>
      <w:r w:rsidRPr="00ED5E6C">
        <w:rPr>
          <w:rFonts w:eastAsia="Cambria" w:cs="Cambria"/>
          <w:color w:val="000000" w:themeColor="text1"/>
          <w:szCs w:val="16"/>
          <w:lang w:val="pt-BR"/>
        </w:rPr>
        <w:t xml:space="preserve">, 25 de julio de 2024. </w:t>
      </w:r>
    </w:p>
  </w:footnote>
  <w:footnote w:id="25">
    <w:p w14:paraId="038DDA09" w14:textId="77777777" w:rsidR="005B081B" w:rsidRPr="00644BC7" w:rsidRDefault="005B081B" w:rsidP="005B081B">
      <w:pPr>
        <w:pStyle w:val="FootnoteText"/>
        <w:rPr>
          <w:lang w:val="es-ES"/>
        </w:rPr>
      </w:pPr>
      <w:r>
        <w:rPr>
          <w:rStyle w:val="FootnoteReference"/>
        </w:rPr>
        <w:footnoteRef/>
      </w:r>
      <w:r w:rsidRPr="00644BC7">
        <w:rPr>
          <w:lang w:val="es-ES"/>
        </w:rPr>
        <w:t xml:space="preserve"> </w:t>
      </w:r>
      <w:r>
        <w:rPr>
          <w:lang w:val="es-ES"/>
        </w:rPr>
        <w:t>Entidad a cargo de aprobar los Estudios de Impacto Ambiental (</w:t>
      </w:r>
      <w:proofErr w:type="spellStart"/>
      <w:r>
        <w:rPr>
          <w:lang w:val="es-ES"/>
        </w:rPr>
        <w:t>EIAs</w:t>
      </w:r>
      <w:proofErr w:type="spellEnd"/>
      <w:r>
        <w:rPr>
          <w:lang w:val="es-ES"/>
        </w:rPr>
        <w:t>) y emitir certificaciones para proyectos mineros de gran escala.</w:t>
      </w:r>
    </w:p>
  </w:footnote>
  <w:footnote w:id="26">
    <w:p w14:paraId="2FFEEFD1" w14:textId="77777777" w:rsidR="005B081B" w:rsidRPr="000176EC" w:rsidRDefault="005B081B" w:rsidP="005B081B">
      <w:pPr>
        <w:pStyle w:val="FootnoteText"/>
        <w:rPr>
          <w:lang w:val="es-ES"/>
        </w:rPr>
      </w:pPr>
      <w:r>
        <w:rPr>
          <w:rStyle w:val="FootnoteReference"/>
        </w:rPr>
        <w:footnoteRef/>
      </w:r>
      <w:r w:rsidRPr="000176EC">
        <w:rPr>
          <w:lang w:val="es-ES"/>
        </w:rPr>
        <w:t xml:space="preserve"> Tribunal Consti</w:t>
      </w:r>
      <w:r>
        <w:rPr>
          <w:lang w:val="es-ES"/>
        </w:rPr>
        <w:t xml:space="preserve">tucional peruano, Sentencia del </w:t>
      </w:r>
      <w:proofErr w:type="spellStart"/>
      <w:r w:rsidRPr="000176EC">
        <w:rPr>
          <w:lang w:val="es-ES"/>
        </w:rPr>
        <w:t>Exp</w:t>
      </w:r>
      <w:proofErr w:type="spellEnd"/>
      <w:r w:rsidRPr="000176EC">
        <w:rPr>
          <w:lang w:val="es-ES"/>
        </w:rPr>
        <w:t xml:space="preserve">. </w:t>
      </w:r>
      <w:proofErr w:type="spellStart"/>
      <w:r w:rsidRPr="000176EC">
        <w:rPr>
          <w:lang w:val="es-ES"/>
        </w:rPr>
        <w:t>N°</w:t>
      </w:r>
      <w:proofErr w:type="spellEnd"/>
      <w:r w:rsidRPr="000176EC">
        <w:rPr>
          <w:lang w:val="es-ES"/>
        </w:rPr>
        <w:t> </w:t>
      </w:r>
      <w:r w:rsidR="00000000">
        <w:fldChar w:fldCharType="begin"/>
      </w:r>
      <w:r w:rsidR="00000000" w:rsidRPr="00F51AED">
        <w:rPr>
          <w:lang w:val="es-US"/>
        </w:rPr>
        <w:instrText>HYPERLINK "https://tc.gob.pe/jurisprudencia/2024/00151-2021-AA.pdf"</w:instrText>
      </w:r>
      <w:r w:rsidR="00000000">
        <w:fldChar w:fldCharType="separate"/>
      </w:r>
      <w:r w:rsidRPr="00DD48B1">
        <w:rPr>
          <w:rStyle w:val="Hyperlink"/>
          <w:lang w:val="es-ES"/>
        </w:rPr>
        <w:t>00151-2021-PA/TC, 28 de febrero de 202</w:t>
      </w:r>
      <w:r w:rsidR="00000000">
        <w:rPr>
          <w:rStyle w:val="Hyperlink"/>
          <w:lang w:val="es-ES"/>
        </w:rPr>
        <w:fldChar w:fldCharType="end"/>
      </w:r>
      <w:r>
        <w:rPr>
          <w:lang w:val="es-ES"/>
        </w:rPr>
        <w:t>4.</w:t>
      </w:r>
    </w:p>
  </w:footnote>
  <w:footnote w:id="27">
    <w:p w14:paraId="3F0C38B0" w14:textId="5AA4FA50" w:rsidR="005B081B" w:rsidRPr="00DD48B1" w:rsidRDefault="005B081B" w:rsidP="005B081B">
      <w:pPr>
        <w:pStyle w:val="FootnoteText"/>
        <w:rPr>
          <w:lang w:val="es-ES"/>
        </w:rPr>
      </w:pPr>
      <w:r>
        <w:rPr>
          <w:rStyle w:val="FootnoteReference"/>
        </w:rPr>
        <w:footnoteRef/>
      </w:r>
      <w:r w:rsidRPr="00DD48B1">
        <w:rPr>
          <w:lang w:val="es-ES"/>
        </w:rPr>
        <w:t xml:space="preserve"> Corte IDH</w:t>
      </w:r>
      <w:r w:rsidR="009B73A8">
        <w:rPr>
          <w:lang w:val="es-ES"/>
        </w:rPr>
        <w:t>.</w:t>
      </w:r>
      <w:r w:rsidRPr="00DD48B1">
        <w:rPr>
          <w:lang w:val="es-ES"/>
        </w:rPr>
        <w:t xml:space="preserve"> Caso del Pueblo </w:t>
      </w:r>
      <w:proofErr w:type="spellStart"/>
      <w:r w:rsidRPr="00DD48B1">
        <w:rPr>
          <w:lang w:val="es-ES"/>
        </w:rPr>
        <w:t>Saramaka</w:t>
      </w:r>
      <w:proofErr w:type="spellEnd"/>
      <w:r w:rsidRPr="00DD48B1">
        <w:rPr>
          <w:lang w:val="es-ES"/>
        </w:rPr>
        <w:t>. Vs. Surinam</w:t>
      </w:r>
      <w:r w:rsidR="009B73A8">
        <w:rPr>
          <w:lang w:val="es-ES"/>
        </w:rPr>
        <w:t>.</w:t>
      </w:r>
      <w:r w:rsidRPr="00DD48B1">
        <w:rPr>
          <w:lang w:val="es-ES"/>
        </w:rPr>
        <w:t xml:space="preserve"> Excepciones Preliminares, Fondo, Reparaciones y Costas</w:t>
      </w:r>
      <w:r w:rsidR="009B73A8">
        <w:rPr>
          <w:lang w:val="es-ES"/>
        </w:rPr>
        <w:t>.</w:t>
      </w:r>
      <w:r w:rsidRPr="00DD48B1">
        <w:rPr>
          <w:lang w:val="es-ES"/>
        </w:rPr>
        <w:t xml:space="preserve"> Sentencia de 28 de noviembre de 2007</w:t>
      </w:r>
      <w:r w:rsidR="009B73A8">
        <w:rPr>
          <w:lang w:val="es-ES"/>
        </w:rPr>
        <w:t>.</w:t>
      </w:r>
      <w:r>
        <w:rPr>
          <w:lang w:val="es-ES"/>
        </w:rPr>
        <w:t xml:space="preserve"> </w:t>
      </w:r>
      <w:r w:rsidRPr="00565D4C">
        <w:rPr>
          <w:lang w:val="es-ES"/>
        </w:rPr>
        <w:t xml:space="preserve">Serie C </w:t>
      </w:r>
      <w:proofErr w:type="spellStart"/>
      <w:r w:rsidR="006708A7">
        <w:rPr>
          <w:lang w:val="es-ES"/>
        </w:rPr>
        <w:t>Nº</w:t>
      </w:r>
      <w:proofErr w:type="spellEnd"/>
      <w:r w:rsidRPr="00565D4C">
        <w:rPr>
          <w:lang w:val="es-ES"/>
        </w:rPr>
        <w:t xml:space="preserve"> 172</w:t>
      </w:r>
      <w:r>
        <w:rPr>
          <w:lang w:val="es-ES"/>
        </w:rPr>
        <w:t>, párr. 133</w:t>
      </w:r>
      <w:r w:rsidR="00965B55">
        <w:rPr>
          <w:lang w:val="es-ES"/>
        </w:rPr>
        <w:t>;</w:t>
      </w:r>
      <w:r>
        <w:rPr>
          <w:lang w:val="es-ES"/>
        </w:rPr>
        <w:t xml:space="preserve"> </w:t>
      </w:r>
      <w:r w:rsidRPr="00565D4C">
        <w:rPr>
          <w:lang w:val="es-ES"/>
        </w:rPr>
        <w:t xml:space="preserve">Caso Pueblo Indígena </w:t>
      </w:r>
      <w:proofErr w:type="spellStart"/>
      <w:r w:rsidRPr="00565D4C">
        <w:rPr>
          <w:lang w:val="es-ES"/>
        </w:rPr>
        <w:t>Kichwa</w:t>
      </w:r>
      <w:proofErr w:type="spellEnd"/>
      <w:r w:rsidRPr="00565D4C">
        <w:rPr>
          <w:lang w:val="es-ES"/>
        </w:rPr>
        <w:t xml:space="preserve"> de </w:t>
      </w:r>
      <w:proofErr w:type="spellStart"/>
      <w:r w:rsidRPr="00565D4C">
        <w:rPr>
          <w:lang w:val="es-ES"/>
        </w:rPr>
        <w:t>Sarayaku</w:t>
      </w:r>
      <w:proofErr w:type="spellEnd"/>
      <w:r w:rsidRPr="00565D4C">
        <w:rPr>
          <w:lang w:val="es-ES"/>
        </w:rPr>
        <w:t xml:space="preserve"> Vs. Ecuado</w:t>
      </w:r>
      <w:r w:rsidR="009B73A8">
        <w:rPr>
          <w:lang w:val="es-ES"/>
        </w:rPr>
        <w:t>r.</w:t>
      </w:r>
      <w:r w:rsidRPr="00565D4C">
        <w:rPr>
          <w:lang w:val="es-ES"/>
        </w:rPr>
        <w:t xml:space="preserve"> Fondo y </w:t>
      </w:r>
      <w:r w:rsidR="00965B55">
        <w:rPr>
          <w:lang w:val="es-ES"/>
        </w:rPr>
        <w:t>R</w:t>
      </w:r>
      <w:r w:rsidRPr="00565D4C">
        <w:rPr>
          <w:lang w:val="es-ES"/>
        </w:rPr>
        <w:t>eparaciones</w:t>
      </w:r>
      <w:r w:rsidR="009B73A8">
        <w:rPr>
          <w:lang w:val="es-ES"/>
        </w:rPr>
        <w:t>.</w:t>
      </w:r>
      <w:r w:rsidRPr="00565D4C">
        <w:rPr>
          <w:lang w:val="es-ES"/>
        </w:rPr>
        <w:t xml:space="preserve"> Sentencia de 27 de junio de 2012</w:t>
      </w:r>
      <w:r w:rsidR="009B73A8">
        <w:rPr>
          <w:lang w:val="es-ES"/>
        </w:rPr>
        <w:t>.</w:t>
      </w:r>
      <w:r w:rsidRPr="00565D4C">
        <w:rPr>
          <w:lang w:val="es-ES"/>
        </w:rPr>
        <w:t xml:space="preserve"> Serie C </w:t>
      </w:r>
      <w:proofErr w:type="spellStart"/>
      <w:r w:rsidR="006708A7">
        <w:rPr>
          <w:lang w:val="es-ES"/>
        </w:rPr>
        <w:t>Nº</w:t>
      </w:r>
      <w:proofErr w:type="spellEnd"/>
      <w:r w:rsidRPr="00565D4C">
        <w:rPr>
          <w:lang w:val="es-ES"/>
        </w:rPr>
        <w:t xml:space="preserve"> 245</w:t>
      </w:r>
      <w:r>
        <w:rPr>
          <w:lang w:val="es-ES"/>
        </w:rPr>
        <w:t xml:space="preserve">, </w:t>
      </w:r>
      <w:r w:rsidRPr="00565D4C">
        <w:rPr>
          <w:lang w:val="es-ES"/>
        </w:rPr>
        <w:t>párr. 17</w:t>
      </w:r>
      <w:r w:rsidR="00965B55">
        <w:rPr>
          <w:lang w:val="es-ES"/>
        </w:rPr>
        <w:t>.</w:t>
      </w:r>
    </w:p>
  </w:footnote>
  <w:footnote w:id="28">
    <w:p w14:paraId="52E77E4B" w14:textId="160C7800" w:rsidR="005B081B" w:rsidRPr="00565D4C" w:rsidRDefault="005B081B" w:rsidP="005B081B">
      <w:pPr>
        <w:pStyle w:val="FootnoteText"/>
        <w:rPr>
          <w:lang w:val="es-ES"/>
        </w:rPr>
      </w:pPr>
      <w:r>
        <w:rPr>
          <w:rStyle w:val="FootnoteReference"/>
        </w:rPr>
        <w:footnoteRef/>
      </w:r>
      <w:r w:rsidRPr="00565D4C">
        <w:rPr>
          <w:lang w:val="es-ES"/>
        </w:rPr>
        <w:t xml:space="preserve"> </w:t>
      </w:r>
      <w:r>
        <w:rPr>
          <w:lang w:val="es-ES"/>
        </w:rPr>
        <w:t>Organización Internacional del Trabajo</w:t>
      </w:r>
      <w:r w:rsidR="00F61A81">
        <w:rPr>
          <w:lang w:val="es-ES"/>
        </w:rPr>
        <w:t>,</w:t>
      </w:r>
      <w:r>
        <w:rPr>
          <w:lang w:val="es-ES"/>
        </w:rPr>
        <w:t xml:space="preserve"> </w:t>
      </w:r>
      <w:r w:rsidR="00000000">
        <w:fldChar w:fldCharType="begin"/>
      </w:r>
      <w:r w:rsidR="00000000" w:rsidRPr="00F51AED">
        <w:rPr>
          <w:lang w:val="es-US"/>
        </w:rPr>
        <w:instrText>HYPERLINK "https://normlex.ilo.org/dyn/nrmlx_es/f?p=NORMLEXPUB:12100:0::NO::P12100_INSTRUMENT_ID:312314"</w:instrText>
      </w:r>
      <w:r w:rsidR="00000000">
        <w:fldChar w:fldCharType="separate"/>
      </w:r>
      <w:r w:rsidRPr="00565D4C">
        <w:rPr>
          <w:rStyle w:val="Hyperlink"/>
          <w:lang w:val="es-ES"/>
        </w:rPr>
        <w:t xml:space="preserve">Convenio </w:t>
      </w:r>
      <w:proofErr w:type="spellStart"/>
      <w:r w:rsidR="006708A7">
        <w:rPr>
          <w:rStyle w:val="Hyperlink"/>
          <w:lang w:val="es-ES"/>
        </w:rPr>
        <w:t>Nº</w:t>
      </w:r>
      <w:proofErr w:type="spellEnd"/>
      <w:r w:rsidRPr="00565D4C">
        <w:rPr>
          <w:rStyle w:val="Hyperlink"/>
          <w:lang w:val="es-ES"/>
        </w:rPr>
        <w:t xml:space="preserve"> 169</w:t>
      </w:r>
      <w:r w:rsidR="00000000">
        <w:rPr>
          <w:rStyle w:val="Hyperlink"/>
          <w:lang w:val="es-ES"/>
        </w:rPr>
        <w:fldChar w:fldCharType="end"/>
      </w:r>
      <w:r w:rsidR="00F61A81">
        <w:rPr>
          <w:lang w:val="es-ES"/>
        </w:rPr>
        <w:t>,</w:t>
      </w:r>
      <w:r>
        <w:rPr>
          <w:lang w:val="es-ES"/>
        </w:rPr>
        <w:t xml:space="preserve"> </w:t>
      </w:r>
      <w:r w:rsidR="00F61A81">
        <w:rPr>
          <w:lang w:val="es-ES"/>
        </w:rPr>
        <w:t>a</w:t>
      </w:r>
      <w:r>
        <w:rPr>
          <w:lang w:val="es-ES"/>
        </w:rPr>
        <w:t>rtículo 6.2.</w:t>
      </w:r>
    </w:p>
  </w:footnote>
  <w:footnote w:id="29">
    <w:p w14:paraId="15E4F298" w14:textId="2E0D48A7" w:rsidR="005B081B" w:rsidRPr="00AC6679" w:rsidRDefault="005B081B" w:rsidP="005B081B">
      <w:pPr>
        <w:pStyle w:val="FootnoteText"/>
        <w:rPr>
          <w:lang w:val="es-ES"/>
        </w:rPr>
      </w:pPr>
      <w:r>
        <w:rPr>
          <w:rStyle w:val="FootnoteReference"/>
        </w:rPr>
        <w:footnoteRef/>
      </w:r>
      <w:r w:rsidRPr="00A36F73">
        <w:rPr>
          <w:lang w:val="es-ES"/>
        </w:rPr>
        <w:t xml:space="preserve"> </w:t>
      </w:r>
      <w:r w:rsidRPr="00DD48B1">
        <w:rPr>
          <w:lang w:val="es-ES"/>
        </w:rPr>
        <w:t>Corte IDH</w:t>
      </w:r>
      <w:r w:rsidR="00992D54">
        <w:rPr>
          <w:lang w:val="es-ES"/>
        </w:rPr>
        <w:t>.</w:t>
      </w:r>
      <w:r w:rsidRPr="00DD48B1">
        <w:rPr>
          <w:lang w:val="es-ES"/>
        </w:rPr>
        <w:t xml:space="preserve"> Caso del Pueblo </w:t>
      </w:r>
      <w:proofErr w:type="spellStart"/>
      <w:r w:rsidRPr="00DD48B1">
        <w:rPr>
          <w:lang w:val="es-ES"/>
        </w:rPr>
        <w:t>Saramaka</w:t>
      </w:r>
      <w:proofErr w:type="spellEnd"/>
      <w:r w:rsidRPr="00DD48B1">
        <w:rPr>
          <w:lang w:val="es-ES"/>
        </w:rPr>
        <w:t>. Vs. Surinam</w:t>
      </w:r>
      <w:r w:rsidR="00992D54">
        <w:rPr>
          <w:lang w:val="es-ES"/>
        </w:rPr>
        <w:t>.</w:t>
      </w:r>
      <w:r w:rsidRPr="00DD48B1">
        <w:rPr>
          <w:lang w:val="es-ES"/>
        </w:rPr>
        <w:t xml:space="preserve"> Excepciones Preliminares, Fondo, Reparaciones y Costas</w:t>
      </w:r>
      <w:r w:rsidR="00992D54">
        <w:rPr>
          <w:lang w:val="es-ES"/>
        </w:rPr>
        <w:t>.</w:t>
      </w:r>
      <w:r w:rsidRPr="00DD48B1">
        <w:rPr>
          <w:lang w:val="es-ES"/>
        </w:rPr>
        <w:t xml:space="preserve"> Sentencia de 28 de noviembre de 2007</w:t>
      </w:r>
      <w:r w:rsidR="00992D54">
        <w:rPr>
          <w:lang w:val="es-ES"/>
        </w:rPr>
        <w:t>.</w:t>
      </w:r>
      <w:r>
        <w:rPr>
          <w:lang w:val="es-ES"/>
        </w:rPr>
        <w:t xml:space="preserve"> </w:t>
      </w:r>
      <w:r w:rsidRPr="00565D4C">
        <w:rPr>
          <w:lang w:val="es-ES"/>
        </w:rPr>
        <w:t xml:space="preserve">Serie C </w:t>
      </w:r>
      <w:proofErr w:type="spellStart"/>
      <w:r w:rsidR="006708A7">
        <w:rPr>
          <w:lang w:val="es-ES"/>
        </w:rPr>
        <w:t>Nº</w:t>
      </w:r>
      <w:proofErr w:type="spellEnd"/>
      <w:r w:rsidRPr="00565D4C">
        <w:rPr>
          <w:lang w:val="es-ES"/>
        </w:rPr>
        <w:t xml:space="preserve"> 172</w:t>
      </w:r>
      <w:r>
        <w:rPr>
          <w:lang w:val="es-ES"/>
        </w:rPr>
        <w:t>, párr. 133.</w:t>
      </w:r>
    </w:p>
  </w:footnote>
  <w:footnote w:id="30">
    <w:p w14:paraId="0B3B618D" w14:textId="325F104D" w:rsidR="005B081B" w:rsidRPr="00833970" w:rsidRDefault="005B081B" w:rsidP="005B081B">
      <w:pPr>
        <w:pStyle w:val="FootnoteText"/>
        <w:rPr>
          <w:lang w:val="es-ES"/>
        </w:rPr>
      </w:pPr>
      <w:r>
        <w:rPr>
          <w:rStyle w:val="FootnoteReference"/>
        </w:rPr>
        <w:footnoteRef/>
      </w:r>
      <w:r w:rsidRPr="00833970">
        <w:rPr>
          <w:lang w:val="es-ES"/>
        </w:rPr>
        <w:t xml:space="preserve"> </w:t>
      </w:r>
      <w:r w:rsidR="00000000">
        <w:fldChar w:fldCharType="begin"/>
      </w:r>
      <w:r w:rsidR="00000000" w:rsidRPr="00F51AED">
        <w:rPr>
          <w:lang w:val="es-US"/>
        </w:rPr>
        <w:instrText>HYPERLINK "https://transparencia.cultura.gob.pe/sites/default/files/transparencia/2023/05/resoluciones-ministeriales/rm000187-2023-mc-anexo.pdf"</w:instrText>
      </w:r>
      <w:r w:rsidR="00000000">
        <w:fldChar w:fldCharType="separate"/>
      </w:r>
      <w:r w:rsidRPr="00A36F73">
        <w:rPr>
          <w:rStyle w:val="Hyperlink"/>
          <w:lang w:val="es-ES"/>
        </w:rPr>
        <w:t xml:space="preserve">Resolución Ministerial </w:t>
      </w:r>
      <w:proofErr w:type="spellStart"/>
      <w:r w:rsidR="006708A7">
        <w:rPr>
          <w:rStyle w:val="Hyperlink"/>
          <w:lang w:val="es-ES"/>
        </w:rPr>
        <w:t>Nº</w:t>
      </w:r>
      <w:proofErr w:type="spellEnd"/>
      <w:r w:rsidRPr="00A36F73">
        <w:rPr>
          <w:rStyle w:val="Hyperlink"/>
          <w:lang w:val="es-ES"/>
        </w:rPr>
        <w:t xml:space="preserve"> 000187-2023-MC</w:t>
      </w:r>
      <w:r w:rsidR="00000000">
        <w:rPr>
          <w:rStyle w:val="Hyperlink"/>
          <w:lang w:val="es-ES"/>
        </w:rPr>
        <w:fldChar w:fldCharType="end"/>
      </w:r>
      <w:r>
        <w:rPr>
          <w:lang w:val="es-ES"/>
        </w:rPr>
        <w:t>, 16 de mayo del 2023.</w:t>
      </w:r>
    </w:p>
  </w:footnote>
  <w:footnote w:id="31">
    <w:p w14:paraId="001A17C6" w14:textId="39A9CCB7" w:rsidR="005B081B" w:rsidRPr="00F06858" w:rsidRDefault="005B081B" w:rsidP="005B081B">
      <w:pPr>
        <w:pStyle w:val="FootnoteText"/>
        <w:rPr>
          <w:lang w:val="es-ES"/>
        </w:rPr>
      </w:pPr>
      <w:r>
        <w:rPr>
          <w:rStyle w:val="FootnoteReference"/>
        </w:rPr>
        <w:footnoteRef/>
      </w:r>
      <w:r w:rsidRPr="00F06858">
        <w:rPr>
          <w:lang w:val="es-ES"/>
        </w:rPr>
        <w:t xml:space="preserve"> Resolución Directoral </w:t>
      </w:r>
      <w:proofErr w:type="spellStart"/>
      <w:r w:rsidR="006708A7">
        <w:rPr>
          <w:lang w:val="es-ES"/>
        </w:rPr>
        <w:t>Nº</w:t>
      </w:r>
      <w:proofErr w:type="spellEnd"/>
      <w:r w:rsidRPr="00F06858">
        <w:rPr>
          <w:lang w:val="es-ES"/>
        </w:rPr>
        <w:t xml:space="preserve"> 000002-2023-DGCI/MC</w:t>
      </w:r>
      <w:r>
        <w:rPr>
          <w:lang w:val="es-ES"/>
        </w:rPr>
        <w:t>,</w:t>
      </w:r>
      <w:r w:rsidRPr="00F06858">
        <w:rPr>
          <w:lang w:val="es-ES"/>
        </w:rPr>
        <w:t xml:space="preserve"> 27 de se</w:t>
      </w:r>
      <w:r w:rsidR="00445DEB">
        <w:rPr>
          <w:lang w:val="es-ES"/>
        </w:rPr>
        <w:t>p</w:t>
      </w:r>
      <w:r w:rsidRPr="00F06858">
        <w:rPr>
          <w:lang w:val="es-ES"/>
        </w:rPr>
        <w:t>tiembre de 2023</w:t>
      </w:r>
      <w:r>
        <w:rPr>
          <w:lang w:val="es-ES"/>
        </w:rPr>
        <w:t>.</w:t>
      </w:r>
    </w:p>
  </w:footnote>
  <w:footnote w:id="32">
    <w:p w14:paraId="41321A90" w14:textId="421F5369" w:rsidR="005B081B" w:rsidRPr="00ED5E6C" w:rsidRDefault="005B081B" w:rsidP="005B081B">
      <w:pPr>
        <w:pStyle w:val="FootnoteText"/>
        <w:rPr>
          <w:lang w:val="pt-BR"/>
        </w:rPr>
      </w:pPr>
      <w:r>
        <w:rPr>
          <w:rStyle w:val="FootnoteReference"/>
        </w:rPr>
        <w:footnoteRef/>
      </w:r>
      <w:r w:rsidRPr="00ED5E6C">
        <w:rPr>
          <w:lang w:val="pt-BR"/>
        </w:rPr>
        <w:t xml:space="preserve"> </w:t>
      </w:r>
      <w:r w:rsidR="00000000">
        <w:fldChar w:fldCharType="begin"/>
      </w:r>
      <w:r w:rsidR="00000000" w:rsidRPr="00F51AED">
        <w:rPr>
          <w:lang w:val="pt-BR"/>
        </w:rPr>
        <w:instrText>HYPERLINK "https://www.gob.pe/institucion/cultura/normas-legales/5399215-013-2021-mc"</w:instrText>
      </w:r>
      <w:r w:rsidR="00000000">
        <w:fldChar w:fldCharType="separate"/>
      </w:r>
      <w:r w:rsidRPr="00ED5E6C">
        <w:rPr>
          <w:rStyle w:val="Hyperlink"/>
          <w:lang w:val="pt-BR"/>
        </w:rPr>
        <w:t xml:space="preserve">Decreto Supremo </w:t>
      </w:r>
      <w:r w:rsidR="006708A7" w:rsidRPr="00ED5E6C">
        <w:rPr>
          <w:rStyle w:val="Hyperlink"/>
          <w:lang w:val="pt-BR"/>
        </w:rPr>
        <w:t>Nº</w:t>
      </w:r>
      <w:r w:rsidRPr="00ED5E6C">
        <w:rPr>
          <w:rStyle w:val="Hyperlink"/>
          <w:lang w:val="pt-BR"/>
        </w:rPr>
        <w:t xml:space="preserve"> 013-2021-MC</w:t>
      </w:r>
      <w:r w:rsidR="00000000">
        <w:rPr>
          <w:rStyle w:val="Hyperlink"/>
          <w:lang w:val="pt-BR"/>
        </w:rPr>
        <w:fldChar w:fldCharType="end"/>
      </w:r>
      <w:r w:rsidRPr="00ED5E6C">
        <w:rPr>
          <w:lang w:val="pt-BR"/>
        </w:rPr>
        <w:t>, 20 de julio 2021.</w:t>
      </w:r>
    </w:p>
  </w:footnote>
  <w:footnote w:id="33">
    <w:p w14:paraId="25A748F4" w14:textId="2880F904" w:rsidR="005B081B" w:rsidRPr="00F06858" w:rsidRDefault="005B081B" w:rsidP="005B081B">
      <w:pPr>
        <w:pStyle w:val="FootnoteText"/>
        <w:rPr>
          <w:lang w:val="es-ES"/>
        </w:rPr>
      </w:pPr>
      <w:r>
        <w:rPr>
          <w:rStyle w:val="FootnoteReference"/>
        </w:rPr>
        <w:footnoteRef/>
      </w:r>
      <w:r w:rsidRPr="00F06858">
        <w:rPr>
          <w:lang w:val="es-ES"/>
        </w:rPr>
        <w:t xml:space="preserve"> </w:t>
      </w:r>
      <w:r>
        <w:rPr>
          <w:lang w:val="es-ES"/>
        </w:rPr>
        <w:t xml:space="preserve">Proyecto de Ley </w:t>
      </w:r>
      <w:proofErr w:type="spellStart"/>
      <w:r w:rsidR="006708A7">
        <w:rPr>
          <w:lang w:val="es-ES"/>
        </w:rPr>
        <w:t>Nº</w:t>
      </w:r>
      <w:proofErr w:type="spellEnd"/>
      <w:r w:rsidRPr="00F06858">
        <w:rPr>
          <w:lang w:val="es-ES"/>
        </w:rPr>
        <w:t xml:space="preserve"> 6311/2023-PE</w:t>
      </w:r>
      <w:r>
        <w:rPr>
          <w:lang w:val="es-ES"/>
        </w:rPr>
        <w:t>, 6 de noviembre de 2023.</w:t>
      </w:r>
    </w:p>
  </w:footnote>
  <w:footnote w:id="34">
    <w:p w14:paraId="0798488F" w14:textId="72F64DC5" w:rsidR="000E567F" w:rsidRPr="00336910" w:rsidRDefault="000E567F">
      <w:pPr>
        <w:pStyle w:val="FootnoteText"/>
        <w:rPr>
          <w:lang w:val="es-ES"/>
        </w:rPr>
      </w:pPr>
      <w:r>
        <w:rPr>
          <w:rStyle w:val="FootnoteReference"/>
        </w:rPr>
        <w:footnoteRef/>
      </w:r>
      <w:r w:rsidRPr="00336910">
        <w:rPr>
          <w:lang w:val="es-ES"/>
        </w:rPr>
        <w:t xml:space="preserve"> </w:t>
      </w:r>
      <w:r>
        <w:rPr>
          <w:lang w:val="es-ES"/>
        </w:rPr>
        <w:t>La última reunión del 2024 se realizó el 29 de noviembre del 2024.</w:t>
      </w:r>
    </w:p>
  </w:footnote>
  <w:footnote w:id="35">
    <w:p w14:paraId="29040357" w14:textId="38BB2737" w:rsidR="005B081B" w:rsidRPr="007E6B6D" w:rsidRDefault="005B081B" w:rsidP="005B081B">
      <w:pPr>
        <w:pStyle w:val="FootnoteText"/>
        <w:rPr>
          <w:lang w:val="es-ES"/>
        </w:rPr>
      </w:pPr>
      <w:r>
        <w:rPr>
          <w:rStyle w:val="FootnoteReference"/>
        </w:rPr>
        <w:footnoteRef/>
      </w:r>
      <w:r w:rsidRPr="007E6B6D">
        <w:rPr>
          <w:lang w:val="es-ES"/>
        </w:rPr>
        <w:t xml:space="preserve"> Decreto Supremo </w:t>
      </w:r>
      <w:proofErr w:type="spellStart"/>
      <w:r w:rsidR="006708A7">
        <w:rPr>
          <w:lang w:val="es-ES"/>
        </w:rPr>
        <w:t>Nº</w:t>
      </w:r>
      <w:proofErr w:type="spellEnd"/>
      <w:r w:rsidRPr="007E6B6D">
        <w:rPr>
          <w:lang w:val="es-ES"/>
        </w:rPr>
        <w:t xml:space="preserve"> 018-2024-JUS, que aprueba la Política Nacional Multisectorial de Derechos Humanos al 2040</w:t>
      </w:r>
      <w:r>
        <w:rPr>
          <w:lang w:val="es-ES"/>
        </w:rPr>
        <w:t>, 4 de diciembre de 2024.</w:t>
      </w:r>
    </w:p>
  </w:footnote>
  <w:footnote w:id="36">
    <w:p w14:paraId="249EC4D8" w14:textId="2B08283A" w:rsidR="005B081B" w:rsidRPr="00B76C6E" w:rsidRDefault="005B081B" w:rsidP="005B081B">
      <w:pPr>
        <w:pStyle w:val="FootnoteText"/>
        <w:rPr>
          <w:lang w:val="es-ES"/>
        </w:rPr>
      </w:pPr>
      <w:r w:rsidRPr="000D30D7">
        <w:rPr>
          <w:rStyle w:val="FootnoteReference"/>
        </w:rPr>
        <w:footnoteRef/>
      </w:r>
      <w:r w:rsidR="24019998" w:rsidRPr="000D30D7">
        <w:rPr>
          <w:lang w:val="es-ES"/>
        </w:rPr>
        <w:t xml:space="preserve"> CIDH</w:t>
      </w:r>
      <w:r w:rsidR="24019998">
        <w:rPr>
          <w:lang w:val="es-ES"/>
        </w:rPr>
        <w:t>,</w:t>
      </w:r>
      <w:r w:rsidR="24019998" w:rsidRPr="000D30D7">
        <w:rPr>
          <w:lang w:val="es-ES"/>
        </w:rPr>
        <w:t xml:space="preserve"> </w:t>
      </w:r>
      <w:r w:rsidR="00000000">
        <w:fldChar w:fldCharType="begin"/>
      </w:r>
      <w:r w:rsidR="00000000" w:rsidRPr="00F51AED">
        <w:rPr>
          <w:lang w:val="es-US"/>
        </w:rPr>
        <w:instrText>HYPERLINK "https://www.oas.org/es/cidh/informes/pdfs/compendio-igualdadnodiscriminacion.pdf"</w:instrText>
      </w:r>
      <w:r w:rsidR="00000000">
        <w:fldChar w:fldCharType="separate"/>
      </w:r>
      <w:r w:rsidR="24019998" w:rsidRPr="24019998">
        <w:rPr>
          <w:rStyle w:val="Hyperlink"/>
          <w:lang w:val="es-ES"/>
        </w:rPr>
        <w:t>Compendio sobre Igualdad y no discriminación. Estándares Interamericanos</w:t>
      </w:r>
      <w:r w:rsidR="00000000">
        <w:rPr>
          <w:rStyle w:val="Hyperlink"/>
          <w:lang w:val="es-ES"/>
        </w:rPr>
        <w:fldChar w:fldCharType="end"/>
      </w:r>
      <w:r w:rsidR="24019998" w:rsidRPr="000D30D7">
        <w:rPr>
          <w:lang w:val="es-ES"/>
        </w:rPr>
        <w:t>, OEA/</w:t>
      </w:r>
      <w:proofErr w:type="spellStart"/>
      <w:r w:rsidR="24019998" w:rsidRPr="000D30D7">
        <w:rPr>
          <w:lang w:val="es-ES"/>
        </w:rPr>
        <w:t>Ser.L</w:t>
      </w:r>
      <w:proofErr w:type="spellEnd"/>
      <w:r w:rsidR="24019998">
        <w:rPr>
          <w:lang w:val="es-ES"/>
        </w:rPr>
        <w:t>/</w:t>
      </w:r>
      <w:r w:rsidR="24019998" w:rsidRPr="000D30D7">
        <w:rPr>
          <w:lang w:val="es-ES"/>
        </w:rPr>
        <w:t>V</w:t>
      </w:r>
      <w:r w:rsidR="24019998">
        <w:rPr>
          <w:lang w:val="es-ES"/>
        </w:rPr>
        <w:t>/II</w:t>
      </w:r>
      <w:r w:rsidR="24019998" w:rsidRPr="000D30D7">
        <w:rPr>
          <w:lang w:val="es-ES"/>
        </w:rPr>
        <w:t>.171. Doc. 31, 12 de febrero de 2019, párr. 2.</w:t>
      </w:r>
    </w:p>
  </w:footnote>
  <w:footnote w:id="37">
    <w:p w14:paraId="79F2498A" w14:textId="776458F6" w:rsidR="005B081B" w:rsidRPr="00F327AE" w:rsidRDefault="005B081B" w:rsidP="005B081B">
      <w:pPr>
        <w:pStyle w:val="FootnoteText"/>
        <w:rPr>
          <w:lang w:val="es-ES"/>
        </w:rPr>
      </w:pPr>
      <w:r>
        <w:rPr>
          <w:rStyle w:val="FootnoteReference"/>
        </w:rPr>
        <w:footnoteRef/>
      </w:r>
      <w:r w:rsidR="24019998" w:rsidRPr="00F327AE">
        <w:rPr>
          <w:lang w:val="es-ES"/>
        </w:rPr>
        <w:t xml:space="preserve"> </w:t>
      </w:r>
      <w:r w:rsidR="24019998">
        <w:rPr>
          <w:lang w:val="es-ES"/>
        </w:rPr>
        <w:t xml:space="preserve">CIDH, </w:t>
      </w:r>
      <w:r w:rsidR="00000000">
        <w:fldChar w:fldCharType="begin"/>
      </w:r>
      <w:r w:rsidR="00000000" w:rsidRPr="00F51AED">
        <w:rPr>
          <w:lang w:val="es-US"/>
        </w:rPr>
        <w:instrText>HYPERLINK "https://www.oas.org/es/cidh/informes/pdfs/politicaspublicasddhh.pdf"</w:instrText>
      </w:r>
      <w:r w:rsidR="00000000">
        <w:fldChar w:fldCharType="separate"/>
      </w:r>
      <w:r w:rsidR="24019998" w:rsidRPr="24019998">
        <w:rPr>
          <w:rStyle w:val="Hyperlink"/>
          <w:lang w:val="es-ES"/>
        </w:rPr>
        <w:t>Informe Políticas Públicas con Enfoque en Derechos Humanos</w:t>
      </w:r>
      <w:r w:rsidR="00000000">
        <w:rPr>
          <w:rStyle w:val="Hyperlink"/>
          <w:lang w:val="es-ES"/>
        </w:rPr>
        <w:fldChar w:fldCharType="end"/>
      </w:r>
      <w:r w:rsidR="24019998">
        <w:rPr>
          <w:lang w:val="es-ES"/>
        </w:rPr>
        <w:t xml:space="preserve">, </w:t>
      </w:r>
      <w:r w:rsidR="24019998" w:rsidRPr="00F327AE">
        <w:rPr>
          <w:lang w:val="es-ES"/>
        </w:rPr>
        <w:t>15 de septiembre de 2018</w:t>
      </w:r>
      <w:r w:rsidR="24019998">
        <w:rPr>
          <w:lang w:val="es-ES"/>
        </w:rPr>
        <w:t xml:space="preserve">, </w:t>
      </w:r>
      <w:r w:rsidR="24019998" w:rsidRPr="00F327AE">
        <w:rPr>
          <w:lang w:val="es-ES"/>
        </w:rPr>
        <w:t>OEA/</w:t>
      </w:r>
      <w:proofErr w:type="spellStart"/>
      <w:r w:rsidR="24019998" w:rsidRPr="00F327AE">
        <w:rPr>
          <w:lang w:val="es-ES"/>
        </w:rPr>
        <w:t>Ser.L</w:t>
      </w:r>
      <w:proofErr w:type="spellEnd"/>
      <w:r w:rsidR="24019998" w:rsidRPr="00F327AE">
        <w:rPr>
          <w:lang w:val="es-ES"/>
        </w:rPr>
        <w:t>/V/II, Doc. 191</w:t>
      </w:r>
      <w:r w:rsidR="24019998">
        <w:rPr>
          <w:lang w:val="es-ES"/>
        </w:rPr>
        <w:t>.</w:t>
      </w:r>
    </w:p>
  </w:footnote>
  <w:footnote w:id="38">
    <w:p w14:paraId="5EFC2060" w14:textId="3AAFA565" w:rsidR="005B081B" w:rsidRPr="00ED5E6C" w:rsidRDefault="005B081B" w:rsidP="005B081B">
      <w:pPr>
        <w:pStyle w:val="FootnoteText"/>
        <w:rPr>
          <w:lang w:val="pt-BR"/>
        </w:rPr>
      </w:pPr>
      <w:r>
        <w:rPr>
          <w:rStyle w:val="FootnoteReference"/>
        </w:rPr>
        <w:footnoteRef/>
      </w:r>
      <w:r w:rsidRPr="00ED5E6C">
        <w:rPr>
          <w:lang w:val="pt-BR"/>
        </w:rPr>
        <w:t xml:space="preserve"> </w:t>
      </w:r>
      <w:r w:rsidRPr="00ED5E6C">
        <w:rPr>
          <w:rFonts w:eastAsia="Cambria" w:cs="Cambria"/>
          <w:color w:val="000000" w:themeColor="text1"/>
          <w:szCs w:val="16"/>
          <w:lang w:val="pt-BR"/>
        </w:rPr>
        <w:t xml:space="preserve">Directiva </w:t>
      </w:r>
      <w:r w:rsidR="006708A7" w:rsidRPr="00ED5E6C">
        <w:rPr>
          <w:rFonts w:eastAsia="Cambria" w:cs="Cambria"/>
          <w:color w:val="000000" w:themeColor="text1"/>
          <w:szCs w:val="16"/>
          <w:lang w:val="pt-BR"/>
        </w:rPr>
        <w:t>Nº</w:t>
      </w:r>
      <w:r w:rsidRPr="00ED5E6C">
        <w:rPr>
          <w:rFonts w:eastAsia="Cambria" w:cs="Cambria"/>
          <w:color w:val="000000" w:themeColor="text1"/>
          <w:szCs w:val="16"/>
          <w:lang w:val="pt-BR"/>
        </w:rPr>
        <w:t xml:space="preserve"> 014-2023-CG PNP/EMG, 19 de julio de 2023.</w:t>
      </w:r>
    </w:p>
  </w:footnote>
  <w:footnote w:id="39">
    <w:p w14:paraId="1B52B310" w14:textId="785EC136" w:rsidR="005B081B" w:rsidRPr="00ED5E6C" w:rsidRDefault="005B081B" w:rsidP="005B081B">
      <w:pPr>
        <w:pStyle w:val="FootnoteText"/>
        <w:rPr>
          <w:lang w:val="pt-BR"/>
        </w:rPr>
      </w:pPr>
      <w:r>
        <w:rPr>
          <w:rStyle w:val="FootnoteReference"/>
        </w:rPr>
        <w:footnoteRef/>
      </w:r>
      <w:r w:rsidRPr="00ED5E6C">
        <w:rPr>
          <w:lang w:val="pt-BR"/>
        </w:rPr>
        <w:t xml:space="preserve"> </w:t>
      </w:r>
      <w:r w:rsidRPr="00ED5E6C">
        <w:rPr>
          <w:rFonts w:eastAsia="Cambria" w:cs="Cambria"/>
          <w:color w:val="000000" w:themeColor="text1"/>
          <w:szCs w:val="16"/>
          <w:lang w:val="pt-BR"/>
        </w:rPr>
        <w:t xml:space="preserve">Memorándum Múltiple </w:t>
      </w:r>
      <w:r w:rsidR="006708A7" w:rsidRPr="00ED5E6C">
        <w:rPr>
          <w:rFonts w:eastAsia="Cambria" w:cs="Cambria"/>
          <w:color w:val="000000" w:themeColor="text1"/>
          <w:szCs w:val="16"/>
          <w:lang w:val="pt-BR"/>
        </w:rPr>
        <w:t>Nº</w:t>
      </w:r>
      <w:r w:rsidRPr="00ED5E6C">
        <w:rPr>
          <w:rFonts w:eastAsia="Cambria" w:cs="Cambria"/>
          <w:color w:val="000000" w:themeColor="text1"/>
          <w:szCs w:val="16"/>
          <w:lang w:val="pt-BR"/>
        </w:rPr>
        <w:t xml:space="preserve"> 11-2023-CG PNP/SECPRI, 31 de mayo de 2023</w:t>
      </w:r>
      <w:r w:rsidR="001B6D31" w:rsidRPr="00ED5E6C">
        <w:rPr>
          <w:rFonts w:eastAsia="Cambria" w:cs="Cambria"/>
          <w:color w:val="000000" w:themeColor="text1"/>
          <w:szCs w:val="16"/>
          <w:lang w:val="pt-BR"/>
        </w:rPr>
        <w:t>.</w:t>
      </w:r>
    </w:p>
  </w:footnote>
  <w:footnote w:id="40">
    <w:p w14:paraId="4EAC28FB" w14:textId="3E597D99" w:rsidR="005B081B" w:rsidRPr="00ED5E6C" w:rsidRDefault="005B081B" w:rsidP="005B081B">
      <w:pPr>
        <w:pStyle w:val="FootnoteText"/>
        <w:rPr>
          <w:lang w:val="pt-BR"/>
        </w:rPr>
      </w:pPr>
      <w:r>
        <w:rPr>
          <w:rStyle w:val="FootnoteReference"/>
        </w:rPr>
        <w:footnoteRef/>
      </w:r>
      <w:r w:rsidRPr="00ED5E6C">
        <w:rPr>
          <w:lang w:val="pt-BR"/>
        </w:rPr>
        <w:t xml:space="preserve"> Ministerio de Defensa</w:t>
      </w:r>
      <w:r w:rsidR="001B6D31" w:rsidRPr="00ED5E6C">
        <w:rPr>
          <w:lang w:val="pt-BR"/>
        </w:rPr>
        <w:t>,</w:t>
      </w:r>
      <w:r w:rsidRPr="00ED5E6C">
        <w:rPr>
          <w:lang w:val="pt-BR"/>
        </w:rPr>
        <w:t xml:space="preserve"> Oficio </w:t>
      </w:r>
      <w:r w:rsidR="006708A7" w:rsidRPr="00ED5E6C">
        <w:rPr>
          <w:lang w:val="pt-BR"/>
        </w:rPr>
        <w:t>Nº</w:t>
      </w:r>
      <w:r w:rsidRPr="00ED5E6C">
        <w:rPr>
          <w:lang w:val="pt-BR"/>
        </w:rPr>
        <w:t xml:space="preserve"> 00465-2024-MINDEF/VPD-DIGEDOC-CDIH-DDHH-FFAA, 7 de agosto de 2024. </w:t>
      </w:r>
    </w:p>
  </w:footnote>
  <w:footnote w:id="41">
    <w:p w14:paraId="3DACF98E" w14:textId="6295D5B2" w:rsidR="005B081B" w:rsidRPr="00DB5FA7" w:rsidRDefault="005B081B" w:rsidP="005B081B">
      <w:pPr>
        <w:pStyle w:val="FootnoteText"/>
        <w:rPr>
          <w:lang w:val="es-ES"/>
        </w:rPr>
      </w:pPr>
      <w:r>
        <w:rPr>
          <w:rStyle w:val="FootnoteReference"/>
        </w:rPr>
        <w:footnoteRef/>
      </w:r>
      <w:r w:rsidR="3E8EA542" w:rsidRPr="00DB5FA7">
        <w:rPr>
          <w:lang w:val="es-ES"/>
        </w:rPr>
        <w:t xml:space="preserve"> Seminario Taller sobre </w:t>
      </w:r>
      <w:r w:rsidR="001B6D31">
        <w:rPr>
          <w:lang w:val="es-ES"/>
        </w:rPr>
        <w:t xml:space="preserve">la </w:t>
      </w:r>
      <w:r w:rsidR="3E8EA542" w:rsidRPr="00DB5FA7">
        <w:rPr>
          <w:lang w:val="es-ES"/>
        </w:rPr>
        <w:t xml:space="preserve">función policial y uso de la fuerza, en el marco de los estándares internacionales, realizado el 25 y 26 de marzo de 2024 y dirigido a </w:t>
      </w:r>
      <w:r w:rsidR="3E8EA542" w:rsidRPr="3E8EA542">
        <w:rPr>
          <w:lang w:val="es-ES"/>
        </w:rPr>
        <w:t>63 Oficiales Generales de la Policía Nacional del Perú</w:t>
      </w:r>
      <w:r w:rsidR="3E8EA542" w:rsidRPr="00DB5FA7">
        <w:rPr>
          <w:lang w:val="es-ES"/>
        </w:rPr>
        <w:t>; Taller sobre Uso de la fuerza y Mantenimiento del Orden público, realizado del 1 al 4 de abril de 2024 y dirigido a 50 efectivos policiales; Seminario "Evaluación posterior a las operaciones policiales", realizado el 6 y 7 de mayo de 2024 y dirigido a los Oficiales Superiores de la Policía Nacional del Perú; Curso de formación de instructores en DDHH aplicados a la función policial, a partir del 12 de agosto de 2024 y dirigido a 30 efectivos policiales</w:t>
      </w:r>
      <w:r w:rsidR="3E8EA542">
        <w:rPr>
          <w:lang w:val="es-ES"/>
        </w:rPr>
        <w:t>.</w:t>
      </w:r>
    </w:p>
  </w:footnote>
  <w:footnote w:id="42">
    <w:p w14:paraId="6C560490" w14:textId="0BD417B5" w:rsidR="005B081B" w:rsidRPr="00DB5FA7" w:rsidRDefault="005B081B" w:rsidP="005B081B">
      <w:pPr>
        <w:pStyle w:val="FootnoteText"/>
        <w:rPr>
          <w:lang w:val="es-ES"/>
        </w:rPr>
      </w:pPr>
      <w:r>
        <w:rPr>
          <w:rStyle w:val="FootnoteReference"/>
        </w:rPr>
        <w:footnoteRef/>
      </w:r>
      <w:r w:rsidRPr="00DB5FA7">
        <w:rPr>
          <w:lang w:val="es-ES"/>
        </w:rPr>
        <w:t xml:space="preserve"> Curso de formación de instructores en derechos humanos aplicados a la función policial, realizado del 27 de marzo al 24 de abril de 2023, dirigido a 25 efectivos policiales; Taller “Evaluación Posterior a la Acción” dirigido a Oficiales Superiores; Taller sobre el uso de la fuerza y derechos humanos aplicados a la función policial, dirigido a 60 oficiales Generales de la PNP</w:t>
      </w:r>
      <w:r>
        <w:rPr>
          <w:lang w:val="es-ES"/>
        </w:rPr>
        <w:t xml:space="preserve">. </w:t>
      </w:r>
      <w:r w:rsidR="008F33D5">
        <w:rPr>
          <w:lang w:val="es-ES"/>
        </w:rPr>
        <w:t xml:space="preserve">Cf. </w:t>
      </w:r>
      <w:r w:rsidRPr="00717FC5">
        <w:rPr>
          <w:rFonts w:eastAsia="Cambria" w:cs="Cambria"/>
          <w:color w:val="000000" w:themeColor="text1"/>
          <w:szCs w:val="16"/>
          <w:lang w:val="es-CO"/>
        </w:rPr>
        <w:t>Estado d</w:t>
      </w:r>
      <w:r>
        <w:rPr>
          <w:rFonts w:eastAsia="Cambria" w:cs="Cambria"/>
          <w:color w:val="000000" w:themeColor="text1"/>
          <w:szCs w:val="16"/>
          <w:lang w:val="es-CO"/>
        </w:rPr>
        <w:t>el Perú</w:t>
      </w:r>
      <w:r w:rsidRPr="00717FC5">
        <w:rPr>
          <w:rFonts w:eastAsia="Cambria" w:cs="Cambria"/>
          <w:color w:val="000000" w:themeColor="text1"/>
          <w:szCs w:val="16"/>
          <w:lang w:val="es-CO"/>
        </w:rPr>
        <w:t xml:space="preserve">, </w:t>
      </w:r>
      <w:r w:rsidRPr="00AC1714">
        <w:rPr>
          <w:rFonts w:eastAsia="Cambria" w:cs="Cambria"/>
          <w:color w:val="000000" w:themeColor="text1"/>
          <w:szCs w:val="16"/>
          <w:lang w:val="es-CO"/>
        </w:rPr>
        <w:t xml:space="preserve">Nota </w:t>
      </w:r>
      <w:proofErr w:type="spellStart"/>
      <w:r w:rsidR="001E2E13">
        <w:rPr>
          <w:rFonts w:eastAsia="Cambria" w:cs="Cambria"/>
          <w:color w:val="000000" w:themeColor="text1"/>
          <w:szCs w:val="16"/>
          <w:lang w:val="es-CO"/>
        </w:rPr>
        <w:t>Nº</w:t>
      </w:r>
      <w:proofErr w:type="spellEnd"/>
      <w:r w:rsidRPr="00AC1714">
        <w:rPr>
          <w:rFonts w:eastAsia="Cambria" w:cs="Cambria"/>
          <w:color w:val="000000" w:themeColor="text1"/>
          <w:szCs w:val="16"/>
          <w:lang w:val="es-CO"/>
        </w:rPr>
        <w:t xml:space="preserve"> 7-5-M/010</w:t>
      </w:r>
      <w:r>
        <w:rPr>
          <w:rFonts w:eastAsia="Cambria" w:cs="Cambria"/>
          <w:color w:val="000000" w:themeColor="text1"/>
          <w:szCs w:val="16"/>
          <w:lang w:val="es-CO"/>
        </w:rPr>
        <w:t xml:space="preserve">, </w:t>
      </w:r>
      <w:r w:rsidRPr="00AC1714">
        <w:rPr>
          <w:rFonts w:eastAsia="Cambria" w:cs="Cambria"/>
          <w:color w:val="000000" w:themeColor="text1"/>
          <w:szCs w:val="16"/>
          <w:lang w:val="es-CO"/>
        </w:rPr>
        <w:t>Informe del Estado peruano sobre la implementación de recomendaciones del informe país “Situación de Derechos Humanos en Perú en el contexto de las protestas sociales de la Comisión Interamericana de Derechos Humanos”</w:t>
      </w:r>
      <w:r>
        <w:rPr>
          <w:rFonts w:eastAsia="Cambria" w:cs="Cambria"/>
          <w:color w:val="000000" w:themeColor="text1"/>
          <w:szCs w:val="16"/>
          <w:lang w:val="es-CO"/>
        </w:rPr>
        <w:t xml:space="preserve">, 18 de enero de 2024, párr. 76 </w:t>
      </w:r>
      <w:r w:rsidR="008F33D5">
        <w:rPr>
          <w:rFonts w:eastAsia="Cambria" w:cs="Cambria"/>
          <w:color w:val="000000" w:themeColor="text1"/>
          <w:szCs w:val="16"/>
          <w:lang w:val="es-CO"/>
        </w:rPr>
        <w:t>y siguientes.</w:t>
      </w:r>
    </w:p>
  </w:footnote>
  <w:footnote w:id="43">
    <w:p w14:paraId="250E82BD" w14:textId="629E3678" w:rsidR="005B081B" w:rsidRPr="00F51AED" w:rsidRDefault="005B081B" w:rsidP="005B081B">
      <w:pPr>
        <w:pStyle w:val="FootnoteText"/>
        <w:rPr>
          <w:lang w:val="es-CO"/>
        </w:rPr>
      </w:pPr>
      <w:r>
        <w:rPr>
          <w:rStyle w:val="FootnoteReference"/>
        </w:rPr>
        <w:footnoteRef/>
      </w:r>
      <w:r w:rsidRPr="00F51AED">
        <w:rPr>
          <w:lang w:val="es-CO"/>
        </w:rPr>
        <w:t xml:space="preserve"> </w:t>
      </w:r>
      <w:r w:rsidR="00000000">
        <w:fldChar w:fldCharType="begin"/>
      </w:r>
      <w:r w:rsidR="00000000" w:rsidRPr="00F51AED">
        <w:rPr>
          <w:lang w:val="es-CO"/>
        </w:rPr>
        <w:instrText>HYPERLINK "https://www.policia.gob.pe/Contenido/doc/dirincri/NormasEspecialidad/NormasLegalesDIRANDRO/Decreto%20Legislativo%20N%C2%B0%201186%20Uso%20de%20la%20Fuerza.pdf"</w:instrText>
      </w:r>
      <w:r w:rsidR="00000000">
        <w:fldChar w:fldCharType="separate"/>
      </w:r>
      <w:r w:rsidRPr="00F51AED">
        <w:rPr>
          <w:rStyle w:val="Hyperlink"/>
          <w:lang w:val="es-CO"/>
        </w:rPr>
        <w:t xml:space="preserve">Decreto Legislativo </w:t>
      </w:r>
      <w:r w:rsidR="001E2E13" w:rsidRPr="00F51AED">
        <w:rPr>
          <w:rStyle w:val="Hyperlink"/>
          <w:lang w:val="es-CO"/>
        </w:rPr>
        <w:t>Nº</w:t>
      </w:r>
      <w:r w:rsidRPr="00F51AED">
        <w:rPr>
          <w:rStyle w:val="Hyperlink"/>
          <w:lang w:val="es-CO"/>
        </w:rPr>
        <w:t xml:space="preserve"> 1186</w:t>
      </w:r>
      <w:r w:rsidR="00000000">
        <w:rPr>
          <w:rStyle w:val="Hyperlink"/>
          <w:lang w:val="pt-BR"/>
        </w:rPr>
        <w:fldChar w:fldCharType="end"/>
      </w:r>
      <w:r w:rsidR="001916E7" w:rsidRPr="00F51AED">
        <w:rPr>
          <w:lang w:val="es-CO"/>
        </w:rPr>
        <w:t>,</w:t>
      </w:r>
      <w:r w:rsidRPr="00F51AED">
        <w:rPr>
          <w:lang w:val="es-CO"/>
        </w:rPr>
        <w:t xml:space="preserve"> 16 de agosto de 2015</w:t>
      </w:r>
    </w:p>
  </w:footnote>
  <w:footnote w:id="44">
    <w:p w14:paraId="38BA4143" w14:textId="6A9C90E1" w:rsidR="005B081B" w:rsidRPr="00A925AF" w:rsidRDefault="005B081B" w:rsidP="005B081B">
      <w:pPr>
        <w:pStyle w:val="FootnoteText"/>
        <w:rPr>
          <w:lang w:val="es-ES"/>
        </w:rPr>
      </w:pPr>
      <w:r>
        <w:rPr>
          <w:rStyle w:val="FootnoteReference"/>
        </w:rPr>
        <w:footnoteRef/>
      </w:r>
      <w:r w:rsidRPr="00A925AF">
        <w:rPr>
          <w:lang w:val="es-ES"/>
        </w:rPr>
        <w:t xml:space="preserve"> </w:t>
      </w:r>
      <w:r w:rsidR="00000000">
        <w:fldChar w:fldCharType="begin"/>
      </w:r>
      <w:r w:rsidR="00000000" w:rsidRPr="00F51AED">
        <w:rPr>
          <w:lang w:val="es-CO"/>
        </w:rPr>
        <w:instrText>HYPERLINK "https://www2.congreso.gob.pe/sicr/cendocbib/con2_uibd.nsf/4E2FCC17050A1136052577910065602D/$FILE/DECR_LEGISLATIVO_PR_1095.pdf"</w:instrText>
      </w:r>
      <w:r w:rsidR="00000000">
        <w:fldChar w:fldCharType="separate"/>
      </w:r>
      <w:r w:rsidRPr="00A925AF">
        <w:rPr>
          <w:rStyle w:val="Hyperlink"/>
          <w:lang w:val="es-ES"/>
        </w:rPr>
        <w:t xml:space="preserve">Decreto Legislativo </w:t>
      </w:r>
      <w:proofErr w:type="spellStart"/>
      <w:r w:rsidR="001E2E13">
        <w:rPr>
          <w:rStyle w:val="Hyperlink"/>
          <w:lang w:val="es-ES"/>
        </w:rPr>
        <w:t>Nº</w:t>
      </w:r>
      <w:proofErr w:type="spellEnd"/>
      <w:r w:rsidRPr="00A925AF">
        <w:rPr>
          <w:rStyle w:val="Hyperlink"/>
          <w:lang w:val="es-ES"/>
        </w:rPr>
        <w:t xml:space="preserve"> 1095</w:t>
      </w:r>
      <w:r w:rsidR="00000000">
        <w:rPr>
          <w:rStyle w:val="Hyperlink"/>
          <w:lang w:val="es-ES"/>
        </w:rPr>
        <w:fldChar w:fldCharType="end"/>
      </w:r>
      <w:r>
        <w:rPr>
          <w:lang w:val="es-ES"/>
        </w:rPr>
        <w:t>, 3 de julio 2010.</w:t>
      </w:r>
    </w:p>
  </w:footnote>
  <w:footnote w:id="45">
    <w:p w14:paraId="5C666E72" w14:textId="77777777" w:rsidR="005B081B" w:rsidRPr="00A925AF" w:rsidRDefault="005B081B" w:rsidP="005B081B">
      <w:pPr>
        <w:pStyle w:val="FootnoteText"/>
        <w:rPr>
          <w:lang w:val="es-ES"/>
        </w:rPr>
      </w:pPr>
      <w:r>
        <w:rPr>
          <w:rStyle w:val="FootnoteReference"/>
        </w:rPr>
        <w:footnoteRef/>
      </w:r>
      <w:r w:rsidRPr="00A925AF">
        <w:rPr>
          <w:lang w:val="es-ES"/>
        </w:rPr>
        <w:t xml:space="preserve"> </w:t>
      </w:r>
      <w:r w:rsidR="00000000">
        <w:fldChar w:fldCharType="begin"/>
      </w:r>
      <w:r w:rsidR="00000000" w:rsidRPr="00F51AED">
        <w:rPr>
          <w:lang w:val="es-CO"/>
        </w:rPr>
        <w:instrText>HYPERLINK "https://www.gob.pe/institucion/mindef/normas-legales/2732195-0067-2022-de"</w:instrText>
      </w:r>
      <w:r w:rsidR="00000000">
        <w:fldChar w:fldCharType="separate"/>
      </w:r>
      <w:r w:rsidRPr="00A925AF">
        <w:rPr>
          <w:rStyle w:val="Hyperlink"/>
          <w:lang w:val="es-ES"/>
        </w:rPr>
        <w:t>Manual de Derecho Operacional para las Fuerzas Armadas</w:t>
      </w:r>
      <w:r w:rsidR="00000000">
        <w:rPr>
          <w:rStyle w:val="Hyperlink"/>
          <w:lang w:val="es-ES"/>
        </w:rPr>
        <w:fldChar w:fldCharType="end"/>
      </w:r>
      <w:r>
        <w:rPr>
          <w:lang w:val="es-ES"/>
        </w:rPr>
        <w:t>, 3 de febrero de 2022</w:t>
      </w:r>
    </w:p>
  </w:footnote>
  <w:footnote w:id="46">
    <w:p w14:paraId="60A7F3B6" w14:textId="77777777" w:rsidR="005B081B" w:rsidRPr="00A925AF" w:rsidRDefault="005B081B" w:rsidP="005B081B">
      <w:pPr>
        <w:pStyle w:val="FootnoteText"/>
        <w:rPr>
          <w:rFonts w:eastAsia="Cambria" w:cs="Cambria"/>
          <w:color w:val="000000" w:themeColor="text1"/>
          <w:szCs w:val="16"/>
          <w:lang w:val="es-CO"/>
        </w:rPr>
      </w:pPr>
      <w:r>
        <w:rPr>
          <w:rStyle w:val="FootnoteReference"/>
        </w:rPr>
        <w:footnoteRef/>
      </w:r>
      <w:r w:rsidRPr="00A925AF">
        <w:rPr>
          <w:lang w:val="es-ES"/>
        </w:rPr>
        <w:t xml:space="preserve"> </w:t>
      </w:r>
      <w:r w:rsidR="00000000">
        <w:fldChar w:fldCharType="begin"/>
      </w:r>
      <w:r w:rsidR="00000000" w:rsidRPr="00F51AED">
        <w:rPr>
          <w:lang w:val="es-US"/>
        </w:rPr>
        <w:instrText>HYPERLINK "https://www.gob.pe/institucion/mindef/normas-legales/2732215-0066-2022-de"</w:instrText>
      </w:r>
      <w:r w:rsidR="00000000">
        <w:fldChar w:fldCharType="separate"/>
      </w:r>
      <w:r w:rsidRPr="00A925AF">
        <w:rPr>
          <w:rStyle w:val="Hyperlink"/>
          <w:rFonts w:eastAsia="Cambria" w:cs="Cambria"/>
          <w:szCs w:val="16"/>
          <w:lang w:val="es-CO"/>
        </w:rPr>
        <w:t>Manual de Derechos Humanos y Derecho Internacional Humanitario de las Fuerzas Armadas del Perú</w:t>
      </w:r>
      <w:r w:rsidR="00000000">
        <w:rPr>
          <w:rStyle w:val="Hyperlink"/>
          <w:rFonts w:eastAsia="Cambria" w:cs="Cambria"/>
          <w:szCs w:val="16"/>
          <w:lang w:val="es-CO"/>
        </w:rPr>
        <w:fldChar w:fldCharType="end"/>
      </w:r>
      <w:r>
        <w:rPr>
          <w:rFonts w:eastAsia="Cambria" w:cs="Cambria"/>
          <w:color w:val="000000" w:themeColor="text1"/>
          <w:szCs w:val="16"/>
          <w:lang w:val="es-CO"/>
        </w:rPr>
        <w:t>, 3 de febrero de 2022.</w:t>
      </w:r>
    </w:p>
  </w:footnote>
  <w:footnote w:id="47">
    <w:p w14:paraId="217D5ECF" w14:textId="136EE82D" w:rsidR="005B081B" w:rsidRPr="00ED5E6C" w:rsidRDefault="005B081B" w:rsidP="005B081B">
      <w:pPr>
        <w:pStyle w:val="FootnoteText"/>
        <w:rPr>
          <w:rFonts w:eastAsia="Cambria" w:cs="Cambria"/>
          <w:color w:val="000000" w:themeColor="text1"/>
          <w:szCs w:val="16"/>
          <w:lang w:val="pt-BR"/>
        </w:rPr>
      </w:pPr>
      <w:r>
        <w:rPr>
          <w:rStyle w:val="FootnoteReference"/>
        </w:rPr>
        <w:footnoteRef/>
      </w:r>
      <w:r w:rsidRPr="00ED5E6C">
        <w:rPr>
          <w:lang w:val="pt-BR"/>
        </w:rPr>
        <w:t xml:space="preserve"> </w:t>
      </w:r>
      <w:r w:rsidRPr="00ED5E6C">
        <w:rPr>
          <w:rFonts w:eastAsia="Cambria" w:cs="Cambria"/>
          <w:color w:val="000000" w:themeColor="text1"/>
          <w:szCs w:val="16"/>
          <w:lang w:val="pt-BR"/>
        </w:rPr>
        <w:t xml:space="preserve">Directiva </w:t>
      </w:r>
      <w:r w:rsidR="001E2E13" w:rsidRPr="00ED5E6C">
        <w:rPr>
          <w:rFonts w:eastAsia="Cambria" w:cs="Cambria"/>
          <w:color w:val="000000" w:themeColor="text1"/>
          <w:szCs w:val="16"/>
          <w:lang w:val="pt-BR"/>
        </w:rPr>
        <w:t>Nº</w:t>
      </w:r>
      <w:r w:rsidRPr="00ED5E6C">
        <w:rPr>
          <w:rFonts w:eastAsia="Cambria" w:cs="Cambria"/>
          <w:color w:val="000000" w:themeColor="text1"/>
          <w:szCs w:val="16"/>
          <w:lang w:val="pt-BR"/>
        </w:rPr>
        <w:t xml:space="preserve"> 013-2023-CG PNP/EMG, 19 de julio de 2023.</w:t>
      </w:r>
    </w:p>
  </w:footnote>
  <w:footnote w:id="48">
    <w:p w14:paraId="61AAF500" w14:textId="20CDB10F" w:rsidR="005B081B" w:rsidRPr="00CF4B46" w:rsidRDefault="005B081B" w:rsidP="005B081B">
      <w:pPr>
        <w:pStyle w:val="FootnoteText"/>
        <w:rPr>
          <w:lang w:val="es-ES"/>
        </w:rPr>
      </w:pPr>
      <w:r>
        <w:rPr>
          <w:rStyle w:val="FootnoteReference"/>
        </w:rPr>
        <w:footnoteRef/>
      </w:r>
      <w:r w:rsidRPr="00CF4B46">
        <w:rPr>
          <w:lang w:val="es-ES"/>
        </w:rPr>
        <w:t xml:space="preserve"> </w:t>
      </w:r>
      <w:r w:rsidR="00000000">
        <w:fldChar w:fldCharType="begin"/>
      </w:r>
      <w:r w:rsidR="00000000" w:rsidRPr="00F51AED">
        <w:rPr>
          <w:lang w:val="es-US"/>
        </w:rPr>
        <w:instrText>HYPERLINK "https://www.gob.pe/institucion/mindef/normas-legales/6072585-01098-2024-de"</w:instrText>
      </w:r>
      <w:r w:rsidR="00000000">
        <w:fldChar w:fldCharType="separate"/>
      </w:r>
      <w:r w:rsidRPr="00296CD5">
        <w:rPr>
          <w:rStyle w:val="Hyperlink"/>
          <w:lang w:val="es-ES"/>
        </w:rPr>
        <w:t xml:space="preserve">Resolución Ministerial </w:t>
      </w:r>
      <w:proofErr w:type="spellStart"/>
      <w:r w:rsidR="001E2E13">
        <w:rPr>
          <w:rStyle w:val="Hyperlink"/>
          <w:lang w:val="es-ES"/>
        </w:rPr>
        <w:t>Nº</w:t>
      </w:r>
      <w:proofErr w:type="spellEnd"/>
      <w:r w:rsidRPr="00296CD5">
        <w:rPr>
          <w:rStyle w:val="Hyperlink"/>
          <w:lang w:val="es-ES"/>
        </w:rPr>
        <w:t xml:space="preserve"> 1098-2024-DE</w:t>
      </w:r>
      <w:r w:rsidR="00000000">
        <w:rPr>
          <w:rStyle w:val="Hyperlink"/>
          <w:lang w:val="es-ES"/>
        </w:rPr>
        <w:fldChar w:fldCharType="end"/>
      </w:r>
      <w:r w:rsidRPr="00CF4B46">
        <w:rPr>
          <w:lang w:val="es-ES"/>
        </w:rPr>
        <w:t>, 5 de octubre de 2024</w:t>
      </w:r>
      <w:r>
        <w:rPr>
          <w:lang w:val="es-ES"/>
        </w:rPr>
        <w:t>.</w:t>
      </w:r>
    </w:p>
  </w:footnote>
  <w:footnote w:id="49">
    <w:p w14:paraId="23E38CFA" w14:textId="19F55D4B" w:rsidR="005B081B" w:rsidRPr="002360B8" w:rsidRDefault="005B081B" w:rsidP="005B081B">
      <w:pPr>
        <w:pStyle w:val="FootnoteText"/>
        <w:rPr>
          <w:rFonts w:eastAsia="Cambria" w:cs="Cambria"/>
          <w:color w:val="000000" w:themeColor="text1"/>
          <w:szCs w:val="16"/>
          <w:lang w:val="pt-BR"/>
        </w:rPr>
      </w:pPr>
      <w:r>
        <w:rPr>
          <w:rStyle w:val="FootnoteReference"/>
        </w:rPr>
        <w:footnoteRef/>
      </w:r>
      <w:r w:rsidRPr="002360B8">
        <w:rPr>
          <w:lang w:val="pt-BR"/>
        </w:rPr>
        <w:t xml:space="preserve"> </w:t>
      </w:r>
      <w:r w:rsidRPr="002360B8">
        <w:rPr>
          <w:rFonts w:eastAsia="Cambria" w:cs="Cambria"/>
          <w:color w:val="000000" w:themeColor="text1"/>
          <w:szCs w:val="16"/>
          <w:lang w:val="pt-BR"/>
        </w:rPr>
        <w:t xml:space="preserve">Directiva </w:t>
      </w:r>
      <w:r w:rsidR="001E2E13" w:rsidRPr="002360B8">
        <w:rPr>
          <w:rFonts w:eastAsia="Cambria" w:cs="Cambria"/>
          <w:color w:val="000000" w:themeColor="text1"/>
          <w:szCs w:val="16"/>
          <w:lang w:val="pt-BR"/>
        </w:rPr>
        <w:t>Nº</w:t>
      </w:r>
      <w:r w:rsidRPr="002360B8">
        <w:rPr>
          <w:rFonts w:eastAsia="Cambria" w:cs="Cambria"/>
          <w:color w:val="000000" w:themeColor="text1"/>
          <w:szCs w:val="16"/>
          <w:lang w:val="pt-BR"/>
        </w:rPr>
        <w:t xml:space="preserve"> 013-2023-CG PNP/EMG, 19 de julio de 2023.</w:t>
      </w:r>
    </w:p>
  </w:footnote>
  <w:footnote w:id="50">
    <w:p w14:paraId="6BA41F8B" w14:textId="5CC37194" w:rsidR="005B081B" w:rsidRPr="006D365A" w:rsidRDefault="005B081B" w:rsidP="005B081B">
      <w:pPr>
        <w:pStyle w:val="FootnoteText"/>
        <w:rPr>
          <w:lang w:val="es-ES"/>
        </w:rPr>
      </w:pPr>
      <w:r>
        <w:rPr>
          <w:rStyle w:val="FootnoteReference"/>
        </w:rPr>
        <w:footnoteRef/>
      </w:r>
      <w:r w:rsidRPr="006D365A">
        <w:rPr>
          <w:lang w:val="es-ES"/>
        </w:rPr>
        <w:t xml:space="preserve"> </w:t>
      </w:r>
      <w:r>
        <w:rPr>
          <w:lang w:val="es-ES"/>
        </w:rPr>
        <w:t xml:space="preserve">De acuerdo con la información proporcionada por sociedad civil, los hechos recogidos en el Informe </w:t>
      </w:r>
      <w:r w:rsidR="00FE52DF">
        <w:rPr>
          <w:lang w:val="es-ES"/>
        </w:rPr>
        <w:t xml:space="preserve">de </w:t>
      </w:r>
      <w:r>
        <w:rPr>
          <w:lang w:val="es-ES"/>
        </w:rPr>
        <w:t>País en cuestión evidencia</w:t>
      </w:r>
      <w:r w:rsidR="001A42E3">
        <w:rPr>
          <w:lang w:val="es-ES"/>
        </w:rPr>
        <w:t>n</w:t>
      </w:r>
      <w:r>
        <w:rPr>
          <w:lang w:val="es-ES"/>
        </w:rPr>
        <w:t xml:space="preserve"> el uso de armas de fuego durante el uso de la fuerza por parte de los agentes de seguridad.</w:t>
      </w:r>
    </w:p>
  </w:footnote>
  <w:footnote w:id="51">
    <w:p w14:paraId="0ED9250D" w14:textId="7508CBC7" w:rsidR="3E8EA542" w:rsidRDefault="3E8EA542" w:rsidP="3E8EA542">
      <w:pPr>
        <w:pStyle w:val="FootnoteText"/>
        <w:rPr>
          <w:lang w:val="es-ES"/>
        </w:rPr>
      </w:pPr>
      <w:r w:rsidRPr="3E8EA542">
        <w:rPr>
          <w:rStyle w:val="FootnoteReference"/>
        </w:rPr>
        <w:footnoteRef/>
      </w:r>
      <w:r w:rsidRPr="3E8EA542">
        <w:rPr>
          <w:lang w:val="es-ES"/>
        </w:rPr>
        <w:t xml:space="preserve"> </w:t>
      </w:r>
      <w:r w:rsidR="00000000">
        <w:fldChar w:fldCharType="begin"/>
      </w:r>
      <w:r w:rsidR="00000000" w:rsidRPr="00F51AED">
        <w:rPr>
          <w:lang w:val="es-US"/>
        </w:rPr>
        <w:instrText>HYPERLINK "https://img.lpderecho.pe/wp-content/uploads/2024/12/Ley-32181-LPDerecho.pdf"</w:instrText>
      </w:r>
      <w:r w:rsidR="00000000">
        <w:fldChar w:fldCharType="separate"/>
      </w:r>
      <w:r w:rsidRPr="3E8EA542">
        <w:rPr>
          <w:rStyle w:val="Hyperlink"/>
          <w:lang w:val="es-ES"/>
        </w:rPr>
        <w:t xml:space="preserve">Ley </w:t>
      </w:r>
      <w:proofErr w:type="spellStart"/>
      <w:r w:rsidR="001E2E13">
        <w:rPr>
          <w:rStyle w:val="Hyperlink"/>
          <w:lang w:val="es-ES"/>
        </w:rPr>
        <w:t>Nº</w:t>
      </w:r>
      <w:proofErr w:type="spellEnd"/>
      <w:r w:rsidRPr="3E8EA542">
        <w:rPr>
          <w:rStyle w:val="Hyperlink"/>
          <w:lang w:val="es-ES"/>
        </w:rPr>
        <w:t xml:space="preserve"> 32181</w:t>
      </w:r>
      <w:r w:rsidR="00000000">
        <w:rPr>
          <w:rStyle w:val="Hyperlink"/>
          <w:lang w:val="es-ES"/>
        </w:rPr>
        <w:fldChar w:fldCharType="end"/>
      </w:r>
      <w:r w:rsidRPr="3E8EA542">
        <w:rPr>
          <w:lang w:val="es-ES"/>
        </w:rPr>
        <w:t>, 11 de diciembre de 2024.</w:t>
      </w:r>
    </w:p>
  </w:footnote>
  <w:footnote w:id="52">
    <w:p w14:paraId="69094C00" w14:textId="77777777" w:rsidR="00152543" w:rsidRPr="00404CB2" w:rsidRDefault="00152543" w:rsidP="001269D1">
      <w:pPr>
        <w:pStyle w:val="FootnoteText"/>
        <w:rPr>
          <w:lang w:val="es-ES"/>
        </w:rPr>
      </w:pPr>
      <w:r>
        <w:rPr>
          <w:rStyle w:val="FootnoteReference"/>
        </w:rPr>
        <w:footnoteRef/>
      </w:r>
      <w:r w:rsidRPr="00404CB2">
        <w:rPr>
          <w:lang w:val="es-ES"/>
        </w:rPr>
        <w:t xml:space="preserve"> Corte IDH. Caso Mujeres Víctimas de Tortura Sexual en Atenco vs. México. Excepción Preliminar, Fondo, Reparaciones y Costas. Sentencia del 28 de noviembre de 2018. Serie C No. 371, párr. 159.</w:t>
      </w:r>
    </w:p>
  </w:footnote>
  <w:footnote w:id="53">
    <w:p w14:paraId="24B5814E" w14:textId="77777777" w:rsidR="00152543" w:rsidRPr="00404CB2" w:rsidRDefault="00152543" w:rsidP="001269D1">
      <w:pPr>
        <w:pStyle w:val="FootnoteText"/>
        <w:rPr>
          <w:lang w:val="es-ES"/>
        </w:rPr>
      </w:pPr>
      <w:r>
        <w:rPr>
          <w:rStyle w:val="FootnoteReference"/>
        </w:rPr>
        <w:footnoteRef/>
      </w:r>
      <w:r w:rsidRPr="00404CB2">
        <w:rPr>
          <w:lang w:val="es-ES"/>
        </w:rPr>
        <w:t xml:space="preserve"> Octavo Congreso de las Naciones Unidas sobre la Prevención del Delito y Tratamiento del Delincuente</w:t>
      </w:r>
      <w:r>
        <w:rPr>
          <w:lang w:val="es-ES"/>
        </w:rPr>
        <w:t>.</w:t>
      </w:r>
      <w:r w:rsidRPr="00404CB2">
        <w:rPr>
          <w:lang w:val="es-ES"/>
        </w:rPr>
        <w:t xml:space="preserve"> Principios Básicos sobre el Empleo de la Fuerza y de Armas de Fuego por los </w:t>
      </w:r>
      <w:proofErr w:type="gramStart"/>
      <w:r w:rsidRPr="00404CB2">
        <w:rPr>
          <w:lang w:val="es-ES"/>
        </w:rPr>
        <w:t>Funcionarios</w:t>
      </w:r>
      <w:proofErr w:type="gramEnd"/>
      <w:r w:rsidRPr="00404CB2">
        <w:rPr>
          <w:lang w:val="es-ES"/>
        </w:rPr>
        <w:t xml:space="preserve"> Encargados de Hacer Cumplir la Ley.</w:t>
      </w:r>
      <w:r>
        <w:rPr>
          <w:lang w:val="es-ES"/>
        </w:rPr>
        <w:t xml:space="preserve"> 1990. Principio 9.</w:t>
      </w:r>
    </w:p>
  </w:footnote>
  <w:footnote w:id="54">
    <w:p w14:paraId="4BA8FFC6" w14:textId="77777777" w:rsidR="005B081B" w:rsidRPr="00DA13B9" w:rsidRDefault="005B081B" w:rsidP="001269D1">
      <w:pPr>
        <w:pStyle w:val="FootnoteText"/>
        <w:rPr>
          <w:lang w:val="es-ES"/>
        </w:rPr>
      </w:pPr>
      <w:r>
        <w:rPr>
          <w:rStyle w:val="FootnoteReference"/>
        </w:rPr>
        <w:footnoteRef/>
      </w:r>
      <w:r w:rsidRPr="00DA13B9">
        <w:rPr>
          <w:lang w:val="es-ES"/>
        </w:rPr>
        <w:t xml:space="preserve"> </w:t>
      </w:r>
      <w:r>
        <w:rPr>
          <w:lang w:val="es-ES"/>
        </w:rPr>
        <w:t xml:space="preserve">CIDH, </w:t>
      </w:r>
      <w:r w:rsidR="00000000">
        <w:fldChar w:fldCharType="begin"/>
      </w:r>
      <w:r w:rsidR="00000000" w:rsidRPr="00F51AED">
        <w:rPr>
          <w:lang w:val="es-US"/>
        </w:rPr>
        <w:instrText>HYPERLINK "https://www.oas.org/es/cidh/expresion/publicaciones/ProtestayDerechosHumanos.pdf"</w:instrText>
      </w:r>
      <w:r w:rsidR="00000000">
        <w:fldChar w:fldCharType="separate"/>
      </w:r>
      <w:r w:rsidRPr="00FD20F4">
        <w:rPr>
          <w:rStyle w:val="Hyperlink"/>
          <w:lang w:val="es-ES"/>
        </w:rPr>
        <w:t>Informe Protesta Social y Derechos Humanos</w:t>
      </w:r>
      <w:r w:rsidR="00000000">
        <w:rPr>
          <w:rStyle w:val="Hyperlink"/>
          <w:lang w:val="es-ES"/>
        </w:rPr>
        <w:fldChar w:fldCharType="end"/>
      </w:r>
      <w:r>
        <w:rPr>
          <w:lang w:val="es-ES"/>
        </w:rPr>
        <w:t>, Estándares sobre los derechos involucrados en la protesta social y las obligaciones que deben guiar la respuesta estatal. OEA/</w:t>
      </w:r>
      <w:proofErr w:type="spellStart"/>
      <w:r>
        <w:rPr>
          <w:lang w:val="es-ES"/>
        </w:rPr>
        <w:t>Ser.L</w:t>
      </w:r>
      <w:proofErr w:type="spellEnd"/>
      <w:r>
        <w:rPr>
          <w:lang w:val="es-ES"/>
        </w:rPr>
        <w:t>/V/II.CIDH/RELE/INF.22/19, septiembre de 2019, párr. 127.</w:t>
      </w:r>
    </w:p>
  </w:footnote>
  <w:footnote w:id="55">
    <w:p w14:paraId="2D692F4A" w14:textId="6D7E80B5" w:rsidR="005B081B" w:rsidRPr="002C1C96" w:rsidRDefault="005B081B" w:rsidP="001269D1">
      <w:pPr>
        <w:pStyle w:val="FootnoteText"/>
        <w:rPr>
          <w:color w:val="000000" w:themeColor="text1"/>
          <w:szCs w:val="16"/>
          <w:lang w:val="es-CO"/>
        </w:rPr>
      </w:pPr>
      <w:r w:rsidRPr="00AA12BC">
        <w:rPr>
          <w:rStyle w:val="FootnoteReference"/>
        </w:rPr>
        <w:footnoteRef/>
      </w:r>
      <w:r w:rsidRPr="00E62158">
        <w:rPr>
          <w:rStyle w:val="FootnoteReference"/>
          <w:lang w:val="es-US"/>
        </w:rPr>
        <w:t xml:space="preserve"> </w:t>
      </w:r>
      <w:r w:rsidRPr="005E735C">
        <w:rPr>
          <w:rFonts w:eastAsia="Cambria" w:cs="Cambria"/>
          <w:color w:val="000000" w:themeColor="text1"/>
          <w:szCs w:val="16"/>
          <w:lang w:val="es-CO"/>
        </w:rPr>
        <w:t xml:space="preserve">CIDH, </w:t>
      </w:r>
      <w:r w:rsidRPr="002C1C96">
        <w:rPr>
          <w:color w:val="000000" w:themeColor="text1"/>
          <w:szCs w:val="16"/>
          <w:lang w:val="es-CO"/>
        </w:rPr>
        <w:t xml:space="preserve">Comunicado de Prensa </w:t>
      </w:r>
      <w:proofErr w:type="spellStart"/>
      <w:r w:rsidR="001E2E13">
        <w:rPr>
          <w:color w:val="000000" w:themeColor="text1"/>
          <w:szCs w:val="16"/>
          <w:lang w:val="es-CO"/>
        </w:rPr>
        <w:t>Nº</w:t>
      </w:r>
      <w:proofErr w:type="spellEnd"/>
      <w:r w:rsidRPr="002C1C96">
        <w:rPr>
          <w:color w:val="000000" w:themeColor="text1"/>
          <w:szCs w:val="16"/>
          <w:lang w:val="es-CO"/>
        </w:rPr>
        <w:t xml:space="preserve"> 174/23, </w:t>
      </w:r>
      <w:r w:rsidR="00000000">
        <w:fldChar w:fldCharType="begin"/>
      </w:r>
      <w:r w:rsidR="00000000" w:rsidRPr="00F51AED">
        <w:rPr>
          <w:lang w:val="es-US"/>
        </w:rPr>
        <w:instrText>HYPERLINK "https://www.oas.org/es/CIDH/jsForm/?File=/es/cidh/prensa/comunicados/2023/174.asp&amp;utm_content=country-per&amp;utm_term=class-mon"</w:instrText>
      </w:r>
      <w:r w:rsidR="00000000">
        <w:fldChar w:fldCharType="separate"/>
      </w:r>
      <w:r w:rsidRPr="005E735C">
        <w:rPr>
          <w:rStyle w:val="Hyperlink"/>
          <w:rFonts w:eastAsia="Cambria" w:cs="Cambria"/>
          <w:szCs w:val="16"/>
          <w:lang w:val="es-CO"/>
        </w:rPr>
        <w:t>CIDH y RELE: Perú debe respetar estándares de uso de la fuerza y libertad de expresión durante las protestas sociales</w:t>
      </w:r>
      <w:r w:rsidR="00000000">
        <w:rPr>
          <w:rStyle w:val="Hyperlink"/>
          <w:rFonts w:eastAsia="Cambria" w:cs="Cambria"/>
          <w:szCs w:val="16"/>
          <w:lang w:val="es-CO"/>
        </w:rPr>
        <w:fldChar w:fldCharType="end"/>
      </w:r>
      <w:r w:rsidRPr="002C1C96">
        <w:rPr>
          <w:color w:val="000000" w:themeColor="text1"/>
          <w:szCs w:val="16"/>
          <w:lang w:val="es-CO"/>
        </w:rPr>
        <w:t>, 3 de agosto de 2023.</w:t>
      </w:r>
    </w:p>
  </w:footnote>
  <w:footnote w:id="56">
    <w:p w14:paraId="3747F3FD" w14:textId="77777777" w:rsidR="005B081B" w:rsidRPr="00300E25" w:rsidRDefault="005B081B" w:rsidP="00375A58">
      <w:pPr>
        <w:pStyle w:val="FootnoteText"/>
        <w:rPr>
          <w:lang w:val="es-ES"/>
        </w:rPr>
      </w:pPr>
      <w:r>
        <w:rPr>
          <w:rStyle w:val="FootnoteReference"/>
        </w:rPr>
        <w:footnoteRef/>
      </w:r>
      <w:r w:rsidRPr="00300E25">
        <w:rPr>
          <w:lang w:val="es-ES"/>
        </w:rPr>
        <w:t xml:space="preserve"> </w:t>
      </w:r>
      <w:r>
        <w:rPr>
          <w:lang w:val="es-ES"/>
        </w:rPr>
        <w:t>Constitución Política del Perú, 1993, artículo 166.</w:t>
      </w:r>
    </w:p>
  </w:footnote>
  <w:footnote w:id="57">
    <w:p w14:paraId="5E67FD09" w14:textId="77777777" w:rsidR="005B081B" w:rsidRPr="00300E25" w:rsidRDefault="005B081B" w:rsidP="00375A58">
      <w:pPr>
        <w:pStyle w:val="FootnoteText"/>
        <w:rPr>
          <w:lang w:val="es-ES"/>
        </w:rPr>
      </w:pPr>
      <w:r>
        <w:rPr>
          <w:rStyle w:val="FootnoteReference"/>
        </w:rPr>
        <w:footnoteRef/>
      </w:r>
      <w:r w:rsidRPr="00300E25">
        <w:rPr>
          <w:lang w:val="es-ES"/>
        </w:rPr>
        <w:t xml:space="preserve"> </w:t>
      </w:r>
      <w:r>
        <w:rPr>
          <w:lang w:val="es-ES"/>
        </w:rPr>
        <w:t>Constitución Política del Perú, 1993, artículo 137.</w:t>
      </w:r>
    </w:p>
  </w:footnote>
  <w:footnote w:id="58">
    <w:p w14:paraId="365F0BA2" w14:textId="4AC6C507" w:rsidR="005B081B" w:rsidRPr="00DC6A31" w:rsidRDefault="005B081B" w:rsidP="00375A58">
      <w:pPr>
        <w:pStyle w:val="FootnoteText"/>
        <w:rPr>
          <w:rFonts w:eastAsia="Cambria" w:cs="Cambria"/>
          <w:color w:val="000000" w:themeColor="text1"/>
          <w:szCs w:val="16"/>
          <w:lang w:val="es-CO"/>
        </w:rPr>
      </w:pPr>
      <w:r>
        <w:rPr>
          <w:rStyle w:val="FootnoteReference"/>
        </w:rPr>
        <w:footnoteRef/>
      </w:r>
      <w:r w:rsidRPr="00DC6A31">
        <w:rPr>
          <w:lang w:val="es-ES"/>
        </w:rPr>
        <w:t xml:space="preserve"> </w:t>
      </w:r>
      <w:r w:rsidR="00000000">
        <w:fldChar w:fldCharType="begin"/>
      </w:r>
      <w:r w:rsidR="00000000" w:rsidRPr="00F51AED">
        <w:rPr>
          <w:lang w:val="es-US"/>
        </w:rPr>
        <w:instrText>HYPERLINK "https://www.gob.pe/institucion/mindef/normas-legales/4413116-032-2023-de"</w:instrText>
      </w:r>
      <w:r w:rsidR="00000000">
        <w:fldChar w:fldCharType="separate"/>
      </w:r>
      <w:r w:rsidRPr="007209EF">
        <w:rPr>
          <w:rStyle w:val="Hyperlink"/>
          <w:rFonts w:eastAsia="Cambria" w:cs="Cambria"/>
          <w:szCs w:val="16"/>
          <w:lang w:val="es-CO"/>
        </w:rPr>
        <w:t xml:space="preserve">Resolución Suprema </w:t>
      </w:r>
      <w:proofErr w:type="spellStart"/>
      <w:r w:rsidR="001E2E13">
        <w:rPr>
          <w:rStyle w:val="Hyperlink"/>
          <w:rFonts w:eastAsia="Cambria" w:cs="Cambria"/>
          <w:szCs w:val="16"/>
          <w:lang w:val="es-CO"/>
        </w:rPr>
        <w:t>Nº</w:t>
      </w:r>
      <w:proofErr w:type="spellEnd"/>
      <w:r w:rsidRPr="007209EF">
        <w:rPr>
          <w:rStyle w:val="Hyperlink"/>
          <w:rFonts w:eastAsia="Cambria" w:cs="Cambria"/>
          <w:szCs w:val="16"/>
          <w:lang w:val="es-CO"/>
        </w:rPr>
        <w:t xml:space="preserve"> 032-2023-DE</w:t>
      </w:r>
      <w:r w:rsidR="00000000">
        <w:rPr>
          <w:rStyle w:val="Hyperlink"/>
          <w:rFonts w:eastAsia="Cambria" w:cs="Cambria"/>
          <w:szCs w:val="16"/>
          <w:lang w:val="es-CO"/>
        </w:rPr>
        <w:fldChar w:fldCharType="end"/>
      </w:r>
      <w:r>
        <w:rPr>
          <w:rFonts w:eastAsia="Cambria" w:cs="Cambria"/>
          <w:color w:val="000000" w:themeColor="text1"/>
          <w:szCs w:val="16"/>
          <w:lang w:val="es-CO"/>
        </w:rPr>
        <w:t>, 4 de julio de 2023.</w:t>
      </w:r>
    </w:p>
  </w:footnote>
  <w:footnote w:id="59">
    <w:p w14:paraId="0A9E60ED" w14:textId="6D6977D1" w:rsidR="005B081B" w:rsidRPr="00EF799F" w:rsidRDefault="005B081B" w:rsidP="00375A58">
      <w:pPr>
        <w:pStyle w:val="FootnoteText"/>
        <w:rPr>
          <w:lang w:val="es-ES"/>
        </w:rPr>
      </w:pPr>
      <w:r>
        <w:rPr>
          <w:rStyle w:val="FootnoteReference"/>
        </w:rPr>
        <w:footnoteRef/>
      </w:r>
      <w:r w:rsidRPr="00EF799F">
        <w:rPr>
          <w:lang w:val="es-ES"/>
        </w:rPr>
        <w:t xml:space="preserve"> </w:t>
      </w:r>
      <w:r w:rsidR="00000000">
        <w:fldChar w:fldCharType="begin"/>
      </w:r>
      <w:r w:rsidR="00000000" w:rsidRPr="00F51AED">
        <w:rPr>
          <w:lang w:val="es-US"/>
        </w:rPr>
        <w:instrText>HYPERLINK "https://busquedas.elperuano.pe/dispositivo/NL/2218364-1"</w:instrText>
      </w:r>
      <w:r w:rsidR="00000000">
        <w:fldChar w:fldCharType="separate"/>
      </w:r>
      <w:r w:rsidRPr="00FD20F4">
        <w:rPr>
          <w:rStyle w:val="Hyperlink"/>
          <w:rFonts w:eastAsia="Cambria" w:cs="Cambria"/>
          <w:szCs w:val="16"/>
          <w:lang w:val="es-CO"/>
        </w:rPr>
        <w:t xml:space="preserve">Ley </w:t>
      </w:r>
      <w:proofErr w:type="spellStart"/>
      <w:r w:rsidR="001E2E13">
        <w:rPr>
          <w:rStyle w:val="Hyperlink"/>
          <w:rFonts w:eastAsia="Cambria" w:cs="Cambria"/>
          <w:szCs w:val="16"/>
          <w:lang w:val="es-CO"/>
        </w:rPr>
        <w:t>Nº</w:t>
      </w:r>
      <w:proofErr w:type="spellEnd"/>
      <w:r w:rsidRPr="00FD20F4">
        <w:rPr>
          <w:rStyle w:val="Hyperlink"/>
          <w:rFonts w:eastAsia="Cambria" w:cs="Cambria"/>
          <w:szCs w:val="16"/>
          <w:lang w:val="es-CO"/>
        </w:rPr>
        <w:t xml:space="preserve"> 31880</w:t>
      </w:r>
      <w:r w:rsidR="00000000">
        <w:rPr>
          <w:rStyle w:val="Hyperlink"/>
          <w:rFonts w:eastAsia="Cambria" w:cs="Cambria"/>
          <w:szCs w:val="16"/>
          <w:lang w:val="es-CO"/>
        </w:rPr>
        <w:fldChar w:fldCharType="end"/>
      </w:r>
      <w:r w:rsidRPr="00EF799F">
        <w:rPr>
          <w:rFonts w:eastAsia="Cambria" w:cs="Cambria"/>
          <w:color w:val="000000" w:themeColor="text1"/>
          <w:szCs w:val="16"/>
          <w:lang w:val="es-CO"/>
        </w:rPr>
        <w:t>, que delega en el Poder Ejecutivo la facultad de legislar, entre otros, en materia de seguridad ciudadana</w:t>
      </w:r>
      <w:r>
        <w:rPr>
          <w:rFonts w:eastAsia="Cambria" w:cs="Cambria"/>
          <w:color w:val="000000" w:themeColor="text1"/>
          <w:szCs w:val="16"/>
          <w:lang w:val="es-CO"/>
        </w:rPr>
        <w:t>,</w:t>
      </w:r>
      <w:r w:rsidRPr="00EF799F">
        <w:rPr>
          <w:rFonts w:eastAsia="Cambria" w:cs="Cambria"/>
          <w:color w:val="000000" w:themeColor="text1"/>
          <w:szCs w:val="16"/>
          <w:lang w:val="es-CO"/>
        </w:rPr>
        <w:t xml:space="preserve"> 23 de se</w:t>
      </w:r>
      <w:r>
        <w:rPr>
          <w:rFonts w:eastAsia="Cambria" w:cs="Cambria"/>
          <w:color w:val="000000" w:themeColor="text1"/>
          <w:szCs w:val="16"/>
          <w:lang w:val="es-CO"/>
        </w:rPr>
        <w:t>p</w:t>
      </w:r>
      <w:r w:rsidRPr="00EF799F">
        <w:rPr>
          <w:rFonts w:eastAsia="Cambria" w:cs="Cambria"/>
          <w:color w:val="000000" w:themeColor="text1"/>
          <w:szCs w:val="16"/>
          <w:lang w:val="es-CO"/>
        </w:rPr>
        <w:t>tiembre de 2023</w:t>
      </w:r>
      <w:r>
        <w:rPr>
          <w:rFonts w:eastAsia="Cambria" w:cs="Cambria"/>
          <w:color w:val="000000" w:themeColor="text1"/>
          <w:szCs w:val="16"/>
          <w:lang w:val="es-CO"/>
        </w:rPr>
        <w:t>.</w:t>
      </w:r>
    </w:p>
  </w:footnote>
  <w:footnote w:id="60">
    <w:p w14:paraId="78F914DF" w14:textId="0226881D" w:rsidR="005B081B" w:rsidRPr="0058009D" w:rsidRDefault="005B081B" w:rsidP="00375A58">
      <w:pPr>
        <w:pStyle w:val="FootnoteText"/>
        <w:rPr>
          <w:lang w:val="es-ES"/>
        </w:rPr>
      </w:pPr>
      <w:r>
        <w:rPr>
          <w:rStyle w:val="FootnoteReference"/>
        </w:rPr>
        <w:footnoteRef/>
      </w:r>
      <w:r w:rsidRPr="0058009D">
        <w:rPr>
          <w:lang w:val="es-ES"/>
        </w:rPr>
        <w:t xml:space="preserve"> </w:t>
      </w:r>
      <w:r w:rsidR="00000000">
        <w:fldChar w:fldCharType="begin"/>
      </w:r>
      <w:r w:rsidR="00000000" w:rsidRPr="00F51AED">
        <w:rPr>
          <w:lang w:val="es-ES"/>
        </w:rPr>
        <w:instrText>HYPERLINK "https://busquedas.elperuano.pe/dispositivo/NL/2246611-3"</w:instrText>
      </w:r>
      <w:r w:rsidR="00000000">
        <w:fldChar w:fldCharType="separate"/>
      </w:r>
      <w:r w:rsidRPr="0058009D">
        <w:rPr>
          <w:rStyle w:val="Hyperlink"/>
          <w:rFonts w:eastAsia="Cambria" w:cs="Cambria"/>
          <w:szCs w:val="16"/>
          <w:lang w:val="es-CO"/>
        </w:rPr>
        <w:t xml:space="preserve">Decreto Legislativo </w:t>
      </w:r>
      <w:proofErr w:type="spellStart"/>
      <w:r w:rsidR="001E2E13">
        <w:rPr>
          <w:rStyle w:val="Hyperlink"/>
          <w:rFonts w:eastAsia="Cambria" w:cs="Cambria"/>
          <w:szCs w:val="16"/>
          <w:lang w:val="es-CO"/>
        </w:rPr>
        <w:t>Nº</w:t>
      </w:r>
      <w:proofErr w:type="spellEnd"/>
      <w:r w:rsidRPr="0058009D">
        <w:rPr>
          <w:rStyle w:val="Hyperlink"/>
          <w:rFonts w:eastAsia="Cambria" w:cs="Cambria"/>
          <w:szCs w:val="16"/>
          <w:lang w:val="es-CO"/>
        </w:rPr>
        <w:t xml:space="preserve"> 1604</w:t>
      </w:r>
      <w:r w:rsidR="00000000">
        <w:rPr>
          <w:rStyle w:val="Hyperlink"/>
          <w:rFonts w:eastAsia="Cambria" w:cs="Cambria"/>
          <w:szCs w:val="16"/>
          <w:lang w:val="es-CO"/>
        </w:rPr>
        <w:fldChar w:fldCharType="end"/>
      </w:r>
      <w:r>
        <w:rPr>
          <w:rFonts w:eastAsia="Cambria" w:cs="Cambria"/>
          <w:color w:val="000000" w:themeColor="text1"/>
          <w:szCs w:val="16"/>
          <w:lang w:val="es-CO"/>
        </w:rPr>
        <w:t xml:space="preserve">, 21de diciembre de 2023. </w:t>
      </w:r>
    </w:p>
  </w:footnote>
  <w:footnote w:id="61">
    <w:p w14:paraId="06A2B8BC" w14:textId="1B406554" w:rsidR="005B081B" w:rsidRPr="0058009D" w:rsidRDefault="005B081B" w:rsidP="00375A58">
      <w:pPr>
        <w:pStyle w:val="FootnoteText"/>
        <w:rPr>
          <w:lang w:val="es-ES"/>
        </w:rPr>
      </w:pPr>
      <w:r>
        <w:rPr>
          <w:rStyle w:val="FootnoteReference"/>
        </w:rPr>
        <w:footnoteRef/>
      </w:r>
      <w:r w:rsidRPr="0058009D">
        <w:rPr>
          <w:lang w:val="es-ES"/>
        </w:rPr>
        <w:t xml:space="preserve"> </w:t>
      </w:r>
      <w:r w:rsidR="00000000">
        <w:fldChar w:fldCharType="begin"/>
      </w:r>
      <w:r w:rsidR="00000000" w:rsidRPr="00F51AED">
        <w:rPr>
          <w:lang w:val="es-ES"/>
        </w:rPr>
        <w:instrText>HYPERLINK "https://img.lpderecho.pe/wp-content/uploads/2023/12/Decreto-Legislativo-1605-LPDerecho.pdf"</w:instrText>
      </w:r>
      <w:r w:rsidR="00000000">
        <w:fldChar w:fldCharType="separate"/>
      </w:r>
      <w:r w:rsidRPr="0058009D">
        <w:rPr>
          <w:rStyle w:val="Hyperlink"/>
          <w:rFonts w:eastAsia="Cambria" w:cs="Cambria"/>
          <w:szCs w:val="16"/>
          <w:lang w:val="es-CO"/>
        </w:rPr>
        <w:t xml:space="preserve">Decreto Legislativo </w:t>
      </w:r>
      <w:proofErr w:type="spellStart"/>
      <w:r w:rsidR="001E2E13">
        <w:rPr>
          <w:rStyle w:val="Hyperlink"/>
          <w:rFonts w:eastAsia="Cambria" w:cs="Cambria"/>
          <w:szCs w:val="16"/>
          <w:lang w:val="es-CO"/>
        </w:rPr>
        <w:t>Nº</w:t>
      </w:r>
      <w:proofErr w:type="spellEnd"/>
      <w:r w:rsidRPr="0058009D">
        <w:rPr>
          <w:rStyle w:val="Hyperlink"/>
          <w:rFonts w:eastAsia="Cambria" w:cs="Cambria"/>
          <w:szCs w:val="16"/>
          <w:lang w:val="es-CO"/>
        </w:rPr>
        <w:t xml:space="preserve"> 1605</w:t>
      </w:r>
      <w:r w:rsidR="00000000">
        <w:rPr>
          <w:rStyle w:val="Hyperlink"/>
          <w:rFonts w:eastAsia="Cambria" w:cs="Cambria"/>
          <w:szCs w:val="16"/>
          <w:lang w:val="es-CO"/>
        </w:rPr>
        <w:fldChar w:fldCharType="end"/>
      </w:r>
      <w:r>
        <w:rPr>
          <w:rFonts w:eastAsia="Cambria" w:cs="Cambria"/>
          <w:color w:val="000000" w:themeColor="text1"/>
          <w:szCs w:val="16"/>
          <w:lang w:val="es-CO"/>
        </w:rPr>
        <w:t xml:space="preserve">, 21 de diciembre de 2023. </w:t>
      </w:r>
    </w:p>
  </w:footnote>
  <w:footnote w:id="62">
    <w:p w14:paraId="2B95B23B" w14:textId="1616DBB8" w:rsidR="005B081B" w:rsidRPr="0058009D" w:rsidRDefault="005B081B" w:rsidP="00375A58">
      <w:pPr>
        <w:pStyle w:val="FootnoteText"/>
        <w:rPr>
          <w:lang w:val="es-ES"/>
        </w:rPr>
      </w:pPr>
      <w:r>
        <w:rPr>
          <w:rStyle w:val="FootnoteReference"/>
        </w:rPr>
        <w:footnoteRef/>
      </w:r>
      <w:r w:rsidRPr="0058009D">
        <w:rPr>
          <w:lang w:val="es-ES"/>
        </w:rPr>
        <w:t xml:space="preserve"> </w:t>
      </w:r>
      <w:r w:rsidR="00000000">
        <w:fldChar w:fldCharType="begin"/>
      </w:r>
      <w:r w:rsidR="00000000" w:rsidRPr="00F51AED">
        <w:rPr>
          <w:lang w:val="es-ES"/>
        </w:rPr>
        <w:instrText>HYPERLINK "https://busquedas.elperuano.pe/dispositivo/NL/2246611-5"</w:instrText>
      </w:r>
      <w:r w:rsidR="00000000">
        <w:fldChar w:fldCharType="separate"/>
      </w:r>
      <w:r w:rsidRPr="0058009D">
        <w:rPr>
          <w:rStyle w:val="Hyperlink"/>
          <w:rFonts w:eastAsia="Cambria" w:cs="Cambria"/>
          <w:szCs w:val="16"/>
          <w:lang w:val="es-CO"/>
        </w:rPr>
        <w:t xml:space="preserve">Decreto Legislativo </w:t>
      </w:r>
      <w:proofErr w:type="spellStart"/>
      <w:r w:rsidR="001E2E13">
        <w:rPr>
          <w:rStyle w:val="Hyperlink"/>
          <w:rFonts w:eastAsia="Cambria" w:cs="Cambria"/>
          <w:szCs w:val="16"/>
          <w:lang w:val="es-CO"/>
        </w:rPr>
        <w:t>Nº</w:t>
      </w:r>
      <w:proofErr w:type="spellEnd"/>
      <w:r w:rsidRPr="0058009D">
        <w:rPr>
          <w:rStyle w:val="Hyperlink"/>
          <w:rFonts w:eastAsia="Cambria" w:cs="Cambria"/>
          <w:szCs w:val="16"/>
          <w:lang w:val="es-CO"/>
        </w:rPr>
        <w:t xml:space="preserve"> 1606</w:t>
      </w:r>
      <w:r w:rsidR="00000000">
        <w:rPr>
          <w:rStyle w:val="Hyperlink"/>
          <w:rFonts w:eastAsia="Cambria" w:cs="Cambria"/>
          <w:szCs w:val="16"/>
          <w:lang w:val="es-CO"/>
        </w:rPr>
        <w:fldChar w:fldCharType="end"/>
      </w:r>
      <w:r>
        <w:rPr>
          <w:rFonts w:eastAsia="Cambria" w:cs="Cambria"/>
          <w:color w:val="000000" w:themeColor="text1"/>
          <w:szCs w:val="16"/>
          <w:lang w:val="es-CO"/>
        </w:rPr>
        <w:t xml:space="preserve">, 21 de diciembre de 2023. </w:t>
      </w:r>
    </w:p>
  </w:footnote>
  <w:footnote w:id="63">
    <w:p w14:paraId="597735B6" w14:textId="117FE84A" w:rsidR="7EDCF79A" w:rsidRPr="00543BC2" w:rsidRDefault="7EDCF79A" w:rsidP="00375A58">
      <w:pPr>
        <w:pStyle w:val="FootnoteText"/>
        <w:rPr>
          <w:lang w:val="es-ES"/>
        </w:rPr>
      </w:pPr>
      <w:r w:rsidRPr="00543BC2">
        <w:rPr>
          <w:rStyle w:val="FootnoteReference"/>
        </w:rPr>
        <w:footnoteRef/>
      </w:r>
      <w:r w:rsidR="112FB084" w:rsidRPr="00D2136F">
        <w:rPr>
          <w:rStyle w:val="FootnoteReference"/>
          <w:lang w:val="es-ES"/>
        </w:rPr>
        <w:t xml:space="preserve"> </w:t>
      </w:r>
      <w:r w:rsidR="112FB084" w:rsidRPr="00543BC2">
        <w:rPr>
          <w:lang w:val="es-ES"/>
        </w:rPr>
        <w:t xml:space="preserve">Decreto supremo </w:t>
      </w:r>
      <w:proofErr w:type="spellStart"/>
      <w:r w:rsidR="001E2E13">
        <w:rPr>
          <w:lang w:val="es-ES"/>
        </w:rPr>
        <w:t>Nº</w:t>
      </w:r>
      <w:proofErr w:type="spellEnd"/>
      <w:r w:rsidR="112FB084" w:rsidRPr="00543BC2">
        <w:rPr>
          <w:lang w:val="es-ES"/>
        </w:rPr>
        <w:t xml:space="preserve"> 067-2024-PCM, publicado el 5 de julio de 2024. Esta medida se </w:t>
      </w:r>
      <w:proofErr w:type="spellStart"/>
      <w:r w:rsidR="112FB084" w:rsidRPr="00543BC2">
        <w:rPr>
          <w:lang w:val="es-ES"/>
        </w:rPr>
        <w:t>dió</w:t>
      </w:r>
      <w:proofErr w:type="spellEnd"/>
      <w:r w:rsidR="112FB084" w:rsidRPr="00543BC2">
        <w:rPr>
          <w:lang w:val="es-ES"/>
        </w:rPr>
        <w:t xml:space="preserve"> por el anuncio de distintos gremios que convocan a movilizaciones sociales. Fue ampliado mediante Decreto Supremo </w:t>
      </w:r>
      <w:proofErr w:type="spellStart"/>
      <w:r w:rsidR="001E2E13">
        <w:rPr>
          <w:lang w:val="es-ES"/>
        </w:rPr>
        <w:t>Nº</w:t>
      </w:r>
      <w:proofErr w:type="spellEnd"/>
      <w:r w:rsidR="112FB084" w:rsidRPr="00543BC2">
        <w:rPr>
          <w:lang w:val="es-ES"/>
        </w:rPr>
        <w:t xml:space="preserve"> 079-2024-PCM</w:t>
      </w:r>
      <w:r w:rsidR="00D3098C">
        <w:rPr>
          <w:lang w:val="es-ES"/>
        </w:rPr>
        <w:t>.</w:t>
      </w:r>
    </w:p>
  </w:footnote>
  <w:footnote w:id="64">
    <w:p w14:paraId="28E3422C" w14:textId="4DE23038" w:rsidR="005B081B" w:rsidRPr="0058009D" w:rsidRDefault="005B081B" w:rsidP="00375A58">
      <w:pPr>
        <w:pStyle w:val="FootnoteText"/>
        <w:rPr>
          <w:lang w:val="es-ES"/>
        </w:rPr>
      </w:pPr>
      <w:r>
        <w:rPr>
          <w:rStyle w:val="FootnoteReference"/>
        </w:rPr>
        <w:footnoteRef/>
      </w:r>
      <w:r w:rsidR="4148507C" w:rsidRPr="0058009D">
        <w:rPr>
          <w:lang w:val="es-ES"/>
        </w:rPr>
        <w:t xml:space="preserve"> </w:t>
      </w:r>
      <w:r w:rsidR="4148507C" w:rsidRPr="4148507C">
        <w:rPr>
          <w:lang w:val="es-ES"/>
        </w:rPr>
        <w:t xml:space="preserve">CIDH, </w:t>
      </w:r>
      <w:r w:rsidR="00000000">
        <w:fldChar w:fldCharType="begin"/>
      </w:r>
      <w:r w:rsidR="00000000" w:rsidRPr="00F51AED">
        <w:rPr>
          <w:lang w:val="es-US"/>
        </w:rPr>
        <w:instrText>HYPERLINK "https://www.oas.org/es/cidh/informes/pdfs/2023/informe-situacionddhh-peru.pdf"</w:instrText>
      </w:r>
      <w:r w:rsidR="00000000">
        <w:fldChar w:fldCharType="separate"/>
      </w:r>
      <w:r w:rsidR="4148507C" w:rsidRPr="4148507C">
        <w:rPr>
          <w:rStyle w:val="Hyperlink"/>
          <w:lang w:val="es-ES"/>
        </w:rPr>
        <w:t>Informe sobre la situación de Derechos Humanos en Perú en el Contexto de las Protestas Sociales</w:t>
      </w:r>
      <w:r w:rsidR="00000000">
        <w:rPr>
          <w:rStyle w:val="Hyperlink"/>
          <w:lang w:val="es-ES"/>
        </w:rPr>
        <w:fldChar w:fldCharType="end"/>
      </w:r>
      <w:r w:rsidR="4148507C" w:rsidRPr="4148507C">
        <w:rPr>
          <w:lang w:val="es-ES"/>
        </w:rPr>
        <w:t>, OEA/</w:t>
      </w:r>
      <w:proofErr w:type="spellStart"/>
      <w:r w:rsidR="4148507C" w:rsidRPr="4148507C">
        <w:rPr>
          <w:lang w:val="es-ES"/>
        </w:rPr>
        <w:t>Ser.L</w:t>
      </w:r>
      <w:proofErr w:type="spellEnd"/>
      <w:r w:rsidR="4148507C" w:rsidRPr="4148507C">
        <w:rPr>
          <w:lang w:val="es-ES"/>
        </w:rPr>
        <w:t>/V/II. Doc. 57/23, 23 de abril de 2023, párr. 220.</w:t>
      </w:r>
      <w:r w:rsidR="4148507C">
        <w:rPr>
          <w:lang w:val="es-ES"/>
        </w:rPr>
        <w:t xml:space="preserve"> </w:t>
      </w:r>
    </w:p>
  </w:footnote>
  <w:footnote w:id="65">
    <w:p w14:paraId="296C97AC" w14:textId="2EA60875" w:rsidR="007457B3" w:rsidRPr="00112CC4" w:rsidRDefault="007457B3">
      <w:pPr>
        <w:pStyle w:val="FootnoteText"/>
        <w:rPr>
          <w:lang w:val="es-ES"/>
        </w:rPr>
      </w:pPr>
      <w:r>
        <w:rPr>
          <w:rStyle w:val="FootnoteReference"/>
        </w:rPr>
        <w:footnoteRef/>
      </w:r>
      <w:r w:rsidRPr="00D2136F">
        <w:rPr>
          <w:lang w:val="es-ES"/>
        </w:rPr>
        <w:t xml:space="preserve"> </w:t>
      </w:r>
      <w:r>
        <w:rPr>
          <w:lang w:val="es-ES"/>
        </w:rPr>
        <w:t>Corte IDH</w:t>
      </w:r>
      <w:r w:rsidR="000F3CC4">
        <w:rPr>
          <w:lang w:val="es-ES"/>
        </w:rPr>
        <w:t>.</w:t>
      </w:r>
      <w:r>
        <w:rPr>
          <w:lang w:val="es-ES"/>
        </w:rPr>
        <w:t xml:space="preserve"> Caso Mujeres Víctimas de Tortura Sexual en Atenco </w:t>
      </w:r>
      <w:r w:rsidR="00FE52DF">
        <w:rPr>
          <w:lang w:val="es-ES"/>
        </w:rPr>
        <w:t>V</w:t>
      </w:r>
      <w:r>
        <w:rPr>
          <w:lang w:val="es-ES"/>
        </w:rPr>
        <w:t>s México</w:t>
      </w:r>
      <w:r w:rsidR="000F3CC4">
        <w:rPr>
          <w:lang w:val="es-ES"/>
        </w:rPr>
        <w:t>.</w:t>
      </w:r>
      <w:r>
        <w:rPr>
          <w:lang w:val="es-ES"/>
        </w:rPr>
        <w:t xml:space="preserve"> Excepción Preliminar, Fondo, Reparaciones y Costas</w:t>
      </w:r>
      <w:r w:rsidR="000F3CC4">
        <w:rPr>
          <w:lang w:val="es-ES"/>
        </w:rPr>
        <w:t xml:space="preserve">. </w:t>
      </w:r>
      <w:r w:rsidRPr="00112CC4">
        <w:rPr>
          <w:lang w:val="es-ES"/>
        </w:rPr>
        <w:t>Sentencia del 28 de noviembre de 2018</w:t>
      </w:r>
      <w:r w:rsidR="005C01B0" w:rsidRPr="00112CC4">
        <w:rPr>
          <w:lang w:val="es-ES"/>
        </w:rPr>
        <w:t>.</w:t>
      </w:r>
      <w:r w:rsidRPr="00112CC4">
        <w:rPr>
          <w:lang w:val="es-ES"/>
        </w:rPr>
        <w:t xml:space="preserve"> Serie C, </w:t>
      </w:r>
      <w:proofErr w:type="spellStart"/>
      <w:r w:rsidR="001E2E13" w:rsidRPr="00112CC4">
        <w:rPr>
          <w:lang w:val="es-ES"/>
        </w:rPr>
        <w:t>Nº</w:t>
      </w:r>
      <w:proofErr w:type="spellEnd"/>
      <w:r w:rsidRPr="00112CC4">
        <w:rPr>
          <w:lang w:val="es-ES"/>
        </w:rPr>
        <w:t xml:space="preserve"> 371, párr. 165</w:t>
      </w:r>
      <w:r w:rsidR="00FE52DF" w:rsidRPr="00112CC4">
        <w:rPr>
          <w:lang w:val="es-ES"/>
        </w:rPr>
        <w:t>.</w:t>
      </w:r>
    </w:p>
  </w:footnote>
  <w:footnote w:id="66">
    <w:p w14:paraId="73CF5376" w14:textId="738A26E2" w:rsidR="005B081B" w:rsidRPr="00112CC4" w:rsidRDefault="005B081B" w:rsidP="005B081B">
      <w:pPr>
        <w:pStyle w:val="FootnoteText"/>
        <w:rPr>
          <w:lang w:val="es-ES"/>
        </w:rPr>
      </w:pPr>
      <w:r w:rsidRPr="00112CC4">
        <w:rPr>
          <w:rStyle w:val="FootnoteReference"/>
        </w:rPr>
        <w:footnoteRef/>
      </w:r>
      <w:r w:rsidRPr="00112CC4">
        <w:rPr>
          <w:lang w:val="es-ES"/>
        </w:rPr>
        <w:t xml:space="preserve"> Se puede encontrar en: </w:t>
      </w:r>
      <w:r w:rsidR="00000000">
        <w:fldChar w:fldCharType="begin"/>
      </w:r>
      <w:r w:rsidR="00000000" w:rsidRPr="00F51AED">
        <w:rPr>
          <w:lang w:val="es-US"/>
        </w:rPr>
        <w:instrText>HYPERLINK "https://www.ohchr.org/es/instruments-mechanisms/instruments/code-conduct-law-enforcement-officials"</w:instrText>
      </w:r>
      <w:r w:rsidR="00000000">
        <w:fldChar w:fldCharType="separate"/>
      </w:r>
      <w:r w:rsidR="008E47B0" w:rsidRPr="00112CC4">
        <w:rPr>
          <w:rStyle w:val="Hyperlink"/>
          <w:lang w:val="es-ES"/>
        </w:rPr>
        <w:t>https://www.ohchr.org/es/instruments-mechanisms/instruments/code-conduct-law-enforcement-officials</w:t>
      </w:r>
      <w:r w:rsidR="00000000">
        <w:rPr>
          <w:rStyle w:val="Hyperlink"/>
          <w:lang w:val="es-ES"/>
        </w:rPr>
        <w:fldChar w:fldCharType="end"/>
      </w:r>
      <w:r w:rsidR="008E47B0" w:rsidRPr="00112CC4">
        <w:rPr>
          <w:lang w:val="es-ES"/>
        </w:rPr>
        <w:t xml:space="preserve"> </w:t>
      </w:r>
    </w:p>
  </w:footnote>
  <w:footnote w:id="67">
    <w:p w14:paraId="73C1C00A" w14:textId="614FA5F9" w:rsidR="005B081B" w:rsidRPr="00A30399" w:rsidRDefault="005B081B" w:rsidP="005B081B">
      <w:pPr>
        <w:pStyle w:val="FootnoteText"/>
        <w:rPr>
          <w:lang w:val="es-ES"/>
        </w:rPr>
      </w:pPr>
      <w:r w:rsidRPr="00112CC4">
        <w:rPr>
          <w:rStyle w:val="FootnoteReference"/>
        </w:rPr>
        <w:footnoteRef/>
      </w:r>
      <w:r w:rsidRPr="00112CC4">
        <w:rPr>
          <w:lang w:val="es-ES"/>
        </w:rPr>
        <w:t xml:space="preserve"> Se puede encontrar en: </w:t>
      </w:r>
      <w:r w:rsidR="00000000">
        <w:fldChar w:fldCharType="begin"/>
      </w:r>
      <w:r w:rsidR="00000000" w:rsidRPr="00F51AED">
        <w:rPr>
          <w:lang w:val="es-US"/>
        </w:rPr>
        <w:instrText>HYPERLINK "https://www.ohchr.org/es/instruments-mechanisms/instruments/basic-principles-use-force-and-firearms-law-enforcement"</w:instrText>
      </w:r>
      <w:r w:rsidR="00000000">
        <w:fldChar w:fldCharType="separate"/>
      </w:r>
      <w:r w:rsidR="008E47B0" w:rsidRPr="00112CC4">
        <w:rPr>
          <w:rStyle w:val="Hyperlink"/>
          <w:lang w:val="es-ES"/>
        </w:rPr>
        <w:t>https://www.ohchr.org/es/instruments-mechanisms/instruments/basic-principles-use-force-and-firearms-law-enforcement</w:t>
      </w:r>
      <w:r w:rsidR="00000000">
        <w:rPr>
          <w:rStyle w:val="Hyperlink"/>
          <w:lang w:val="es-ES"/>
        </w:rPr>
        <w:fldChar w:fldCharType="end"/>
      </w:r>
      <w:r w:rsidR="008E47B0">
        <w:rPr>
          <w:lang w:val="es-ES"/>
        </w:rPr>
        <w:t xml:space="preserve"> </w:t>
      </w:r>
    </w:p>
  </w:footnote>
  <w:footnote w:id="68">
    <w:p w14:paraId="6AF1284E" w14:textId="52816F53" w:rsidR="005B081B" w:rsidRPr="005D3FDA" w:rsidRDefault="005B081B" w:rsidP="005B081B">
      <w:pPr>
        <w:pStyle w:val="FootnoteText"/>
        <w:rPr>
          <w:lang w:val="es-ES"/>
        </w:rPr>
      </w:pPr>
      <w:r>
        <w:rPr>
          <w:rStyle w:val="FootnoteReference"/>
        </w:rPr>
        <w:footnoteRef/>
      </w:r>
      <w:r w:rsidRPr="005D3FDA">
        <w:rPr>
          <w:lang w:val="es-ES"/>
        </w:rPr>
        <w:t xml:space="preserve"> </w:t>
      </w:r>
      <w:r>
        <w:rPr>
          <w:lang w:val="es-ES"/>
        </w:rPr>
        <w:t xml:space="preserve">Corte IDH, </w:t>
      </w:r>
      <w:r w:rsidR="00000000">
        <w:fldChar w:fldCharType="begin"/>
      </w:r>
      <w:r w:rsidR="00000000" w:rsidRPr="00F51AED">
        <w:rPr>
          <w:lang w:val="es-US"/>
        </w:rPr>
        <w:instrText>HYPERLINK "https://www.corteidh.or.cr/docs/casos/articulos/seriec_150_esp.pdf"</w:instrText>
      </w:r>
      <w:r w:rsidR="00000000">
        <w:fldChar w:fldCharType="separate"/>
      </w:r>
      <w:r w:rsidRPr="00FD20F4">
        <w:rPr>
          <w:rStyle w:val="Hyperlink"/>
          <w:lang w:val="es-ES"/>
        </w:rPr>
        <w:t>Caso Montero Aranguren y otros (Retén de Catia) vs Venezuela</w:t>
      </w:r>
      <w:r w:rsidR="00000000">
        <w:rPr>
          <w:rStyle w:val="Hyperlink"/>
          <w:lang w:val="es-ES"/>
        </w:rPr>
        <w:fldChar w:fldCharType="end"/>
      </w:r>
      <w:r>
        <w:rPr>
          <w:lang w:val="es-ES"/>
        </w:rPr>
        <w:t xml:space="preserve">, Excepción Preliminar, Fondo, Reparaciones y Costas, Sentencia del 5 de julio de 2006, Serie C, </w:t>
      </w:r>
      <w:proofErr w:type="spellStart"/>
      <w:r w:rsidR="001E2E13">
        <w:rPr>
          <w:lang w:val="es-ES"/>
        </w:rPr>
        <w:t>Nº</w:t>
      </w:r>
      <w:proofErr w:type="spellEnd"/>
      <w:r>
        <w:rPr>
          <w:lang w:val="es-ES"/>
        </w:rPr>
        <w:t xml:space="preserve"> 150, párr. 78.</w:t>
      </w:r>
    </w:p>
  </w:footnote>
  <w:footnote w:id="69">
    <w:p w14:paraId="40A42F19" w14:textId="50FA9E3E" w:rsidR="005B081B" w:rsidRPr="005D3FDA" w:rsidRDefault="005B081B" w:rsidP="005B081B">
      <w:pPr>
        <w:pStyle w:val="FootnoteText"/>
        <w:rPr>
          <w:lang w:val="es-ES"/>
        </w:rPr>
      </w:pPr>
      <w:r>
        <w:rPr>
          <w:rStyle w:val="FootnoteReference"/>
        </w:rPr>
        <w:footnoteRef/>
      </w:r>
      <w:r w:rsidRPr="005D3FDA">
        <w:rPr>
          <w:lang w:val="es-ES"/>
        </w:rPr>
        <w:t xml:space="preserve"> </w:t>
      </w:r>
      <w:r>
        <w:rPr>
          <w:lang w:val="es-ES"/>
        </w:rPr>
        <w:t xml:space="preserve">CIDH, </w:t>
      </w:r>
      <w:r w:rsidR="00000000">
        <w:fldChar w:fldCharType="begin"/>
      </w:r>
      <w:r w:rsidR="00000000" w:rsidRPr="00F51AED">
        <w:rPr>
          <w:lang w:val="es-US"/>
        </w:rPr>
        <w:instrText>HYPERLINK "https://www.oas.org/es/cidh/expresion/publicaciones/ProtestayDerechosHumanos.pdf"</w:instrText>
      </w:r>
      <w:r w:rsidR="00000000">
        <w:fldChar w:fldCharType="separate"/>
      </w:r>
      <w:r w:rsidRPr="00FD20F4">
        <w:rPr>
          <w:rStyle w:val="Hyperlink"/>
          <w:lang w:val="es-ES"/>
        </w:rPr>
        <w:t>Informe Protesta Social y Derechos Humanos</w:t>
      </w:r>
      <w:r w:rsidR="00000000">
        <w:rPr>
          <w:rStyle w:val="Hyperlink"/>
          <w:lang w:val="es-ES"/>
        </w:rPr>
        <w:fldChar w:fldCharType="end"/>
      </w:r>
      <w:r>
        <w:rPr>
          <w:lang w:val="es-ES"/>
        </w:rPr>
        <w:t>, Estándares sobre los derechos involucrados en la protesta social y las obligaciones que deben guiar la respuesta estatal</w:t>
      </w:r>
      <w:r w:rsidR="008E47B0">
        <w:rPr>
          <w:lang w:val="es-ES"/>
        </w:rPr>
        <w:t>,</w:t>
      </w:r>
      <w:r>
        <w:rPr>
          <w:lang w:val="es-ES"/>
        </w:rPr>
        <w:t xml:space="preserve"> OEA/</w:t>
      </w:r>
      <w:proofErr w:type="spellStart"/>
      <w:r>
        <w:rPr>
          <w:lang w:val="es-ES"/>
        </w:rPr>
        <w:t>Ser.L</w:t>
      </w:r>
      <w:proofErr w:type="spellEnd"/>
      <w:r>
        <w:rPr>
          <w:lang w:val="es-ES"/>
        </w:rPr>
        <w:t>/V/II.CIDH/RELE/INF.22/19, septiembre de 2019, párr. 322.</w:t>
      </w:r>
    </w:p>
  </w:footnote>
  <w:footnote w:id="70">
    <w:p w14:paraId="2A657666" w14:textId="4A989559" w:rsidR="005B081B" w:rsidRPr="003A65FB" w:rsidRDefault="005B081B" w:rsidP="005B081B">
      <w:pPr>
        <w:pStyle w:val="FootnoteText"/>
        <w:rPr>
          <w:lang w:val="es-ES"/>
        </w:rPr>
      </w:pPr>
      <w:r>
        <w:rPr>
          <w:rStyle w:val="FootnoteReference"/>
        </w:rPr>
        <w:footnoteRef/>
      </w:r>
      <w:r w:rsidRPr="003A65FB">
        <w:rPr>
          <w:lang w:val="es-ES"/>
        </w:rPr>
        <w:t xml:space="preserve"> </w:t>
      </w:r>
      <w:r w:rsidR="00000000">
        <w:fldChar w:fldCharType="begin"/>
      </w:r>
      <w:r w:rsidR="00000000" w:rsidRPr="00F51AED">
        <w:rPr>
          <w:lang w:val="es-US"/>
        </w:rPr>
        <w:instrText>HYPERLINK "https://busquedas.elperuano.pe/dispositivo/NL/2139699-2"</w:instrText>
      </w:r>
      <w:r w:rsidR="00000000">
        <w:fldChar w:fldCharType="separate"/>
      </w:r>
      <w:r w:rsidRPr="00FD20F4">
        <w:rPr>
          <w:rStyle w:val="Hyperlink"/>
          <w:lang w:val="es-ES"/>
        </w:rPr>
        <w:t xml:space="preserve">Resolución Suprema </w:t>
      </w:r>
      <w:proofErr w:type="spellStart"/>
      <w:r w:rsidR="001E2E13">
        <w:rPr>
          <w:rStyle w:val="Hyperlink"/>
          <w:lang w:val="es-ES"/>
        </w:rPr>
        <w:t>Nº</w:t>
      </w:r>
      <w:proofErr w:type="spellEnd"/>
      <w:r w:rsidRPr="00FD20F4">
        <w:rPr>
          <w:rStyle w:val="Hyperlink"/>
          <w:lang w:val="es-ES"/>
        </w:rPr>
        <w:t xml:space="preserve"> 264-2022-JUS</w:t>
      </w:r>
      <w:r w:rsidR="00000000">
        <w:rPr>
          <w:rStyle w:val="Hyperlink"/>
          <w:lang w:val="es-ES"/>
        </w:rPr>
        <w:fldChar w:fldCharType="end"/>
      </w:r>
      <w:r>
        <w:rPr>
          <w:lang w:val="es-ES"/>
        </w:rPr>
        <w:t>,</w:t>
      </w:r>
      <w:r w:rsidRPr="003A65FB">
        <w:rPr>
          <w:lang w:val="es-ES"/>
        </w:rPr>
        <w:t xml:space="preserve"> 3 de enero de 2023</w:t>
      </w:r>
      <w:r>
        <w:rPr>
          <w:lang w:val="es-ES"/>
        </w:rPr>
        <w:t>.</w:t>
      </w:r>
    </w:p>
  </w:footnote>
  <w:footnote w:id="71">
    <w:p w14:paraId="117BF97B" w14:textId="5AA65B23" w:rsidR="005B081B" w:rsidRPr="003A65FB" w:rsidRDefault="005B081B" w:rsidP="005B081B">
      <w:pPr>
        <w:pStyle w:val="FootnoteText"/>
        <w:rPr>
          <w:lang w:val="es-ES"/>
        </w:rPr>
      </w:pPr>
      <w:r>
        <w:rPr>
          <w:rStyle w:val="FootnoteReference"/>
        </w:rPr>
        <w:footnoteRef/>
      </w:r>
      <w:r w:rsidRPr="003A65FB">
        <w:rPr>
          <w:lang w:val="es-ES"/>
        </w:rPr>
        <w:t xml:space="preserve"> </w:t>
      </w:r>
      <w:r w:rsidR="00000000">
        <w:fldChar w:fldCharType="begin"/>
      </w:r>
      <w:r w:rsidR="00000000" w:rsidRPr="00F51AED">
        <w:rPr>
          <w:lang w:val="es-US"/>
        </w:rPr>
        <w:instrText>HYPERLINK "https://www.gob.pe/institucion/mindef/normas-legales/4279877-027-2023-de"</w:instrText>
      </w:r>
      <w:r w:rsidR="00000000">
        <w:fldChar w:fldCharType="separate"/>
      </w:r>
      <w:r w:rsidRPr="00FD20F4">
        <w:rPr>
          <w:rStyle w:val="Hyperlink"/>
          <w:lang w:val="es-ES"/>
        </w:rPr>
        <w:t xml:space="preserve">Resolución Suprema </w:t>
      </w:r>
      <w:proofErr w:type="spellStart"/>
      <w:r w:rsidR="001E2E13">
        <w:rPr>
          <w:rStyle w:val="Hyperlink"/>
          <w:lang w:val="es-ES"/>
        </w:rPr>
        <w:t>Nº</w:t>
      </w:r>
      <w:proofErr w:type="spellEnd"/>
      <w:r w:rsidRPr="00FD20F4">
        <w:rPr>
          <w:rStyle w:val="Hyperlink"/>
          <w:lang w:val="es-ES"/>
        </w:rPr>
        <w:t xml:space="preserve"> 027-2023-JUS</w:t>
      </w:r>
      <w:r w:rsidR="00000000">
        <w:rPr>
          <w:rStyle w:val="Hyperlink"/>
          <w:lang w:val="es-ES"/>
        </w:rPr>
        <w:fldChar w:fldCharType="end"/>
      </w:r>
      <w:r>
        <w:rPr>
          <w:lang w:val="es-ES"/>
        </w:rPr>
        <w:t>, 19 de mayo de 2023.</w:t>
      </w:r>
    </w:p>
  </w:footnote>
  <w:footnote w:id="72">
    <w:p w14:paraId="7B9BDF50" w14:textId="3B032575" w:rsidR="005B081B" w:rsidRPr="00191FE3" w:rsidRDefault="005B081B" w:rsidP="005B081B">
      <w:pPr>
        <w:pStyle w:val="FootnoteText"/>
        <w:rPr>
          <w:lang w:val="es-ES"/>
        </w:rPr>
      </w:pPr>
      <w:r>
        <w:rPr>
          <w:rStyle w:val="FootnoteReference"/>
        </w:rPr>
        <w:footnoteRef/>
      </w:r>
      <w:r w:rsidRPr="00191FE3">
        <w:rPr>
          <w:lang w:val="es-ES"/>
        </w:rPr>
        <w:t xml:space="preserve"> </w:t>
      </w:r>
      <w:r w:rsidR="00000000">
        <w:fldChar w:fldCharType="begin"/>
      </w:r>
      <w:r w:rsidR="00000000" w:rsidRPr="00F51AED">
        <w:rPr>
          <w:lang w:val="es-US"/>
        </w:rPr>
        <w:instrText>HYPERLINK "https://busquedas.elperuano.pe/dispositivo/NL/2153889-1?fbclid=IwAR2XSZfX397eWBvRnXgrBSIcbyEKvfc0ulpDgT0OC9EYymzZek1EQ_UflDk"</w:instrText>
      </w:r>
      <w:r w:rsidR="00000000">
        <w:fldChar w:fldCharType="separate"/>
      </w:r>
      <w:r w:rsidRPr="00FD20F4">
        <w:rPr>
          <w:rStyle w:val="Hyperlink"/>
          <w:rFonts w:eastAsia="Cambria" w:cs="Cambria"/>
          <w:szCs w:val="16"/>
          <w:lang w:val="es-US"/>
        </w:rPr>
        <w:t xml:space="preserve">Decreto de Urgencia </w:t>
      </w:r>
      <w:proofErr w:type="spellStart"/>
      <w:r w:rsidR="001E2E13">
        <w:rPr>
          <w:rStyle w:val="Hyperlink"/>
          <w:rFonts w:eastAsia="Cambria" w:cs="Cambria"/>
          <w:szCs w:val="16"/>
          <w:lang w:val="es-US"/>
        </w:rPr>
        <w:t>Nº</w:t>
      </w:r>
      <w:proofErr w:type="spellEnd"/>
      <w:r w:rsidRPr="00FD20F4">
        <w:rPr>
          <w:rStyle w:val="Hyperlink"/>
          <w:rFonts w:eastAsia="Cambria" w:cs="Cambria"/>
          <w:szCs w:val="16"/>
          <w:lang w:val="es-US"/>
        </w:rPr>
        <w:t xml:space="preserve"> 006-2023</w:t>
      </w:r>
      <w:r w:rsidR="00000000">
        <w:rPr>
          <w:rStyle w:val="Hyperlink"/>
          <w:rFonts w:eastAsia="Cambria" w:cs="Cambria"/>
          <w:szCs w:val="16"/>
          <w:lang w:val="es-US"/>
        </w:rPr>
        <w:fldChar w:fldCharType="end"/>
      </w:r>
      <w:r>
        <w:rPr>
          <w:rStyle w:val="ui-provider"/>
          <w:rFonts w:eastAsia="Cambria" w:cs="Cambria"/>
          <w:color w:val="000000" w:themeColor="text1"/>
          <w:szCs w:val="16"/>
          <w:lang w:val="es-US"/>
        </w:rPr>
        <w:t>, 21 de febrero de 2023.</w:t>
      </w:r>
    </w:p>
  </w:footnote>
  <w:footnote w:id="73">
    <w:p w14:paraId="20744EBF" w14:textId="131ED9D6" w:rsidR="00A41D8F" w:rsidRPr="001A30B2" w:rsidRDefault="00A41D8F" w:rsidP="00A41D8F">
      <w:pPr>
        <w:pStyle w:val="FootnoteText"/>
        <w:rPr>
          <w:lang w:val="es-ES"/>
        </w:rPr>
      </w:pPr>
      <w:r>
        <w:rPr>
          <w:rStyle w:val="FootnoteReference"/>
        </w:rPr>
        <w:footnoteRef/>
      </w:r>
      <w:r w:rsidRPr="001A30B2">
        <w:rPr>
          <w:lang w:val="es-ES"/>
        </w:rPr>
        <w:t xml:space="preserve"> Corte IDH</w:t>
      </w:r>
      <w:r w:rsidR="00F90F96">
        <w:rPr>
          <w:lang w:val="es-ES"/>
        </w:rPr>
        <w:t>.</w:t>
      </w:r>
      <w:r w:rsidRPr="001A30B2">
        <w:rPr>
          <w:lang w:val="es-ES"/>
        </w:rPr>
        <w:t xml:space="preserve"> Caso García Lucero y otras Vs. Chile</w:t>
      </w:r>
      <w:r w:rsidR="00F90F96">
        <w:rPr>
          <w:lang w:val="es-ES"/>
        </w:rPr>
        <w:t>.</w:t>
      </w:r>
      <w:r w:rsidRPr="001A30B2">
        <w:rPr>
          <w:lang w:val="es-ES"/>
        </w:rPr>
        <w:t xml:space="preserve"> Excepción Preliminar, Fondo y Reparaciones</w:t>
      </w:r>
      <w:r w:rsidR="00F90F96">
        <w:rPr>
          <w:lang w:val="es-ES"/>
        </w:rPr>
        <w:t>.</w:t>
      </w:r>
      <w:r w:rsidRPr="001A30B2">
        <w:rPr>
          <w:lang w:val="es-ES"/>
        </w:rPr>
        <w:t xml:space="preserve"> Sentencia de 28 de agosto de 2013</w:t>
      </w:r>
      <w:r>
        <w:rPr>
          <w:lang w:val="es-ES"/>
        </w:rPr>
        <w:t>,</w:t>
      </w:r>
      <w:r w:rsidRPr="001A30B2">
        <w:rPr>
          <w:lang w:val="es-ES"/>
        </w:rPr>
        <w:t xml:space="preserve"> Serie C No. 267</w:t>
      </w:r>
      <w:r>
        <w:rPr>
          <w:lang w:val="es-ES"/>
        </w:rPr>
        <w:t>, p</w:t>
      </w:r>
      <w:r w:rsidRPr="001A30B2">
        <w:rPr>
          <w:lang w:val="es-ES"/>
        </w:rPr>
        <w:t>árr. 183</w:t>
      </w:r>
      <w:r>
        <w:rPr>
          <w:lang w:val="es-ES"/>
        </w:rPr>
        <w:t>;</w:t>
      </w:r>
      <w:r w:rsidRPr="001A30B2">
        <w:rPr>
          <w:lang w:val="es-ES"/>
        </w:rPr>
        <w:t xml:space="preserve"> Caso de la Masacre de Pueblo Bello Vs. Colombia</w:t>
      </w:r>
      <w:r w:rsidR="001251B1">
        <w:rPr>
          <w:lang w:val="es-ES"/>
        </w:rPr>
        <w:t>.</w:t>
      </w:r>
      <w:r w:rsidRPr="001A30B2">
        <w:rPr>
          <w:lang w:val="es-ES"/>
        </w:rPr>
        <w:t xml:space="preserve"> Fondo, Reparaciones y Costas</w:t>
      </w:r>
      <w:r w:rsidR="005A3AE1">
        <w:rPr>
          <w:lang w:val="es-ES"/>
        </w:rPr>
        <w:t>.</w:t>
      </w:r>
      <w:r w:rsidRPr="001A30B2">
        <w:rPr>
          <w:lang w:val="es-ES"/>
        </w:rPr>
        <w:t xml:space="preserve"> Sentencia de 31 de enero</w:t>
      </w:r>
      <w:r>
        <w:rPr>
          <w:lang w:val="es-ES"/>
        </w:rPr>
        <w:t xml:space="preserve"> </w:t>
      </w:r>
      <w:r w:rsidRPr="001A30B2">
        <w:rPr>
          <w:lang w:val="es-ES"/>
        </w:rPr>
        <w:t>de 2006</w:t>
      </w:r>
      <w:r w:rsidR="001251B1">
        <w:rPr>
          <w:lang w:val="es-ES"/>
        </w:rPr>
        <w:t>.</w:t>
      </w:r>
      <w:r w:rsidRPr="001A30B2">
        <w:rPr>
          <w:lang w:val="es-ES"/>
        </w:rPr>
        <w:t xml:space="preserve"> Serie C No. 140, párr. 209</w:t>
      </w:r>
      <w:r w:rsidR="001251B1">
        <w:rPr>
          <w:lang w:val="es-ES"/>
        </w:rPr>
        <w:t>;</w:t>
      </w:r>
      <w:r w:rsidRPr="001A30B2">
        <w:rPr>
          <w:lang w:val="es-ES"/>
        </w:rPr>
        <w:t xml:space="preserve"> Caso de las Masacres de Ituango Vs. Colombia</w:t>
      </w:r>
      <w:r w:rsidR="009E53C5">
        <w:rPr>
          <w:lang w:val="es-ES"/>
        </w:rPr>
        <w:t>.</w:t>
      </w:r>
      <w:r w:rsidRPr="001A30B2">
        <w:rPr>
          <w:lang w:val="es-ES"/>
        </w:rPr>
        <w:t xml:space="preserve"> Sentencia de 1 de julio de</w:t>
      </w:r>
      <w:r>
        <w:rPr>
          <w:lang w:val="es-ES"/>
        </w:rPr>
        <w:t xml:space="preserve"> </w:t>
      </w:r>
      <w:r w:rsidRPr="001A30B2">
        <w:rPr>
          <w:lang w:val="es-ES"/>
        </w:rPr>
        <w:t>2006</w:t>
      </w:r>
      <w:r>
        <w:rPr>
          <w:lang w:val="es-ES"/>
        </w:rPr>
        <w:t>,</w:t>
      </w:r>
      <w:r w:rsidRPr="001A30B2">
        <w:rPr>
          <w:lang w:val="es-ES"/>
        </w:rPr>
        <w:t xml:space="preserve"> Serie C No. 148, párr. 340. En el mismo sentido: Caso </w:t>
      </w:r>
      <w:proofErr w:type="spellStart"/>
      <w:r w:rsidRPr="001A30B2">
        <w:rPr>
          <w:lang w:val="es-ES"/>
        </w:rPr>
        <w:t>Goiburú</w:t>
      </w:r>
      <w:proofErr w:type="spellEnd"/>
      <w:r w:rsidRPr="001A30B2">
        <w:rPr>
          <w:lang w:val="es-ES"/>
        </w:rPr>
        <w:t xml:space="preserve"> y otros Vs. Paraguay</w:t>
      </w:r>
      <w:r w:rsidR="009E53C5">
        <w:rPr>
          <w:lang w:val="es-ES"/>
        </w:rPr>
        <w:t xml:space="preserve">.  </w:t>
      </w:r>
      <w:r w:rsidRPr="001A30B2">
        <w:rPr>
          <w:lang w:val="es-ES"/>
        </w:rPr>
        <w:t>Fondo, Reparaciones y</w:t>
      </w:r>
      <w:r>
        <w:rPr>
          <w:lang w:val="es-ES"/>
        </w:rPr>
        <w:t xml:space="preserve"> </w:t>
      </w:r>
      <w:r w:rsidRPr="001A30B2">
        <w:rPr>
          <w:lang w:val="es-ES"/>
        </w:rPr>
        <w:t>Costas</w:t>
      </w:r>
      <w:r w:rsidR="009E53C5">
        <w:rPr>
          <w:lang w:val="es-ES"/>
        </w:rPr>
        <w:t xml:space="preserve">. </w:t>
      </w:r>
      <w:r w:rsidRPr="001A30B2">
        <w:rPr>
          <w:lang w:val="es-ES"/>
        </w:rPr>
        <w:t>Sentencia de 22 de septiembre de 2006</w:t>
      </w:r>
      <w:r w:rsidR="009E53C5">
        <w:rPr>
          <w:lang w:val="es-ES"/>
        </w:rPr>
        <w:t>.</w:t>
      </w:r>
      <w:r w:rsidRPr="001A30B2">
        <w:rPr>
          <w:lang w:val="es-ES"/>
        </w:rPr>
        <w:t xml:space="preserve"> Serie C No. 153, </w:t>
      </w:r>
      <w:proofErr w:type="spellStart"/>
      <w:r w:rsidRPr="001A30B2">
        <w:rPr>
          <w:lang w:val="es-ES"/>
        </w:rPr>
        <w:t>párrs</w:t>
      </w:r>
      <w:proofErr w:type="spellEnd"/>
      <w:r w:rsidRPr="001A30B2">
        <w:rPr>
          <w:lang w:val="es-ES"/>
        </w:rPr>
        <w:t>. 117 y 122</w:t>
      </w:r>
      <w:r>
        <w:rPr>
          <w:lang w:val="es-ES"/>
        </w:rPr>
        <w:t>;</w:t>
      </w:r>
      <w:r w:rsidRPr="001A30B2">
        <w:rPr>
          <w:lang w:val="es-ES"/>
        </w:rPr>
        <w:t xml:space="preserve"> y Caso del Penal Miguel Castro</w:t>
      </w:r>
      <w:r>
        <w:rPr>
          <w:lang w:val="es-ES"/>
        </w:rPr>
        <w:t xml:space="preserve"> </w:t>
      </w:r>
      <w:proofErr w:type="spellStart"/>
      <w:r w:rsidRPr="001A30B2">
        <w:rPr>
          <w:lang w:val="es-ES"/>
        </w:rPr>
        <w:t>Castro</w:t>
      </w:r>
      <w:proofErr w:type="spellEnd"/>
      <w:r w:rsidRPr="001A30B2">
        <w:rPr>
          <w:lang w:val="es-ES"/>
        </w:rPr>
        <w:t xml:space="preserve"> Vs. Perú</w:t>
      </w:r>
      <w:r w:rsidR="00291AD2">
        <w:rPr>
          <w:lang w:val="es-ES"/>
        </w:rPr>
        <w:t>.</w:t>
      </w:r>
      <w:r w:rsidRPr="001A30B2">
        <w:rPr>
          <w:lang w:val="es-ES"/>
        </w:rPr>
        <w:t xml:space="preserve"> Fondo, Reparaciones y Costa</w:t>
      </w:r>
      <w:r w:rsidR="00291AD2">
        <w:rPr>
          <w:lang w:val="es-ES"/>
        </w:rPr>
        <w:t>.</w:t>
      </w:r>
      <w:r w:rsidRPr="001A30B2">
        <w:rPr>
          <w:lang w:val="es-ES"/>
        </w:rPr>
        <w:t xml:space="preserve"> Sentencia de 25 de noviembre de 2006</w:t>
      </w:r>
      <w:r w:rsidR="00291AD2">
        <w:rPr>
          <w:lang w:val="es-ES"/>
        </w:rPr>
        <w:t>.</w:t>
      </w:r>
      <w:r w:rsidRPr="001A30B2">
        <w:rPr>
          <w:lang w:val="es-ES"/>
        </w:rPr>
        <w:t xml:space="preserve"> </w:t>
      </w:r>
      <w:r w:rsidRPr="0013037E">
        <w:rPr>
          <w:lang w:val="es-US"/>
        </w:rPr>
        <w:t xml:space="preserve">Serie C No. 160, párr. </w:t>
      </w:r>
      <w:r w:rsidRPr="00444B9E">
        <w:rPr>
          <w:lang w:val="es-ES"/>
        </w:rPr>
        <w:t>400.</w:t>
      </w:r>
    </w:p>
  </w:footnote>
  <w:footnote w:id="74">
    <w:p w14:paraId="28FDB53A" w14:textId="21979CFE" w:rsidR="00A41D8F" w:rsidRPr="00404CB2" w:rsidRDefault="00A41D8F" w:rsidP="00A41D8F">
      <w:pPr>
        <w:pStyle w:val="FootnoteText"/>
        <w:rPr>
          <w:lang w:val="es-ES"/>
        </w:rPr>
      </w:pPr>
      <w:r>
        <w:rPr>
          <w:rStyle w:val="FootnoteReference"/>
        </w:rPr>
        <w:footnoteRef/>
      </w:r>
      <w:r w:rsidRPr="00404CB2">
        <w:rPr>
          <w:lang w:val="es-ES"/>
        </w:rPr>
        <w:t xml:space="preserve"> CIDH</w:t>
      </w:r>
      <w:r>
        <w:rPr>
          <w:lang w:val="es-ES"/>
        </w:rPr>
        <w:t>,</w:t>
      </w:r>
      <w:r w:rsidRPr="00404CB2">
        <w:rPr>
          <w:lang w:val="es-ES"/>
        </w:rPr>
        <w:t xml:space="preserve"> </w:t>
      </w:r>
      <w:r w:rsidR="00000000">
        <w:fldChar w:fldCharType="begin"/>
      </w:r>
      <w:r w:rsidR="00000000" w:rsidRPr="00F51AED">
        <w:rPr>
          <w:lang w:val="es-US"/>
        </w:rPr>
        <w:instrText>HYPERLINK "https://www.oas.org/es/cidh/informes/pdfs/CompendioJusticiaTransicional-es.pdf"</w:instrText>
      </w:r>
      <w:r w:rsidR="00000000">
        <w:fldChar w:fldCharType="separate"/>
      </w:r>
      <w:r w:rsidRPr="24019998">
        <w:rPr>
          <w:rStyle w:val="Hyperlink"/>
          <w:lang w:val="es-ES"/>
        </w:rPr>
        <w:t>Compendio de la Comisión Interamericana de Derechos Humanos sobre verdad, memoria, justicia y reparación en contextos transicionales</w:t>
      </w:r>
      <w:r w:rsidR="00000000">
        <w:rPr>
          <w:rStyle w:val="Hyperlink"/>
          <w:lang w:val="es-ES"/>
        </w:rPr>
        <w:fldChar w:fldCharType="end"/>
      </w:r>
      <w:r>
        <w:rPr>
          <w:lang w:val="es-ES"/>
        </w:rPr>
        <w:t>,</w:t>
      </w:r>
      <w:r w:rsidRPr="00404CB2">
        <w:rPr>
          <w:lang w:val="es-ES"/>
        </w:rPr>
        <w:t xml:space="preserve"> </w:t>
      </w:r>
      <w:r>
        <w:rPr>
          <w:lang w:val="es-ES"/>
        </w:rPr>
        <w:t>a</w:t>
      </w:r>
      <w:r w:rsidRPr="00404CB2">
        <w:rPr>
          <w:lang w:val="es-ES"/>
        </w:rPr>
        <w:t>probado el 12 abril</w:t>
      </w:r>
      <w:r>
        <w:rPr>
          <w:lang w:val="es-ES"/>
        </w:rPr>
        <w:t xml:space="preserve"> </w:t>
      </w:r>
      <w:r w:rsidRPr="00404CB2">
        <w:rPr>
          <w:lang w:val="es-ES"/>
        </w:rPr>
        <w:t>de 2021</w:t>
      </w:r>
      <w:r>
        <w:rPr>
          <w:lang w:val="es-ES"/>
        </w:rPr>
        <w:t>,</w:t>
      </w:r>
      <w:r w:rsidRPr="00404CB2">
        <w:rPr>
          <w:lang w:val="es-ES"/>
        </w:rPr>
        <w:t xml:space="preserve"> </w:t>
      </w:r>
      <w:r>
        <w:rPr>
          <w:lang w:val="es-ES"/>
        </w:rPr>
        <w:t xml:space="preserve">párr. </w:t>
      </w:r>
      <w:r w:rsidRPr="00404CB2">
        <w:rPr>
          <w:lang w:val="es-ES"/>
        </w:rPr>
        <w:t>169</w:t>
      </w:r>
      <w:r w:rsidR="00291AD2">
        <w:rPr>
          <w:lang w:val="es-ES"/>
        </w:rPr>
        <w:t>.</w:t>
      </w:r>
    </w:p>
  </w:footnote>
  <w:footnote w:id="75">
    <w:p w14:paraId="281E429F" w14:textId="43D4C8C5" w:rsidR="00A41D8F" w:rsidRPr="00404CB2" w:rsidRDefault="00A41D8F" w:rsidP="00A41D8F">
      <w:pPr>
        <w:pStyle w:val="FootnoteText"/>
        <w:rPr>
          <w:lang w:val="es-ES"/>
        </w:rPr>
      </w:pPr>
      <w:r>
        <w:rPr>
          <w:rStyle w:val="FootnoteReference"/>
        </w:rPr>
        <w:footnoteRef/>
      </w:r>
      <w:r w:rsidRPr="00404CB2">
        <w:rPr>
          <w:lang w:val="es-ES"/>
        </w:rPr>
        <w:t xml:space="preserve"> CIDH</w:t>
      </w:r>
      <w:r>
        <w:rPr>
          <w:lang w:val="es-ES"/>
        </w:rPr>
        <w:t>,</w:t>
      </w:r>
      <w:r w:rsidRPr="00404CB2">
        <w:rPr>
          <w:lang w:val="es-ES"/>
        </w:rPr>
        <w:t xml:space="preserve"> </w:t>
      </w:r>
      <w:r w:rsidR="00000000">
        <w:fldChar w:fldCharType="begin"/>
      </w:r>
      <w:r w:rsidR="00000000" w:rsidRPr="00F51AED">
        <w:rPr>
          <w:lang w:val="es-US"/>
        </w:rPr>
        <w:instrText>HYPERLINK "https://www.oas.org/es/cidh/informes/pdfs/CompendioJusticiaTransicional-es.pdf"</w:instrText>
      </w:r>
      <w:r w:rsidR="00000000">
        <w:fldChar w:fldCharType="separate"/>
      </w:r>
      <w:r w:rsidRPr="24019998">
        <w:rPr>
          <w:rStyle w:val="Hyperlink"/>
          <w:lang w:val="es-ES"/>
        </w:rPr>
        <w:t>Compendio de la Comisión Interamericana de Derechos Humanos sobre verdad, memoria, justicia y reparación en contextos transicionales</w:t>
      </w:r>
      <w:r w:rsidR="00000000">
        <w:rPr>
          <w:rStyle w:val="Hyperlink"/>
          <w:lang w:val="es-ES"/>
        </w:rPr>
        <w:fldChar w:fldCharType="end"/>
      </w:r>
      <w:r>
        <w:rPr>
          <w:lang w:val="es-ES"/>
        </w:rPr>
        <w:t>,</w:t>
      </w:r>
      <w:r w:rsidRPr="00404CB2">
        <w:rPr>
          <w:lang w:val="es-ES"/>
        </w:rPr>
        <w:t xml:space="preserve"> </w:t>
      </w:r>
      <w:r>
        <w:rPr>
          <w:lang w:val="es-ES"/>
        </w:rPr>
        <w:t>a</w:t>
      </w:r>
      <w:r w:rsidRPr="00404CB2">
        <w:rPr>
          <w:lang w:val="es-ES"/>
        </w:rPr>
        <w:t>probado el 12 abril</w:t>
      </w:r>
      <w:r>
        <w:rPr>
          <w:lang w:val="es-ES"/>
        </w:rPr>
        <w:t xml:space="preserve"> </w:t>
      </w:r>
      <w:r w:rsidRPr="00404CB2">
        <w:rPr>
          <w:lang w:val="es-ES"/>
        </w:rPr>
        <w:t>de 2021</w:t>
      </w:r>
      <w:r>
        <w:rPr>
          <w:lang w:val="es-ES"/>
        </w:rPr>
        <w:t xml:space="preserve">, párr. </w:t>
      </w:r>
      <w:r w:rsidRPr="00404CB2">
        <w:rPr>
          <w:lang w:val="es-ES"/>
        </w:rPr>
        <w:t>170</w:t>
      </w:r>
      <w:r w:rsidR="0023211B">
        <w:rPr>
          <w:lang w:val="es-ES"/>
        </w:rPr>
        <w:t>.</w:t>
      </w:r>
    </w:p>
  </w:footnote>
  <w:footnote w:id="76">
    <w:p w14:paraId="2BEE8B5B" w14:textId="393B4088" w:rsidR="00A41D8F" w:rsidRPr="00404CB2" w:rsidRDefault="00A41D8F" w:rsidP="00A41D8F">
      <w:pPr>
        <w:pStyle w:val="FootnoteText"/>
        <w:rPr>
          <w:lang w:val="es-ES"/>
        </w:rPr>
      </w:pPr>
      <w:r>
        <w:rPr>
          <w:rStyle w:val="FootnoteReference"/>
        </w:rPr>
        <w:footnoteRef/>
      </w:r>
      <w:r w:rsidRPr="00404CB2">
        <w:rPr>
          <w:lang w:val="es-ES"/>
        </w:rPr>
        <w:t xml:space="preserve"> CIDH</w:t>
      </w:r>
      <w:r>
        <w:rPr>
          <w:lang w:val="es-ES"/>
        </w:rPr>
        <w:t>,</w:t>
      </w:r>
      <w:r w:rsidRPr="00404CB2">
        <w:rPr>
          <w:lang w:val="es-ES"/>
        </w:rPr>
        <w:t xml:space="preserve"> </w:t>
      </w:r>
      <w:r w:rsidR="00000000">
        <w:fldChar w:fldCharType="begin"/>
      </w:r>
      <w:r w:rsidR="00000000" w:rsidRPr="00F51AED">
        <w:rPr>
          <w:lang w:val="es-US"/>
        </w:rPr>
        <w:instrText>HYPERLINK "https://www.oas.org/es/cidh/informes/pdfs/CompendioJusticiaTransicional-es.pdf"</w:instrText>
      </w:r>
      <w:r w:rsidR="00000000">
        <w:fldChar w:fldCharType="separate"/>
      </w:r>
      <w:r w:rsidRPr="24019998">
        <w:rPr>
          <w:rStyle w:val="Hyperlink"/>
          <w:lang w:val="es-ES"/>
        </w:rPr>
        <w:t>Compendio de la Comisión Interamericana de Derechos Humanos sobre verdad, memoria, justicia y reparación en contextos transicionales</w:t>
      </w:r>
      <w:r w:rsidR="00000000">
        <w:rPr>
          <w:rStyle w:val="Hyperlink"/>
          <w:lang w:val="es-ES"/>
        </w:rPr>
        <w:fldChar w:fldCharType="end"/>
      </w:r>
      <w:r>
        <w:rPr>
          <w:lang w:val="es-ES"/>
        </w:rPr>
        <w:t>, a</w:t>
      </w:r>
      <w:r w:rsidRPr="00404CB2">
        <w:rPr>
          <w:lang w:val="es-ES"/>
        </w:rPr>
        <w:t>probado el 12 abril</w:t>
      </w:r>
      <w:r>
        <w:rPr>
          <w:lang w:val="es-ES"/>
        </w:rPr>
        <w:t xml:space="preserve"> </w:t>
      </w:r>
      <w:r w:rsidRPr="00404CB2">
        <w:rPr>
          <w:lang w:val="es-ES"/>
        </w:rPr>
        <w:t>de 2021</w:t>
      </w:r>
      <w:r>
        <w:rPr>
          <w:lang w:val="es-ES"/>
        </w:rPr>
        <w:t xml:space="preserve">, párr. </w:t>
      </w:r>
      <w:r w:rsidRPr="00404CB2">
        <w:rPr>
          <w:lang w:val="es-ES"/>
        </w:rPr>
        <w:t>174</w:t>
      </w:r>
      <w:r w:rsidR="0023211B">
        <w:rPr>
          <w:lang w:val="es-ES"/>
        </w:rPr>
        <w:t>.</w:t>
      </w:r>
    </w:p>
  </w:footnote>
  <w:footnote w:id="77">
    <w:p w14:paraId="7F743EB5" w14:textId="77777777" w:rsidR="00A41D8F" w:rsidRPr="00521D0F" w:rsidRDefault="00A41D8F" w:rsidP="00A41D8F">
      <w:pPr>
        <w:pStyle w:val="FootnoteText"/>
        <w:rPr>
          <w:lang w:val="es-ES"/>
        </w:rPr>
      </w:pPr>
      <w:r>
        <w:rPr>
          <w:rStyle w:val="FootnoteReference"/>
        </w:rPr>
        <w:footnoteRef/>
      </w:r>
      <w:r w:rsidRPr="00521D0F">
        <w:rPr>
          <w:lang w:val="es-ES"/>
        </w:rPr>
        <w:t xml:space="preserve"> </w:t>
      </w:r>
      <w:r>
        <w:rPr>
          <w:lang w:val="es-ES"/>
        </w:rPr>
        <w:t xml:space="preserve">CIDH, </w:t>
      </w:r>
      <w:r w:rsidR="00000000">
        <w:fldChar w:fldCharType="begin"/>
      </w:r>
      <w:r w:rsidR="00000000" w:rsidRPr="00F51AED">
        <w:rPr>
          <w:lang w:val="es-US"/>
        </w:rPr>
        <w:instrText>HYPERLINK "https://www.oas.org/es/cidh/informes/pdfs/2023/Informe_Seguimiento_GIEI-Bolivia_ES.pdf"</w:instrText>
      </w:r>
      <w:r w:rsidR="00000000">
        <w:fldChar w:fldCharType="separate"/>
      </w:r>
      <w:r w:rsidRPr="00521D0F">
        <w:rPr>
          <w:rStyle w:val="Hyperlink"/>
          <w:lang w:val="es-ES"/>
        </w:rPr>
        <w:t>Primer informe MESEG: Seguimiento a las recomendaciones del GIEI – Bolivia</w:t>
      </w:r>
      <w:r w:rsidR="00000000">
        <w:rPr>
          <w:rStyle w:val="Hyperlink"/>
          <w:lang w:val="es-ES"/>
        </w:rPr>
        <w:fldChar w:fldCharType="end"/>
      </w:r>
      <w:r>
        <w:rPr>
          <w:lang w:val="es-ES"/>
        </w:rPr>
        <w:t>,</w:t>
      </w:r>
      <w:r w:rsidRPr="00521D0F">
        <w:rPr>
          <w:lang w:val="es-ES"/>
        </w:rPr>
        <w:t xml:space="preserve"> OEA/</w:t>
      </w:r>
      <w:proofErr w:type="spellStart"/>
      <w:r w:rsidRPr="00521D0F">
        <w:rPr>
          <w:lang w:val="es-ES"/>
        </w:rPr>
        <w:t>Ser.L</w:t>
      </w:r>
      <w:proofErr w:type="spellEnd"/>
      <w:r w:rsidRPr="00521D0F">
        <w:rPr>
          <w:lang w:val="es-ES"/>
        </w:rPr>
        <w:t>/V/II., Doc.196</w:t>
      </w:r>
      <w:r>
        <w:rPr>
          <w:lang w:val="es-ES"/>
        </w:rPr>
        <w:t xml:space="preserve">, </w:t>
      </w:r>
      <w:r w:rsidRPr="00521D0F">
        <w:rPr>
          <w:lang w:val="es-ES"/>
        </w:rPr>
        <w:t>18 de septiembre de 2023</w:t>
      </w:r>
      <w:r>
        <w:rPr>
          <w:lang w:val="es-ES"/>
        </w:rPr>
        <w:t xml:space="preserve">, párr. 35. </w:t>
      </w:r>
    </w:p>
  </w:footnote>
  <w:footnote w:id="78">
    <w:p w14:paraId="7140C13D" w14:textId="77777777" w:rsidR="005B081B" w:rsidRPr="00141EB1" w:rsidRDefault="005B081B" w:rsidP="005B081B">
      <w:pPr>
        <w:pStyle w:val="FootnoteText"/>
        <w:rPr>
          <w:lang w:val="es-ES"/>
        </w:rPr>
      </w:pPr>
      <w:r>
        <w:rPr>
          <w:rStyle w:val="FootnoteReference"/>
        </w:rPr>
        <w:footnoteRef/>
      </w:r>
      <w:r w:rsidRPr="00141EB1">
        <w:rPr>
          <w:lang w:val="es-ES"/>
        </w:rPr>
        <w:t xml:space="preserve"> </w:t>
      </w:r>
      <w:r w:rsidRPr="000A3EC9">
        <w:rPr>
          <w:lang w:val="es-ES"/>
        </w:rPr>
        <w:t>Organización de las Naciones Unidas (ONU)</w:t>
      </w:r>
      <w:r w:rsidRPr="00141EB1">
        <w:rPr>
          <w:lang w:val="es-ES"/>
        </w:rPr>
        <w:t xml:space="preserve">, </w:t>
      </w:r>
      <w:r w:rsidRPr="000A3EC9">
        <w:rPr>
          <w:lang w:val="es-ES"/>
        </w:rPr>
        <w:t>Relator Especial sobre la verdad, la justicia</w:t>
      </w:r>
      <w:r>
        <w:rPr>
          <w:lang w:val="es-ES"/>
        </w:rPr>
        <w:t>,</w:t>
      </w:r>
      <w:r w:rsidRPr="000A3EC9">
        <w:rPr>
          <w:lang w:val="es-ES"/>
        </w:rPr>
        <w:t xml:space="preserve"> la reparación</w:t>
      </w:r>
      <w:r>
        <w:rPr>
          <w:lang w:val="es-ES"/>
        </w:rPr>
        <w:t xml:space="preserve"> y las garantías de no repetición,</w:t>
      </w:r>
      <w:r w:rsidRPr="000A3EC9">
        <w:rPr>
          <w:lang w:val="es-ES"/>
        </w:rPr>
        <w:t xml:space="preserve"> </w:t>
      </w:r>
      <w:r w:rsidRPr="00141EB1">
        <w:rPr>
          <w:lang w:val="es-ES"/>
        </w:rPr>
        <w:t>Promoción de la Verdad, la justicia, la reparación y las garantías de no repetición, A/69/518, (2014), p</w:t>
      </w:r>
      <w:r>
        <w:rPr>
          <w:lang w:val="es-ES"/>
        </w:rPr>
        <w:t>á</w:t>
      </w:r>
      <w:r w:rsidRPr="00141EB1">
        <w:rPr>
          <w:lang w:val="es-ES"/>
        </w:rPr>
        <w:t>rr. 60</w:t>
      </w:r>
      <w:r>
        <w:rPr>
          <w:lang w:val="es-ES"/>
        </w:rPr>
        <w:t>.</w:t>
      </w:r>
    </w:p>
  </w:footnote>
  <w:footnote w:id="79">
    <w:p w14:paraId="5C423AEB" w14:textId="130C6E8C" w:rsidR="005B081B" w:rsidRPr="00D96F86" w:rsidRDefault="005B081B" w:rsidP="00355254">
      <w:pPr>
        <w:pStyle w:val="FootnoteText"/>
        <w:rPr>
          <w:lang w:val="es-AR"/>
        </w:rPr>
      </w:pPr>
      <w:r w:rsidRPr="00D96F86">
        <w:rPr>
          <w:rStyle w:val="FootnoteReference"/>
        </w:rPr>
        <w:footnoteRef/>
      </w:r>
      <w:r w:rsidRPr="00D96F86">
        <w:rPr>
          <w:lang w:val="es-AR"/>
        </w:rPr>
        <w:t xml:space="preserve"> </w:t>
      </w:r>
      <w:r w:rsidR="00616210" w:rsidRPr="00D96F86">
        <w:rPr>
          <w:lang w:val="es-AR"/>
        </w:rPr>
        <w:t xml:space="preserve">Fiscalía de la Nación, Resolución </w:t>
      </w:r>
      <w:proofErr w:type="spellStart"/>
      <w:r w:rsidR="00616210" w:rsidRPr="00D96F86">
        <w:rPr>
          <w:lang w:val="es-AR"/>
        </w:rPr>
        <w:t>Nº</w:t>
      </w:r>
      <w:proofErr w:type="spellEnd"/>
      <w:r w:rsidR="00616210" w:rsidRPr="00D96F86">
        <w:rPr>
          <w:lang w:val="es-AR"/>
        </w:rPr>
        <w:t xml:space="preserve"> 790-2023-64 del 31 de marzo del 2023.</w:t>
      </w:r>
    </w:p>
  </w:footnote>
  <w:footnote w:id="80">
    <w:p w14:paraId="1C6ECA0A" w14:textId="61FA444C" w:rsidR="00812244" w:rsidRPr="00A1165E" w:rsidRDefault="00812244" w:rsidP="00355254">
      <w:pPr>
        <w:pStyle w:val="FootnoteText"/>
        <w:rPr>
          <w:lang w:val="es-AR"/>
        </w:rPr>
      </w:pPr>
      <w:r w:rsidRPr="00D96F86">
        <w:rPr>
          <w:rStyle w:val="FootnoteReference"/>
        </w:rPr>
        <w:footnoteRef/>
      </w:r>
      <w:r w:rsidRPr="00A1165E">
        <w:rPr>
          <w:lang w:val="es-AR"/>
        </w:rPr>
        <w:t xml:space="preserve"> Corte IDH, Caso Velasquez Rodríguez </w:t>
      </w:r>
      <w:r w:rsidR="00DB0D8E" w:rsidRPr="00A1165E">
        <w:rPr>
          <w:lang w:val="es-AR"/>
        </w:rPr>
        <w:t>Vs.</w:t>
      </w:r>
      <w:r w:rsidRPr="00A1165E">
        <w:rPr>
          <w:lang w:val="es-AR"/>
        </w:rPr>
        <w:t xml:space="preserve"> Honduras, Fondo, Sentencia de 29 de junio de 1988, Serie C </w:t>
      </w:r>
      <w:proofErr w:type="spellStart"/>
      <w:r w:rsidR="001E2E13" w:rsidRPr="00A1165E">
        <w:rPr>
          <w:lang w:val="es-AR"/>
        </w:rPr>
        <w:t>Nº</w:t>
      </w:r>
      <w:proofErr w:type="spellEnd"/>
      <w:r w:rsidRPr="00A1165E">
        <w:rPr>
          <w:lang w:val="es-AR"/>
        </w:rPr>
        <w:t xml:space="preserve"> 4, párr</w:t>
      </w:r>
      <w:r w:rsidR="00DB0D8E" w:rsidRPr="00A1165E">
        <w:rPr>
          <w:lang w:val="es-AR"/>
        </w:rPr>
        <w:t>.</w:t>
      </w:r>
      <w:r w:rsidRPr="00A1165E">
        <w:rPr>
          <w:lang w:val="es-AR"/>
        </w:rPr>
        <w:t xml:space="preserve"> 176.</w:t>
      </w:r>
    </w:p>
  </w:footnote>
  <w:footnote w:id="81">
    <w:p w14:paraId="002E281B" w14:textId="157C5B89" w:rsidR="00E43471" w:rsidRPr="00220D4F" w:rsidRDefault="00E43471" w:rsidP="00E43471">
      <w:pPr>
        <w:pStyle w:val="FootnoteText"/>
        <w:rPr>
          <w:lang w:val="es-ES"/>
        </w:rPr>
      </w:pPr>
      <w:r>
        <w:rPr>
          <w:rStyle w:val="FootnoteReference"/>
        </w:rPr>
        <w:footnoteRef/>
      </w:r>
      <w:r w:rsidRPr="00220D4F">
        <w:rPr>
          <w:lang w:val="es-ES"/>
        </w:rPr>
        <w:t xml:space="preserve"> Resolución Suprema </w:t>
      </w:r>
      <w:proofErr w:type="spellStart"/>
      <w:r w:rsidRPr="00220D4F">
        <w:rPr>
          <w:lang w:val="es-ES"/>
        </w:rPr>
        <w:t>N°</w:t>
      </w:r>
      <w:proofErr w:type="spellEnd"/>
      <w:r w:rsidRPr="00220D4F">
        <w:rPr>
          <w:lang w:val="es-ES"/>
        </w:rPr>
        <w:t xml:space="preserve"> 264-2022-JUS y sus modificatorias</w:t>
      </w:r>
      <w:r w:rsidR="00DB0D8E">
        <w:rPr>
          <w:lang w:val="es-ES"/>
        </w:rPr>
        <w:t>.</w:t>
      </w:r>
    </w:p>
  </w:footnote>
  <w:footnote w:id="82">
    <w:p w14:paraId="087ADF01" w14:textId="5EF9A41C" w:rsidR="00616210" w:rsidRPr="00422F40" w:rsidRDefault="00616210">
      <w:pPr>
        <w:pStyle w:val="FootnoteText"/>
        <w:rPr>
          <w:lang w:val="es-ES"/>
        </w:rPr>
      </w:pPr>
      <w:r>
        <w:rPr>
          <w:rStyle w:val="FootnoteReference"/>
        </w:rPr>
        <w:footnoteRef/>
      </w:r>
      <w:r w:rsidRPr="00422F40">
        <w:rPr>
          <w:lang w:val="es-ES"/>
        </w:rPr>
        <w:t xml:space="preserve"> </w:t>
      </w:r>
      <w:r w:rsidRPr="00616210">
        <w:rPr>
          <w:lang w:val="es-ES"/>
        </w:rPr>
        <w:t xml:space="preserve">Resolución Ministerial </w:t>
      </w:r>
      <w:proofErr w:type="spellStart"/>
      <w:r w:rsidRPr="00616210">
        <w:rPr>
          <w:lang w:val="es-ES"/>
        </w:rPr>
        <w:t>N°</w:t>
      </w:r>
      <w:proofErr w:type="spellEnd"/>
      <w:r w:rsidRPr="00616210">
        <w:rPr>
          <w:lang w:val="es-ES"/>
        </w:rPr>
        <w:t xml:space="preserve"> 100-2023-MINSA</w:t>
      </w:r>
      <w:r>
        <w:rPr>
          <w:lang w:val="es-ES"/>
        </w:rPr>
        <w:t xml:space="preserve">, del </w:t>
      </w:r>
      <w:r w:rsidRPr="00616210">
        <w:rPr>
          <w:lang w:val="es-ES"/>
        </w:rPr>
        <w:t>30 de enero de 2023</w:t>
      </w:r>
      <w:r>
        <w:rPr>
          <w:lang w:val="es-ES"/>
        </w:rPr>
        <w:t>.</w:t>
      </w:r>
    </w:p>
  </w:footnote>
  <w:footnote w:id="83">
    <w:p w14:paraId="7FE98888" w14:textId="0E82FD1F" w:rsidR="00E43471" w:rsidRPr="00145949" w:rsidRDefault="00E43471" w:rsidP="00145949">
      <w:pPr>
        <w:pStyle w:val="FootnoteText"/>
        <w:rPr>
          <w:lang w:val="es-ES"/>
        </w:rPr>
      </w:pPr>
      <w:r w:rsidRPr="00B42794">
        <w:rPr>
          <w:rStyle w:val="FootnoteReference"/>
        </w:rPr>
        <w:footnoteRef/>
      </w:r>
      <w:r w:rsidRPr="00B42794">
        <w:rPr>
          <w:lang w:val="es-ES"/>
        </w:rPr>
        <w:t xml:space="preserve"> </w:t>
      </w:r>
      <w:bookmarkStart w:id="10" w:name="OLE_LINK1"/>
      <w:r w:rsidRPr="00B42794">
        <w:rPr>
          <w:lang w:val="es-ES"/>
        </w:rPr>
        <w:t>Comité de Derechos Económicos, Sociales y Culturales</w:t>
      </w:r>
      <w:r w:rsidR="009049A0" w:rsidRPr="00B42794">
        <w:rPr>
          <w:lang w:val="es-ES"/>
        </w:rPr>
        <w:t>,</w:t>
      </w:r>
      <w:r w:rsidRPr="00B42794">
        <w:rPr>
          <w:lang w:val="es-ES"/>
        </w:rPr>
        <w:t xml:space="preserve"> Observación General 13</w:t>
      </w:r>
      <w:bookmarkEnd w:id="10"/>
      <w:r w:rsidRPr="00B42794">
        <w:rPr>
          <w:lang w:val="es-ES"/>
        </w:rPr>
        <w:t xml:space="preserve">. </w:t>
      </w:r>
      <w:r w:rsidR="00145949" w:rsidRPr="00B42794">
        <w:rPr>
          <w:lang w:val="es-ES"/>
        </w:rPr>
        <w:t>E/C.12/1999/10</w:t>
      </w:r>
      <w:r w:rsidR="002B0D5D" w:rsidRPr="00B42794">
        <w:rPr>
          <w:lang w:val="es-ES"/>
        </w:rPr>
        <w:t>,</w:t>
      </w:r>
      <w:r w:rsidR="00145949" w:rsidRPr="00B42794">
        <w:rPr>
          <w:lang w:val="es-ES"/>
        </w:rPr>
        <w:t xml:space="preserve"> 8 de diciembre de 1999</w:t>
      </w:r>
      <w:r w:rsidR="003820AC" w:rsidRPr="00B42794">
        <w:rPr>
          <w:lang w:val="es-ES"/>
        </w:rPr>
        <w:t>; y Corte IDH,</w:t>
      </w:r>
      <w:r w:rsidR="00145949" w:rsidRPr="00B42794">
        <w:rPr>
          <w:lang w:val="es-ES"/>
        </w:rPr>
        <w:t xml:space="preserve"> Caso Poblete Vilches y otros </w:t>
      </w:r>
      <w:r w:rsidR="003820AC" w:rsidRPr="00B42794">
        <w:rPr>
          <w:lang w:val="es-ES"/>
        </w:rPr>
        <w:t>V</w:t>
      </w:r>
      <w:r w:rsidR="00145949" w:rsidRPr="00B42794">
        <w:rPr>
          <w:lang w:val="es-ES"/>
        </w:rPr>
        <w:t xml:space="preserve">s. Chile, Fondo, Reparaciones y Costas, </w:t>
      </w:r>
      <w:r w:rsidR="004C0F84" w:rsidRPr="00B42794">
        <w:rPr>
          <w:lang w:val="es-ES"/>
        </w:rPr>
        <w:t xml:space="preserve">Sentencia del </w:t>
      </w:r>
      <w:r w:rsidR="00145949" w:rsidRPr="00B42794">
        <w:rPr>
          <w:lang w:val="es-ES"/>
        </w:rPr>
        <w:t xml:space="preserve">8 </w:t>
      </w:r>
      <w:r w:rsidR="003820AC" w:rsidRPr="00B42794">
        <w:rPr>
          <w:lang w:val="es-ES"/>
        </w:rPr>
        <w:t>de m</w:t>
      </w:r>
      <w:r w:rsidR="00145949" w:rsidRPr="00B42794">
        <w:rPr>
          <w:lang w:val="es-ES"/>
        </w:rPr>
        <w:t>arzo de 2018</w:t>
      </w:r>
      <w:r w:rsidR="004C0F84" w:rsidRPr="00B42794">
        <w:rPr>
          <w:lang w:val="es-ES"/>
        </w:rPr>
        <w:t xml:space="preserve">, Serie C </w:t>
      </w:r>
      <w:proofErr w:type="spellStart"/>
      <w:r w:rsidR="004C0F84" w:rsidRPr="00B42794">
        <w:rPr>
          <w:lang w:val="es-ES"/>
        </w:rPr>
        <w:t>Nº</w:t>
      </w:r>
      <w:proofErr w:type="spellEnd"/>
      <w:r w:rsidR="004C0F84" w:rsidRPr="00B42794">
        <w:rPr>
          <w:lang w:val="es-ES"/>
        </w:rPr>
        <w:t xml:space="preserve"> </w:t>
      </w:r>
      <w:r w:rsidR="00B42794" w:rsidRPr="00B42794">
        <w:rPr>
          <w:lang w:val="es-ES"/>
        </w:rPr>
        <w:t>213</w:t>
      </w:r>
      <w:r w:rsidR="00145949" w:rsidRPr="00B42794">
        <w:rPr>
          <w:lang w:val="es-ES"/>
        </w:rPr>
        <w:t>.</w:t>
      </w:r>
    </w:p>
  </w:footnote>
  <w:footnote w:id="84">
    <w:p w14:paraId="3D27BB99" w14:textId="77777777" w:rsidR="00E43471" w:rsidRPr="00811AAE" w:rsidRDefault="00E43471" w:rsidP="00E43471">
      <w:pPr>
        <w:pStyle w:val="FootnoteText"/>
        <w:rPr>
          <w:color w:val="FF0000"/>
          <w:lang w:val="es-US"/>
        </w:rPr>
      </w:pPr>
      <w:r>
        <w:rPr>
          <w:rStyle w:val="FootnoteReference"/>
        </w:rPr>
        <w:footnoteRef/>
      </w:r>
      <w:r w:rsidRPr="00811AAE">
        <w:rPr>
          <w:lang w:val="es-US"/>
        </w:rPr>
        <w:t xml:space="preserve"> </w:t>
      </w:r>
      <w:r w:rsidRPr="0013045E">
        <w:rPr>
          <w:color w:val="000000" w:themeColor="text1"/>
          <w:lang w:val="es-US"/>
        </w:rPr>
        <w:t xml:space="preserve">Corte IDH, </w:t>
      </w:r>
      <w:r w:rsidR="00000000">
        <w:fldChar w:fldCharType="begin"/>
      </w:r>
      <w:r w:rsidR="00000000" w:rsidRPr="00F51AED">
        <w:rPr>
          <w:lang w:val="es-US"/>
        </w:rPr>
        <w:instrText>HYPERLINK "https://biblioteca.corteidh.or.cr/adjunto/38989"</w:instrText>
      </w:r>
      <w:r w:rsidR="00000000">
        <w:fldChar w:fldCharType="separate"/>
      </w:r>
      <w:r w:rsidRPr="00AD79A5">
        <w:rPr>
          <w:rStyle w:val="Hyperlink"/>
          <w:lang w:val="es-ES"/>
        </w:rPr>
        <w:t>Cuadernillo 28: Derecho a la salud</w:t>
      </w:r>
      <w:r w:rsidR="00000000">
        <w:rPr>
          <w:rStyle w:val="Hyperlink"/>
          <w:lang w:val="es-ES"/>
        </w:rPr>
        <w:fldChar w:fldCharType="end"/>
      </w:r>
      <w:r w:rsidRPr="0013045E">
        <w:rPr>
          <w:color w:val="000000" w:themeColor="text1"/>
          <w:lang w:val="es-US"/>
        </w:rPr>
        <w:t xml:space="preserve">, 2022, p. 21. </w:t>
      </w:r>
    </w:p>
  </w:footnote>
  <w:footnote w:id="85">
    <w:p w14:paraId="3854AF87" w14:textId="0632A15E" w:rsidR="00E43471" w:rsidRPr="00A41D8F" w:rsidRDefault="00E43471" w:rsidP="00E43471">
      <w:pPr>
        <w:pStyle w:val="FootnoteText"/>
        <w:rPr>
          <w:lang w:val="es-US"/>
        </w:rPr>
      </w:pPr>
      <w:r>
        <w:rPr>
          <w:rStyle w:val="FootnoteReference"/>
        </w:rPr>
        <w:footnoteRef/>
      </w:r>
      <w:r w:rsidRPr="00811AAE">
        <w:rPr>
          <w:lang w:val="pt-BR"/>
        </w:rPr>
        <w:t xml:space="preserve"> Corte IDH</w:t>
      </w:r>
      <w:r w:rsidR="00CF5080">
        <w:rPr>
          <w:lang w:val="pt-BR"/>
        </w:rPr>
        <w:t>.</w:t>
      </w:r>
      <w:r w:rsidRPr="00811AAE">
        <w:rPr>
          <w:lang w:val="pt-BR"/>
        </w:rPr>
        <w:t xml:space="preserve"> Caso I.V. Vs. </w:t>
      </w:r>
      <w:r w:rsidRPr="00A41D8F">
        <w:rPr>
          <w:lang w:val="es-US"/>
        </w:rPr>
        <w:t>Bolivia</w:t>
      </w:r>
      <w:r w:rsidR="00CF5080">
        <w:rPr>
          <w:lang w:val="es-US"/>
        </w:rPr>
        <w:t>.</w:t>
      </w:r>
      <w:r w:rsidRPr="00A41D8F">
        <w:rPr>
          <w:lang w:val="es-US"/>
        </w:rPr>
        <w:t xml:space="preserve"> Excepciones Preliminares, Fondo, Reparaciones y Costas</w:t>
      </w:r>
      <w:r w:rsidR="00CF5080">
        <w:rPr>
          <w:lang w:val="es-US"/>
        </w:rPr>
        <w:t>.</w:t>
      </w:r>
      <w:r w:rsidRPr="00A41D8F">
        <w:rPr>
          <w:lang w:val="es-US"/>
        </w:rPr>
        <w:t xml:space="preserve"> </w:t>
      </w:r>
      <w:r w:rsidR="000B7822" w:rsidRPr="00A41D8F">
        <w:rPr>
          <w:lang w:val="es-US"/>
        </w:rPr>
        <w:t>S</w:t>
      </w:r>
      <w:r w:rsidRPr="00A41D8F">
        <w:rPr>
          <w:lang w:val="es-US"/>
        </w:rPr>
        <w:t>entencia de 30 de noviembre de 2016</w:t>
      </w:r>
      <w:r w:rsidR="00CF5080">
        <w:rPr>
          <w:lang w:val="es-US"/>
        </w:rPr>
        <w:t>.</w:t>
      </w:r>
      <w:r w:rsidRPr="00A41D8F">
        <w:rPr>
          <w:lang w:val="es-US"/>
        </w:rPr>
        <w:t xml:space="preserve"> Serie C </w:t>
      </w:r>
      <w:proofErr w:type="spellStart"/>
      <w:r w:rsidR="001E2E13" w:rsidRPr="00A41D8F">
        <w:rPr>
          <w:lang w:val="es-US"/>
        </w:rPr>
        <w:t>Nº</w:t>
      </w:r>
      <w:proofErr w:type="spellEnd"/>
      <w:r w:rsidRPr="00A41D8F">
        <w:rPr>
          <w:lang w:val="es-US"/>
        </w:rPr>
        <w:t xml:space="preserve"> 329, párr</w:t>
      </w:r>
      <w:r w:rsidR="00D17C58" w:rsidRPr="00A41D8F">
        <w:rPr>
          <w:lang w:val="es-US"/>
        </w:rPr>
        <w:t>.</w:t>
      </w:r>
      <w:r w:rsidRPr="00A41D8F">
        <w:rPr>
          <w:lang w:val="es-US"/>
        </w:rPr>
        <w:t xml:space="preserve"> 332.</w:t>
      </w:r>
    </w:p>
  </w:footnote>
  <w:footnote w:id="86">
    <w:p w14:paraId="23DEAACE" w14:textId="0E3E9089" w:rsidR="00E43471" w:rsidRPr="0058572E" w:rsidRDefault="00E43471" w:rsidP="00E43471">
      <w:pPr>
        <w:pStyle w:val="FootnoteText"/>
        <w:rPr>
          <w:lang w:val="es-ES"/>
        </w:rPr>
      </w:pPr>
      <w:r>
        <w:rPr>
          <w:rStyle w:val="FootnoteReference"/>
        </w:rPr>
        <w:footnoteRef/>
      </w:r>
      <w:r w:rsidRPr="00F51AED">
        <w:rPr>
          <w:lang w:val="es-US"/>
        </w:rPr>
        <w:t xml:space="preserve"> Corte IDH</w:t>
      </w:r>
      <w:r w:rsidR="00CF5080" w:rsidRPr="00F51AED">
        <w:rPr>
          <w:lang w:val="es-US"/>
        </w:rPr>
        <w:t>.</w:t>
      </w:r>
      <w:r w:rsidRPr="00F51AED">
        <w:rPr>
          <w:lang w:val="es-US"/>
        </w:rPr>
        <w:t xml:space="preserve"> Caso I.V. Vs. </w:t>
      </w:r>
      <w:r w:rsidRPr="0058572E">
        <w:rPr>
          <w:lang w:val="es-ES"/>
        </w:rPr>
        <w:t>Bolivia</w:t>
      </w:r>
      <w:r>
        <w:rPr>
          <w:lang w:val="es-ES"/>
        </w:rPr>
        <w:t>,</w:t>
      </w:r>
      <w:r w:rsidRPr="0058572E">
        <w:rPr>
          <w:lang w:val="es-ES"/>
        </w:rPr>
        <w:t xml:space="preserve"> Excepciones Preliminares, Fondo, Reparaciones y Costas</w:t>
      </w:r>
      <w:r w:rsidR="00CF5080">
        <w:rPr>
          <w:lang w:val="es-ES"/>
        </w:rPr>
        <w:t>.</w:t>
      </w:r>
      <w:r>
        <w:rPr>
          <w:lang w:val="es-ES"/>
        </w:rPr>
        <w:t xml:space="preserve"> </w:t>
      </w:r>
      <w:r w:rsidR="000B7822">
        <w:rPr>
          <w:lang w:val="es-ES"/>
        </w:rPr>
        <w:t>S</w:t>
      </w:r>
      <w:r w:rsidRPr="0058572E">
        <w:rPr>
          <w:lang w:val="es-ES"/>
        </w:rPr>
        <w:t>entencia de 30 de noviembre de 2016</w:t>
      </w:r>
      <w:r w:rsidR="00CF5080">
        <w:rPr>
          <w:lang w:val="es-ES"/>
        </w:rPr>
        <w:t>.</w:t>
      </w:r>
      <w:r w:rsidRPr="0058572E">
        <w:rPr>
          <w:lang w:val="es-ES"/>
        </w:rPr>
        <w:t xml:space="preserve"> Serie C </w:t>
      </w:r>
      <w:proofErr w:type="spellStart"/>
      <w:r w:rsidR="001E2E13">
        <w:rPr>
          <w:lang w:val="es-ES"/>
        </w:rPr>
        <w:t>Nº</w:t>
      </w:r>
      <w:proofErr w:type="spellEnd"/>
      <w:r w:rsidRPr="0058572E">
        <w:rPr>
          <w:lang w:val="es-ES"/>
        </w:rPr>
        <w:t xml:space="preserve"> 329</w:t>
      </w:r>
      <w:r w:rsidR="00CF5080">
        <w:rPr>
          <w:lang w:val="es-ES"/>
        </w:rPr>
        <w:t>,</w:t>
      </w:r>
      <w:r w:rsidRPr="0058572E">
        <w:rPr>
          <w:lang w:val="es-ES"/>
        </w:rPr>
        <w:t xml:space="preserve"> </w:t>
      </w:r>
      <w:r>
        <w:rPr>
          <w:lang w:val="es-ES"/>
        </w:rPr>
        <w:t>pá</w:t>
      </w:r>
      <w:r w:rsidRPr="0058572E">
        <w:rPr>
          <w:lang w:val="es-ES"/>
        </w:rPr>
        <w:t>rr. 332</w:t>
      </w:r>
      <w:r>
        <w:rPr>
          <w:lang w:val="es-ES"/>
        </w:rPr>
        <w:t>.</w:t>
      </w:r>
    </w:p>
  </w:footnote>
  <w:footnote w:id="87">
    <w:p w14:paraId="029BF96F" w14:textId="77777777" w:rsidR="005B081B" w:rsidRPr="00D7537E" w:rsidRDefault="005B081B" w:rsidP="005B081B">
      <w:pPr>
        <w:pStyle w:val="FootnoteText"/>
        <w:rPr>
          <w:lang w:val="es-ES"/>
        </w:rPr>
      </w:pPr>
      <w:r>
        <w:rPr>
          <w:rStyle w:val="FootnoteReference"/>
        </w:rPr>
        <w:footnoteRef/>
      </w:r>
      <w:r w:rsidRPr="00D7537E">
        <w:rPr>
          <w:lang w:val="es-ES"/>
        </w:rPr>
        <w:t xml:space="preserve"> </w:t>
      </w:r>
      <w:r w:rsidR="00000000">
        <w:fldChar w:fldCharType="begin"/>
      </w:r>
      <w:r w:rsidR="00000000" w:rsidRPr="00F51AED">
        <w:rPr>
          <w:lang w:val="es-ES"/>
        </w:rPr>
        <w:instrText>HYPERLINK "https://www.gob.pe/institucion/cultura/normas-legales/206210-003-2015-mc"</w:instrText>
      </w:r>
      <w:r w:rsidR="00000000">
        <w:fldChar w:fldCharType="separate"/>
      </w:r>
      <w:r w:rsidRPr="00094120">
        <w:rPr>
          <w:rStyle w:val="Hyperlink"/>
          <w:lang w:val="es-ES"/>
        </w:rPr>
        <w:t xml:space="preserve">Decreto Supremo </w:t>
      </w:r>
      <w:proofErr w:type="spellStart"/>
      <w:r w:rsidRPr="00094120">
        <w:rPr>
          <w:rStyle w:val="Hyperlink"/>
          <w:lang w:val="es-ES"/>
        </w:rPr>
        <w:t>N°</w:t>
      </w:r>
      <w:proofErr w:type="spellEnd"/>
      <w:r w:rsidRPr="00094120">
        <w:rPr>
          <w:rStyle w:val="Hyperlink"/>
          <w:lang w:val="es-ES"/>
        </w:rPr>
        <w:t xml:space="preserve"> 003-2015-MC</w:t>
      </w:r>
      <w:r w:rsidR="00000000">
        <w:rPr>
          <w:rStyle w:val="Hyperlink"/>
          <w:lang w:val="es-ES"/>
        </w:rPr>
        <w:fldChar w:fldCharType="end"/>
      </w:r>
      <w:r>
        <w:rPr>
          <w:lang w:val="es-ES"/>
        </w:rPr>
        <w:t>, 28 de octubre de 2015.</w:t>
      </w:r>
    </w:p>
  </w:footnote>
  <w:footnote w:id="88">
    <w:p w14:paraId="34BCD810" w14:textId="77777777" w:rsidR="005B081B" w:rsidRPr="00D7537E" w:rsidRDefault="005B081B" w:rsidP="005B081B">
      <w:pPr>
        <w:pStyle w:val="FootnoteText"/>
        <w:rPr>
          <w:lang w:val="es-ES"/>
        </w:rPr>
      </w:pPr>
      <w:r>
        <w:rPr>
          <w:rStyle w:val="FootnoteReference"/>
        </w:rPr>
        <w:footnoteRef/>
      </w:r>
      <w:r w:rsidRPr="00D7537E">
        <w:rPr>
          <w:lang w:val="es-ES"/>
        </w:rPr>
        <w:t xml:space="preserve"> </w:t>
      </w:r>
      <w:r w:rsidR="00000000">
        <w:fldChar w:fldCharType="begin"/>
      </w:r>
      <w:r w:rsidR="00000000" w:rsidRPr="00F51AED">
        <w:rPr>
          <w:lang w:val="es-ES"/>
        </w:rPr>
        <w:instrText>HYPERLINK "https://www.gob.pe/institucion/cultura/normas-legales/209587-124-2015-mc"</w:instrText>
      </w:r>
      <w:r w:rsidR="00000000">
        <w:fldChar w:fldCharType="separate"/>
      </w:r>
      <w:r w:rsidRPr="00094120">
        <w:rPr>
          <w:rStyle w:val="Hyperlink"/>
          <w:lang w:val="es-ES"/>
        </w:rPr>
        <w:t xml:space="preserve">Resolución Ministerial </w:t>
      </w:r>
      <w:proofErr w:type="spellStart"/>
      <w:r w:rsidRPr="00094120">
        <w:rPr>
          <w:rStyle w:val="Hyperlink"/>
          <w:lang w:val="es-ES"/>
        </w:rPr>
        <w:t>N°</w:t>
      </w:r>
      <w:proofErr w:type="spellEnd"/>
      <w:r w:rsidRPr="00094120">
        <w:rPr>
          <w:rStyle w:val="Hyperlink"/>
          <w:lang w:val="es-ES"/>
        </w:rPr>
        <w:t xml:space="preserve"> 124-2015-MC</w:t>
      </w:r>
      <w:r w:rsidR="00000000">
        <w:rPr>
          <w:rStyle w:val="Hyperlink"/>
          <w:lang w:val="es-ES"/>
        </w:rPr>
        <w:fldChar w:fldCharType="end"/>
      </w:r>
      <w:r>
        <w:rPr>
          <w:lang w:val="es-ES"/>
        </w:rPr>
        <w:t>, 8 de abril de 2015.</w:t>
      </w:r>
    </w:p>
  </w:footnote>
  <w:footnote w:id="89">
    <w:p w14:paraId="4BB9B541" w14:textId="77777777" w:rsidR="005B081B" w:rsidRPr="00F51AED" w:rsidRDefault="005B081B" w:rsidP="005B081B">
      <w:pPr>
        <w:pStyle w:val="FootnoteText"/>
        <w:rPr>
          <w:lang w:val="pt-BR"/>
        </w:rPr>
      </w:pPr>
      <w:r>
        <w:rPr>
          <w:rStyle w:val="FootnoteReference"/>
        </w:rPr>
        <w:footnoteRef/>
      </w:r>
      <w:r w:rsidRPr="00F51AED">
        <w:rPr>
          <w:lang w:val="pt-BR"/>
        </w:rPr>
        <w:t xml:space="preserve"> </w:t>
      </w:r>
      <w:r w:rsidR="00000000">
        <w:fldChar w:fldCharType="begin"/>
      </w:r>
      <w:r w:rsidR="00000000" w:rsidRPr="00F51AED">
        <w:rPr>
          <w:lang w:val="pt-BR"/>
        </w:rPr>
        <w:instrText>HYPERLINK "https://www.gob.pe/institucion/cultura/normas-legales/289561-ds-n-009-2019-mc"</w:instrText>
      </w:r>
      <w:r w:rsidR="00000000">
        <w:fldChar w:fldCharType="separate"/>
      </w:r>
      <w:r w:rsidRPr="00F51AED">
        <w:rPr>
          <w:rStyle w:val="Hyperlink"/>
          <w:lang w:val="pt-BR"/>
        </w:rPr>
        <w:t>Decreto Supremo N° 009-2019-MC</w:t>
      </w:r>
      <w:r w:rsidR="00000000">
        <w:rPr>
          <w:rStyle w:val="Hyperlink"/>
          <w:lang w:val="es-ES"/>
        </w:rPr>
        <w:fldChar w:fldCharType="end"/>
      </w:r>
      <w:r w:rsidRPr="00F51AED">
        <w:rPr>
          <w:lang w:val="pt-BR"/>
        </w:rPr>
        <w:t>, 8 de agosto de 2019.</w:t>
      </w:r>
    </w:p>
  </w:footnote>
  <w:footnote w:id="90">
    <w:p w14:paraId="2E6B6E7C" w14:textId="061B46A4" w:rsidR="005B081B" w:rsidRPr="00196291" w:rsidRDefault="005B081B" w:rsidP="005B081B">
      <w:pPr>
        <w:pStyle w:val="FootnoteText"/>
        <w:rPr>
          <w:lang w:val="es-ES"/>
        </w:rPr>
      </w:pPr>
      <w:r>
        <w:rPr>
          <w:rStyle w:val="FootnoteReference"/>
        </w:rPr>
        <w:footnoteRef/>
      </w:r>
      <w:r w:rsidRPr="00196291">
        <w:rPr>
          <w:lang w:val="es-ES"/>
        </w:rPr>
        <w:t xml:space="preserve"> </w:t>
      </w:r>
      <w:r w:rsidR="00000000">
        <w:fldChar w:fldCharType="begin"/>
      </w:r>
      <w:r w:rsidR="00000000" w:rsidRPr="00F51AED">
        <w:rPr>
          <w:lang w:val="es-US"/>
        </w:rPr>
        <w:instrText>HYPERLINK "https://bdpi.cultura.gob.pe/"</w:instrText>
      </w:r>
      <w:r w:rsidR="00000000">
        <w:fldChar w:fldCharType="separate"/>
      </w:r>
      <w:r w:rsidRPr="00AF7A50">
        <w:rPr>
          <w:rStyle w:val="Hyperlink"/>
          <w:lang w:val="es-ES"/>
        </w:rPr>
        <w:t>Base de Datos de Pueblos Indígenas u Originarios</w:t>
      </w:r>
      <w:r w:rsidR="00000000">
        <w:rPr>
          <w:rStyle w:val="Hyperlink"/>
          <w:lang w:val="es-ES"/>
        </w:rPr>
        <w:fldChar w:fldCharType="end"/>
      </w:r>
      <w:r>
        <w:rPr>
          <w:lang w:val="es-ES"/>
        </w:rPr>
        <w:t>.</w:t>
      </w:r>
    </w:p>
  </w:footnote>
  <w:footnote w:id="91">
    <w:p w14:paraId="3CA0B17B" w14:textId="6606EE9C" w:rsidR="005B081B" w:rsidRPr="00890A47" w:rsidRDefault="005B081B" w:rsidP="005B081B">
      <w:pPr>
        <w:pStyle w:val="FootnoteText"/>
        <w:rPr>
          <w:lang w:val="es-ES"/>
        </w:rPr>
      </w:pPr>
      <w:r>
        <w:rPr>
          <w:rStyle w:val="FootnoteReference"/>
        </w:rPr>
        <w:footnoteRef/>
      </w:r>
      <w:r w:rsidRPr="00890A47">
        <w:rPr>
          <w:lang w:val="es-ES"/>
        </w:rPr>
        <w:t xml:space="preserve"> </w:t>
      </w:r>
      <w:r w:rsidR="00000000">
        <w:fldChar w:fldCharType="begin"/>
      </w:r>
      <w:r w:rsidR="00000000" w:rsidRPr="00F51AED">
        <w:rPr>
          <w:lang w:val="es-US"/>
        </w:rPr>
        <w:instrText>HYPERLINK "https://busquedas.elperuano.pe/dispositivo/NL/2036818-1"</w:instrText>
      </w:r>
      <w:r w:rsidR="00000000">
        <w:fldChar w:fldCharType="separate"/>
      </w:r>
      <w:r w:rsidRPr="00890A47">
        <w:rPr>
          <w:rStyle w:val="Hyperlink"/>
          <w:rFonts w:eastAsia="Cambria" w:cs="Cambria"/>
          <w:szCs w:val="16"/>
          <w:lang w:val="es-CO"/>
        </w:rPr>
        <w:t xml:space="preserve">Ley </w:t>
      </w:r>
      <w:proofErr w:type="spellStart"/>
      <w:r w:rsidR="001E2E13">
        <w:rPr>
          <w:rStyle w:val="Hyperlink"/>
          <w:rFonts w:eastAsia="Cambria" w:cs="Cambria"/>
          <w:szCs w:val="16"/>
          <w:lang w:val="es-CO"/>
        </w:rPr>
        <w:t>Nº</w:t>
      </w:r>
      <w:proofErr w:type="spellEnd"/>
      <w:r w:rsidRPr="00890A47">
        <w:rPr>
          <w:rStyle w:val="Hyperlink"/>
          <w:rFonts w:eastAsia="Cambria" w:cs="Cambria"/>
          <w:szCs w:val="16"/>
          <w:lang w:val="es-CO"/>
        </w:rPr>
        <w:t xml:space="preserve"> 31405</w:t>
      </w:r>
      <w:r w:rsidR="00000000">
        <w:rPr>
          <w:rStyle w:val="Hyperlink"/>
          <w:rFonts w:eastAsia="Cambria" w:cs="Cambria"/>
          <w:szCs w:val="16"/>
          <w:lang w:val="es-CO"/>
        </w:rPr>
        <w:fldChar w:fldCharType="end"/>
      </w:r>
      <w:r>
        <w:rPr>
          <w:rFonts w:eastAsia="Cambria" w:cs="Cambria"/>
          <w:color w:val="000000" w:themeColor="text1"/>
          <w:szCs w:val="16"/>
          <w:lang w:val="es-CO"/>
        </w:rPr>
        <w:t>, 4 de febrero de 2022.</w:t>
      </w:r>
    </w:p>
  </w:footnote>
  <w:footnote w:id="92">
    <w:p w14:paraId="4B0AD250" w14:textId="77777777" w:rsidR="005B081B" w:rsidRPr="00C91453" w:rsidRDefault="005B081B" w:rsidP="005B081B">
      <w:pPr>
        <w:pStyle w:val="FootnoteText"/>
        <w:rPr>
          <w:rFonts w:eastAsia="Cambria" w:cs="Cambria"/>
          <w:color w:val="000000" w:themeColor="text1"/>
          <w:szCs w:val="16"/>
          <w:lang w:val="es-CO"/>
        </w:rPr>
      </w:pPr>
      <w:r>
        <w:rPr>
          <w:rStyle w:val="FootnoteReference"/>
        </w:rPr>
        <w:footnoteRef/>
      </w:r>
      <w:r w:rsidRPr="00C91453">
        <w:rPr>
          <w:lang w:val="es-ES"/>
        </w:rPr>
        <w:t xml:space="preserve"> </w:t>
      </w:r>
      <w:r w:rsidR="00000000">
        <w:fldChar w:fldCharType="begin"/>
      </w:r>
      <w:r w:rsidR="00000000" w:rsidRPr="00F51AED">
        <w:rPr>
          <w:lang w:val="es-US"/>
        </w:rPr>
        <w:instrText>HYPERLINK "https://www.gob.pe/institucion/mimp/normas-legales/3878172-002-2023-mimp"</w:instrText>
      </w:r>
      <w:r w:rsidR="00000000">
        <w:fldChar w:fldCharType="separate"/>
      </w:r>
      <w:r w:rsidRPr="00724275">
        <w:rPr>
          <w:rStyle w:val="Hyperlink"/>
          <w:rFonts w:eastAsia="Cambria" w:cs="Cambria"/>
          <w:szCs w:val="16"/>
          <w:lang w:val="es-CO"/>
        </w:rPr>
        <w:t xml:space="preserve">Decreto Supremo </w:t>
      </w:r>
      <w:proofErr w:type="spellStart"/>
      <w:r w:rsidRPr="00724275">
        <w:rPr>
          <w:rStyle w:val="Hyperlink"/>
          <w:rFonts w:eastAsia="Cambria" w:cs="Cambria"/>
          <w:szCs w:val="16"/>
          <w:lang w:val="es-CO"/>
        </w:rPr>
        <w:t>Nº</w:t>
      </w:r>
      <w:proofErr w:type="spellEnd"/>
      <w:r w:rsidRPr="00724275">
        <w:rPr>
          <w:rStyle w:val="Hyperlink"/>
          <w:rFonts w:eastAsia="Cambria" w:cs="Cambria"/>
          <w:szCs w:val="16"/>
          <w:lang w:val="es-CO"/>
        </w:rPr>
        <w:t xml:space="preserve"> 002-2023-MIMP</w:t>
      </w:r>
      <w:r w:rsidR="00000000">
        <w:rPr>
          <w:rStyle w:val="Hyperlink"/>
          <w:rFonts w:eastAsia="Cambria" w:cs="Cambria"/>
          <w:szCs w:val="16"/>
          <w:lang w:val="es-CO"/>
        </w:rPr>
        <w:fldChar w:fldCharType="end"/>
      </w:r>
      <w:r>
        <w:rPr>
          <w:rFonts w:eastAsia="Cambria" w:cs="Cambria"/>
          <w:color w:val="000000" w:themeColor="text1"/>
          <w:szCs w:val="16"/>
          <w:lang w:val="es-CO"/>
        </w:rPr>
        <w:t>,</w:t>
      </w:r>
      <w:r w:rsidRPr="00C91453">
        <w:rPr>
          <w:rFonts w:eastAsia="Cambria" w:cs="Cambria"/>
          <w:color w:val="000000" w:themeColor="text1"/>
          <w:szCs w:val="16"/>
          <w:lang w:val="es-CO"/>
        </w:rPr>
        <w:t xml:space="preserve"> 7 de febrero de 2023</w:t>
      </w:r>
      <w:r>
        <w:rPr>
          <w:rFonts w:eastAsia="Cambria" w:cs="Cambria"/>
          <w:color w:val="000000" w:themeColor="text1"/>
          <w:szCs w:val="16"/>
          <w:lang w:val="es-CO"/>
        </w:rPr>
        <w:t>.</w:t>
      </w:r>
    </w:p>
  </w:footnote>
  <w:footnote w:id="93">
    <w:p w14:paraId="3B763916" w14:textId="32FCBF93" w:rsidR="005B081B" w:rsidRPr="00C91453" w:rsidRDefault="005B081B" w:rsidP="005B081B">
      <w:pPr>
        <w:pStyle w:val="FootnoteText"/>
        <w:rPr>
          <w:lang w:val="es-ES"/>
        </w:rPr>
      </w:pPr>
      <w:r>
        <w:rPr>
          <w:rStyle w:val="FootnoteReference"/>
        </w:rPr>
        <w:footnoteRef/>
      </w:r>
      <w:r w:rsidRPr="00C91453">
        <w:rPr>
          <w:lang w:val="es-ES"/>
        </w:rPr>
        <w:t xml:space="preserve"> Policía Nacional del Perú</w:t>
      </w:r>
      <w:r>
        <w:rPr>
          <w:lang w:val="es-ES"/>
        </w:rPr>
        <w:t>,</w:t>
      </w:r>
      <w:r w:rsidRPr="00C91453">
        <w:rPr>
          <w:lang w:val="es-ES"/>
        </w:rPr>
        <w:t xml:space="preserve"> </w:t>
      </w:r>
      <w:r w:rsidR="00000000">
        <w:fldChar w:fldCharType="begin"/>
      </w:r>
      <w:r w:rsidR="00000000" w:rsidRPr="00F51AED">
        <w:rPr>
          <w:lang w:val="es-US"/>
        </w:rPr>
        <w:instrText>HYPERLINK "https://www.policia.gob.pe/pnp/archivos/portal/doc/24958doc_R.C.G-PNP-418-2022-CG-PNP-EMG-aprobando-directiva.pdf"</w:instrText>
      </w:r>
      <w:r w:rsidR="00000000">
        <w:fldChar w:fldCharType="separate"/>
      </w:r>
      <w:r w:rsidRPr="00E81B03">
        <w:rPr>
          <w:rStyle w:val="Hyperlink"/>
          <w:lang w:val="es-ES"/>
        </w:rPr>
        <w:t xml:space="preserve">Resolución de la Comandancia General de la Policía Nacional </w:t>
      </w:r>
      <w:proofErr w:type="spellStart"/>
      <w:r w:rsidR="001E2E13">
        <w:rPr>
          <w:rStyle w:val="Hyperlink"/>
          <w:lang w:val="es-ES"/>
        </w:rPr>
        <w:t>Nº</w:t>
      </w:r>
      <w:proofErr w:type="spellEnd"/>
      <w:r w:rsidRPr="00E81B03">
        <w:rPr>
          <w:rStyle w:val="Hyperlink"/>
          <w:lang w:val="es-ES"/>
        </w:rPr>
        <w:t xml:space="preserve"> 418-2022-CG PNP/EMG</w:t>
      </w:r>
      <w:r w:rsidR="00000000">
        <w:rPr>
          <w:rStyle w:val="Hyperlink"/>
          <w:lang w:val="es-ES"/>
        </w:rPr>
        <w:fldChar w:fldCharType="end"/>
      </w:r>
      <w:r>
        <w:rPr>
          <w:lang w:val="es-ES"/>
        </w:rPr>
        <w:t>,</w:t>
      </w:r>
      <w:r w:rsidRPr="00C91453">
        <w:rPr>
          <w:lang w:val="es-ES"/>
        </w:rPr>
        <w:t xml:space="preserve"> 13</w:t>
      </w:r>
      <w:r>
        <w:rPr>
          <w:lang w:val="es-ES"/>
        </w:rPr>
        <w:t xml:space="preserve"> de octubre de </w:t>
      </w:r>
      <w:r w:rsidRPr="00C91453">
        <w:rPr>
          <w:lang w:val="es-ES"/>
        </w:rPr>
        <w:t>2022</w:t>
      </w:r>
      <w:r>
        <w:rPr>
          <w:lang w:val="es-ES"/>
        </w:rPr>
        <w:t>.</w:t>
      </w:r>
    </w:p>
  </w:footnote>
  <w:footnote w:id="94">
    <w:p w14:paraId="5624DB64" w14:textId="77777777" w:rsidR="005B081B" w:rsidRPr="00BA359D" w:rsidRDefault="005B081B" w:rsidP="005B081B">
      <w:pPr>
        <w:pStyle w:val="FootnoteText"/>
        <w:rPr>
          <w:lang w:val="es-ES"/>
        </w:rPr>
      </w:pPr>
      <w:r>
        <w:rPr>
          <w:rStyle w:val="FootnoteReference"/>
        </w:rPr>
        <w:footnoteRef/>
      </w:r>
      <w:r w:rsidRPr="00BA359D">
        <w:rPr>
          <w:lang w:val="es-ES"/>
        </w:rPr>
        <w:t xml:space="preserve"> </w:t>
      </w:r>
      <w:r w:rsidR="00000000">
        <w:fldChar w:fldCharType="begin"/>
      </w:r>
      <w:r w:rsidR="00000000" w:rsidRPr="00F51AED">
        <w:rPr>
          <w:lang w:val="es-US"/>
        </w:rPr>
        <w:instrText>HYPERLINK "https://comunicaciones.congreso.gob.pe/noticias/aprueban-dictamen-que-declara-imputabilidad-de-adolescentes-de-16-y-17-anos-para-delitos-graves/"</w:instrText>
      </w:r>
      <w:r w:rsidR="00000000">
        <w:fldChar w:fldCharType="separate"/>
      </w:r>
      <w:r w:rsidRPr="00AB5540">
        <w:rPr>
          <w:rStyle w:val="Hyperlink"/>
          <w:lang w:val="es-ES"/>
        </w:rPr>
        <w:t>Proyecto de Ley 618 modifica el numeral 2 del artículo 20 del Código Penal</w:t>
      </w:r>
      <w:r w:rsidR="00000000">
        <w:rPr>
          <w:rStyle w:val="Hyperlink"/>
          <w:lang w:val="es-ES"/>
        </w:rPr>
        <w:fldChar w:fldCharType="end"/>
      </w:r>
      <w:r w:rsidRPr="00AB5540">
        <w:rPr>
          <w:lang w:val="es-ES"/>
        </w:rPr>
        <w:t xml:space="preserve">. </w:t>
      </w:r>
    </w:p>
  </w:footnote>
  <w:footnote w:id="95">
    <w:p w14:paraId="4623B891" w14:textId="77777777" w:rsidR="003864BC" w:rsidRPr="0009402C" w:rsidRDefault="003864BC" w:rsidP="003864BC">
      <w:pPr>
        <w:pStyle w:val="FootnoteText"/>
        <w:rPr>
          <w:lang w:val="es-ES"/>
        </w:rPr>
      </w:pPr>
      <w:r>
        <w:rPr>
          <w:rStyle w:val="FootnoteReference"/>
        </w:rPr>
        <w:footnoteRef/>
      </w:r>
      <w:r w:rsidRPr="0009402C">
        <w:rPr>
          <w:lang w:val="es-ES"/>
        </w:rPr>
        <w:t xml:space="preserve"> CIDH, </w:t>
      </w:r>
      <w:r w:rsidR="00000000">
        <w:fldChar w:fldCharType="begin"/>
      </w:r>
      <w:r w:rsidR="00000000" w:rsidRPr="00F51AED">
        <w:rPr>
          <w:lang w:val="es-US"/>
        </w:rPr>
        <w:instrText>HYPERLINK "https://www.oas.org/es/cidh/docs/pdfS/SEGURIDAD%20CIUDADANA%202009%20ESP.pdf"</w:instrText>
      </w:r>
      <w:r w:rsidR="00000000">
        <w:fldChar w:fldCharType="separate"/>
      </w:r>
      <w:r w:rsidRPr="24019998">
        <w:rPr>
          <w:rStyle w:val="Hyperlink"/>
          <w:lang w:val="es-ES"/>
        </w:rPr>
        <w:t>Informe sobre seguridad ciudadana y derechos humanos</w:t>
      </w:r>
      <w:r w:rsidR="00000000">
        <w:rPr>
          <w:rStyle w:val="Hyperlink"/>
          <w:lang w:val="es-ES"/>
        </w:rPr>
        <w:fldChar w:fldCharType="end"/>
      </w:r>
      <w:r w:rsidRPr="0009402C">
        <w:rPr>
          <w:lang w:val="es-ES"/>
        </w:rPr>
        <w:t>, OEA/</w:t>
      </w:r>
      <w:proofErr w:type="spellStart"/>
      <w:r w:rsidRPr="0009402C">
        <w:rPr>
          <w:lang w:val="es-ES"/>
        </w:rPr>
        <w:t>Ser.L</w:t>
      </w:r>
      <w:proofErr w:type="spellEnd"/>
      <w:r w:rsidRPr="0009402C">
        <w:rPr>
          <w:lang w:val="es-ES"/>
        </w:rPr>
        <w:t>/V/II. Doc.57, 31 de diciembre de 2009</w:t>
      </w:r>
      <w:r>
        <w:rPr>
          <w:lang w:val="es-ES"/>
        </w:rPr>
        <w:t>.</w:t>
      </w:r>
    </w:p>
  </w:footnote>
  <w:footnote w:id="96">
    <w:p w14:paraId="575E8894" w14:textId="5F7B4917" w:rsidR="005B081B" w:rsidRPr="009755F1" w:rsidRDefault="005B081B" w:rsidP="00145949">
      <w:pPr>
        <w:pStyle w:val="FootnoteText"/>
        <w:rPr>
          <w:lang w:val="es-ES"/>
        </w:rPr>
      </w:pPr>
      <w:r>
        <w:rPr>
          <w:rStyle w:val="FootnoteReference"/>
        </w:rPr>
        <w:footnoteRef/>
      </w:r>
      <w:r w:rsidRPr="009755F1">
        <w:rPr>
          <w:lang w:val="es-ES"/>
        </w:rPr>
        <w:t xml:space="preserve"> Comité de Derechos del Niño</w:t>
      </w:r>
      <w:r>
        <w:rPr>
          <w:lang w:val="es-ES"/>
        </w:rPr>
        <w:t xml:space="preserve">, Observación General 10, </w:t>
      </w:r>
      <w:r w:rsidR="00145949" w:rsidRPr="00145949">
        <w:rPr>
          <w:lang w:val="es-ES"/>
        </w:rPr>
        <w:t>CRC/C/GC/10</w:t>
      </w:r>
      <w:r w:rsidR="00145949">
        <w:rPr>
          <w:lang w:val="es-ES"/>
        </w:rPr>
        <w:t xml:space="preserve">, </w:t>
      </w:r>
      <w:r w:rsidR="00145949" w:rsidRPr="00145949">
        <w:rPr>
          <w:lang w:val="es-ES"/>
        </w:rPr>
        <w:t>25 de abril de 2007</w:t>
      </w:r>
      <w:r w:rsidR="0009402C">
        <w:rPr>
          <w:lang w:val="es-ES"/>
        </w:rPr>
        <w:t xml:space="preserve">, </w:t>
      </w:r>
      <w:r>
        <w:rPr>
          <w:lang w:val="es-ES"/>
        </w:rPr>
        <w:t>párr. 37.</w:t>
      </w:r>
      <w:r w:rsidR="0096718B">
        <w:rPr>
          <w:lang w:val="es-ES"/>
        </w:rPr>
        <w:t xml:space="preserve"> </w:t>
      </w:r>
    </w:p>
  </w:footnote>
  <w:footnote w:id="97">
    <w:p w14:paraId="60AA89AE" w14:textId="4291FEC1" w:rsidR="005B081B" w:rsidRPr="008650FD" w:rsidRDefault="005B081B" w:rsidP="005B081B">
      <w:pPr>
        <w:pStyle w:val="FootnoteText"/>
        <w:rPr>
          <w:lang w:val="es-ES"/>
        </w:rPr>
      </w:pPr>
      <w:r>
        <w:rPr>
          <w:rStyle w:val="FootnoteReference"/>
        </w:rPr>
        <w:footnoteRef/>
      </w:r>
      <w:r w:rsidRPr="008650FD">
        <w:rPr>
          <w:lang w:val="es-ES"/>
        </w:rPr>
        <w:t xml:space="preserve"> </w:t>
      </w:r>
      <w:r w:rsidR="00000000">
        <w:fldChar w:fldCharType="begin"/>
      </w:r>
      <w:r w:rsidR="00000000" w:rsidRPr="00F51AED">
        <w:rPr>
          <w:lang w:val="es-US"/>
        </w:rPr>
        <w:instrText>HYPERLINK "https://busquedas.elperuano.pe/dispositivo/NL/2198645-1"</w:instrText>
      </w:r>
      <w:r w:rsidR="00000000">
        <w:fldChar w:fldCharType="separate"/>
      </w:r>
      <w:r w:rsidRPr="00724275">
        <w:rPr>
          <w:rStyle w:val="Hyperlink"/>
          <w:rFonts w:eastAsia="Cambria" w:cs="Cambria"/>
          <w:szCs w:val="16"/>
          <w:lang w:val="es-CO"/>
        </w:rPr>
        <w:t xml:space="preserve">Resolución de la Fiscalía de la Nación </w:t>
      </w:r>
      <w:proofErr w:type="spellStart"/>
      <w:r w:rsidR="001E2E13">
        <w:rPr>
          <w:rStyle w:val="Hyperlink"/>
          <w:rFonts w:eastAsia="Cambria" w:cs="Cambria"/>
          <w:szCs w:val="16"/>
          <w:lang w:val="es-CO"/>
        </w:rPr>
        <w:t>Nº</w:t>
      </w:r>
      <w:proofErr w:type="spellEnd"/>
      <w:r w:rsidRPr="00724275">
        <w:rPr>
          <w:rStyle w:val="Hyperlink"/>
          <w:rFonts w:eastAsia="Cambria" w:cs="Cambria"/>
          <w:szCs w:val="16"/>
          <w:lang w:val="es-CO"/>
        </w:rPr>
        <w:t xml:space="preserve"> 790-2023</w:t>
      </w:r>
      <w:r w:rsidR="00000000">
        <w:rPr>
          <w:rStyle w:val="Hyperlink"/>
          <w:rFonts w:eastAsia="Cambria" w:cs="Cambria"/>
          <w:szCs w:val="16"/>
          <w:lang w:val="es-CO"/>
        </w:rPr>
        <w:fldChar w:fldCharType="end"/>
      </w:r>
      <w:r>
        <w:rPr>
          <w:rFonts w:eastAsia="Cambria" w:cs="Cambria"/>
          <w:color w:val="000000" w:themeColor="text1"/>
          <w:szCs w:val="16"/>
          <w:lang w:val="es-CO"/>
        </w:rPr>
        <w:t>, 31 de marzo de 2023.</w:t>
      </w:r>
    </w:p>
  </w:footnote>
  <w:footnote w:id="98">
    <w:p w14:paraId="1D308831" w14:textId="77777777" w:rsidR="005B081B" w:rsidRPr="00D73D90" w:rsidRDefault="005B081B" w:rsidP="005B081B">
      <w:pPr>
        <w:pStyle w:val="FootnoteText"/>
        <w:rPr>
          <w:lang w:val="es-ES"/>
        </w:rPr>
      </w:pPr>
      <w:r>
        <w:rPr>
          <w:rStyle w:val="FootnoteReference"/>
        </w:rPr>
        <w:footnoteRef/>
      </w:r>
      <w:r w:rsidRPr="00D73D90">
        <w:rPr>
          <w:lang w:val="es-ES"/>
        </w:rPr>
        <w:t xml:space="preserve"> </w:t>
      </w:r>
      <w:r w:rsidRPr="00724275">
        <w:rPr>
          <w:rFonts w:eastAsia="Cambria" w:cs="Cambria"/>
          <w:color w:val="000000" w:themeColor="text1"/>
          <w:szCs w:val="16"/>
          <w:lang w:val="es-CO"/>
        </w:rPr>
        <w:t>Memorándum de Entendimiento (</w:t>
      </w:r>
      <w:proofErr w:type="spellStart"/>
      <w:r w:rsidRPr="00724275">
        <w:rPr>
          <w:rFonts w:eastAsia="Cambria" w:cs="Cambria"/>
          <w:color w:val="000000" w:themeColor="text1"/>
          <w:szCs w:val="16"/>
          <w:lang w:val="es-CO"/>
        </w:rPr>
        <w:t>MoU</w:t>
      </w:r>
      <w:proofErr w:type="spellEnd"/>
      <w:r w:rsidRPr="00724275">
        <w:rPr>
          <w:rFonts w:eastAsia="Cambria" w:cs="Cambria"/>
          <w:color w:val="000000" w:themeColor="text1"/>
          <w:szCs w:val="16"/>
          <w:lang w:val="es-CO"/>
        </w:rPr>
        <w:t>) sobre un Plan de Trabajo entre la República del Perú y la Oficina del Alto Comisionado de las Naciones Unidas para los Derechos Humanos</w:t>
      </w:r>
      <w:r>
        <w:rPr>
          <w:rFonts w:eastAsia="Cambria" w:cs="Cambria"/>
          <w:color w:val="000000" w:themeColor="text1"/>
          <w:szCs w:val="16"/>
          <w:lang w:val="es-CO"/>
        </w:rPr>
        <w:t>,</w:t>
      </w:r>
      <w:r w:rsidRPr="00D73D90">
        <w:rPr>
          <w:rFonts w:eastAsia="Cambria" w:cs="Cambria"/>
          <w:color w:val="000000" w:themeColor="text1"/>
          <w:szCs w:val="16"/>
          <w:lang w:val="es-CO"/>
        </w:rPr>
        <w:t xml:space="preserve"> 27 de febrero del 2023</w:t>
      </w:r>
      <w:r>
        <w:rPr>
          <w:rFonts w:eastAsia="Cambria" w:cs="Cambria"/>
          <w:color w:val="000000" w:themeColor="text1"/>
          <w:szCs w:val="16"/>
          <w:lang w:val="es-CO"/>
        </w:rPr>
        <w:t>.</w:t>
      </w:r>
    </w:p>
  </w:footnote>
  <w:footnote w:id="99">
    <w:p w14:paraId="7296CD64" w14:textId="77777777" w:rsidR="003F1C7E" w:rsidRPr="00D64620" w:rsidRDefault="003F1C7E" w:rsidP="009E68E3">
      <w:pPr>
        <w:pStyle w:val="FootnoteText"/>
        <w:rPr>
          <w:lang w:val="es-ES"/>
        </w:rPr>
      </w:pPr>
      <w:r>
        <w:rPr>
          <w:rStyle w:val="FootnoteReference"/>
        </w:rPr>
        <w:footnoteRef/>
      </w:r>
      <w:r w:rsidRPr="00D64620">
        <w:rPr>
          <w:lang w:val="es-ES"/>
        </w:rPr>
        <w:t xml:space="preserve"> </w:t>
      </w:r>
      <w:r>
        <w:rPr>
          <w:lang w:val="es-ES"/>
        </w:rPr>
        <w:t xml:space="preserve">Ley </w:t>
      </w:r>
      <w:proofErr w:type="spellStart"/>
      <w:r>
        <w:rPr>
          <w:lang w:val="es-ES"/>
        </w:rPr>
        <w:t>Nº</w:t>
      </w:r>
      <w:proofErr w:type="spellEnd"/>
      <w:r>
        <w:rPr>
          <w:lang w:val="es-ES"/>
        </w:rPr>
        <w:t xml:space="preserve"> 32130, 10 de octubre de 2024.</w:t>
      </w:r>
    </w:p>
  </w:footnote>
  <w:footnote w:id="100">
    <w:p w14:paraId="1E527515" w14:textId="77777777" w:rsidR="003F1C7E" w:rsidRPr="00AD48AE" w:rsidRDefault="003F1C7E" w:rsidP="009E68E3">
      <w:pPr>
        <w:pStyle w:val="FootnoteText"/>
        <w:rPr>
          <w:lang w:val="es-ES"/>
        </w:rPr>
      </w:pPr>
      <w:r w:rsidRPr="005C2A3E">
        <w:rPr>
          <w:rStyle w:val="FootnoteReference"/>
        </w:rPr>
        <w:footnoteRef/>
      </w:r>
      <w:r w:rsidRPr="00627C78">
        <w:rPr>
          <w:rStyle w:val="FootnoteReference"/>
          <w:lang w:val="es-ES"/>
        </w:rPr>
        <w:t xml:space="preserve"> </w:t>
      </w:r>
      <w:r w:rsidRPr="00AD48AE">
        <w:rPr>
          <w:lang w:val="es-ES"/>
        </w:rPr>
        <w:t>Ministerio Público, Demanda de inconstitucionalidad contra la Ley 32130, Ley que modifica el Código Procesal Penal, Decreto Legislativo 957, presentada el 20 de diciembre del 2024.</w:t>
      </w:r>
    </w:p>
  </w:footnote>
  <w:footnote w:id="101">
    <w:p w14:paraId="5C6274ED" w14:textId="77777777" w:rsidR="003F1C7E" w:rsidRPr="00F324D1" w:rsidRDefault="003F1C7E" w:rsidP="009E68E3">
      <w:pPr>
        <w:pStyle w:val="FootnoteText"/>
        <w:rPr>
          <w:lang w:val="es-ES"/>
        </w:rPr>
      </w:pPr>
      <w:r>
        <w:rPr>
          <w:rStyle w:val="FootnoteReference"/>
        </w:rPr>
        <w:footnoteRef/>
      </w:r>
      <w:r w:rsidRPr="00F324D1">
        <w:rPr>
          <w:lang w:val="es-ES"/>
        </w:rPr>
        <w:t xml:space="preserve"> </w:t>
      </w:r>
      <w:r w:rsidR="00000000">
        <w:fldChar w:fldCharType="begin"/>
      </w:r>
      <w:r w:rsidR="00000000" w:rsidRPr="00F51AED">
        <w:rPr>
          <w:lang w:val="es-US"/>
        </w:rPr>
        <w:instrText>HYPERLINK "https://img.lpderecho.pe/wp-content/uploads/2024/12/Ley-32181-LPDerecho.pdf"</w:instrText>
      </w:r>
      <w:r w:rsidR="00000000">
        <w:fldChar w:fldCharType="separate"/>
      </w:r>
      <w:r w:rsidRPr="00F324D1">
        <w:rPr>
          <w:rStyle w:val="Hyperlink"/>
          <w:lang w:val="es-ES"/>
        </w:rPr>
        <w:t xml:space="preserve">Ley </w:t>
      </w:r>
      <w:proofErr w:type="spellStart"/>
      <w:r>
        <w:rPr>
          <w:rStyle w:val="Hyperlink"/>
          <w:lang w:val="es-ES"/>
        </w:rPr>
        <w:t>Nº</w:t>
      </w:r>
      <w:proofErr w:type="spellEnd"/>
      <w:r w:rsidRPr="00F324D1">
        <w:rPr>
          <w:rStyle w:val="Hyperlink"/>
          <w:lang w:val="es-ES"/>
        </w:rPr>
        <w:t xml:space="preserve"> 32181</w:t>
      </w:r>
      <w:r w:rsidR="00000000">
        <w:rPr>
          <w:rStyle w:val="Hyperlink"/>
          <w:lang w:val="es-ES"/>
        </w:rPr>
        <w:fldChar w:fldCharType="end"/>
      </w:r>
      <w:r>
        <w:rPr>
          <w:lang w:val="es-ES"/>
        </w:rPr>
        <w:t>, 11 de diciembre de 2024.</w:t>
      </w:r>
    </w:p>
  </w:footnote>
  <w:footnote w:id="102">
    <w:p w14:paraId="482CA12E" w14:textId="77777777" w:rsidR="003F1C7E" w:rsidRPr="00D64620" w:rsidRDefault="003F1C7E" w:rsidP="009E68E3">
      <w:pPr>
        <w:pStyle w:val="FootnoteText"/>
        <w:rPr>
          <w:lang w:val="es-ES"/>
        </w:rPr>
      </w:pPr>
      <w:r>
        <w:rPr>
          <w:rStyle w:val="FootnoteReference"/>
        </w:rPr>
        <w:footnoteRef/>
      </w:r>
      <w:r w:rsidRPr="00D64620">
        <w:rPr>
          <w:lang w:val="es-ES"/>
        </w:rPr>
        <w:t xml:space="preserve"> Proyecto de </w:t>
      </w:r>
      <w:r>
        <w:rPr>
          <w:lang w:val="es-ES"/>
        </w:rPr>
        <w:t>l</w:t>
      </w:r>
      <w:r w:rsidRPr="00D64620">
        <w:rPr>
          <w:lang w:val="es-ES"/>
        </w:rPr>
        <w:t>ey N°09187/2024-CR</w:t>
      </w:r>
      <w:r>
        <w:rPr>
          <w:lang w:val="es-ES"/>
        </w:rPr>
        <w:t>.</w:t>
      </w:r>
    </w:p>
  </w:footnote>
  <w:footnote w:id="103">
    <w:p w14:paraId="0A72411D" w14:textId="02DC3BEA" w:rsidR="001B7EE0" w:rsidRPr="00AD48AE" w:rsidRDefault="001B7EE0" w:rsidP="005D6866">
      <w:pPr>
        <w:pStyle w:val="FootnoteText"/>
        <w:rPr>
          <w:lang w:val="es-ES"/>
        </w:rPr>
      </w:pPr>
      <w:r w:rsidRPr="00CF290B">
        <w:rPr>
          <w:rStyle w:val="FootnoteReference"/>
        </w:rPr>
        <w:footnoteRef/>
      </w:r>
      <w:r w:rsidRPr="00D2136F">
        <w:rPr>
          <w:rStyle w:val="FootnoteReference"/>
          <w:lang w:val="es-US"/>
        </w:rPr>
        <w:t xml:space="preserve"> </w:t>
      </w:r>
      <w:r w:rsidRPr="00AD48AE">
        <w:rPr>
          <w:lang w:val="es-CO"/>
        </w:rPr>
        <w:t>Corte IDH</w:t>
      </w:r>
      <w:r w:rsidR="00FA524F">
        <w:rPr>
          <w:lang w:val="es-CO"/>
        </w:rPr>
        <w:t>.</w:t>
      </w:r>
      <w:r w:rsidRPr="00AD48AE">
        <w:rPr>
          <w:lang w:val="es-CO"/>
        </w:rPr>
        <w:t xml:space="preserve"> Caso Argüelles y otros Vs. Argentina</w:t>
      </w:r>
      <w:r w:rsidR="005D6866">
        <w:rPr>
          <w:lang w:val="es-CO"/>
        </w:rPr>
        <w:t>.</w:t>
      </w:r>
      <w:r w:rsidRPr="00AD48AE">
        <w:rPr>
          <w:lang w:val="es-CO"/>
        </w:rPr>
        <w:t xml:space="preserve"> Sentencia Excepciones Preliminares, Fondo, Reparaciones y Costas</w:t>
      </w:r>
      <w:r w:rsidR="005D6866">
        <w:rPr>
          <w:lang w:val="es-CO"/>
        </w:rPr>
        <w:t xml:space="preserve">. </w:t>
      </w:r>
      <w:r w:rsidRPr="00AD48AE">
        <w:rPr>
          <w:lang w:val="es-CO"/>
        </w:rPr>
        <w:t xml:space="preserve">Serie C </w:t>
      </w:r>
      <w:proofErr w:type="spellStart"/>
      <w:r>
        <w:rPr>
          <w:lang w:val="es-CO"/>
        </w:rPr>
        <w:t>Nº</w:t>
      </w:r>
      <w:proofErr w:type="spellEnd"/>
      <w:r>
        <w:rPr>
          <w:lang w:val="es-CO"/>
        </w:rPr>
        <w:t xml:space="preserve"> </w:t>
      </w:r>
      <w:r w:rsidRPr="00AD48AE">
        <w:rPr>
          <w:lang w:val="es-CO"/>
        </w:rPr>
        <w:t>288, 20 de noviembre de 2014, párr. 148.</w:t>
      </w:r>
    </w:p>
  </w:footnote>
  <w:footnote w:id="104">
    <w:p w14:paraId="37911E8D" w14:textId="39CE37D1" w:rsidR="005B081B" w:rsidRPr="002D06F8" w:rsidRDefault="005B081B" w:rsidP="005D6866">
      <w:pPr>
        <w:pStyle w:val="FootnoteText"/>
        <w:rPr>
          <w:b/>
          <w:lang w:val="es-CO"/>
        </w:rPr>
      </w:pPr>
      <w:r w:rsidRPr="002D06F8">
        <w:rPr>
          <w:rStyle w:val="FootnoteReference"/>
          <w:rFonts w:eastAsia="Cambria" w:cs="Cambria"/>
          <w:color w:val="000000" w:themeColor="text1"/>
          <w:szCs w:val="16"/>
        </w:rPr>
        <w:footnoteRef/>
      </w:r>
      <w:r w:rsidRPr="006D365A">
        <w:rPr>
          <w:rStyle w:val="FootnoteReference"/>
          <w:rFonts w:eastAsia="Cambria" w:cs="Cambria"/>
          <w:color w:val="000000" w:themeColor="text1"/>
          <w:szCs w:val="16"/>
          <w:lang w:val="es-ES"/>
        </w:rPr>
        <w:t xml:space="preserve"> </w:t>
      </w:r>
      <w:r w:rsidR="00000000">
        <w:fldChar w:fldCharType="begin"/>
      </w:r>
      <w:r w:rsidR="00000000" w:rsidRPr="00F51AED">
        <w:rPr>
          <w:lang w:val="es-CO"/>
        </w:rPr>
        <w:instrText>HYPERLINK "https://www.gob.pe/institucion/mef/normas-legales/4286871-109-2023-ef"</w:instrText>
      </w:r>
      <w:r w:rsidR="00000000">
        <w:fldChar w:fldCharType="separate"/>
      </w:r>
      <w:r w:rsidRPr="00BA359D">
        <w:rPr>
          <w:rStyle w:val="Hyperlink"/>
          <w:rFonts w:eastAsia="Cambria" w:cs="Cambria"/>
          <w:szCs w:val="16"/>
          <w:lang w:val="es-CO"/>
        </w:rPr>
        <w:t xml:space="preserve">Decreto Supremo </w:t>
      </w:r>
      <w:proofErr w:type="spellStart"/>
      <w:r w:rsidR="001E2E13">
        <w:rPr>
          <w:rStyle w:val="Hyperlink"/>
          <w:rFonts w:eastAsia="Cambria" w:cs="Cambria"/>
          <w:szCs w:val="16"/>
          <w:lang w:val="es-CO"/>
        </w:rPr>
        <w:t>Nº</w:t>
      </w:r>
      <w:proofErr w:type="spellEnd"/>
      <w:r w:rsidRPr="00BA359D">
        <w:rPr>
          <w:rStyle w:val="Hyperlink"/>
          <w:rFonts w:eastAsia="Cambria" w:cs="Cambria"/>
          <w:szCs w:val="16"/>
          <w:lang w:val="es-CO"/>
        </w:rPr>
        <w:t xml:space="preserve"> 109-2023-EF</w:t>
      </w:r>
      <w:r w:rsidR="00000000">
        <w:rPr>
          <w:rStyle w:val="Hyperlink"/>
          <w:rFonts w:eastAsia="Cambria" w:cs="Cambria"/>
          <w:szCs w:val="16"/>
          <w:lang w:val="es-CO"/>
        </w:rPr>
        <w:fldChar w:fldCharType="end"/>
      </w:r>
      <w:r>
        <w:rPr>
          <w:lang w:val="es-CO"/>
        </w:rPr>
        <w:t>, 4 de julio de 2023</w:t>
      </w:r>
      <w:r w:rsidRPr="002D06F8">
        <w:rPr>
          <w:lang w:val="es-CO"/>
        </w:rPr>
        <w:t>.</w:t>
      </w:r>
    </w:p>
  </w:footnote>
  <w:footnote w:id="105">
    <w:p w14:paraId="3D9F9B78" w14:textId="0501CA61" w:rsidR="007A323A" w:rsidRPr="00C80AAB" w:rsidRDefault="007A323A">
      <w:pPr>
        <w:pStyle w:val="FootnoteText"/>
        <w:rPr>
          <w:lang w:val="es-ES"/>
        </w:rPr>
      </w:pPr>
      <w:r>
        <w:rPr>
          <w:rStyle w:val="FootnoteReference"/>
        </w:rPr>
        <w:footnoteRef/>
      </w:r>
      <w:r w:rsidRPr="00C80AAB">
        <w:rPr>
          <w:lang w:val="es-ES"/>
        </w:rPr>
        <w:t xml:space="preserve"> Decreto Supremo </w:t>
      </w:r>
      <w:proofErr w:type="spellStart"/>
      <w:r w:rsidRPr="00C80AAB">
        <w:rPr>
          <w:lang w:val="es-ES"/>
        </w:rPr>
        <w:t>N°</w:t>
      </w:r>
      <w:proofErr w:type="spellEnd"/>
      <w:r w:rsidRPr="00C80AAB">
        <w:rPr>
          <w:lang w:val="es-ES"/>
        </w:rPr>
        <w:t xml:space="preserve"> 004-2022-IN, 7 de mayo de 2022.</w:t>
      </w:r>
    </w:p>
  </w:footnote>
  <w:footnote w:id="106">
    <w:p w14:paraId="3AADC346" w14:textId="2EF1DAB2" w:rsidR="000A4A0B" w:rsidRPr="006051CA" w:rsidRDefault="000A4A0B" w:rsidP="000A4A0B">
      <w:pPr>
        <w:pStyle w:val="FootnoteText"/>
        <w:rPr>
          <w:lang w:val="es-ES"/>
        </w:rPr>
      </w:pPr>
      <w:r>
        <w:rPr>
          <w:rStyle w:val="FootnoteReference"/>
        </w:rPr>
        <w:footnoteRef/>
      </w:r>
      <w:r w:rsidRPr="006051CA">
        <w:rPr>
          <w:lang w:val="es-ES"/>
        </w:rPr>
        <w:t xml:space="preserve"> </w:t>
      </w:r>
      <w:r w:rsidR="00000000">
        <w:fldChar w:fldCharType="begin"/>
      </w:r>
      <w:r w:rsidR="00000000" w:rsidRPr="00F51AED">
        <w:rPr>
          <w:lang w:val="es-US"/>
        </w:rPr>
        <w:instrText>HYPERLINK "https://busquedas.elperuano.pe/dispositivo/NL/2247625-1"</w:instrText>
      </w:r>
      <w:r w:rsidR="00000000">
        <w:fldChar w:fldCharType="separate"/>
      </w:r>
      <w:r w:rsidRPr="00C76D8E">
        <w:rPr>
          <w:rStyle w:val="Hyperlink"/>
          <w:rFonts w:eastAsia="Cambria" w:cs="Cambria"/>
          <w:szCs w:val="16"/>
          <w:lang w:val="es-CO"/>
        </w:rPr>
        <w:t xml:space="preserve">Resolución </w:t>
      </w:r>
      <w:proofErr w:type="spellStart"/>
      <w:r w:rsidR="001E2E13">
        <w:rPr>
          <w:rStyle w:val="Hyperlink"/>
          <w:rFonts w:eastAsia="Cambria" w:cs="Cambria"/>
          <w:szCs w:val="16"/>
          <w:lang w:val="es-CO"/>
        </w:rPr>
        <w:t>Nº</w:t>
      </w:r>
      <w:proofErr w:type="spellEnd"/>
      <w:r w:rsidRPr="00C76D8E">
        <w:rPr>
          <w:rStyle w:val="Hyperlink"/>
          <w:rFonts w:eastAsia="Cambria" w:cs="Cambria"/>
          <w:szCs w:val="16"/>
          <w:lang w:val="es-CO"/>
        </w:rPr>
        <w:t xml:space="preserve"> 045-2023-MP-FN-JFS</w:t>
      </w:r>
      <w:r w:rsidR="00000000">
        <w:rPr>
          <w:rStyle w:val="Hyperlink"/>
          <w:rFonts w:eastAsia="Cambria" w:cs="Cambria"/>
          <w:szCs w:val="16"/>
          <w:lang w:val="es-CO"/>
        </w:rPr>
        <w:fldChar w:fldCharType="end"/>
      </w:r>
      <w:r>
        <w:rPr>
          <w:rFonts w:eastAsia="Cambria" w:cs="Cambria"/>
          <w:color w:val="000000" w:themeColor="text1"/>
          <w:szCs w:val="16"/>
          <w:lang w:val="es-CO"/>
        </w:rPr>
        <w:t>,</w:t>
      </w:r>
      <w:r w:rsidRPr="006051CA">
        <w:rPr>
          <w:rFonts w:eastAsia="Cambria" w:cs="Cambria"/>
          <w:color w:val="000000" w:themeColor="text1"/>
          <w:szCs w:val="16"/>
          <w:lang w:val="es-CO"/>
        </w:rPr>
        <w:t xml:space="preserve"> 3 de julio de 2023</w:t>
      </w:r>
      <w:r>
        <w:rPr>
          <w:rFonts w:eastAsia="Cambria" w:cs="Cambria"/>
          <w:color w:val="000000" w:themeColor="text1"/>
          <w:szCs w:val="16"/>
          <w:lang w:val="es-CO"/>
        </w:rPr>
        <w:t>.</w:t>
      </w:r>
    </w:p>
  </w:footnote>
  <w:footnote w:id="107">
    <w:p w14:paraId="7D0453D4" w14:textId="77777777" w:rsidR="000A4A0B" w:rsidRPr="00495E05" w:rsidRDefault="000A4A0B" w:rsidP="000A4A0B">
      <w:pPr>
        <w:pStyle w:val="FootnoteText"/>
        <w:rPr>
          <w:lang w:val="es-ES"/>
        </w:rPr>
      </w:pPr>
      <w:r>
        <w:rPr>
          <w:rStyle w:val="FootnoteReference"/>
        </w:rPr>
        <w:footnoteRef/>
      </w:r>
      <w:r w:rsidRPr="00495E05">
        <w:rPr>
          <w:lang w:val="es-ES"/>
        </w:rPr>
        <w:t xml:space="preserve"> </w:t>
      </w:r>
      <w:r w:rsidR="00000000">
        <w:fldChar w:fldCharType="begin"/>
      </w:r>
      <w:r w:rsidR="00000000" w:rsidRPr="00F51AED">
        <w:rPr>
          <w:lang w:val="es-US"/>
        </w:rPr>
        <w:instrText>HYPERLINK "https://www.gob.pe/institucion/mef/normas-legales/4286871-109-2023-ef"</w:instrText>
      </w:r>
      <w:r w:rsidR="00000000">
        <w:fldChar w:fldCharType="separate"/>
      </w:r>
      <w:r w:rsidRPr="00735DEB">
        <w:rPr>
          <w:rStyle w:val="Hyperlink"/>
          <w:lang w:val="es-ES"/>
        </w:rPr>
        <w:t xml:space="preserve">Decreto Supremo </w:t>
      </w:r>
      <w:proofErr w:type="spellStart"/>
      <w:r w:rsidRPr="00735DEB">
        <w:rPr>
          <w:rStyle w:val="Hyperlink"/>
          <w:lang w:val="es-ES"/>
        </w:rPr>
        <w:t>N°</w:t>
      </w:r>
      <w:proofErr w:type="spellEnd"/>
      <w:r w:rsidRPr="00735DEB">
        <w:rPr>
          <w:rStyle w:val="Hyperlink"/>
          <w:lang w:val="es-ES"/>
        </w:rPr>
        <w:t xml:space="preserve"> 109-2023-EF</w:t>
      </w:r>
      <w:r w:rsidR="00000000">
        <w:rPr>
          <w:rStyle w:val="Hyperlink"/>
          <w:lang w:val="es-ES"/>
        </w:rPr>
        <w:fldChar w:fldCharType="end"/>
      </w:r>
      <w:r>
        <w:rPr>
          <w:lang w:val="es-ES"/>
        </w:rPr>
        <w:t>, 4 de junio 2023.</w:t>
      </w:r>
    </w:p>
  </w:footnote>
  <w:footnote w:id="108">
    <w:p w14:paraId="3B0EEB3F" w14:textId="035063C0" w:rsidR="000A4A0B" w:rsidRPr="001332C2" w:rsidRDefault="000A4A0B" w:rsidP="000A4A0B">
      <w:pPr>
        <w:pStyle w:val="FootnoteText"/>
        <w:rPr>
          <w:lang w:val="es-ES"/>
        </w:rPr>
      </w:pPr>
      <w:r>
        <w:rPr>
          <w:rStyle w:val="FootnoteReference"/>
        </w:rPr>
        <w:footnoteRef/>
      </w:r>
      <w:r w:rsidRPr="001332C2">
        <w:rPr>
          <w:lang w:val="es-ES"/>
        </w:rPr>
        <w:t xml:space="preserve"> </w:t>
      </w:r>
      <w:r w:rsidR="00000000">
        <w:fldChar w:fldCharType="begin"/>
      </w:r>
      <w:r w:rsidR="00000000" w:rsidRPr="00F51AED">
        <w:rPr>
          <w:lang w:val="es-US"/>
        </w:rPr>
        <w:instrText>HYPERLINK "https://comunicaciones.congreso.gob.pe/noticias/solicitan-especialistas-y-mayor-equipamiento-para-el-instituto-de-medicina-legal-y-ciencias-forenses/"</w:instrText>
      </w:r>
      <w:r w:rsidR="00000000">
        <w:fldChar w:fldCharType="separate"/>
      </w:r>
      <w:r w:rsidRPr="00CE423D">
        <w:rPr>
          <w:rStyle w:val="Hyperlink"/>
          <w:lang w:val="es-ES"/>
        </w:rPr>
        <w:t>IMLCF solicita mayor cantidad de especialistas y equipamiento</w:t>
      </w:r>
      <w:r w:rsidR="00000000">
        <w:rPr>
          <w:rStyle w:val="Hyperlink"/>
          <w:lang w:val="es-ES"/>
        </w:rPr>
        <w:fldChar w:fldCharType="end"/>
      </w:r>
      <w:r>
        <w:rPr>
          <w:lang w:val="es-ES"/>
        </w:rPr>
        <w:t>.</w:t>
      </w:r>
    </w:p>
  </w:footnote>
  <w:footnote w:id="109">
    <w:p w14:paraId="0CF18C5A" w14:textId="0F5FBC2E" w:rsidR="000A4A0B" w:rsidRPr="00DD2EAC" w:rsidRDefault="000A4A0B" w:rsidP="000A4A0B">
      <w:pPr>
        <w:pStyle w:val="FootnoteText"/>
        <w:rPr>
          <w:lang w:val="es-ES"/>
        </w:rPr>
      </w:pPr>
      <w:r>
        <w:rPr>
          <w:rStyle w:val="FootnoteReference"/>
        </w:rPr>
        <w:footnoteRef/>
      </w:r>
      <w:r w:rsidRPr="00DD2EAC">
        <w:rPr>
          <w:lang w:val="es-ES"/>
        </w:rPr>
        <w:t xml:space="preserve"> </w:t>
      </w:r>
      <w:r w:rsidR="00000000">
        <w:fldChar w:fldCharType="begin"/>
      </w:r>
      <w:r w:rsidR="00000000" w:rsidRPr="00F51AED">
        <w:rPr>
          <w:lang w:val="es-US"/>
        </w:rPr>
        <w:instrText>HYPERLINK "https://www.gob.pe/institucion/consejo-de-justicia/normas-legales/355915-30942"</w:instrText>
      </w:r>
      <w:r w:rsidR="00000000">
        <w:fldChar w:fldCharType="separate"/>
      </w:r>
      <w:r w:rsidRPr="00B20045">
        <w:rPr>
          <w:rStyle w:val="Hyperlink"/>
          <w:lang w:val="es-ES"/>
        </w:rPr>
        <w:t xml:space="preserve">Ley </w:t>
      </w:r>
      <w:proofErr w:type="spellStart"/>
      <w:r w:rsidR="001E2E13">
        <w:rPr>
          <w:rStyle w:val="Hyperlink"/>
          <w:lang w:val="es-ES"/>
        </w:rPr>
        <w:t>Nº</w:t>
      </w:r>
      <w:proofErr w:type="spellEnd"/>
      <w:r w:rsidRPr="00B20045">
        <w:rPr>
          <w:rStyle w:val="Hyperlink"/>
          <w:lang w:val="es-ES"/>
        </w:rPr>
        <w:t xml:space="preserve"> 30942</w:t>
      </w:r>
      <w:r w:rsidR="00000000">
        <w:rPr>
          <w:rStyle w:val="Hyperlink"/>
          <w:lang w:val="es-ES"/>
        </w:rPr>
        <w:fldChar w:fldCharType="end"/>
      </w:r>
      <w:r>
        <w:rPr>
          <w:lang w:val="es-ES"/>
        </w:rPr>
        <w:t>, 8 de mayo del 2019.</w:t>
      </w:r>
      <w:r w:rsidRPr="00B20045">
        <w:rPr>
          <w:lang w:val="es-ES"/>
        </w:rPr>
        <w:t xml:space="preserve"> </w:t>
      </w:r>
    </w:p>
  </w:footnote>
  <w:footnote w:id="110">
    <w:p w14:paraId="29A211CB" w14:textId="66C2D832" w:rsidR="000A4A0B" w:rsidRPr="00B4587E" w:rsidRDefault="000A4A0B" w:rsidP="000A4A0B">
      <w:pPr>
        <w:pStyle w:val="FootnoteText"/>
        <w:rPr>
          <w:lang w:val="es-ES"/>
        </w:rPr>
      </w:pPr>
      <w:r>
        <w:rPr>
          <w:rStyle w:val="FootnoteReference"/>
        </w:rPr>
        <w:footnoteRef/>
      </w:r>
      <w:r w:rsidRPr="00B4587E">
        <w:rPr>
          <w:lang w:val="es-ES"/>
        </w:rPr>
        <w:t xml:space="preserve"> </w:t>
      </w:r>
      <w:r w:rsidR="00000000">
        <w:fldChar w:fldCharType="begin"/>
      </w:r>
      <w:r w:rsidR="00000000" w:rsidRPr="00F51AED">
        <w:rPr>
          <w:lang w:val="es-US"/>
        </w:rPr>
        <w:instrText>HYPERLINK "https://www.gob.pe/institucion/minjus/normas-legales/2021726-012-2021-jus"</w:instrText>
      </w:r>
      <w:r w:rsidR="00000000">
        <w:fldChar w:fldCharType="separate"/>
      </w:r>
      <w:r w:rsidRPr="008A1FAE">
        <w:rPr>
          <w:rStyle w:val="Hyperlink"/>
          <w:lang w:val="es-ES"/>
        </w:rPr>
        <w:t xml:space="preserve">Decreto Supremo </w:t>
      </w:r>
      <w:proofErr w:type="spellStart"/>
      <w:r w:rsidR="001E2E13">
        <w:rPr>
          <w:rStyle w:val="Hyperlink"/>
          <w:lang w:val="es-ES"/>
        </w:rPr>
        <w:t>Nº</w:t>
      </w:r>
      <w:proofErr w:type="spellEnd"/>
      <w:r w:rsidRPr="008A1FAE">
        <w:rPr>
          <w:rStyle w:val="Hyperlink"/>
          <w:lang w:val="es-ES"/>
        </w:rPr>
        <w:t xml:space="preserve"> 012-2021-JUS</w:t>
      </w:r>
      <w:r w:rsidR="00000000">
        <w:rPr>
          <w:rStyle w:val="Hyperlink"/>
          <w:lang w:val="es-ES"/>
        </w:rPr>
        <w:fldChar w:fldCharType="end"/>
      </w:r>
      <w:r>
        <w:rPr>
          <w:lang w:val="es-ES"/>
        </w:rPr>
        <w:t>, 15 de julio de 2021.</w:t>
      </w:r>
    </w:p>
  </w:footnote>
  <w:footnote w:id="111">
    <w:p w14:paraId="49915BF5" w14:textId="5BECEBCD" w:rsidR="000A4A0B" w:rsidRPr="00B4587E" w:rsidRDefault="000A4A0B" w:rsidP="000A4A0B">
      <w:pPr>
        <w:pStyle w:val="FootnoteText"/>
        <w:rPr>
          <w:lang w:val="es-ES"/>
        </w:rPr>
      </w:pPr>
      <w:r>
        <w:rPr>
          <w:rStyle w:val="FootnoteReference"/>
        </w:rPr>
        <w:footnoteRef/>
      </w:r>
      <w:r w:rsidRPr="00B4587E">
        <w:rPr>
          <w:lang w:val="es-ES"/>
        </w:rPr>
        <w:t xml:space="preserve"> </w:t>
      </w:r>
      <w:r w:rsidR="00000000">
        <w:fldChar w:fldCharType="begin"/>
      </w:r>
      <w:r w:rsidR="00000000" w:rsidRPr="00F51AED">
        <w:rPr>
          <w:lang w:val="es-US"/>
        </w:rPr>
        <w:instrText>HYPERLINK "https://www.lapatria.pe/elperuano/610-19/resolucion-ministerial-n-0179-2024-jus/"</w:instrText>
      </w:r>
      <w:r w:rsidR="00000000">
        <w:fldChar w:fldCharType="separate"/>
      </w:r>
      <w:r w:rsidRPr="008A1FAE">
        <w:rPr>
          <w:rStyle w:val="Hyperlink"/>
          <w:lang w:val="es-ES"/>
        </w:rPr>
        <w:t xml:space="preserve">Resolución Ministerial </w:t>
      </w:r>
      <w:proofErr w:type="spellStart"/>
      <w:r w:rsidR="001E2E13">
        <w:rPr>
          <w:rStyle w:val="Hyperlink"/>
          <w:lang w:val="es-ES"/>
        </w:rPr>
        <w:t>Nº</w:t>
      </w:r>
      <w:proofErr w:type="spellEnd"/>
      <w:r w:rsidRPr="008A1FAE">
        <w:rPr>
          <w:rStyle w:val="Hyperlink"/>
          <w:lang w:val="es-ES"/>
        </w:rPr>
        <w:t xml:space="preserve"> 0179-2024-JUS</w:t>
      </w:r>
      <w:r w:rsidR="00000000">
        <w:rPr>
          <w:rStyle w:val="Hyperlink"/>
          <w:lang w:val="es-ES"/>
        </w:rPr>
        <w:fldChar w:fldCharType="end"/>
      </w:r>
      <w:r>
        <w:rPr>
          <w:lang w:val="es-ES"/>
        </w:rPr>
        <w:t>, 18 de julio de 2024.</w:t>
      </w:r>
    </w:p>
  </w:footnote>
  <w:footnote w:id="112">
    <w:p w14:paraId="7D250B4A" w14:textId="68B94ED8" w:rsidR="000A4A0B" w:rsidRPr="008A1FAE" w:rsidRDefault="000A4A0B" w:rsidP="000A4A0B">
      <w:pPr>
        <w:pStyle w:val="FootnoteText"/>
        <w:rPr>
          <w:lang w:val="es-ES_tradnl"/>
        </w:rPr>
      </w:pPr>
      <w:r>
        <w:rPr>
          <w:rStyle w:val="FootnoteReference"/>
        </w:rPr>
        <w:footnoteRef/>
      </w:r>
      <w:r w:rsidRPr="008A1FAE">
        <w:rPr>
          <w:lang w:val="es-ES"/>
        </w:rPr>
        <w:t xml:space="preserve"> CIDH, Audiencia temática, “Perú: Democracia y los efectos del proceso de selección de la Junta Nacional de Justicia”, </w:t>
      </w:r>
      <w:r>
        <w:rPr>
          <w:lang w:val="es-ES"/>
        </w:rPr>
        <w:t>191</w:t>
      </w:r>
      <w:r w:rsidRPr="008A1FAE">
        <w:rPr>
          <w:lang w:val="es-ES"/>
        </w:rPr>
        <w:t xml:space="preserve">° </w:t>
      </w:r>
      <w:r w:rsidR="001E26AF">
        <w:rPr>
          <w:lang w:val="es-ES"/>
        </w:rPr>
        <w:t>P</w:t>
      </w:r>
      <w:r w:rsidRPr="008A1FAE">
        <w:rPr>
          <w:lang w:val="es-ES"/>
        </w:rPr>
        <w:t xml:space="preserve">eríodo </w:t>
      </w:r>
      <w:r w:rsidR="001E26AF">
        <w:rPr>
          <w:lang w:val="es-ES"/>
        </w:rPr>
        <w:t>O</w:t>
      </w:r>
      <w:r w:rsidRPr="008A1FAE">
        <w:rPr>
          <w:lang w:val="es-ES"/>
        </w:rPr>
        <w:t xml:space="preserve">rdinario de </w:t>
      </w:r>
      <w:r w:rsidR="001E26AF">
        <w:rPr>
          <w:lang w:val="es-ES"/>
        </w:rPr>
        <w:t>S</w:t>
      </w:r>
      <w:r w:rsidRPr="008A1FAE">
        <w:rPr>
          <w:lang w:val="es-ES"/>
        </w:rPr>
        <w:t xml:space="preserve">esiones, Washington, DC, Estados Unidos, </w:t>
      </w:r>
      <w:r>
        <w:rPr>
          <w:lang w:val="es-ES"/>
        </w:rPr>
        <w:t>1</w:t>
      </w:r>
      <w:r w:rsidRPr="008A1FAE">
        <w:rPr>
          <w:lang w:val="es-ES"/>
        </w:rPr>
        <w:t xml:space="preserve">5 de </w:t>
      </w:r>
      <w:r>
        <w:rPr>
          <w:lang w:val="es-ES"/>
        </w:rPr>
        <w:t>noviembre</w:t>
      </w:r>
      <w:r w:rsidRPr="008A1FAE">
        <w:rPr>
          <w:lang w:val="es-ES"/>
        </w:rPr>
        <w:t xml:space="preserve"> de 20</w:t>
      </w:r>
      <w:r>
        <w:rPr>
          <w:lang w:val="es-ES"/>
        </w:rPr>
        <w:t>24</w:t>
      </w:r>
      <w:r w:rsidRPr="008A1FAE">
        <w:rPr>
          <w:lang w:val="es-ES"/>
        </w:rPr>
        <w:t xml:space="preserve">, información aportada por </w:t>
      </w:r>
      <w:r>
        <w:rPr>
          <w:lang w:val="es-ES"/>
        </w:rPr>
        <w:t>IDL y otras</w:t>
      </w:r>
      <w:r w:rsidRPr="008A1FAE">
        <w:rPr>
          <w:lang w:val="es-ES"/>
        </w:rPr>
        <w:t>.</w:t>
      </w:r>
    </w:p>
  </w:footnote>
  <w:footnote w:id="113">
    <w:p w14:paraId="2C0827F6" w14:textId="77777777" w:rsidR="002D2BBC" w:rsidRPr="00443FD7" w:rsidRDefault="002D2BBC" w:rsidP="002D2BBC">
      <w:pPr>
        <w:pStyle w:val="FootnoteText"/>
        <w:rPr>
          <w:lang w:val="es-ES"/>
        </w:rPr>
      </w:pPr>
      <w:r>
        <w:rPr>
          <w:rStyle w:val="FootnoteReference"/>
        </w:rPr>
        <w:footnoteRef/>
      </w:r>
      <w:r w:rsidRPr="00443FD7">
        <w:rPr>
          <w:lang w:val="es-ES"/>
        </w:rPr>
        <w:t xml:space="preserve"> </w:t>
      </w:r>
      <w:r w:rsidRPr="00AA12BC">
        <w:rPr>
          <w:rFonts w:eastAsia="Cambria" w:cs="Cambria"/>
          <w:color w:val="000000" w:themeColor="text1"/>
          <w:szCs w:val="16"/>
          <w:lang w:val="es-CO"/>
        </w:rPr>
        <w:t>CIDH</w:t>
      </w:r>
      <w:r>
        <w:rPr>
          <w:rFonts w:eastAsia="Cambria" w:cs="Cambria"/>
          <w:color w:val="000000" w:themeColor="text1"/>
          <w:szCs w:val="16"/>
          <w:lang w:val="es-CO"/>
        </w:rPr>
        <w:t>,</w:t>
      </w:r>
      <w:r w:rsidRPr="00AA12BC">
        <w:rPr>
          <w:rFonts w:eastAsia="Cambria" w:cs="Cambria"/>
          <w:color w:val="000000" w:themeColor="text1"/>
          <w:szCs w:val="16"/>
          <w:lang w:val="es-CO"/>
        </w:rPr>
        <w:t xml:space="preserve"> </w:t>
      </w:r>
      <w:r w:rsidRPr="00AA12BC">
        <w:rPr>
          <w:color w:val="000000" w:themeColor="text1"/>
          <w:szCs w:val="16"/>
          <w:lang w:val="es-CO"/>
        </w:rPr>
        <w:t xml:space="preserve">Comunicado de Prensa </w:t>
      </w:r>
      <w:proofErr w:type="spellStart"/>
      <w:r>
        <w:rPr>
          <w:color w:val="000000" w:themeColor="text1"/>
          <w:szCs w:val="16"/>
          <w:lang w:val="es-CO"/>
        </w:rPr>
        <w:t>Nº</w:t>
      </w:r>
      <w:proofErr w:type="spellEnd"/>
      <w:r w:rsidRPr="00AA12BC">
        <w:rPr>
          <w:color w:val="000000" w:themeColor="text1"/>
          <w:szCs w:val="16"/>
          <w:lang w:val="es-CO"/>
        </w:rPr>
        <w:t xml:space="preserve"> </w:t>
      </w:r>
      <w:r>
        <w:rPr>
          <w:color w:val="000000" w:themeColor="text1"/>
          <w:szCs w:val="16"/>
          <w:lang w:val="es-CO"/>
        </w:rPr>
        <w:t>281</w:t>
      </w:r>
      <w:r w:rsidRPr="00AA12BC">
        <w:rPr>
          <w:color w:val="000000" w:themeColor="text1"/>
          <w:szCs w:val="16"/>
          <w:lang w:val="es-CO"/>
        </w:rPr>
        <w:t>/2</w:t>
      </w:r>
      <w:r>
        <w:rPr>
          <w:color w:val="000000" w:themeColor="text1"/>
          <w:szCs w:val="16"/>
          <w:lang w:val="es-CO"/>
        </w:rPr>
        <w:t>3</w:t>
      </w:r>
      <w:r w:rsidRPr="00AA12BC">
        <w:rPr>
          <w:color w:val="000000" w:themeColor="text1"/>
          <w:szCs w:val="16"/>
          <w:lang w:val="es-CO"/>
        </w:rPr>
        <w:t xml:space="preserve">, </w:t>
      </w:r>
      <w:r w:rsidR="00000000">
        <w:fldChar w:fldCharType="begin"/>
      </w:r>
      <w:r w:rsidR="00000000" w:rsidRPr="00F51AED">
        <w:rPr>
          <w:lang w:val="es-US"/>
        </w:rPr>
        <w:instrText>HYPERLINK "https://www.oas.org/es/CIDH/jsForm/?File=/es/cidh/prensa/comunicados/2023/281.asp&amp;utm_content=country-per"</w:instrText>
      </w:r>
      <w:r w:rsidR="00000000">
        <w:fldChar w:fldCharType="separate"/>
      </w:r>
      <w:r w:rsidRPr="00443FD7">
        <w:rPr>
          <w:rStyle w:val="Hyperlink"/>
          <w:szCs w:val="16"/>
          <w:lang w:val="es-CO"/>
        </w:rPr>
        <w:t>CIDH rechaza decisión del Tribunal Constitucional de Perú que implementó el indulto de Alberto Fujimori</w:t>
      </w:r>
      <w:r w:rsidR="00000000">
        <w:rPr>
          <w:rStyle w:val="Hyperlink"/>
          <w:szCs w:val="16"/>
          <w:lang w:val="es-CO"/>
        </w:rPr>
        <w:fldChar w:fldCharType="end"/>
      </w:r>
      <w:r w:rsidRPr="00AA12BC">
        <w:rPr>
          <w:color w:val="000000" w:themeColor="text1"/>
          <w:szCs w:val="16"/>
          <w:lang w:val="es-CO"/>
        </w:rPr>
        <w:t xml:space="preserve">, </w:t>
      </w:r>
      <w:r>
        <w:rPr>
          <w:color w:val="000000" w:themeColor="text1"/>
          <w:szCs w:val="16"/>
          <w:lang w:val="es-CO"/>
        </w:rPr>
        <w:t>8</w:t>
      </w:r>
      <w:r w:rsidRPr="00AA12BC">
        <w:rPr>
          <w:color w:val="000000" w:themeColor="text1"/>
          <w:szCs w:val="16"/>
          <w:lang w:val="es-CO"/>
        </w:rPr>
        <w:t xml:space="preserve"> de </w:t>
      </w:r>
      <w:r>
        <w:rPr>
          <w:color w:val="000000" w:themeColor="text1"/>
          <w:szCs w:val="16"/>
          <w:lang w:val="es-CO"/>
        </w:rPr>
        <w:t>diciembre</w:t>
      </w:r>
      <w:r w:rsidRPr="00AA12BC">
        <w:rPr>
          <w:color w:val="000000" w:themeColor="text1"/>
          <w:szCs w:val="16"/>
          <w:lang w:val="es-CO"/>
        </w:rPr>
        <w:t xml:space="preserve"> de 202</w:t>
      </w:r>
      <w:r>
        <w:rPr>
          <w:color w:val="000000" w:themeColor="text1"/>
          <w:szCs w:val="16"/>
          <w:lang w:val="es-CO"/>
        </w:rPr>
        <w:t>3</w:t>
      </w:r>
      <w:r w:rsidRPr="00AA12BC">
        <w:rPr>
          <w:color w:val="000000" w:themeColor="text1"/>
          <w:szCs w:val="16"/>
          <w:lang w:val="es-CO"/>
        </w:rPr>
        <w:t>.</w:t>
      </w:r>
    </w:p>
  </w:footnote>
  <w:footnote w:id="114">
    <w:p w14:paraId="65974A1E" w14:textId="6E3A3838" w:rsidR="000A4A0B" w:rsidRPr="008517B2" w:rsidRDefault="000A4A0B" w:rsidP="000A4A0B">
      <w:pPr>
        <w:pStyle w:val="FootnoteText"/>
        <w:rPr>
          <w:lang w:val="es-ES"/>
        </w:rPr>
      </w:pPr>
      <w:r>
        <w:rPr>
          <w:rStyle w:val="FootnoteReference"/>
        </w:rPr>
        <w:footnoteRef/>
      </w:r>
      <w:r w:rsidRPr="008517B2">
        <w:rPr>
          <w:lang w:val="es-ES"/>
        </w:rPr>
        <w:t xml:space="preserve"> </w:t>
      </w:r>
      <w:r w:rsidR="00000000">
        <w:fldChar w:fldCharType="begin"/>
      </w:r>
      <w:r w:rsidR="00000000" w:rsidRPr="00F51AED">
        <w:rPr>
          <w:lang w:val="es-US"/>
        </w:rPr>
        <w:instrText>HYPERLINK "https://busquedas.elperuano.pe/dispositivo/NL/2352315-3"</w:instrText>
      </w:r>
      <w:r w:rsidR="00000000">
        <w:fldChar w:fldCharType="separate"/>
      </w:r>
      <w:r w:rsidRPr="008517B2">
        <w:rPr>
          <w:rStyle w:val="Hyperlink"/>
          <w:lang w:val="es-ES"/>
        </w:rPr>
        <w:t xml:space="preserve">Ley </w:t>
      </w:r>
      <w:proofErr w:type="spellStart"/>
      <w:r w:rsidR="001E2E13">
        <w:rPr>
          <w:rStyle w:val="Hyperlink"/>
          <w:lang w:val="es-ES"/>
        </w:rPr>
        <w:t>Nº</w:t>
      </w:r>
      <w:proofErr w:type="spellEnd"/>
      <w:r w:rsidRPr="008517B2">
        <w:rPr>
          <w:rStyle w:val="Hyperlink"/>
          <w:lang w:val="es-ES"/>
        </w:rPr>
        <w:t xml:space="preserve"> 32182</w:t>
      </w:r>
      <w:r w:rsidR="00000000">
        <w:rPr>
          <w:rStyle w:val="Hyperlink"/>
          <w:lang w:val="es-ES"/>
        </w:rPr>
        <w:fldChar w:fldCharType="end"/>
      </w:r>
      <w:r>
        <w:rPr>
          <w:lang w:val="es-ES"/>
        </w:rPr>
        <w:t xml:space="preserve">, 11 de diciembre de 2024. </w:t>
      </w:r>
    </w:p>
  </w:footnote>
  <w:footnote w:id="115">
    <w:p w14:paraId="7273F7B6" w14:textId="4A8BA1A5" w:rsidR="000A4A0B" w:rsidRPr="0075307E" w:rsidRDefault="000A4A0B" w:rsidP="000A4A0B">
      <w:pPr>
        <w:pStyle w:val="FootnoteText"/>
        <w:rPr>
          <w:lang w:val="es-ES"/>
        </w:rPr>
      </w:pPr>
      <w:r>
        <w:rPr>
          <w:rStyle w:val="FootnoteReference"/>
        </w:rPr>
        <w:footnoteRef/>
      </w:r>
      <w:r w:rsidRPr="0075307E">
        <w:rPr>
          <w:lang w:val="es-ES"/>
        </w:rPr>
        <w:t xml:space="preserve"> </w:t>
      </w:r>
      <w:r w:rsidRPr="00AA12BC">
        <w:rPr>
          <w:rFonts w:eastAsia="Cambria" w:cs="Cambria"/>
          <w:color w:val="000000" w:themeColor="text1"/>
          <w:szCs w:val="16"/>
          <w:lang w:val="es-CO"/>
        </w:rPr>
        <w:t>CIDH</w:t>
      </w:r>
      <w:r>
        <w:rPr>
          <w:rFonts w:eastAsia="Cambria" w:cs="Cambria"/>
          <w:color w:val="000000" w:themeColor="text1"/>
          <w:szCs w:val="16"/>
          <w:lang w:val="es-CO"/>
        </w:rPr>
        <w:t>,</w:t>
      </w:r>
      <w:r w:rsidRPr="00AA12BC">
        <w:rPr>
          <w:rFonts w:eastAsia="Cambria" w:cs="Cambria"/>
          <w:color w:val="000000" w:themeColor="text1"/>
          <w:szCs w:val="16"/>
          <w:lang w:val="es-CO"/>
        </w:rPr>
        <w:t xml:space="preserve"> </w:t>
      </w:r>
      <w:r w:rsidRPr="00AA12BC">
        <w:rPr>
          <w:color w:val="000000" w:themeColor="text1"/>
          <w:szCs w:val="16"/>
          <w:lang w:val="es-CO"/>
        </w:rPr>
        <w:t xml:space="preserve">Comunicado de Prensa </w:t>
      </w:r>
      <w:proofErr w:type="spellStart"/>
      <w:r w:rsidR="001E2E13">
        <w:rPr>
          <w:color w:val="000000" w:themeColor="text1"/>
          <w:szCs w:val="16"/>
          <w:lang w:val="es-CO"/>
        </w:rPr>
        <w:t>Nº</w:t>
      </w:r>
      <w:proofErr w:type="spellEnd"/>
      <w:r w:rsidRPr="00AA12BC">
        <w:rPr>
          <w:color w:val="000000" w:themeColor="text1"/>
          <w:szCs w:val="16"/>
          <w:lang w:val="es-CO"/>
        </w:rPr>
        <w:t xml:space="preserve"> </w:t>
      </w:r>
      <w:r>
        <w:rPr>
          <w:color w:val="000000" w:themeColor="text1"/>
          <w:szCs w:val="16"/>
          <w:lang w:val="es-CO"/>
        </w:rPr>
        <w:t>130</w:t>
      </w:r>
      <w:r w:rsidRPr="00AA12BC">
        <w:rPr>
          <w:color w:val="000000" w:themeColor="text1"/>
          <w:szCs w:val="16"/>
          <w:lang w:val="es-CO"/>
        </w:rPr>
        <w:t>/2</w:t>
      </w:r>
      <w:r>
        <w:rPr>
          <w:color w:val="000000" w:themeColor="text1"/>
          <w:szCs w:val="16"/>
          <w:lang w:val="es-CO"/>
        </w:rPr>
        <w:t>4</w:t>
      </w:r>
      <w:r w:rsidRPr="00AA12BC">
        <w:rPr>
          <w:color w:val="000000" w:themeColor="text1"/>
          <w:szCs w:val="16"/>
          <w:lang w:val="es-CO"/>
        </w:rPr>
        <w:t xml:space="preserve">, </w:t>
      </w:r>
      <w:r w:rsidR="00000000">
        <w:fldChar w:fldCharType="begin"/>
      </w:r>
      <w:r w:rsidR="00000000" w:rsidRPr="00F51AED">
        <w:rPr>
          <w:lang w:val="es-US"/>
        </w:rPr>
        <w:instrText>HYPERLINK "https://www.oas.org/es/CIDH/jsForm/?File=/es/cidh/prensa/comunicados/2024/130.asp&amp;utm_content=country-per&amp;utm_term=class-mon"</w:instrText>
      </w:r>
      <w:r w:rsidR="00000000">
        <w:fldChar w:fldCharType="separate"/>
      </w:r>
      <w:r w:rsidRPr="00453D47">
        <w:rPr>
          <w:rStyle w:val="Hyperlink"/>
          <w:szCs w:val="16"/>
          <w:lang w:val="es-CO"/>
        </w:rPr>
        <w:t>CIDH expresa preocupación por la interferencia del Congreso en el funcionamiento de otros poderes públicos</w:t>
      </w:r>
      <w:r w:rsidR="00000000">
        <w:rPr>
          <w:rStyle w:val="Hyperlink"/>
          <w:szCs w:val="16"/>
          <w:lang w:val="es-CO"/>
        </w:rPr>
        <w:fldChar w:fldCharType="end"/>
      </w:r>
      <w:r w:rsidRPr="00AA12BC">
        <w:rPr>
          <w:color w:val="000000" w:themeColor="text1"/>
          <w:szCs w:val="16"/>
          <w:lang w:val="es-CO"/>
        </w:rPr>
        <w:t xml:space="preserve">, </w:t>
      </w:r>
      <w:r>
        <w:rPr>
          <w:color w:val="000000" w:themeColor="text1"/>
          <w:szCs w:val="16"/>
          <w:lang w:val="es-CO"/>
        </w:rPr>
        <w:t>7</w:t>
      </w:r>
      <w:r w:rsidRPr="00AA12BC">
        <w:rPr>
          <w:color w:val="000000" w:themeColor="text1"/>
          <w:szCs w:val="16"/>
          <w:lang w:val="es-CO"/>
        </w:rPr>
        <w:t xml:space="preserve"> de </w:t>
      </w:r>
      <w:r>
        <w:rPr>
          <w:color w:val="000000" w:themeColor="text1"/>
          <w:szCs w:val="16"/>
          <w:lang w:val="es-CO"/>
        </w:rPr>
        <w:t>junio</w:t>
      </w:r>
      <w:r w:rsidRPr="00AA12BC">
        <w:rPr>
          <w:color w:val="000000" w:themeColor="text1"/>
          <w:szCs w:val="16"/>
          <w:lang w:val="es-CO"/>
        </w:rPr>
        <w:t xml:space="preserve"> de 202</w:t>
      </w:r>
      <w:r>
        <w:rPr>
          <w:color w:val="000000" w:themeColor="text1"/>
          <w:szCs w:val="16"/>
          <w:lang w:val="es-CO"/>
        </w:rPr>
        <w:t>4</w:t>
      </w:r>
      <w:r w:rsidRPr="00AA12BC">
        <w:rPr>
          <w:color w:val="000000" w:themeColor="text1"/>
          <w:szCs w:val="16"/>
          <w:lang w:val="es-CO"/>
        </w:rPr>
        <w:t>.</w:t>
      </w:r>
    </w:p>
  </w:footnote>
  <w:footnote w:id="116">
    <w:p w14:paraId="65F2EF69" w14:textId="69C526F5" w:rsidR="000A4A0B" w:rsidRPr="0075307E" w:rsidRDefault="000A4A0B" w:rsidP="000A4A0B">
      <w:pPr>
        <w:pStyle w:val="FootnoteText"/>
        <w:rPr>
          <w:lang w:val="es-ES"/>
        </w:rPr>
      </w:pPr>
      <w:r>
        <w:rPr>
          <w:rStyle w:val="FootnoteReference"/>
        </w:rPr>
        <w:footnoteRef/>
      </w:r>
      <w:r w:rsidRPr="0075307E">
        <w:rPr>
          <w:lang w:val="es-ES"/>
        </w:rPr>
        <w:t xml:space="preserve"> </w:t>
      </w:r>
      <w:r w:rsidRPr="00AA12BC">
        <w:rPr>
          <w:rFonts w:eastAsia="Cambria" w:cs="Cambria"/>
          <w:color w:val="000000" w:themeColor="text1"/>
          <w:szCs w:val="16"/>
          <w:lang w:val="es-CO"/>
        </w:rPr>
        <w:t>CIDH</w:t>
      </w:r>
      <w:r>
        <w:rPr>
          <w:rFonts w:eastAsia="Cambria" w:cs="Cambria"/>
          <w:color w:val="000000" w:themeColor="text1"/>
          <w:szCs w:val="16"/>
          <w:lang w:val="es-CO"/>
        </w:rPr>
        <w:t>,</w:t>
      </w:r>
      <w:r w:rsidRPr="00AA12BC">
        <w:rPr>
          <w:rFonts w:eastAsia="Cambria" w:cs="Cambria"/>
          <w:color w:val="000000" w:themeColor="text1"/>
          <w:szCs w:val="16"/>
          <w:lang w:val="es-CO"/>
        </w:rPr>
        <w:t xml:space="preserve"> </w:t>
      </w:r>
      <w:r w:rsidRPr="00AA12BC">
        <w:rPr>
          <w:color w:val="000000" w:themeColor="text1"/>
          <w:szCs w:val="16"/>
          <w:lang w:val="es-CO"/>
        </w:rPr>
        <w:t xml:space="preserve">Comunicado de Prensa </w:t>
      </w:r>
      <w:proofErr w:type="spellStart"/>
      <w:r w:rsidR="001E2E13">
        <w:rPr>
          <w:color w:val="000000" w:themeColor="text1"/>
          <w:szCs w:val="16"/>
          <w:lang w:val="es-CO"/>
        </w:rPr>
        <w:t>Nº</w:t>
      </w:r>
      <w:proofErr w:type="spellEnd"/>
      <w:r w:rsidRPr="00AA12BC">
        <w:rPr>
          <w:color w:val="000000" w:themeColor="text1"/>
          <w:szCs w:val="16"/>
          <w:lang w:val="es-CO"/>
        </w:rPr>
        <w:t xml:space="preserve"> </w:t>
      </w:r>
      <w:r>
        <w:rPr>
          <w:color w:val="000000" w:themeColor="text1"/>
          <w:szCs w:val="16"/>
          <w:lang w:val="es-CO"/>
        </w:rPr>
        <w:t>222</w:t>
      </w:r>
      <w:r w:rsidRPr="00AA12BC">
        <w:rPr>
          <w:color w:val="000000" w:themeColor="text1"/>
          <w:szCs w:val="16"/>
          <w:lang w:val="es-CO"/>
        </w:rPr>
        <w:t>/2</w:t>
      </w:r>
      <w:r>
        <w:rPr>
          <w:color w:val="000000" w:themeColor="text1"/>
          <w:szCs w:val="16"/>
          <w:lang w:val="es-CO"/>
        </w:rPr>
        <w:t>3</w:t>
      </w:r>
      <w:r w:rsidRPr="00AA12BC">
        <w:rPr>
          <w:color w:val="000000" w:themeColor="text1"/>
          <w:szCs w:val="16"/>
          <w:lang w:val="es-CO"/>
        </w:rPr>
        <w:t xml:space="preserve">, </w:t>
      </w:r>
      <w:r w:rsidR="00000000">
        <w:fldChar w:fldCharType="begin"/>
      </w:r>
      <w:r w:rsidR="00000000" w:rsidRPr="00F51AED">
        <w:rPr>
          <w:lang w:val="es-US"/>
        </w:rPr>
        <w:instrText>HYPERLINK "https://www.oas.org/es/CIDH/jsForm/?File=/es/cidh/prensa/comunicados/2023/222.asp&amp;utm_content=country-per&amp;utm_term=class-mon"</w:instrText>
      </w:r>
      <w:r w:rsidR="00000000">
        <w:fldChar w:fldCharType="separate"/>
      </w:r>
      <w:r w:rsidRPr="00602B70">
        <w:rPr>
          <w:rStyle w:val="Hyperlink"/>
          <w:szCs w:val="16"/>
          <w:lang w:val="es-CO"/>
        </w:rPr>
        <w:t>CIDH expresa preocupación por investigación contra la Junta Nacional de Justicia y llama al respeto del debido proceso</w:t>
      </w:r>
      <w:r w:rsidR="00000000">
        <w:rPr>
          <w:rStyle w:val="Hyperlink"/>
          <w:szCs w:val="16"/>
          <w:lang w:val="es-CO"/>
        </w:rPr>
        <w:fldChar w:fldCharType="end"/>
      </w:r>
      <w:r w:rsidRPr="00AA12BC">
        <w:rPr>
          <w:color w:val="000000" w:themeColor="text1"/>
          <w:szCs w:val="16"/>
          <w:lang w:val="es-CO"/>
        </w:rPr>
        <w:t xml:space="preserve">, </w:t>
      </w:r>
      <w:r>
        <w:rPr>
          <w:color w:val="000000" w:themeColor="text1"/>
          <w:szCs w:val="16"/>
          <w:lang w:val="es-CO"/>
        </w:rPr>
        <w:t>25</w:t>
      </w:r>
      <w:r w:rsidRPr="00AA12BC">
        <w:rPr>
          <w:color w:val="000000" w:themeColor="text1"/>
          <w:szCs w:val="16"/>
          <w:lang w:val="es-CO"/>
        </w:rPr>
        <w:t xml:space="preserve"> de </w:t>
      </w:r>
      <w:r>
        <w:rPr>
          <w:color w:val="000000" w:themeColor="text1"/>
          <w:szCs w:val="16"/>
          <w:lang w:val="es-CO"/>
        </w:rPr>
        <w:t>septiembre</w:t>
      </w:r>
      <w:r w:rsidRPr="00AA12BC">
        <w:rPr>
          <w:color w:val="000000" w:themeColor="text1"/>
          <w:szCs w:val="16"/>
          <w:lang w:val="es-CO"/>
        </w:rPr>
        <w:t xml:space="preserve"> de 202</w:t>
      </w:r>
      <w:r>
        <w:rPr>
          <w:color w:val="000000" w:themeColor="text1"/>
          <w:szCs w:val="16"/>
          <w:lang w:val="es-CO"/>
        </w:rPr>
        <w:t>3</w:t>
      </w:r>
      <w:r w:rsidRPr="00AA12BC">
        <w:rPr>
          <w:color w:val="000000" w:themeColor="text1"/>
          <w:szCs w:val="16"/>
          <w:lang w:val="es-CO"/>
        </w:rPr>
        <w:t>.</w:t>
      </w:r>
    </w:p>
  </w:footnote>
  <w:footnote w:id="117">
    <w:p w14:paraId="33D7775F" w14:textId="486EEE97" w:rsidR="000A4A0B" w:rsidRPr="0075307E" w:rsidRDefault="000A4A0B" w:rsidP="000A4A0B">
      <w:pPr>
        <w:pStyle w:val="FootnoteText"/>
        <w:rPr>
          <w:lang w:val="es-ES"/>
        </w:rPr>
      </w:pPr>
      <w:r>
        <w:rPr>
          <w:rStyle w:val="FootnoteReference"/>
        </w:rPr>
        <w:footnoteRef/>
      </w:r>
      <w:r w:rsidRPr="0075307E">
        <w:rPr>
          <w:lang w:val="es-ES"/>
        </w:rPr>
        <w:t xml:space="preserve"> </w:t>
      </w:r>
      <w:r w:rsidRPr="00AA12BC">
        <w:rPr>
          <w:rFonts w:eastAsia="Cambria" w:cs="Cambria"/>
          <w:color w:val="000000" w:themeColor="text1"/>
          <w:szCs w:val="16"/>
          <w:lang w:val="es-CO"/>
        </w:rPr>
        <w:t>CIDH</w:t>
      </w:r>
      <w:r>
        <w:rPr>
          <w:rFonts w:eastAsia="Cambria" w:cs="Cambria"/>
          <w:color w:val="000000" w:themeColor="text1"/>
          <w:szCs w:val="16"/>
          <w:lang w:val="es-CO"/>
        </w:rPr>
        <w:t>,</w:t>
      </w:r>
      <w:r w:rsidRPr="00AA12BC">
        <w:rPr>
          <w:rFonts w:eastAsia="Cambria" w:cs="Cambria"/>
          <w:color w:val="000000" w:themeColor="text1"/>
          <w:szCs w:val="16"/>
          <w:lang w:val="es-CO"/>
        </w:rPr>
        <w:t xml:space="preserve"> </w:t>
      </w:r>
      <w:r w:rsidRPr="00AA12BC">
        <w:rPr>
          <w:color w:val="000000" w:themeColor="text1"/>
          <w:szCs w:val="16"/>
          <w:lang w:val="es-CO"/>
        </w:rPr>
        <w:t xml:space="preserve">Comunicado de Prensa </w:t>
      </w:r>
      <w:proofErr w:type="spellStart"/>
      <w:r w:rsidR="001E2E13">
        <w:rPr>
          <w:color w:val="000000" w:themeColor="text1"/>
          <w:szCs w:val="16"/>
          <w:lang w:val="es-CO"/>
        </w:rPr>
        <w:t>Nº</w:t>
      </w:r>
      <w:proofErr w:type="spellEnd"/>
      <w:r w:rsidRPr="00AA12BC">
        <w:rPr>
          <w:color w:val="000000" w:themeColor="text1"/>
          <w:szCs w:val="16"/>
          <w:lang w:val="es-CO"/>
        </w:rPr>
        <w:t xml:space="preserve"> </w:t>
      </w:r>
      <w:r>
        <w:rPr>
          <w:color w:val="000000" w:themeColor="text1"/>
          <w:szCs w:val="16"/>
          <w:lang w:val="es-CO"/>
        </w:rPr>
        <w:t>129</w:t>
      </w:r>
      <w:r w:rsidRPr="00AA12BC">
        <w:rPr>
          <w:color w:val="000000" w:themeColor="text1"/>
          <w:szCs w:val="16"/>
          <w:lang w:val="es-CO"/>
        </w:rPr>
        <w:t>/2</w:t>
      </w:r>
      <w:r>
        <w:rPr>
          <w:color w:val="000000" w:themeColor="text1"/>
          <w:szCs w:val="16"/>
          <w:lang w:val="es-CO"/>
        </w:rPr>
        <w:t xml:space="preserve">3, </w:t>
      </w:r>
      <w:r w:rsidR="00000000">
        <w:fldChar w:fldCharType="begin"/>
      </w:r>
      <w:r w:rsidR="00000000" w:rsidRPr="00F51AED">
        <w:rPr>
          <w:lang w:val="es-US"/>
        </w:rPr>
        <w:instrText>HYPERLINK "https://www.oas.org/es/CIDH/jsForm/?File=/es/cidh/prensa/comunicados/2023/129.asp&amp;utm_content=country-per"</w:instrText>
      </w:r>
      <w:r w:rsidR="00000000">
        <w:fldChar w:fldCharType="separate"/>
      </w:r>
      <w:r w:rsidRPr="00453D47">
        <w:rPr>
          <w:rStyle w:val="Hyperlink"/>
          <w:lang w:val="es-ES"/>
        </w:rPr>
        <w:t>CIDH expresa preocupación por acusaciones constitucionales contra personas operadoras de justicia y llama al respeto a las garantías del debido proceso</w:t>
      </w:r>
      <w:r w:rsidR="00000000">
        <w:rPr>
          <w:rStyle w:val="Hyperlink"/>
          <w:lang w:val="es-ES"/>
        </w:rPr>
        <w:fldChar w:fldCharType="end"/>
      </w:r>
      <w:r w:rsidR="00BF5766">
        <w:rPr>
          <w:lang w:val="es-ES"/>
        </w:rPr>
        <w:t>,</w:t>
      </w:r>
      <w:r>
        <w:rPr>
          <w:lang w:val="es-ES"/>
        </w:rPr>
        <w:t xml:space="preserve"> 21 de junio de 2023.</w:t>
      </w:r>
    </w:p>
  </w:footnote>
  <w:footnote w:id="118">
    <w:p w14:paraId="6C0B4463" w14:textId="77777777" w:rsidR="000A4A0B" w:rsidRPr="0099109D" w:rsidRDefault="000A4A0B" w:rsidP="000A4A0B">
      <w:pPr>
        <w:pStyle w:val="FootnoteText"/>
        <w:rPr>
          <w:lang w:val="es-ES"/>
        </w:rPr>
      </w:pPr>
      <w:r>
        <w:rPr>
          <w:rStyle w:val="FootnoteReference"/>
        </w:rPr>
        <w:footnoteRef/>
      </w:r>
      <w:r w:rsidRPr="0099109D">
        <w:rPr>
          <w:lang w:val="es-ES"/>
        </w:rPr>
        <w:t xml:space="preserve"> </w:t>
      </w:r>
      <w:r>
        <w:rPr>
          <w:lang w:val="es-ES"/>
        </w:rPr>
        <w:t xml:space="preserve">CIDH, </w:t>
      </w:r>
      <w:r w:rsidR="00000000">
        <w:fldChar w:fldCharType="begin"/>
      </w:r>
      <w:r w:rsidR="00000000" w:rsidRPr="00F51AED">
        <w:rPr>
          <w:lang w:val="es-ES"/>
        </w:rPr>
        <w:instrText>HYPERLINK "https://www.oas.org/es/cidh/informes/pdfs/2023/Compendio_Institucionalidad_Democratica_DDHH.pdf"</w:instrText>
      </w:r>
      <w:r w:rsidR="00000000">
        <w:fldChar w:fldCharType="separate"/>
      </w:r>
      <w:r w:rsidRPr="00F17AE3">
        <w:rPr>
          <w:rStyle w:val="Hyperlink"/>
          <w:lang w:val="es-ES"/>
        </w:rPr>
        <w:t>Compendio sobre Institucionalidad Democrática, Estado de Derecho y Derechos Humanos</w:t>
      </w:r>
      <w:r w:rsidR="00000000">
        <w:rPr>
          <w:rStyle w:val="Hyperlink"/>
          <w:lang w:val="es-ES"/>
        </w:rPr>
        <w:fldChar w:fldCharType="end"/>
      </w:r>
      <w:r>
        <w:rPr>
          <w:lang w:val="es-ES"/>
        </w:rPr>
        <w:t xml:space="preserve">, </w:t>
      </w:r>
      <w:r w:rsidRPr="00C27EE8">
        <w:rPr>
          <w:lang w:val="es-ES"/>
        </w:rPr>
        <w:t>OEA/</w:t>
      </w:r>
      <w:proofErr w:type="spellStart"/>
      <w:r w:rsidRPr="00C27EE8">
        <w:rPr>
          <w:lang w:val="es-ES"/>
        </w:rPr>
        <w:t>Ser.L</w:t>
      </w:r>
      <w:proofErr w:type="spellEnd"/>
      <w:r w:rsidRPr="00C27EE8">
        <w:rPr>
          <w:lang w:val="es-ES"/>
        </w:rPr>
        <w:t>/V/II, Doc. 318/23, 30 de noviembre de 2023</w:t>
      </w:r>
      <w:r>
        <w:rPr>
          <w:lang w:val="es-ES"/>
        </w:rPr>
        <w:t>, párr. 31.</w:t>
      </w:r>
    </w:p>
  </w:footnote>
  <w:footnote w:id="119">
    <w:p w14:paraId="074B71BF" w14:textId="77777777" w:rsidR="000A4A0B" w:rsidRPr="00F17AE3" w:rsidRDefault="000A4A0B" w:rsidP="000A4A0B">
      <w:pPr>
        <w:pStyle w:val="FootnoteText"/>
        <w:rPr>
          <w:lang w:val="es-ES"/>
        </w:rPr>
      </w:pPr>
      <w:r>
        <w:rPr>
          <w:rStyle w:val="FootnoteReference"/>
        </w:rPr>
        <w:footnoteRef/>
      </w:r>
      <w:r w:rsidRPr="00F17AE3">
        <w:rPr>
          <w:lang w:val="es-ES"/>
        </w:rPr>
        <w:t xml:space="preserve"> </w:t>
      </w:r>
      <w:r>
        <w:rPr>
          <w:lang w:val="es-ES"/>
        </w:rPr>
        <w:t xml:space="preserve">CIDH, </w:t>
      </w:r>
      <w:r w:rsidR="00000000">
        <w:fldChar w:fldCharType="begin"/>
      </w:r>
      <w:r w:rsidR="00000000" w:rsidRPr="00F51AED">
        <w:rPr>
          <w:lang w:val="es-ES"/>
        </w:rPr>
        <w:instrText>HYPERLINK "https://www.oas.org/es/cidh/informes/pdfs/2023/Compendio_Institucionalidad_Democratica_DDHH.pdf"</w:instrText>
      </w:r>
      <w:r w:rsidR="00000000">
        <w:fldChar w:fldCharType="separate"/>
      </w:r>
      <w:r w:rsidRPr="00F17AE3">
        <w:rPr>
          <w:rStyle w:val="Hyperlink"/>
          <w:lang w:val="es-ES"/>
        </w:rPr>
        <w:t>Compendio sobre Institucionalidad Democrática, Estado de Derecho y Derechos Humanos</w:t>
      </w:r>
      <w:r w:rsidR="00000000">
        <w:rPr>
          <w:rStyle w:val="Hyperlink"/>
          <w:lang w:val="es-ES"/>
        </w:rPr>
        <w:fldChar w:fldCharType="end"/>
      </w:r>
      <w:r>
        <w:rPr>
          <w:lang w:val="es-ES"/>
        </w:rPr>
        <w:t xml:space="preserve">, </w:t>
      </w:r>
      <w:r w:rsidRPr="00C27EE8">
        <w:rPr>
          <w:lang w:val="es-ES"/>
        </w:rPr>
        <w:t>OEA/</w:t>
      </w:r>
      <w:proofErr w:type="spellStart"/>
      <w:r w:rsidRPr="00C27EE8">
        <w:rPr>
          <w:lang w:val="es-ES"/>
        </w:rPr>
        <w:t>Ser.L</w:t>
      </w:r>
      <w:proofErr w:type="spellEnd"/>
      <w:r w:rsidRPr="00C27EE8">
        <w:rPr>
          <w:lang w:val="es-ES"/>
        </w:rPr>
        <w:t>/V/II, Doc. 318/23, 30 de noviembre de 2023</w:t>
      </w:r>
      <w:r>
        <w:rPr>
          <w:lang w:val="es-ES"/>
        </w:rPr>
        <w:t>, párr. 29.</w:t>
      </w:r>
    </w:p>
  </w:footnote>
  <w:footnote w:id="120">
    <w:p w14:paraId="74574F86" w14:textId="77777777" w:rsidR="000A4A0B" w:rsidRPr="008C524B" w:rsidRDefault="000A4A0B" w:rsidP="000A4A0B">
      <w:pPr>
        <w:pStyle w:val="FootnoteText"/>
        <w:rPr>
          <w:lang w:val="es-ES"/>
        </w:rPr>
      </w:pPr>
      <w:r>
        <w:rPr>
          <w:rStyle w:val="FootnoteReference"/>
        </w:rPr>
        <w:footnoteRef/>
      </w:r>
      <w:r w:rsidRPr="008C524B">
        <w:rPr>
          <w:lang w:val="es-ES"/>
        </w:rPr>
        <w:t xml:space="preserve"> </w:t>
      </w:r>
      <w:r>
        <w:rPr>
          <w:lang w:val="es-ES"/>
        </w:rPr>
        <w:t xml:space="preserve">CIDH, </w:t>
      </w:r>
      <w:r w:rsidR="00000000">
        <w:fldChar w:fldCharType="begin"/>
      </w:r>
      <w:r w:rsidR="00000000" w:rsidRPr="00F51AED">
        <w:rPr>
          <w:lang w:val="es-ES"/>
        </w:rPr>
        <w:instrText>HYPERLINK "https://www.oas.org/es/cidh/docs/anual/2022/capitulos/8-IA2022_Cap_4B_NI_ES.pdf"</w:instrText>
      </w:r>
      <w:r w:rsidR="00000000">
        <w:fldChar w:fldCharType="separate"/>
      </w:r>
      <w:r w:rsidRPr="00F17AE3">
        <w:rPr>
          <w:rStyle w:val="Hyperlink"/>
          <w:lang w:val="es-ES"/>
        </w:rPr>
        <w:t>Informe Anual de la Comisión Interamericana de Derechos Humanos, 2022, Capítulo IV. Nicaragua</w:t>
      </w:r>
      <w:r w:rsidR="00000000">
        <w:rPr>
          <w:rStyle w:val="Hyperlink"/>
          <w:lang w:val="es-ES"/>
        </w:rPr>
        <w:fldChar w:fldCharType="end"/>
      </w:r>
      <w:r>
        <w:rPr>
          <w:lang w:val="es-ES"/>
        </w:rPr>
        <w:t>, 1 de abril de 2023, párr. 25.</w:t>
      </w:r>
    </w:p>
  </w:footnote>
  <w:footnote w:id="121">
    <w:p w14:paraId="6EF176B6" w14:textId="3F82B970" w:rsidR="000A4A0B" w:rsidRPr="00E367B8" w:rsidRDefault="000A4A0B" w:rsidP="000A4A0B">
      <w:pPr>
        <w:pStyle w:val="FootnoteText"/>
        <w:rPr>
          <w:lang w:val="es-ES"/>
        </w:rPr>
      </w:pPr>
      <w:r>
        <w:rPr>
          <w:rStyle w:val="FootnoteReference"/>
        </w:rPr>
        <w:footnoteRef/>
      </w:r>
      <w:r w:rsidRPr="00E367B8">
        <w:rPr>
          <w:lang w:val="es-ES"/>
        </w:rPr>
        <w:t xml:space="preserve"> </w:t>
      </w:r>
      <w:r w:rsidR="00000000">
        <w:fldChar w:fldCharType="begin"/>
      </w:r>
      <w:r w:rsidR="00000000" w:rsidRPr="00F51AED">
        <w:rPr>
          <w:lang w:val="es-ES"/>
        </w:rPr>
        <w:instrText>HYPERLINK "https://img.lpderecho.pe/wp-content/uploads/2024/11/Ley-32153-LPDerecho.pdf"</w:instrText>
      </w:r>
      <w:r w:rsidR="00000000">
        <w:fldChar w:fldCharType="separate"/>
      </w:r>
      <w:r w:rsidRPr="00767D3D">
        <w:rPr>
          <w:rStyle w:val="Hyperlink"/>
          <w:lang w:val="es-ES"/>
        </w:rPr>
        <w:t xml:space="preserve">Ley </w:t>
      </w:r>
      <w:proofErr w:type="spellStart"/>
      <w:r w:rsidR="001E2E13">
        <w:rPr>
          <w:rStyle w:val="Hyperlink"/>
          <w:lang w:val="es-ES"/>
        </w:rPr>
        <w:t>Nº</w:t>
      </w:r>
      <w:proofErr w:type="spellEnd"/>
      <w:r w:rsidRPr="00767D3D">
        <w:rPr>
          <w:rStyle w:val="Hyperlink"/>
          <w:lang w:val="es-ES"/>
        </w:rPr>
        <w:t xml:space="preserve"> 32153</w:t>
      </w:r>
      <w:r w:rsidR="00000000">
        <w:rPr>
          <w:rStyle w:val="Hyperlink"/>
          <w:lang w:val="es-ES"/>
        </w:rPr>
        <w:fldChar w:fldCharType="end"/>
      </w:r>
      <w:r>
        <w:rPr>
          <w:lang w:val="es-ES"/>
        </w:rPr>
        <w:t>,</w:t>
      </w:r>
      <w:r w:rsidR="00435006">
        <w:rPr>
          <w:lang w:val="es-ES"/>
        </w:rPr>
        <w:t xml:space="preserve"> </w:t>
      </w:r>
      <w:r>
        <w:rPr>
          <w:lang w:val="es-ES"/>
        </w:rPr>
        <w:t xml:space="preserve">5 de noviembre de 2024. </w:t>
      </w:r>
    </w:p>
  </w:footnote>
  <w:footnote w:id="122">
    <w:p w14:paraId="5AC70712" w14:textId="77777777" w:rsidR="000A4A0B" w:rsidRPr="00767D3D" w:rsidRDefault="000A4A0B" w:rsidP="000A4A0B">
      <w:pPr>
        <w:pStyle w:val="FootnoteText"/>
        <w:rPr>
          <w:lang w:val="es-ES"/>
        </w:rPr>
      </w:pPr>
      <w:r>
        <w:rPr>
          <w:rStyle w:val="FootnoteReference"/>
        </w:rPr>
        <w:footnoteRef/>
      </w:r>
      <w:r w:rsidRPr="00767D3D">
        <w:rPr>
          <w:lang w:val="es-ES"/>
        </w:rPr>
        <w:t xml:space="preserve"> </w:t>
      </w:r>
      <w:r w:rsidR="00000000">
        <w:fldChar w:fldCharType="begin"/>
      </w:r>
      <w:r w:rsidR="00000000" w:rsidRPr="00F51AED">
        <w:rPr>
          <w:lang w:val="es-US"/>
        </w:rPr>
        <w:instrText>HYPERLINK "https://comunicaciones.congreso.gob.pe/noticias/aprueban-reforma-constitucional-para-fortalecer-la-neutralidad-e-imparcialidad-en-el-sistema-electoral/"</w:instrText>
      </w:r>
      <w:r w:rsidR="00000000">
        <w:fldChar w:fldCharType="separate"/>
      </w:r>
      <w:r w:rsidRPr="00707F5A">
        <w:rPr>
          <w:rStyle w:val="Hyperlink"/>
          <w:lang w:val="es-ES"/>
        </w:rPr>
        <w:t>Proyecto de Ley 9095/2024-CR, modifica los artículos 179, 180, 182 y 183 de la Constitución Política del Perú</w:t>
      </w:r>
      <w:r w:rsidR="00000000">
        <w:rPr>
          <w:rStyle w:val="Hyperlink"/>
          <w:lang w:val="es-ES"/>
        </w:rPr>
        <w:fldChar w:fldCharType="end"/>
      </w:r>
      <w:r>
        <w:rPr>
          <w:lang w:val="es-ES"/>
        </w:rPr>
        <w:t xml:space="preserve">. </w:t>
      </w:r>
    </w:p>
  </w:footnote>
  <w:footnote w:id="123">
    <w:p w14:paraId="058329A6" w14:textId="6004607E" w:rsidR="00B1747D" w:rsidRPr="002860DF" w:rsidRDefault="00B1747D">
      <w:pPr>
        <w:pStyle w:val="FootnoteText"/>
        <w:rPr>
          <w:lang w:val="es-ES"/>
        </w:rPr>
      </w:pPr>
      <w:r>
        <w:rPr>
          <w:rStyle w:val="FootnoteReference"/>
        </w:rPr>
        <w:footnoteRef/>
      </w:r>
      <w:r w:rsidRPr="002860DF">
        <w:rPr>
          <w:lang w:val="es-ES"/>
        </w:rPr>
        <w:t xml:space="preserve"> </w:t>
      </w:r>
      <w:r w:rsidR="00000000">
        <w:fldChar w:fldCharType="begin"/>
      </w:r>
      <w:r w:rsidR="00000000" w:rsidRPr="00F51AED">
        <w:rPr>
          <w:lang w:val="es-US"/>
        </w:rPr>
        <w:instrText>HYPERLINK "https://img.lpderecho.pe/wp-content/uploads/2024/12/Ley-32182-LPDerecho.pdf"</w:instrText>
      </w:r>
      <w:r w:rsidR="00000000">
        <w:fldChar w:fldCharType="separate"/>
      </w:r>
      <w:r w:rsidRPr="002860DF">
        <w:rPr>
          <w:rStyle w:val="Hyperlink"/>
          <w:lang w:val="es-ES"/>
        </w:rPr>
        <w:t>Ley N</w:t>
      </w:r>
      <w:r>
        <w:rPr>
          <w:rStyle w:val="Hyperlink"/>
          <w:lang w:val="es-ES"/>
        </w:rPr>
        <w:t>o.</w:t>
      </w:r>
      <w:r w:rsidRPr="002860DF">
        <w:rPr>
          <w:rStyle w:val="Hyperlink"/>
          <w:lang w:val="es-ES"/>
        </w:rPr>
        <w:t xml:space="preserve"> 32182, de 11 de diciembre de 2024</w:t>
      </w:r>
      <w:r w:rsidR="00000000">
        <w:rPr>
          <w:rStyle w:val="Hyperlink"/>
          <w:lang w:val="es-ES"/>
        </w:rPr>
        <w:fldChar w:fldCharType="end"/>
      </w:r>
      <w:r w:rsidR="008E0499">
        <w:rPr>
          <w:lang w:val="es-ES"/>
        </w:rPr>
        <w:t>.</w:t>
      </w:r>
    </w:p>
  </w:footnote>
  <w:footnote w:id="124">
    <w:p w14:paraId="3598E2B2" w14:textId="78952E46" w:rsidR="00B1747D" w:rsidRPr="002860DF" w:rsidRDefault="00B1747D">
      <w:pPr>
        <w:pStyle w:val="FootnoteText"/>
        <w:rPr>
          <w:lang w:val="es-ES"/>
        </w:rPr>
      </w:pPr>
      <w:r>
        <w:rPr>
          <w:rStyle w:val="FootnoteReference"/>
        </w:rPr>
        <w:footnoteRef/>
      </w:r>
      <w:r w:rsidRPr="002860DF">
        <w:rPr>
          <w:lang w:val="es-ES"/>
        </w:rPr>
        <w:t xml:space="preserve"> </w:t>
      </w:r>
      <w:r w:rsidR="00000000">
        <w:fldChar w:fldCharType="begin"/>
      </w:r>
      <w:r w:rsidR="00000000" w:rsidRPr="00F51AED">
        <w:rPr>
          <w:lang w:val="es-US"/>
        </w:rPr>
        <w:instrText>HYPERLINK "https://img.lpderecho.pe/wp-content/uploads/2024/08/Ley-32108-LPDerecho.pdf"</w:instrText>
      </w:r>
      <w:r w:rsidR="00000000">
        <w:fldChar w:fldCharType="separate"/>
      </w:r>
      <w:r w:rsidRPr="002860DF">
        <w:rPr>
          <w:rStyle w:val="Hyperlink"/>
          <w:lang w:val="es-ES"/>
        </w:rPr>
        <w:t xml:space="preserve">Ley No. 32108, de 9 de </w:t>
      </w:r>
      <w:proofErr w:type="gramStart"/>
      <w:r w:rsidRPr="002860DF">
        <w:rPr>
          <w:rStyle w:val="Hyperlink"/>
          <w:lang w:val="es-ES"/>
        </w:rPr>
        <w:t>Agosto</w:t>
      </w:r>
      <w:proofErr w:type="gramEnd"/>
      <w:r w:rsidRPr="002860DF">
        <w:rPr>
          <w:rStyle w:val="Hyperlink"/>
          <w:lang w:val="es-ES"/>
        </w:rPr>
        <w:t xml:space="preserve"> de 2024.</w:t>
      </w:r>
      <w:r w:rsidR="00000000">
        <w:rPr>
          <w:rStyle w:val="Hyperlink"/>
          <w:lang w:val="es-ES"/>
        </w:rPr>
        <w:fldChar w:fldCharType="end"/>
      </w:r>
    </w:p>
  </w:footnote>
  <w:footnote w:id="125">
    <w:p w14:paraId="3EBEBB35" w14:textId="6A01F150" w:rsidR="00B1747D" w:rsidRPr="002860DF" w:rsidRDefault="00B1747D">
      <w:pPr>
        <w:pStyle w:val="FootnoteText"/>
        <w:rPr>
          <w:lang w:val="es-ES"/>
        </w:rPr>
      </w:pPr>
      <w:r>
        <w:rPr>
          <w:rStyle w:val="FootnoteReference"/>
        </w:rPr>
        <w:footnoteRef/>
      </w:r>
      <w:r w:rsidRPr="002860DF">
        <w:rPr>
          <w:lang w:val="es-ES"/>
        </w:rPr>
        <w:t xml:space="preserve"> </w:t>
      </w:r>
      <w:r w:rsidR="00000000">
        <w:fldChar w:fldCharType="begin"/>
      </w:r>
      <w:r w:rsidR="00000000" w:rsidRPr="00F51AED">
        <w:rPr>
          <w:lang w:val="es-US"/>
        </w:rPr>
        <w:instrText>HYPERLINK "https://img.lpderecho.pe/wp-content/uploads/2024/10/Ley-32130-entrega-la-conduccion-del-delito-a-la-policia-en-investigacion-preliminar-LP-DERECHO.pdf"</w:instrText>
      </w:r>
      <w:r w:rsidR="00000000">
        <w:fldChar w:fldCharType="separate"/>
      </w:r>
      <w:r w:rsidRPr="002860DF">
        <w:rPr>
          <w:rStyle w:val="Hyperlink"/>
          <w:lang w:val="es-ES"/>
        </w:rPr>
        <w:t>Ley No. 32130, de 10 de octubre de 2024.</w:t>
      </w:r>
      <w:r w:rsidR="00000000">
        <w:rPr>
          <w:rStyle w:val="Hyperlink"/>
          <w:lang w:val="es-ES"/>
        </w:rPr>
        <w:fldChar w:fldCharType="end"/>
      </w:r>
    </w:p>
  </w:footnote>
  <w:footnote w:id="126">
    <w:p w14:paraId="13549A95" w14:textId="0C7D26F4" w:rsidR="00B1747D" w:rsidRPr="002860DF" w:rsidRDefault="00B1747D">
      <w:pPr>
        <w:pStyle w:val="FootnoteText"/>
        <w:rPr>
          <w:lang w:val="es-ES"/>
        </w:rPr>
      </w:pPr>
      <w:r>
        <w:rPr>
          <w:rStyle w:val="FootnoteReference"/>
        </w:rPr>
        <w:footnoteRef/>
      </w:r>
      <w:r w:rsidRPr="002860DF">
        <w:rPr>
          <w:lang w:val="es-ES"/>
        </w:rPr>
        <w:t xml:space="preserve"> </w:t>
      </w:r>
      <w:r w:rsidR="00000000">
        <w:fldChar w:fldCharType="begin"/>
      </w:r>
      <w:r w:rsidR="00000000" w:rsidRPr="00F51AED">
        <w:rPr>
          <w:lang w:val="es-US"/>
        </w:rPr>
        <w:instrText>HYPERLINK "https://img.lpderecho.pe/wp-content/uploads/2024/03/Ley-31990-modifica-el-Codigo-Procesal-Penal-Proceso-especial-por-colaboracion-eficaz-LPDERECHO.pdf"</w:instrText>
      </w:r>
      <w:r w:rsidR="00000000">
        <w:fldChar w:fldCharType="separate"/>
      </w:r>
      <w:r w:rsidRPr="002860DF">
        <w:rPr>
          <w:rStyle w:val="Hyperlink"/>
          <w:lang w:val="es-ES"/>
        </w:rPr>
        <w:t>Ley No. 31990, de 31 de marzo de 2024</w:t>
      </w:r>
      <w:r w:rsidR="00000000">
        <w:rPr>
          <w:rStyle w:val="Hyperlink"/>
          <w:lang w:val="es-ES"/>
        </w:rPr>
        <w:fldChar w:fldCharType="end"/>
      </w:r>
      <w:r w:rsidR="008E0499">
        <w:rPr>
          <w:lang w:val="es-ES"/>
        </w:rPr>
        <w:t>.</w:t>
      </w:r>
    </w:p>
  </w:footnote>
  <w:footnote w:id="127">
    <w:p w14:paraId="42FC8AE5" w14:textId="01B2ADAB" w:rsidR="00B1747D" w:rsidRPr="002860DF" w:rsidRDefault="00B1747D">
      <w:pPr>
        <w:pStyle w:val="FootnoteText"/>
        <w:rPr>
          <w:lang w:val="es-ES"/>
        </w:rPr>
      </w:pPr>
      <w:r>
        <w:rPr>
          <w:rStyle w:val="FootnoteReference"/>
        </w:rPr>
        <w:footnoteRef/>
      </w:r>
      <w:r w:rsidRPr="002860DF">
        <w:rPr>
          <w:lang w:val="es-ES"/>
        </w:rPr>
        <w:t xml:space="preserve"> </w:t>
      </w:r>
      <w:r w:rsidR="00000000">
        <w:fldChar w:fldCharType="begin"/>
      </w:r>
      <w:r w:rsidR="00000000" w:rsidRPr="00F51AED">
        <w:rPr>
          <w:lang w:val="es-US"/>
        </w:rPr>
        <w:instrText>HYPERLINK "https://busquedas.elperuano.pe/dispositivo/NL/2181041-1"</w:instrText>
      </w:r>
      <w:r w:rsidR="00000000">
        <w:fldChar w:fldCharType="separate"/>
      </w:r>
      <w:r w:rsidR="008E0499" w:rsidRPr="002860DF">
        <w:rPr>
          <w:rStyle w:val="Hyperlink"/>
          <w:lang w:val="es-ES"/>
        </w:rPr>
        <w:t>Ley No. 31751, de 25 de mayo de 2023.</w:t>
      </w:r>
      <w:r w:rsidR="00000000">
        <w:rPr>
          <w:rStyle w:val="Hyperlink"/>
          <w:lang w:val="es-ES"/>
        </w:rPr>
        <w:fldChar w:fldCharType="end"/>
      </w:r>
    </w:p>
  </w:footnote>
  <w:footnote w:id="128">
    <w:p w14:paraId="633BA1BD" w14:textId="406E7BA2" w:rsidR="008E0499" w:rsidRPr="002860DF" w:rsidRDefault="008E0499">
      <w:pPr>
        <w:pStyle w:val="FootnoteText"/>
        <w:rPr>
          <w:lang w:val="es-ES"/>
        </w:rPr>
      </w:pPr>
      <w:r>
        <w:rPr>
          <w:rStyle w:val="FootnoteReference"/>
        </w:rPr>
        <w:footnoteRef/>
      </w:r>
      <w:r w:rsidRPr="002860DF">
        <w:rPr>
          <w:lang w:val="es-ES"/>
        </w:rPr>
        <w:t xml:space="preserve"> </w:t>
      </w:r>
      <w:r w:rsidR="00000000">
        <w:fldChar w:fldCharType="begin"/>
      </w:r>
      <w:r w:rsidR="00000000" w:rsidRPr="00F51AED">
        <w:rPr>
          <w:lang w:val="es-US"/>
        </w:rPr>
        <w:instrText>HYPERLINK "https://img.lpderecho.pe/wp-content/uploads/2024/08/Ley-32107-LPDerecho.pdf"</w:instrText>
      </w:r>
      <w:r w:rsidR="00000000">
        <w:fldChar w:fldCharType="separate"/>
      </w:r>
      <w:r w:rsidR="00065F32">
        <w:rPr>
          <w:rStyle w:val="Hyperlink"/>
          <w:lang w:val="es-ES"/>
        </w:rPr>
        <w:t>Ley No. 32107, de 9 de agosto de 2024.</w:t>
      </w:r>
      <w:r w:rsidR="00000000">
        <w:rPr>
          <w:rStyle w:val="Hyperlink"/>
          <w:lang w:val="es-ES"/>
        </w:rPr>
        <w:fldChar w:fldCharType="end"/>
      </w:r>
    </w:p>
  </w:footnote>
  <w:footnote w:id="129">
    <w:p w14:paraId="2CE626B1" w14:textId="059A5980" w:rsidR="000A4A0B" w:rsidRPr="00734F7D" w:rsidRDefault="000A4A0B" w:rsidP="000A4A0B">
      <w:pPr>
        <w:pStyle w:val="FootnoteText"/>
        <w:rPr>
          <w:lang w:val="es-ES"/>
        </w:rPr>
      </w:pPr>
      <w:r>
        <w:rPr>
          <w:rStyle w:val="FootnoteReference"/>
        </w:rPr>
        <w:footnoteRef/>
      </w:r>
      <w:r w:rsidRPr="00734F7D">
        <w:rPr>
          <w:lang w:val="es-ES"/>
        </w:rPr>
        <w:t xml:space="preserve"> </w:t>
      </w:r>
      <w:r w:rsidRPr="00AA12BC">
        <w:rPr>
          <w:rFonts w:eastAsia="Cambria" w:cs="Cambria"/>
          <w:color w:val="000000" w:themeColor="text1"/>
          <w:szCs w:val="16"/>
          <w:lang w:val="es-CO"/>
        </w:rPr>
        <w:t>CIDH</w:t>
      </w:r>
      <w:r>
        <w:rPr>
          <w:rFonts w:eastAsia="Cambria" w:cs="Cambria"/>
          <w:color w:val="000000" w:themeColor="text1"/>
          <w:szCs w:val="16"/>
          <w:lang w:val="es-CO"/>
        </w:rPr>
        <w:t xml:space="preserve">, </w:t>
      </w:r>
      <w:r w:rsidRPr="00AA12BC">
        <w:rPr>
          <w:color w:val="000000" w:themeColor="text1"/>
          <w:szCs w:val="16"/>
          <w:lang w:val="es-CO"/>
        </w:rPr>
        <w:t xml:space="preserve">Comunicado de Prensa </w:t>
      </w:r>
      <w:proofErr w:type="spellStart"/>
      <w:r w:rsidR="001E2E13">
        <w:rPr>
          <w:color w:val="000000" w:themeColor="text1"/>
          <w:szCs w:val="16"/>
          <w:lang w:val="es-CO"/>
        </w:rPr>
        <w:t>Nº</w:t>
      </w:r>
      <w:proofErr w:type="spellEnd"/>
      <w:r w:rsidRPr="00AA12BC">
        <w:rPr>
          <w:color w:val="000000" w:themeColor="text1"/>
          <w:szCs w:val="16"/>
          <w:lang w:val="es-CO"/>
        </w:rPr>
        <w:t xml:space="preserve"> </w:t>
      </w:r>
      <w:r>
        <w:rPr>
          <w:color w:val="000000" w:themeColor="text1"/>
          <w:szCs w:val="16"/>
          <w:lang w:val="es-CO"/>
        </w:rPr>
        <w:t>206</w:t>
      </w:r>
      <w:r w:rsidRPr="00AA12BC">
        <w:rPr>
          <w:color w:val="000000" w:themeColor="text1"/>
          <w:szCs w:val="16"/>
          <w:lang w:val="es-CO"/>
        </w:rPr>
        <w:t>/2</w:t>
      </w:r>
      <w:r>
        <w:rPr>
          <w:color w:val="000000" w:themeColor="text1"/>
          <w:szCs w:val="16"/>
          <w:lang w:val="es-CO"/>
        </w:rPr>
        <w:t>4</w:t>
      </w:r>
      <w:r w:rsidRPr="00AA12BC">
        <w:rPr>
          <w:color w:val="000000" w:themeColor="text1"/>
          <w:szCs w:val="16"/>
          <w:lang w:val="es-CO"/>
        </w:rPr>
        <w:t>,</w:t>
      </w:r>
      <w:r>
        <w:rPr>
          <w:color w:val="000000" w:themeColor="text1"/>
          <w:szCs w:val="16"/>
          <w:lang w:val="es-CO"/>
        </w:rPr>
        <w:t xml:space="preserve"> </w:t>
      </w:r>
      <w:r w:rsidR="00000000">
        <w:fldChar w:fldCharType="begin"/>
      </w:r>
      <w:r w:rsidR="00000000" w:rsidRPr="00F51AED">
        <w:rPr>
          <w:lang w:val="es-US"/>
        </w:rPr>
        <w:instrText>HYPERLINK "https://www.oas.org/es/CIDH/jsForm/?File=/es/cidh/prensa/comunicados/2024/206.asp&amp;utm_content=country-per&amp;utm_term=class-mon"</w:instrText>
      </w:r>
      <w:r w:rsidR="00000000">
        <w:fldChar w:fldCharType="separate"/>
      </w:r>
      <w:r w:rsidRPr="00734F7D">
        <w:rPr>
          <w:rStyle w:val="Hyperlink"/>
          <w:szCs w:val="16"/>
          <w:lang w:val="es-CO"/>
        </w:rPr>
        <w:t>CIDH advierte afectaciones al acceso a la justicia tras aprobación de ley sobre delitos de lesa humanidad en Perú</w:t>
      </w:r>
      <w:r w:rsidR="00000000">
        <w:rPr>
          <w:rStyle w:val="Hyperlink"/>
          <w:szCs w:val="16"/>
          <w:lang w:val="es-CO"/>
        </w:rPr>
        <w:fldChar w:fldCharType="end"/>
      </w:r>
      <w:r>
        <w:rPr>
          <w:color w:val="000000" w:themeColor="text1"/>
          <w:szCs w:val="16"/>
          <w:lang w:val="es-CO"/>
        </w:rPr>
        <w:t>,</w:t>
      </w:r>
      <w:r w:rsidRPr="00AA12BC">
        <w:rPr>
          <w:color w:val="000000" w:themeColor="text1"/>
          <w:szCs w:val="16"/>
          <w:lang w:val="es-CO"/>
        </w:rPr>
        <w:t xml:space="preserve"> </w:t>
      </w:r>
      <w:r>
        <w:rPr>
          <w:color w:val="000000" w:themeColor="text1"/>
          <w:szCs w:val="16"/>
          <w:lang w:val="es-CO"/>
        </w:rPr>
        <w:t>3</w:t>
      </w:r>
      <w:r w:rsidRPr="00AA12BC">
        <w:rPr>
          <w:color w:val="000000" w:themeColor="text1"/>
          <w:szCs w:val="16"/>
          <w:lang w:val="es-CO"/>
        </w:rPr>
        <w:t xml:space="preserve"> de </w:t>
      </w:r>
      <w:r>
        <w:rPr>
          <w:color w:val="000000" w:themeColor="text1"/>
          <w:szCs w:val="16"/>
          <w:lang w:val="es-CO"/>
        </w:rPr>
        <w:t>septiembre</w:t>
      </w:r>
      <w:r w:rsidRPr="00AA12BC">
        <w:rPr>
          <w:color w:val="000000" w:themeColor="text1"/>
          <w:szCs w:val="16"/>
          <w:lang w:val="es-CO"/>
        </w:rPr>
        <w:t xml:space="preserve"> de 202</w:t>
      </w:r>
      <w:r>
        <w:rPr>
          <w:color w:val="000000" w:themeColor="text1"/>
          <w:szCs w:val="16"/>
          <w:lang w:val="es-CO"/>
        </w:rPr>
        <w:t>4</w:t>
      </w:r>
      <w:r w:rsidRPr="00AA12BC">
        <w:rPr>
          <w:color w:val="000000" w:themeColor="text1"/>
          <w:szCs w:val="16"/>
          <w:lang w:val="es-CO"/>
        </w:rPr>
        <w:t>.</w:t>
      </w:r>
    </w:p>
  </w:footnote>
  <w:footnote w:id="130">
    <w:p w14:paraId="515CDB0C" w14:textId="0D68370E" w:rsidR="000A4A0B" w:rsidRPr="00DF6543" w:rsidRDefault="000A4A0B" w:rsidP="000A4A0B">
      <w:pPr>
        <w:pStyle w:val="FootnoteText"/>
        <w:rPr>
          <w:lang w:val="es-ES"/>
        </w:rPr>
      </w:pPr>
      <w:r>
        <w:rPr>
          <w:rStyle w:val="FootnoteReference"/>
        </w:rPr>
        <w:footnoteRef/>
      </w:r>
      <w:r w:rsidRPr="00DF6543">
        <w:rPr>
          <w:lang w:val="es-ES"/>
        </w:rPr>
        <w:t xml:space="preserve"> </w:t>
      </w:r>
      <w:r w:rsidR="00000000">
        <w:fldChar w:fldCharType="begin"/>
      </w:r>
      <w:r w:rsidR="00000000" w:rsidRPr="00F51AED">
        <w:rPr>
          <w:lang w:val="es-US"/>
        </w:rPr>
        <w:instrText>HYPERLINK "https://img.lpderecho.pe/wp-content/uploads/2024/05/Ley-32028-LPDerecho.pdf"</w:instrText>
      </w:r>
      <w:r w:rsidR="00000000">
        <w:fldChar w:fldCharType="separate"/>
      </w:r>
      <w:r w:rsidRPr="00DF6543">
        <w:rPr>
          <w:rStyle w:val="Hyperlink"/>
          <w:lang w:val="es-ES"/>
        </w:rPr>
        <w:t xml:space="preserve">Ley </w:t>
      </w:r>
      <w:proofErr w:type="spellStart"/>
      <w:r w:rsidR="001E2E13">
        <w:rPr>
          <w:rStyle w:val="Hyperlink"/>
          <w:lang w:val="es-ES"/>
        </w:rPr>
        <w:t>Nº</w:t>
      </w:r>
      <w:proofErr w:type="spellEnd"/>
      <w:r w:rsidRPr="00DF6543">
        <w:rPr>
          <w:rStyle w:val="Hyperlink"/>
          <w:lang w:val="es-ES"/>
        </w:rPr>
        <w:t xml:space="preserve"> 32028</w:t>
      </w:r>
      <w:r w:rsidR="00000000">
        <w:rPr>
          <w:rStyle w:val="Hyperlink"/>
          <w:lang w:val="es-ES"/>
        </w:rPr>
        <w:fldChar w:fldCharType="end"/>
      </w:r>
      <w:r>
        <w:rPr>
          <w:lang w:val="es-ES"/>
        </w:rPr>
        <w:t>, 17 de mayo de 2024.</w:t>
      </w:r>
    </w:p>
  </w:footnote>
  <w:footnote w:id="131">
    <w:p w14:paraId="3DB447FD" w14:textId="42E2F92D" w:rsidR="000A4A0B" w:rsidRPr="00A80A2F" w:rsidRDefault="000A4A0B" w:rsidP="000A4A0B">
      <w:pPr>
        <w:pStyle w:val="FootnoteText"/>
        <w:rPr>
          <w:lang w:val="es-CO"/>
        </w:rPr>
      </w:pPr>
      <w:r>
        <w:rPr>
          <w:rStyle w:val="FootnoteReference"/>
        </w:rPr>
        <w:footnoteRef/>
      </w:r>
      <w:r w:rsidRPr="00A80A2F">
        <w:rPr>
          <w:lang w:val="es-CO"/>
        </w:rPr>
        <w:t xml:space="preserve"> </w:t>
      </w:r>
      <w:r>
        <w:rPr>
          <w:lang w:val="es-CO"/>
        </w:rPr>
        <w:t xml:space="preserve">Pronunciamiento de </w:t>
      </w:r>
      <w:proofErr w:type="gramStart"/>
      <w:r>
        <w:rPr>
          <w:lang w:val="es-CO"/>
        </w:rPr>
        <w:t>ex Defensores</w:t>
      </w:r>
      <w:proofErr w:type="gramEnd"/>
      <w:r>
        <w:rPr>
          <w:lang w:val="es-CO"/>
        </w:rPr>
        <w:t xml:space="preserve"> y de ex trabajadores de la Defensoría del Pueblo </w:t>
      </w:r>
      <w:hyperlink r:id="rId1" w:history="1">
        <w:r w:rsidR="00513D80" w:rsidRPr="00DE7EB1">
          <w:rPr>
            <w:rStyle w:val="Hyperlink"/>
            <w:lang w:val="es-CO"/>
          </w:rPr>
          <w:t>https://www.infobae.com/peru/2024/09/10/cuotas-de-poder-impunidad-y-silencio-el-fuerte-mensaje-de-exdefensores-contra-la-labor-e-intereses-de-josue-gutierrez/</w:t>
        </w:r>
      </w:hyperlink>
      <w:r w:rsidR="00513D80">
        <w:rPr>
          <w:lang w:val="es-CO"/>
        </w:rPr>
        <w:t xml:space="preserve"> </w:t>
      </w:r>
    </w:p>
  </w:footnote>
  <w:footnote w:id="132">
    <w:p w14:paraId="0915F257" w14:textId="7214C65C" w:rsidR="000A4A0B" w:rsidRPr="00CF2324" w:rsidRDefault="000A4A0B" w:rsidP="000A4A0B">
      <w:pPr>
        <w:pStyle w:val="FootnoteText"/>
        <w:rPr>
          <w:rFonts w:eastAsia="Cambria" w:cs="Cambria"/>
          <w:color w:val="000000" w:themeColor="text1"/>
          <w:szCs w:val="16"/>
          <w:lang w:val="es-CO"/>
        </w:rPr>
      </w:pPr>
      <w:r>
        <w:rPr>
          <w:rStyle w:val="FootnoteReference"/>
        </w:rPr>
        <w:footnoteRef/>
      </w:r>
      <w:r w:rsidRPr="00CF2324">
        <w:rPr>
          <w:lang w:val="es-ES"/>
        </w:rPr>
        <w:t xml:space="preserve"> </w:t>
      </w:r>
      <w:r w:rsidR="00000000">
        <w:fldChar w:fldCharType="begin"/>
      </w:r>
      <w:r w:rsidR="00000000" w:rsidRPr="00F51AED">
        <w:rPr>
          <w:lang w:val="es-US"/>
        </w:rPr>
        <w:instrText>HYPERLINK "https://img.lpderecho.pe/wp-content/uploads/2024/05/Ley-32028-LPDerecho.pdf"</w:instrText>
      </w:r>
      <w:r w:rsidR="00000000">
        <w:fldChar w:fldCharType="separate"/>
      </w:r>
      <w:r w:rsidRPr="00CF2324">
        <w:rPr>
          <w:rStyle w:val="Hyperlink"/>
          <w:rFonts w:eastAsia="Cambria" w:cs="Cambria"/>
          <w:szCs w:val="16"/>
          <w:lang w:val="es-CO"/>
        </w:rPr>
        <w:t xml:space="preserve">Ley </w:t>
      </w:r>
      <w:proofErr w:type="spellStart"/>
      <w:r w:rsidR="001E2E13">
        <w:rPr>
          <w:rStyle w:val="Hyperlink"/>
          <w:rFonts w:eastAsia="Cambria" w:cs="Cambria"/>
          <w:szCs w:val="16"/>
          <w:lang w:val="es-CO"/>
        </w:rPr>
        <w:t>Nº</w:t>
      </w:r>
      <w:proofErr w:type="spellEnd"/>
      <w:r w:rsidRPr="00CF2324">
        <w:rPr>
          <w:rStyle w:val="Hyperlink"/>
          <w:rFonts w:eastAsia="Cambria" w:cs="Cambria"/>
          <w:szCs w:val="16"/>
          <w:lang w:val="es-CO"/>
        </w:rPr>
        <w:t xml:space="preserve"> 32028</w:t>
      </w:r>
      <w:r w:rsidR="00000000">
        <w:rPr>
          <w:rStyle w:val="Hyperlink"/>
          <w:rFonts w:eastAsia="Cambria" w:cs="Cambria"/>
          <w:szCs w:val="16"/>
          <w:lang w:val="es-CO"/>
        </w:rPr>
        <w:fldChar w:fldCharType="end"/>
      </w:r>
      <w:r>
        <w:rPr>
          <w:rFonts w:eastAsia="Cambria" w:cs="Cambria"/>
          <w:color w:val="000000" w:themeColor="text1"/>
          <w:szCs w:val="16"/>
          <w:lang w:val="es-CO"/>
        </w:rPr>
        <w:t xml:space="preserve">, 17 de mayo de 2024. </w:t>
      </w:r>
    </w:p>
  </w:footnote>
  <w:footnote w:id="133">
    <w:p w14:paraId="32327321" w14:textId="220AB30E" w:rsidR="000A4A0B" w:rsidRPr="00B17DDC" w:rsidRDefault="000A4A0B" w:rsidP="000A4A0B">
      <w:pPr>
        <w:pStyle w:val="FootnoteText"/>
        <w:rPr>
          <w:lang w:val="es-ES"/>
        </w:rPr>
      </w:pPr>
      <w:r>
        <w:rPr>
          <w:rStyle w:val="FootnoteReference"/>
        </w:rPr>
        <w:footnoteRef/>
      </w:r>
      <w:r w:rsidRPr="00B17DDC">
        <w:rPr>
          <w:lang w:val="es-ES"/>
        </w:rPr>
        <w:t xml:space="preserve"> </w:t>
      </w:r>
      <w:r w:rsidRPr="00AA12BC">
        <w:rPr>
          <w:rFonts w:eastAsia="Cambria" w:cs="Cambria"/>
          <w:color w:val="000000" w:themeColor="text1"/>
          <w:szCs w:val="16"/>
          <w:lang w:val="es-CO"/>
        </w:rPr>
        <w:t>CIDH</w:t>
      </w:r>
      <w:r>
        <w:rPr>
          <w:rFonts w:eastAsia="Cambria" w:cs="Cambria"/>
          <w:color w:val="000000" w:themeColor="text1"/>
          <w:szCs w:val="16"/>
          <w:lang w:val="es-CO"/>
        </w:rPr>
        <w:t>,</w:t>
      </w:r>
      <w:r w:rsidRPr="00AA12BC">
        <w:rPr>
          <w:rFonts w:eastAsia="Cambria" w:cs="Cambria"/>
          <w:color w:val="000000" w:themeColor="text1"/>
          <w:szCs w:val="16"/>
          <w:lang w:val="es-CO"/>
        </w:rPr>
        <w:t xml:space="preserve"> </w:t>
      </w:r>
      <w:r w:rsidRPr="00AA12BC">
        <w:rPr>
          <w:color w:val="000000" w:themeColor="text1"/>
          <w:szCs w:val="16"/>
          <w:lang w:val="es-CO"/>
        </w:rPr>
        <w:t xml:space="preserve">Comunicado de Prensa </w:t>
      </w:r>
      <w:proofErr w:type="spellStart"/>
      <w:r w:rsidR="001E2E13">
        <w:rPr>
          <w:color w:val="000000" w:themeColor="text1"/>
          <w:szCs w:val="16"/>
          <w:lang w:val="es-CO"/>
        </w:rPr>
        <w:t>Nº</w:t>
      </w:r>
      <w:proofErr w:type="spellEnd"/>
      <w:r w:rsidRPr="00AA12BC">
        <w:rPr>
          <w:color w:val="000000" w:themeColor="text1"/>
          <w:szCs w:val="16"/>
          <w:lang w:val="es-CO"/>
        </w:rPr>
        <w:t xml:space="preserve"> </w:t>
      </w:r>
      <w:r>
        <w:rPr>
          <w:color w:val="000000" w:themeColor="text1"/>
          <w:szCs w:val="16"/>
          <w:lang w:val="es-CO"/>
        </w:rPr>
        <w:t>117</w:t>
      </w:r>
      <w:r w:rsidRPr="00AA12BC">
        <w:rPr>
          <w:color w:val="000000" w:themeColor="text1"/>
          <w:szCs w:val="16"/>
          <w:lang w:val="es-CO"/>
        </w:rPr>
        <w:t>/</w:t>
      </w:r>
      <w:r>
        <w:rPr>
          <w:color w:val="000000" w:themeColor="text1"/>
          <w:szCs w:val="16"/>
          <w:lang w:val="es-CO"/>
        </w:rPr>
        <w:t xml:space="preserve">16, </w:t>
      </w:r>
      <w:r w:rsidR="00000000">
        <w:fldChar w:fldCharType="begin"/>
      </w:r>
      <w:r w:rsidR="00000000" w:rsidRPr="00F51AED">
        <w:rPr>
          <w:lang w:val="es-US"/>
        </w:rPr>
        <w:instrText>HYPERLINK "https://www.oas.org/es/cidh/prensa/comunicados/2016/117.asp"</w:instrText>
      </w:r>
      <w:r w:rsidR="00000000">
        <w:fldChar w:fldCharType="separate"/>
      </w:r>
      <w:r w:rsidRPr="00B17DDC">
        <w:rPr>
          <w:rStyle w:val="Hyperlink"/>
          <w:szCs w:val="16"/>
          <w:lang w:val="es-CO"/>
        </w:rPr>
        <w:t>CIDH celebra la ratificación de la Convención Interamericana contra el Racismo, la Discriminación Racial y Formas Conexas de Intolerancia por parte de Costa Rica</w:t>
      </w:r>
      <w:r w:rsidR="00000000">
        <w:rPr>
          <w:rStyle w:val="Hyperlink"/>
          <w:szCs w:val="16"/>
          <w:lang w:val="es-CO"/>
        </w:rPr>
        <w:fldChar w:fldCharType="end"/>
      </w:r>
      <w:r>
        <w:rPr>
          <w:color w:val="000000" w:themeColor="text1"/>
          <w:szCs w:val="16"/>
          <w:lang w:val="es-CO"/>
        </w:rPr>
        <w:t>,</w:t>
      </w:r>
      <w:r w:rsidRPr="00AA12BC">
        <w:rPr>
          <w:color w:val="000000" w:themeColor="text1"/>
          <w:szCs w:val="16"/>
          <w:lang w:val="es-CO"/>
        </w:rPr>
        <w:t xml:space="preserve"> </w:t>
      </w:r>
      <w:r>
        <w:rPr>
          <w:color w:val="000000" w:themeColor="text1"/>
          <w:szCs w:val="16"/>
          <w:lang w:val="es-CO"/>
        </w:rPr>
        <w:t>18</w:t>
      </w:r>
      <w:r w:rsidRPr="00AA12BC">
        <w:rPr>
          <w:color w:val="000000" w:themeColor="text1"/>
          <w:szCs w:val="16"/>
          <w:lang w:val="es-CO"/>
        </w:rPr>
        <w:t xml:space="preserve"> de </w:t>
      </w:r>
      <w:r>
        <w:rPr>
          <w:color w:val="000000" w:themeColor="text1"/>
          <w:szCs w:val="16"/>
          <w:lang w:val="es-CO"/>
        </w:rPr>
        <w:t>agosto</w:t>
      </w:r>
      <w:r w:rsidRPr="00AA12BC">
        <w:rPr>
          <w:color w:val="000000" w:themeColor="text1"/>
          <w:szCs w:val="16"/>
          <w:lang w:val="es-CO"/>
        </w:rPr>
        <w:t xml:space="preserve"> de 20</w:t>
      </w:r>
      <w:r>
        <w:rPr>
          <w:color w:val="000000" w:themeColor="text1"/>
          <w:szCs w:val="16"/>
          <w:lang w:val="es-CO"/>
        </w:rPr>
        <w:t>16.</w:t>
      </w:r>
    </w:p>
  </w:footnote>
  <w:footnote w:id="134">
    <w:p w14:paraId="2B3E4891" w14:textId="73786164" w:rsidR="00211319" w:rsidRDefault="00211319" w:rsidP="00211319">
      <w:pPr>
        <w:pStyle w:val="FootnoteText"/>
        <w:rPr>
          <w:lang w:val="es-ES"/>
        </w:rPr>
      </w:pPr>
      <w:r>
        <w:rPr>
          <w:rStyle w:val="FootnoteReference"/>
        </w:rPr>
        <w:footnoteRef/>
      </w:r>
      <w:r>
        <w:rPr>
          <w:lang w:val="es-ES"/>
        </w:rPr>
        <w:t xml:space="preserve"> </w:t>
      </w:r>
      <w:r w:rsidR="00000000">
        <w:fldChar w:fldCharType="begin"/>
      </w:r>
      <w:r w:rsidR="00000000" w:rsidRPr="00F51AED">
        <w:rPr>
          <w:lang w:val="es-US"/>
        </w:rPr>
        <w:instrText>HYPERLINK "https://portal.jne.gob.pe/portal_documentos/files/informacionlegal/Constitucin%20y%20Leyes1/LEY%20DE%20ELECCIONES%20REGIONALES%20.pdf"</w:instrText>
      </w:r>
      <w:r w:rsidR="00000000">
        <w:fldChar w:fldCharType="separate"/>
      </w:r>
      <w:r>
        <w:rPr>
          <w:rStyle w:val="Hyperlink"/>
          <w:lang w:val="es-ES"/>
        </w:rPr>
        <w:t xml:space="preserve">Ley </w:t>
      </w:r>
      <w:proofErr w:type="spellStart"/>
      <w:r w:rsidR="001E2E13">
        <w:rPr>
          <w:rStyle w:val="Hyperlink"/>
          <w:lang w:val="es-ES"/>
        </w:rPr>
        <w:t>Nº</w:t>
      </w:r>
      <w:proofErr w:type="spellEnd"/>
      <w:r>
        <w:rPr>
          <w:rStyle w:val="Hyperlink"/>
          <w:lang w:val="es-ES"/>
        </w:rPr>
        <w:t xml:space="preserve"> 27683</w:t>
      </w:r>
      <w:r w:rsidR="00000000">
        <w:rPr>
          <w:rStyle w:val="Hyperlink"/>
          <w:lang w:val="es-ES"/>
        </w:rPr>
        <w:fldChar w:fldCharType="end"/>
      </w:r>
      <w:r w:rsidR="004F283D">
        <w:rPr>
          <w:lang w:val="es-ES"/>
        </w:rPr>
        <w:t>,</w:t>
      </w:r>
      <w:r>
        <w:rPr>
          <w:lang w:val="es-ES"/>
        </w:rPr>
        <w:t xml:space="preserve"> 15 de marzo de 2002 </w:t>
      </w:r>
    </w:p>
  </w:footnote>
  <w:footnote w:id="135">
    <w:p w14:paraId="3F3618EC" w14:textId="77777777" w:rsidR="001161A5" w:rsidRPr="00E3003F" w:rsidRDefault="001161A5" w:rsidP="001161A5">
      <w:pPr>
        <w:pStyle w:val="FootnoteText"/>
        <w:rPr>
          <w:rFonts w:eastAsia="Cambria" w:cs="Cambria"/>
          <w:color w:val="000000" w:themeColor="text1"/>
          <w:szCs w:val="16"/>
          <w:lang w:val="pt-BR"/>
        </w:rPr>
      </w:pPr>
      <w:r w:rsidRPr="00A55563">
        <w:rPr>
          <w:rStyle w:val="FootnoteReference"/>
          <w:szCs w:val="16"/>
        </w:rPr>
        <w:footnoteRef/>
      </w:r>
      <w:r w:rsidRPr="00E3003F">
        <w:rPr>
          <w:szCs w:val="16"/>
          <w:lang w:val="pt-BR"/>
        </w:rPr>
        <w:t xml:space="preserve"> </w:t>
      </w:r>
      <w:r w:rsidR="00000000">
        <w:fldChar w:fldCharType="begin"/>
      </w:r>
      <w:r w:rsidR="00000000" w:rsidRPr="00F51AED">
        <w:rPr>
          <w:lang w:val="pt-BR"/>
        </w:rPr>
        <w:instrText>HYPERLINK "https://busquedas.elperuano.pe/dispositivo/NL/1946184-4"</w:instrText>
      </w:r>
      <w:r w:rsidR="00000000">
        <w:fldChar w:fldCharType="separate"/>
      </w:r>
      <w:r w:rsidRPr="00E3003F">
        <w:rPr>
          <w:rStyle w:val="Hyperlink"/>
          <w:rFonts w:eastAsia="Cambria" w:cs="Cambria"/>
          <w:szCs w:val="16"/>
          <w:lang w:val="pt-BR"/>
        </w:rPr>
        <w:t>Decreto Supremo N° 004-2021-JUS</w:t>
      </w:r>
      <w:r w:rsidR="00000000">
        <w:rPr>
          <w:rStyle w:val="Hyperlink"/>
          <w:rFonts w:eastAsia="Cambria" w:cs="Cambria"/>
          <w:szCs w:val="16"/>
          <w:lang w:val="pt-BR"/>
        </w:rPr>
        <w:fldChar w:fldCharType="end"/>
      </w:r>
      <w:r w:rsidRPr="00E3003F">
        <w:rPr>
          <w:rFonts w:eastAsia="Cambria" w:cs="Cambria"/>
          <w:color w:val="000000" w:themeColor="text1"/>
          <w:szCs w:val="16"/>
          <w:lang w:val="pt-BR"/>
        </w:rPr>
        <w:t>, 22 de abril de 2021.</w:t>
      </w:r>
    </w:p>
  </w:footnote>
  <w:footnote w:id="136">
    <w:p w14:paraId="1B60DED4" w14:textId="5565AB7C" w:rsidR="001161A5" w:rsidRPr="008F6727" w:rsidRDefault="001161A5" w:rsidP="008F6727">
      <w:pPr>
        <w:pStyle w:val="FootnoteText"/>
        <w:rPr>
          <w:szCs w:val="16"/>
          <w:lang w:val="es-ES"/>
        </w:rPr>
      </w:pPr>
      <w:r w:rsidRPr="00A55563">
        <w:rPr>
          <w:rStyle w:val="FootnoteReference"/>
          <w:szCs w:val="16"/>
        </w:rPr>
        <w:footnoteRef/>
      </w:r>
      <w:r w:rsidRPr="00A55563">
        <w:rPr>
          <w:szCs w:val="16"/>
          <w:lang w:val="es-ES"/>
        </w:rPr>
        <w:t xml:space="preserve"> </w:t>
      </w:r>
      <w:r w:rsidR="00000000">
        <w:fldChar w:fldCharType="begin"/>
      </w:r>
      <w:r w:rsidR="00000000" w:rsidRPr="00F51AED">
        <w:rPr>
          <w:lang w:val="es-US"/>
        </w:rPr>
        <w:instrText>HYPERLINK "https://www.gob.pe/institucion/mpfn/normas-legales/2867771-439-2022-mp-fn"</w:instrText>
      </w:r>
      <w:r w:rsidR="00000000">
        <w:fldChar w:fldCharType="separate"/>
      </w:r>
      <w:r w:rsidRPr="00A55563">
        <w:rPr>
          <w:rStyle w:val="Hyperlink"/>
          <w:rFonts w:eastAsia="Cambria" w:cs="Cambria"/>
          <w:szCs w:val="16"/>
          <w:lang w:val="es-CO"/>
        </w:rPr>
        <w:t xml:space="preserve">Resolución de la Fiscalía de la Nación </w:t>
      </w:r>
      <w:proofErr w:type="spellStart"/>
      <w:r w:rsidR="001E2E13">
        <w:rPr>
          <w:rStyle w:val="Hyperlink"/>
          <w:rFonts w:eastAsia="Cambria" w:cs="Cambria"/>
          <w:szCs w:val="16"/>
          <w:lang w:val="es-CO"/>
        </w:rPr>
        <w:t>Nº</w:t>
      </w:r>
      <w:proofErr w:type="spellEnd"/>
      <w:r w:rsidRPr="00A55563">
        <w:rPr>
          <w:rStyle w:val="Hyperlink"/>
          <w:rFonts w:eastAsia="Cambria" w:cs="Cambria"/>
          <w:szCs w:val="16"/>
          <w:lang w:val="es-CO"/>
        </w:rPr>
        <w:t xml:space="preserve"> 439-2022-MP-FN</w:t>
      </w:r>
      <w:r w:rsidR="00000000">
        <w:rPr>
          <w:rStyle w:val="Hyperlink"/>
          <w:rFonts w:eastAsia="Cambria" w:cs="Cambria"/>
          <w:szCs w:val="16"/>
          <w:lang w:val="es-CO"/>
        </w:rPr>
        <w:fldChar w:fldCharType="end"/>
      </w:r>
      <w:r w:rsidR="008F6727" w:rsidRPr="008F6727">
        <w:rPr>
          <w:lang w:val="es-ES"/>
        </w:rPr>
        <w:t>.</w:t>
      </w:r>
    </w:p>
  </w:footnote>
  <w:footnote w:id="137">
    <w:p w14:paraId="3C4A5412" w14:textId="6EC34CC9" w:rsidR="001161A5" w:rsidRPr="00A55563" w:rsidRDefault="001161A5" w:rsidP="008F6727">
      <w:pPr>
        <w:pStyle w:val="FootnoteText"/>
        <w:rPr>
          <w:szCs w:val="16"/>
          <w:lang w:val="es-ES"/>
        </w:rPr>
      </w:pPr>
      <w:r w:rsidRPr="00A55563">
        <w:rPr>
          <w:rStyle w:val="FootnoteReference"/>
          <w:szCs w:val="16"/>
        </w:rPr>
        <w:footnoteRef/>
      </w:r>
      <w:r w:rsidRPr="00A55563">
        <w:rPr>
          <w:szCs w:val="16"/>
          <w:lang w:val="es-ES"/>
        </w:rPr>
        <w:t xml:space="preserve"> </w:t>
      </w:r>
      <w:r>
        <w:rPr>
          <w:szCs w:val="16"/>
          <w:lang w:val="es-ES"/>
        </w:rPr>
        <w:t>Citó</w:t>
      </w:r>
      <w:r w:rsidRPr="00A55563">
        <w:rPr>
          <w:szCs w:val="16"/>
          <w:lang w:val="es-ES"/>
        </w:rPr>
        <w:t xml:space="preserve"> notas periodísticas que recogen declaraciones de autoridades públicas: </w:t>
      </w:r>
      <w:r w:rsidR="00000000">
        <w:fldChar w:fldCharType="begin"/>
      </w:r>
      <w:r w:rsidR="00000000" w:rsidRPr="00F51AED">
        <w:rPr>
          <w:lang w:val="es-ES"/>
        </w:rPr>
        <w:instrText>HYPERLINK "https://www.nytimes.com/es/2023/02/02/espanol/peru-protestas-gervasi.html"</w:instrText>
      </w:r>
      <w:r w:rsidR="00000000">
        <w:fldChar w:fldCharType="separate"/>
      </w:r>
      <w:r w:rsidRPr="00A55563">
        <w:rPr>
          <w:rStyle w:val="Hyperlink"/>
          <w:szCs w:val="16"/>
          <w:lang w:val="es-ES"/>
        </w:rPr>
        <w:t>https://www.nytimes.com/es/2023/02/02/espanol/peru-protestas-gervasi.html</w:t>
      </w:r>
      <w:r w:rsidR="00000000">
        <w:rPr>
          <w:rStyle w:val="Hyperlink"/>
          <w:szCs w:val="16"/>
          <w:lang w:val="es-ES"/>
        </w:rPr>
        <w:fldChar w:fldCharType="end"/>
      </w:r>
      <w:r w:rsidRPr="00A55563">
        <w:rPr>
          <w:szCs w:val="16"/>
          <w:lang w:val="es-ES"/>
        </w:rPr>
        <w:t xml:space="preserve">, </w:t>
      </w:r>
      <w:r w:rsidR="00000000">
        <w:fldChar w:fldCharType="begin"/>
      </w:r>
      <w:r w:rsidR="00000000" w:rsidRPr="00F51AED">
        <w:rPr>
          <w:lang w:val="es-ES"/>
        </w:rPr>
        <w:instrText>HYPERLINK "https://elcomercio.pe/politica/actualidad/asociacion-nacional-de-periodistas-rechaza-expresiones-de-dina-boluarte-sobre-el-terrorismo-de-imagen-anp-ultimas-noticia/"</w:instrText>
      </w:r>
      <w:r w:rsidR="00000000">
        <w:fldChar w:fldCharType="separate"/>
      </w:r>
      <w:r w:rsidRPr="00A55563">
        <w:rPr>
          <w:rStyle w:val="Hyperlink"/>
          <w:szCs w:val="16"/>
          <w:lang w:val="es-ES"/>
        </w:rPr>
        <w:t>https://elcomercio.pe/politica/actualidad/asociacion-nacional-de-periodistas-rechaza-expresiones-de-dina-boluarte-sobre-el-terrorismo-de-imagen-anp-ultimas-noticia/</w:t>
      </w:r>
      <w:r w:rsidR="00000000">
        <w:rPr>
          <w:rStyle w:val="Hyperlink"/>
          <w:szCs w:val="16"/>
          <w:lang w:val="es-ES"/>
        </w:rPr>
        <w:fldChar w:fldCharType="end"/>
      </w:r>
      <w:r w:rsidRPr="00A55563">
        <w:rPr>
          <w:szCs w:val="16"/>
          <w:lang w:val="es-ES"/>
        </w:rPr>
        <w:t xml:space="preserve"> </w:t>
      </w:r>
      <w:r w:rsidR="008F6727">
        <w:rPr>
          <w:szCs w:val="16"/>
          <w:lang w:val="es-ES"/>
        </w:rPr>
        <w:t>.</w:t>
      </w:r>
    </w:p>
  </w:footnote>
  <w:footnote w:id="138">
    <w:p w14:paraId="0A880E49" w14:textId="0FDEBB47" w:rsidR="001161A5" w:rsidRPr="00A55563" w:rsidRDefault="001161A5" w:rsidP="008F6727">
      <w:pPr>
        <w:pStyle w:val="FootnoteText"/>
        <w:rPr>
          <w:rFonts w:cs="Arial"/>
          <w:szCs w:val="16"/>
          <w:lang w:val="es-US"/>
        </w:rPr>
      </w:pPr>
      <w:r w:rsidRPr="00A55563">
        <w:rPr>
          <w:rStyle w:val="FootnoteReference"/>
          <w:szCs w:val="16"/>
        </w:rPr>
        <w:footnoteRef/>
      </w:r>
      <w:r w:rsidRPr="00A55563">
        <w:rPr>
          <w:szCs w:val="16"/>
        </w:rPr>
        <w:t xml:space="preserve"> </w:t>
      </w:r>
      <w:r w:rsidRPr="00A55563">
        <w:rPr>
          <w:rFonts w:eastAsia="Cambria" w:cs="Cambria"/>
          <w:color w:val="000000" w:themeColor="text1"/>
          <w:szCs w:val="16"/>
        </w:rPr>
        <w:t xml:space="preserve">Human Rights Watch, Informe Mundial 2024, Perú. </w:t>
      </w:r>
      <w:r w:rsidRPr="00A55563">
        <w:rPr>
          <w:rFonts w:eastAsia="Cambria" w:cs="Cambria"/>
          <w:color w:val="000000" w:themeColor="text1"/>
          <w:szCs w:val="16"/>
          <w:lang w:val="es-CO"/>
        </w:rPr>
        <w:t xml:space="preserve">Disponible en: </w:t>
      </w:r>
      <w:r w:rsidR="00000000">
        <w:fldChar w:fldCharType="begin"/>
      </w:r>
      <w:r w:rsidR="00000000" w:rsidRPr="00F51AED">
        <w:rPr>
          <w:lang w:val="es-US"/>
        </w:rPr>
        <w:instrText>HYPERLINK "https://www.hrw.org/es/world-report/2024/country-chapters/peru"</w:instrText>
      </w:r>
      <w:r w:rsidR="00000000">
        <w:fldChar w:fldCharType="separate"/>
      </w:r>
      <w:r w:rsidRPr="009036AD">
        <w:rPr>
          <w:rStyle w:val="Hyperlink"/>
          <w:rFonts w:eastAsia="Cambria" w:cs="Cambria"/>
          <w:szCs w:val="16"/>
          <w:lang w:val="es-CO"/>
        </w:rPr>
        <w:t>https://www.hrw.org/es/world-report/2024/country-chapters/peru</w:t>
      </w:r>
      <w:r w:rsidR="00000000">
        <w:rPr>
          <w:rStyle w:val="Hyperlink"/>
          <w:rFonts w:eastAsia="Cambria" w:cs="Cambria"/>
          <w:szCs w:val="16"/>
          <w:lang w:val="es-CO"/>
        </w:rPr>
        <w:fldChar w:fldCharType="end"/>
      </w:r>
      <w:r>
        <w:rPr>
          <w:rFonts w:eastAsia="Cambria" w:cs="Cambria"/>
          <w:color w:val="000000" w:themeColor="text1"/>
          <w:szCs w:val="16"/>
          <w:lang w:val="es-CO"/>
        </w:rPr>
        <w:t xml:space="preserve"> </w:t>
      </w:r>
      <w:r w:rsidR="008F6727">
        <w:rPr>
          <w:rFonts w:eastAsia="Cambria" w:cs="Cambria"/>
          <w:color w:val="000000" w:themeColor="text1"/>
          <w:szCs w:val="16"/>
          <w:lang w:val="es-CO"/>
        </w:rPr>
        <w:t>.</w:t>
      </w:r>
    </w:p>
  </w:footnote>
  <w:footnote w:id="139">
    <w:p w14:paraId="2098AE89" w14:textId="08250934" w:rsidR="001161A5" w:rsidRPr="00A55563" w:rsidRDefault="001161A5" w:rsidP="008F6727">
      <w:pPr>
        <w:pStyle w:val="FootnoteText"/>
        <w:rPr>
          <w:szCs w:val="16"/>
          <w:lang w:val="es-ES"/>
        </w:rPr>
      </w:pPr>
      <w:r w:rsidRPr="00A55563">
        <w:rPr>
          <w:rStyle w:val="FootnoteReference"/>
          <w:szCs w:val="16"/>
        </w:rPr>
        <w:footnoteRef/>
      </w:r>
      <w:r w:rsidRPr="00A55563">
        <w:rPr>
          <w:szCs w:val="16"/>
          <w:lang w:val="es-ES"/>
        </w:rPr>
        <w:t xml:space="preserve"> Congreso del Perú</w:t>
      </w:r>
      <w:r>
        <w:rPr>
          <w:szCs w:val="16"/>
          <w:lang w:val="es-ES"/>
        </w:rPr>
        <w:t xml:space="preserve">, </w:t>
      </w:r>
      <w:r w:rsidRPr="00A55563">
        <w:rPr>
          <w:szCs w:val="16"/>
          <w:lang w:val="es-ES"/>
        </w:rPr>
        <w:t xml:space="preserve">Dictamen recaído en los proyectos de ley 6162, 7140 y otros que propone modificar la Ley de creación de la Agencia Peruana de Cooperación Internacional (APCI) para contribuir con la transparencia y la supervisión de la ejecución de los recursos recibidos por las entidades que gestionan la cooperación técnica internacional, como es el caso de las organizaciones no gubernamentales (ONG). Disponible en </w:t>
      </w:r>
      <w:r w:rsidR="00000000">
        <w:fldChar w:fldCharType="begin"/>
      </w:r>
      <w:r w:rsidR="00000000" w:rsidRPr="00F51AED">
        <w:rPr>
          <w:lang w:val="es-US"/>
        </w:rPr>
        <w:instrText>HYPERLINK "https://wb2server.congreso.gob.pe/spley-portal-service/archivo/MTkzNDEw/pdf"</w:instrText>
      </w:r>
      <w:r w:rsidR="00000000">
        <w:fldChar w:fldCharType="separate"/>
      </w:r>
      <w:r w:rsidRPr="009036AD">
        <w:rPr>
          <w:rStyle w:val="Hyperlink"/>
          <w:szCs w:val="16"/>
          <w:lang w:val="es-ES"/>
        </w:rPr>
        <w:t>https://wb2server.congreso.gob.pe/spley-portal-service/archivo/MTkzNDEw/pdf</w:t>
      </w:r>
      <w:r w:rsidR="00000000">
        <w:rPr>
          <w:rStyle w:val="Hyperlink"/>
          <w:szCs w:val="16"/>
          <w:lang w:val="es-ES"/>
        </w:rPr>
        <w:fldChar w:fldCharType="end"/>
      </w:r>
      <w:r>
        <w:rPr>
          <w:szCs w:val="16"/>
          <w:lang w:val="es-ES"/>
        </w:rPr>
        <w:t xml:space="preserve"> </w:t>
      </w:r>
      <w:r w:rsidR="008F6727">
        <w:rPr>
          <w:szCs w:val="16"/>
          <w:lang w:val="es-ES"/>
        </w:rPr>
        <w:t>.</w:t>
      </w:r>
    </w:p>
  </w:footnote>
  <w:footnote w:id="140">
    <w:p w14:paraId="1C6C7119" w14:textId="1E01EEBB" w:rsidR="001161A5" w:rsidRPr="00A55563" w:rsidRDefault="001161A5" w:rsidP="001161A5">
      <w:pPr>
        <w:pStyle w:val="FootnoteText"/>
        <w:rPr>
          <w:szCs w:val="16"/>
          <w:lang w:val="es-ES"/>
        </w:rPr>
      </w:pPr>
      <w:r w:rsidRPr="00A55563">
        <w:rPr>
          <w:rStyle w:val="FootnoteReference"/>
          <w:szCs w:val="16"/>
        </w:rPr>
        <w:footnoteRef/>
      </w:r>
      <w:r w:rsidRPr="00A55563">
        <w:rPr>
          <w:szCs w:val="16"/>
          <w:lang w:val="es-ES"/>
        </w:rPr>
        <w:t xml:space="preserve"> CIDH, </w:t>
      </w:r>
      <w:r w:rsidR="00000000">
        <w:fldChar w:fldCharType="begin"/>
      </w:r>
      <w:r w:rsidR="00000000" w:rsidRPr="00F51AED">
        <w:rPr>
          <w:lang w:val="es-US"/>
        </w:rPr>
        <w:instrText>HYPERLINK "https://www.oas.org/es/cidh/informes/pdfs/proteccion-personas-defensoras.pdf"</w:instrText>
      </w:r>
      <w:r w:rsidR="00000000">
        <w:fldChar w:fldCharType="separate"/>
      </w:r>
      <w:r w:rsidRPr="00A55563">
        <w:rPr>
          <w:rStyle w:val="Hyperlink"/>
          <w:szCs w:val="16"/>
          <w:lang w:val="es-ES"/>
        </w:rPr>
        <w:t>Informe Hacia una política integral de protección a personas defensoras de derechos humanos</w:t>
      </w:r>
      <w:r w:rsidR="00000000">
        <w:rPr>
          <w:rStyle w:val="Hyperlink"/>
          <w:szCs w:val="16"/>
          <w:lang w:val="es-ES"/>
        </w:rPr>
        <w:fldChar w:fldCharType="end"/>
      </w:r>
      <w:r w:rsidRPr="00A55563">
        <w:rPr>
          <w:szCs w:val="16"/>
          <w:lang w:val="es-ES"/>
        </w:rPr>
        <w:t>, OEA/</w:t>
      </w:r>
      <w:proofErr w:type="spellStart"/>
      <w:r w:rsidRPr="00A55563">
        <w:rPr>
          <w:szCs w:val="16"/>
          <w:lang w:val="es-ES"/>
        </w:rPr>
        <w:t>Ser.L</w:t>
      </w:r>
      <w:proofErr w:type="spellEnd"/>
      <w:r w:rsidRPr="00A55563">
        <w:rPr>
          <w:szCs w:val="16"/>
          <w:lang w:val="es-ES"/>
        </w:rPr>
        <w:t xml:space="preserve">/V/II. Doc. 207/17, 29 </w:t>
      </w:r>
      <w:r w:rsidR="00F07E81">
        <w:rPr>
          <w:szCs w:val="16"/>
          <w:lang w:val="es-ES"/>
        </w:rPr>
        <w:t xml:space="preserve">de </w:t>
      </w:r>
      <w:r w:rsidRPr="00A55563">
        <w:rPr>
          <w:szCs w:val="16"/>
          <w:lang w:val="es-ES"/>
        </w:rPr>
        <w:t xml:space="preserve">diciembre </w:t>
      </w:r>
      <w:r w:rsidR="00F07E81">
        <w:rPr>
          <w:szCs w:val="16"/>
          <w:lang w:val="es-ES"/>
        </w:rPr>
        <w:t xml:space="preserve">de </w:t>
      </w:r>
      <w:r w:rsidRPr="00A55563">
        <w:rPr>
          <w:szCs w:val="16"/>
          <w:lang w:val="es-ES"/>
        </w:rPr>
        <w:t>2017, párr. 246</w:t>
      </w:r>
      <w:r>
        <w:rPr>
          <w:szCs w:val="16"/>
          <w:lang w:val="es-ES"/>
        </w:rPr>
        <w:t>.</w:t>
      </w:r>
    </w:p>
  </w:footnote>
  <w:footnote w:id="141">
    <w:p w14:paraId="7E476A24" w14:textId="6F88B55B" w:rsidR="000A4A0B" w:rsidRPr="00F169D4" w:rsidRDefault="000A4A0B" w:rsidP="000A4A0B">
      <w:pPr>
        <w:pStyle w:val="FootnoteText"/>
        <w:rPr>
          <w:lang w:val="es-ES"/>
        </w:rPr>
      </w:pPr>
      <w:r>
        <w:rPr>
          <w:rStyle w:val="FootnoteReference"/>
        </w:rPr>
        <w:footnoteRef/>
      </w:r>
      <w:r w:rsidRPr="00F169D4">
        <w:rPr>
          <w:lang w:val="es-ES"/>
        </w:rPr>
        <w:t xml:space="preserve"> </w:t>
      </w:r>
      <w:r w:rsidR="00000000">
        <w:fldChar w:fldCharType="begin"/>
      </w:r>
      <w:r w:rsidR="00000000" w:rsidRPr="00F51AED">
        <w:rPr>
          <w:lang w:val="es-US"/>
        </w:rPr>
        <w:instrText>HYPERLINK "https://www.gob.pe/institucion/cultura/normas-legales/5399215-013-2021-mc"</w:instrText>
      </w:r>
      <w:r w:rsidR="00000000">
        <w:fldChar w:fldCharType="separate"/>
      </w:r>
      <w:r w:rsidRPr="00731440">
        <w:rPr>
          <w:rStyle w:val="Hyperlink"/>
          <w:lang w:val="es-ES"/>
        </w:rPr>
        <w:t xml:space="preserve">Decreto Supremo </w:t>
      </w:r>
      <w:proofErr w:type="spellStart"/>
      <w:r w:rsidR="00263A17">
        <w:rPr>
          <w:rStyle w:val="Hyperlink"/>
          <w:lang w:val="es-ES"/>
        </w:rPr>
        <w:t>Nº</w:t>
      </w:r>
      <w:proofErr w:type="spellEnd"/>
      <w:r w:rsidRPr="00731440">
        <w:rPr>
          <w:rStyle w:val="Hyperlink"/>
          <w:lang w:val="es-ES"/>
        </w:rPr>
        <w:t xml:space="preserve"> 013-2021-MC</w:t>
      </w:r>
      <w:r w:rsidR="00000000">
        <w:rPr>
          <w:rStyle w:val="Hyperlink"/>
          <w:lang w:val="es-ES"/>
        </w:rPr>
        <w:fldChar w:fldCharType="end"/>
      </w:r>
      <w:r>
        <w:rPr>
          <w:lang w:val="es-ES"/>
        </w:rPr>
        <w:t>, 20 de julio de 2021.</w:t>
      </w:r>
    </w:p>
  </w:footnote>
  <w:footnote w:id="142">
    <w:p w14:paraId="20692EB8" w14:textId="3AF68980" w:rsidR="000A4A0B" w:rsidRPr="00731440" w:rsidRDefault="000A4A0B" w:rsidP="000A4A0B">
      <w:pPr>
        <w:pStyle w:val="FootnoteText"/>
        <w:rPr>
          <w:lang w:val="es-ES"/>
        </w:rPr>
      </w:pPr>
      <w:r>
        <w:rPr>
          <w:rStyle w:val="FootnoteReference"/>
        </w:rPr>
        <w:footnoteRef/>
      </w:r>
      <w:r w:rsidRPr="00731440">
        <w:rPr>
          <w:lang w:val="es-ES"/>
        </w:rPr>
        <w:t xml:space="preserve"> </w:t>
      </w:r>
      <w:r w:rsidR="00000000">
        <w:fldChar w:fldCharType="begin"/>
      </w:r>
      <w:r w:rsidR="00000000" w:rsidRPr="00F51AED">
        <w:rPr>
          <w:lang w:val="es-US"/>
        </w:rPr>
        <w:instrText>HYPERLINK "https://rpp.pe/politica/actualidad/gustavo-adrianzen-cuestiona-convocatoria-de-paro-nacional-indefinido-de-un-sector-de-transportistas-pcm-noticia-1591954"</w:instrText>
      </w:r>
      <w:r w:rsidR="00000000">
        <w:fldChar w:fldCharType="separate"/>
      </w:r>
      <w:r w:rsidRPr="00D72B74">
        <w:rPr>
          <w:rStyle w:val="Hyperlink"/>
          <w:lang w:val="es-ES"/>
        </w:rPr>
        <w:t>RPP, Adrianzén critica convocatoria de paro indefinido de sector de transportistas: “No es sindical, es una movilización política”</w:t>
      </w:r>
      <w:r w:rsidR="00000000">
        <w:rPr>
          <w:rStyle w:val="Hyperlink"/>
          <w:lang w:val="es-ES"/>
        </w:rPr>
        <w:fldChar w:fldCharType="end"/>
      </w:r>
      <w:r>
        <w:rPr>
          <w:lang w:val="es-ES"/>
        </w:rPr>
        <w:t>,</w:t>
      </w:r>
      <w:r w:rsidRPr="00731440">
        <w:rPr>
          <w:lang w:val="es-ES"/>
        </w:rPr>
        <w:t xml:space="preserve"> 17 de octubre </w:t>
      </w:r>
      <w:r w:rsidR="006D4490">
        <w:rPr>
          <w:lang w:val="es-ES"/>
        </w:rPr>
        <w:t xml:space="preserve">de </w:t>
      </w:r>
      <w:r w:rsidRPr="00731440">
        <w:rPr>
          <w:lang w:val="es-ES"/>
        </w:rPr>
        <w:t xml:space="preserve">2024. </w:t>
      </w:r>
    </w:p>
  </w:footnote>
  <w:footnote w:id="143">
    <w:p w14:paraId="7E321112" w14:textId="6AA246D0" w:rsidR="000A4A0B" w:rsidRPr="00731440" w:rsidRDefault="000A4A0B" w:rsidP="000A4A0B">
      <w:pPr>
        <w:pStyle w:val="FootnoteText"/>
        <w:rPr>
          <w:lang w:val="es-ES"/>
        </w:rPr>
      </w:pPr>
      <w:r>
        <w:rPr>
          <w:rStyle w:val="FootnoteReference"/>
        </w:rPr>
        <w:footnoteRef/>
      </w:r>
      <w:r w:rsidRPr="00731440">
        <w:rPr>
          <w:lang w:val="es-ES"/>
        </w:rPr>
        <w:t xml:space="preserve"> Infobae</w:t>
      </w:r>
      <w:r>
        <w:rPr>
          <w:lang w:val="es-ES"/>
        </w:rPr>
        <w:t xml:space="preserve">, </w:t>
      </w:r>
      <w:r w:rsidR="00000000">
        <w:fldChar w:fldCharType="begin"/>
      </w:r>
      <w:r w:rsidR="00000000" w:rsidRPr="00F51AED">
        <w:rPr>
          <w:lang w:val="es-US"/>
        </w:rPr>
        <w:instrText>HYPERLINK "https://www.infobae.com/peru/2024/10/30/vocero-de-dina-boluarte-llamo-traidores-de-la-patria-a-quienes-convoquen-a-protestas-durante-la-cumbre-apec/"</w:instrText>
      </w:r>
      <w:r w:rsidR="00000000">
        <w:fldChar w:fldCharType="separate"/>
      </w:r>
      <w:r w:rsidRPr="00D72B74">
        <w:rPr>
          <w:rStyle w:val="Hyperlink"/>
          <w:lang w:val="es-ES"/>
        </w:rPr>
        <w:t xml:space="preserve">Vocero de Dina </w:t>
      </w:r>
      <w:proofErr w:type="spellStart"/>
      <w:r w:rsidRPr="00D72B74">
        <w:rPr>
          <w:rStyle w:val="Hyperlink"/>
          <w:lang w:val="es-ES"/>
        </w:rPr>
        <w:t>Boluarte</w:t>
      </w:r>
      <w:proofErr w:type="spellEnd"/>
      <w:r w:rsidRPr="00D72B74">
        <w:rPr>
          <w:rStyle w:val="Hyperlink"/>
          <w:lang w:val="es-ES"/>
        </w:rPr>
        <w:t xml:space="preserve"> llamó “traidores de la patria” a quienes convoquen a protestas durante la cumbre APEC</w:t>
      </w:r>
      <w:r w:rsidR="00000000">
        <w:rPr>
          <w:rStyle w:val="Hyperlink"/>
          <w:lang w:val="es-ES"/>
        </w:rPr>
        <w:fldChar w:fldCharType="end"/>
      </w:r>
      <w:r>
        <w:rPr>
          <w:lang w:val="es-ES"/>
        </w:rPr>
        <w:t>,</w:t>
      </w:r>
      <w:r w:rsidRPr="00731440">
        <w:rPr>
          <w:lang w:val="es-ES"/>
        </w:rPr>
        <w:t xml:space="preserve"> 20 de octubre</w:t>
      </w:r>
      <w:r>
        <w:rPr>
          <w:lang w:val="es-ES"/>
        </w:rPr>
        <w:t xml:space="preserve"> </w:t>
      </w:r>
      <w:r w:rsidR="00F413D5">
        <w:rPr>
          <w:lang w:val="es-ES"/>
        </w:rPr>
        <w:t xml:space="preserve">de </w:t>
      </w:r>
      <w:r w:rsidRPr="00731440">
        <w:rPr>
          <w:lang w:val="es-ES"/>
        </w:rPr>
        <w:t>2024.</w:t>
      </w:r>
    </w:p>
  </w:footnote>
  <w:footnote w:id="144">
    <w:p w14:paraId="61C5E3A3" w14:textId="4743B72D" w:rsidR="000A4A0B" w:rsidRPr="00E56567" w:rsidRDefault="000A4A0B" w:rsidP="000A4A0B">
      <w:pPr>
        <w:pStyle w:val="FootnoteText"/>
        <w:rPr>
          <w:lang w:val="es-ES"/>
        </w:rPr>
      </w:pPr>
      <w:r>
        <w:rPr>
          <w:rStyle w:val="FootnoteReference"/>
        </w:rPr>
        <w:footnoteRef/>
      </w:r>
      <w:r w:rsidRPr="00E56567">
        <w:rPr>
          <w:lang w:val="es-ES"/>
        </w:rPr>
        <w:t xml:space="preserve"> Exitosa</w:t>
      </w:r>
      <w:r>
        <w:rPr>
          <w:lang w:val="es-ES"/>
        </w:rPr>
        <w:t xml:space="preserve">, </w:t>
      </w:r>
      <w:r w:rsidR="00000000">
        <w:fldChar w:fldCharType="begin"/>
      </w:r>
      <w:r w:rsidR="00000000" w:rsidRPr="00F51AED">
        <w:rPr>
          <w:lang w:val="es-US"/>
        </w:rPr>
        <w:instrText>HYPERLINK "https://www.exitosanoticias.pe/politica/fernando-rospigliosi-critica-paro-nacional-transportistas-busca-crear-mas-inestabilidad-n137482"</w:instrText>
      </w:r>
      <w:r w:rsidR="00000000">
        <w:fldChar w:fldCharType="separate"/>
      </w:r>
      <w:r w:rsidRPr="00D72B74">
        <w:rPr>
          <w:rStyle w:val="Hyperlink"/>
          <w:lang w:val="es-ES"/>
        </w:rPr>
        <w:t>Fernando Rospigliosi critica paro nacional de transportistas: “Busca crear más inestabilidad</w:t>
      </w:r>
      <w:r w:rsidR="00000000">
        <w:rPr>
          <w:rStyle w:val="Hyperlink"/>
          <w:lang w:val="es-ES"/>
        </w:rPr>
        <w:fldChar w:fldCharType="end"/>
      </w:r>
      <w:r w:rsidRPr="00E56567">
        <w:rPr>
          <w:lang w:val="es-ES"/>
        </w:rPr>
        <w:t>”</w:t>
      </w:r>
      <w:r>
        <w:rPr>
          <w:lang w:val="es-ES"/>
        </w:rPr>
        <w:t xml:space="preserve">, </w:t>
      </w:r>
      <w:r w:rsidRPr="00E56567">
        <w:rPr>
          <w:lang w:val="es-ES"/>
        </w:rPr>
        <w:t>22 de octubre</w:t>
      </w:r>
      <w:r>
        <w:rPr>
          <w:lang w:val="es-ES"/>
        </w:rPr>
        <w:t xml:space="preserve"> de</w:t>
      </w:r>
      <w:r w:rsidR="00AB3498">
        <w:rPr>
          <w:lang w:val="es-ES"/>
        </w:rPr>
        <w:t xml:space="preserve"> </w:t>
      </w:r>
      <w:r w:rsidRPr="00E56567">
        <w:rPr>
          <w:lang w:val="es-ES"/>
        </w:rPr>
        <w:t>2024</w:t>
      </w:r>
      <w:r>
        <w:rPr>
          <w:lang w:val="es-ES"/>
        </w:rPr>
        <w:t>.</w:t>
      </w:r>
    </w:p>
  </w:footnote>
  <w:footnote w:id="145">
    <w:p w14:paraId="5AB2A5FA" w14:textId="77777777" w:rsidR="0032079F" w:rsidRPr="00900A48" w:rsidRDefault="0032079F" w:rsidP="0032079F">
      <w:pPr>
        <w:pStyle w:val="FootnoteText"/>
        <w:rPr>
          <w:lang w:val="es-ES"/>
        </w:rPr>
      </w:pPr>
      <w:r>
        <w:rPr>
          <w:rStyle w:val="FootnoteReference"/>
        </w:rPr>
        <w:footnoteRef/>
      </w:r>
      <w:r w:rsidRPr="00900A48">
        <w:rPr>
          <w:lang w:val="es-ES"/>
        </w:rPr>
        <w:t xml:space="preserve"> </w:t>
      </w:r>
      <w:r>
        <w:rPr>
          <w:lang w:val="es-ES"/>
        </w:rPr>
        <w:t xml:space="preserve">CIDH, </w:t>
      </w:r>
      <w:r w:rsidR="00000000">
        <w:fldChar w:fldCharType="begin"/>
      </w:r>
      <w:r w:rsidR="00000000" w:rsidRPr="00F51AED">
        <w:rPr>
          <w:lang w:val="es-US"/>
        </w:rPr>
        <w:instrText>HYPERLINK "https://www.oas.org/es/cidh/expresion/publicaciones/ProtestayDerechosHumanos.pdf"</w:instrText>
      </w:r>
      <w:r w:rsidR="00000000">
        <w:fldChar w:fldCharType="separate"/>
      </w:r>
      <w:r w:rsidRPr="24019998">
        <w:rPr>
          <w:rStyle w:val="Hyperlink"/>
          <w:lang w:val="es-ES"/>
        </w:rPr>
        <w:t>Informe sobre Protesta y Derechos Humanos</w:t>
      </w:r>
      <w:r w:rsidR="00000000">
        <w:rPr>
          <w:rStyle w:val="Hyperlink"/>
          <w:lang w:val="es-ES"/>
        </w:rPr>
        <w:fldChar w:fldCharType="end"/>
      </w:r>
      <w:r>
        <w:rPr>
          <w:lang w:val="es-ES"/>
        </w:rPr>
        <w:t xml:space="preserve">, </w:t>
      </w:r>
      <w:r w:rsidRPr="00900A48">
        <w:rPr>
          <w:lang w:val="es-ES"/>
        </w:rPr>
        <w:t>OEA/</w:t>
      </w:r>
      <w:proofErr w:type="spellStart"/>
      <w:r w:rsidRPr="00900A48">
        <w:rPr>
          <w:lang w:val="es-ES"/>
        </w:rPr>
        <w:t>Ser.L</w:t>
      </w:r>
      <w:proofErr w:type="spellEnd"/>
      <w:r w:rsidRPr="00900A48">
        <w:rPr>
          <w:lang w:val="es-ES"/>
        </w:rPr>
        <w:t xml:space="preserve">/V/II, CIDH/RELE/INF.22/19, </w:t>
      </w:r>
      <w:r>
        <w:rPr>
          <w:lang w:val="es-ES"/>
        </w:rPr>
        <w:t>s</w:t>
      </w:r>
      <w:r w:rsidRPr="00900A48">
        <w:rPr>
          <w:lang w:val="es-ES"/>
        </w:rPr>
        <w:t xml:space="preserve">eptiembre </w:t>
      </w:r>
      <w:r>
        <w:rPr>
          <w:lang w:val="es-ES"/>
        </w:rPr>
        <w:t xml:space="preserve">de </w:t>
      </w:r>
      <w:r w:rsidRPr="00900A48">
        <w:rPr>
          <w:lang w:val="es-ES"/>
        </w:rPr>
        <w:t>2019</w:t>
      </w:r>
      <w:r>
        <w:rPr>
          <w:lang w:val="es-ES"/>
        </w:rPr>
        <w:t>, párr. 242.</w:t>
      </w:r>
    </w:p>
  </w:footnote>
  <w:footnote w:id="146">
    <w:p w14:paraId="3E660E68" w14:textId="5AE144CD" w:rsidR="000A4A0B" w:rsidRPr="003B0CE5" w:rsidRDefault="000A4A0B" w:rsidP="000A4A0B">
      <w:pPr>
        <w:pStyle w:val="FootnoteText"/>
        <w:rPr>
          <w:lang w:val="es-ES"/>
        </w:rPr>
      </w:pPr>
      <w:r>
        <w:rPr>
          <w:rStyle w:val="FootnoteReference"/>
        </w:rPr>
        <w:footnoteRef/>
      </w:r>
      <w:r w:rsidRPr="003B0CE5">
        <w:rPr>
          <w:lang w:val="es-ES"/>
        </w:rPr>
        <w:t xml:space="preserve"> </w:t>
      </w:r>
      <w:r>
        <w:rPr>
          <w:lang w:val="es-ES"/>
        </w:rPr>
        <w:t>Tribunal Constitucional,</w:t>
      </w:r>
      <w:r w:rsidRPr="003B0CE5">
        <w:rPr>
          <w:lang w:val="es-ES"/>
        </w:rPr>
        <w:t xml:space="preserve"> </w:t>
      </w:r>
      <w:r w:rsidR="00000000">
        <w:fldChar w:fldCharType="begin"/>
      </w:r>
      <w:r w:rsidR="00000000" w:rsidRPr="00F51AED">
        <w:rPr>
          <w:lang w:val="es-US"/>
        </w:rPr>
        <w:instrText>HYPERLINK "https://tc.gob.pe/jurisprudencia/2005/04677-2004-AA.pdf"</w:instrText>
      </w:r>
      <w:r w:rsidR="00000000">
        <w:fldChar w:fldCharType="separate"/>
      </w:r>
      <w:r w:rsidRPr="007D7B94">
        <w:rPr>
          <w:rStyle w:val="Hyperlink"/>
          <w:lang w:val="es-ES"/>
        </w:rPr>
        <w:t xml:space="preserve">Sentencia recaída en el Expediente </w:t>
      </w:r>
      <w:proofErr w:type="spellStart"/>
      <w:r w:rsidR="00263A17">
        <w:rPr>
          <w:rStyle w:val="Hyperlink"/>
          <w:lang w:val="es-ES"/>
        </w:rPr>
        <w:t>Nº</w:t>
      </w:r>
      <w:proofErr w:type="spellEnd"/>
      <w:r w:rsidRPr="007D7B94">
        <w:rPr>
          <w:rStyle w:val="Hyperlink"/>
          <w:lang w:val="es-ES"/>
        </w:rPr>
        <w:t xml:space="preserve"> 4677-2004-PA/TC</w:t>
      </w:r>
      <w:r w:rsidR="00000000">
        <w:rPr>
          <w:rStyle w:val="Hyperlink"/>
          <w:lang w:val="es-ES"/>
        </w:rPr>
        <w:fldChar w:fldCharType="end"/>
      </w:r>
      <w:r w:rsidRPr="003B0CE5">
        <w:rPr>
          <w:lang w:val="es-ES"/>
        </w:rPr>
        <w:t>, 7</w:t>
      </w:r>
      <w:r>
        <w:rPr>
          <w:lang w:val="es-ES"/>
        </w:rPr>
        <w:t xml:space="preserve"> de diciembre</w:t>
      </w:r>
      <w:r w:rsidR="001E5003">
        <w:rPr>
          <w:lang w:val="es-ES"/>
        </w:rPr>
        <w:t xml:space="preserve"> </w:t>
      </w:r>
      <w:r>
        <w:rPr>
          <w:lang w:val="es-ES"/>
        </w:rPr>
        <w:t xml:space="preserve">de </w:t>
      </w:r>
      <w:r w:rsidRPr="003B0CE5">
        <w:rPr>
          <w:lang w:val="es-ES"/>
        </w:rPr>
        <w:t>2005</w:t>
      </w:r>
      <w:r>
        <w:rPr>
          <w:lang w:val="es-ES"/>
        </w:rPr>
        <w:t xml:space="preserve">, </w:t>
      </w:r>
      <w:r w:rsidRPr="003B0CE5">
        <w:rPr>
          <w:lang w:val="es-ES"/>
        </w:rPr>
        <w:t>párr. 9.</w:t>
      </w:r>
    </w:p>
  </w:footnote>
  <w:footnote w:id="147">
    <w:p w14:paraId="6C438CBC" w14:textId="0F19518E" w:rsidR="000A4A0B" w:rsidRPr="003B0CE5" w:rsidRDefault="000A4A0B" w:rsidP="000A4A0B">
      <w:pPr>
        <w:pStyle w:val="FootnoteText"/>
        <w:rPr>
          <w:lang w:val="es-ES"/>
        </w:rPr>
      </w:pPr>
      <w:r>
        <w:rPr>
          <w:rStyle w:val="FootnoteReference"/>
        </w:rPr>
        <w:footnoteRef/>
      </w:r>
      <w:r w:rsidRPr="003B0CE5">
        <w:rPr>
          <w:lang w:val="es-ES"/>
        </w:rPr>
        <w:t xml:space="preserve"> Policía Nacional del Perú</w:t>
      </w:r>
      <w:r>
        <w:rPr>
          <w:lang w:val="es-ES"/>
        </w:rPr>
        <w:t>,</w:t>
      </w:r>
      <w:r w:rsidRPr="003B0CE5">
        <w:rPr>
          <w:lang w:val="es-ES"/>
        </w:rPr>
        <w:t xml:space="preserve"> </w:t>
      </w:r>
      <w:r w:rsidR="00000000">
        <w:fldChar w:fldCharType="begin"/>
      </w:r>
      <w:r w:rsidR="00000000" w:rsidRPr="00F51AED">
        <w:rPr>
          <w:lang w:val="es-US"/>
        </w:rPr>
        <w:instrText>HYPERLINK "https://www.policia.gob.pe/pnp/archivos/portal/doc/24958doc_R.C.G-PNP-418-2022-CG-PNP-EMG-aprobando-directiva.pdf"</w:instrText>
      </w:r>
      <w:r w:rsidR="00000000">
        <w:fldChar w:fldCharType="separate"/>
      </w:r>
      <w:r w:rsidRPr="007D7B94">
        <w:rPr>
          <w:rStyle w:val="Hyperlink"/>
          <w:lang w:val="es-ES"/>
        </w:rPr>
        <w:t xml:space="preserve">Resolución de la Comandancia General de la Policía Nacional </w:t>
      </w:r>
      <w:proofErr w:type="spellStart"/>
      <w:r w:rsidR="00263A17">
        <w:rPr>
          <w:rStyle w:val="Hyperlink"/>
          <w:lang w:val="es-ES"/>
        </w:rPr>
        <w:t>Nº</w:t>
      </w:r>
      <w:proofErr w:type="spellEnd"/>
      <w:r w:rsidRPr="007D7B94">
        <w:rPr>
          <w:rStyle w:val="Hyperlink"/>
          <w:lang w:val="es-ES"/>
        </w:rPr>
        <w:t xml:space="preserve"> 418-2022-CG PNP/EMG</w:t>
      </w:r>
      <w:r w:rsidR="00000000">
        <w:rPr>
          <w:rStyle w:val="Hyperlink"/>
          <w:lang w:val="es-ES"/>
        </w:rPr>
        <w:fldChar w:fldCharType="end"/>
      </w:r>
      <w:r>
        <w:rPr>
          <w:lang w:val="es-ES"/>
        </w:rPr>
        <w:t>,</w:t>
      </w:r>
      <w:r w:rsidRPr="003B0CE5">
        <w:rPr>
          <w:lang w:val="es-ES"/>
        </w:rPr>
        <w:t xml:space="preserve"> 13</w:t>
      </w:r>
      <w:r>
        <w:rPr>
          <w:lang w:val="es-ES"/>
        </w:rPr>
        <w:t xml:space="preserve"> de octubre de </w:t>
      </w:r>
      <w:r w:rsidRPr="003B0CE5">
        <w:rPr>
          <w:lang w:val="es-ES"/>
        </w:rPr>
        <w:t>2022</w:t>
      </w:r>
      <w:r>
        <w:rPr>
          <w:lang w:val="es-ES"/>
        </w:rPr>
        <w:t>.</w:t>
      </w:r>
    </w:p>
  </w:footnote>
  <w:footnote w:id="148">
    <w:p w14:paraId="06E1E60F" w14:textId="40B03AD1" w:rsidR="00E20FBB" w:rsidRPr="00E20FBB" w:rsidRDefault="00E20FBB">
      <w:pPr>
        <w:pStyle w:val="FootnoteText"/>
        <w:rPr>
          <w:lang w:val="es-ES"/>
        </w:rPr>
      </w:pPr>
      <w:r>
        <w:rPr>
          <w:rStyle w:val="FootnoteReference"/>
        </w:rPr>
        <w:footnoteRef/>
      </w:r>
      <w:r w:rsidRPr="00E20FBB">
        <w:rPr>
          <w:lang w:val="es-ES"/>
        </w:rPr>
        <w:t xml:space="preserve"> </w:t>
      </w:r>
      <w:r w:rsidR="00000000">
        <w:fldChar w:fldCharType="begin"/>
      </w:r>
      <w:r w:rsidR="00000000" w:rsidRPr="00F51AED">
        <w:rPr>
          <w:lang w:val="es-US"/>
        </w:rPr>
        <w:instrText>HYPERLINK "https://www.gob.pe/institucion/pcm/normas-legales/6195712-100-2024-pcm"</w:instrText>
      </w:r>
      <w:r w:rsidR="00000000">
        <w:fldChar w:fldCharType="separate"/>
      </w:r>
      <w:r w:rsidRPr="00E20FBB">
        <w:rPr>
          <w:rStyle w:val="Hyperlink"/>
          <w:lang w:val="es-ES"/>
        </w:rPr>
        <w:t>Decreto Supremo No. 100-2024-PCM, de 27 de setiembre de 2024</w:t>
      </w:r>
      <w:r w:rsidR="00000000">
        <w:rPr>
          <w:rStyle w:val="Hyperlink"/>
          <w:lang w:val="es-ES"/>
        </w:rPr>
        <w:fldChar w:fldCharType="end"/>
      </w:r>
    </w:p>
  </w:footnote>
  <w:footnote w:id="149">
    <w:p w14:paraId="7137D205" w14:textId="77777777" w:rsidR="000A4A0B" w:rsidRPr="005D3FDA" w:rsidRDefault="000A4A0B" w:rsidP="000A4A0B">
      <w:pPr>
        <w:pStyle w:val="FootnoteText"/>
        <w:rPr>
          <w:lang w:val="es-ES"/>
        </w:rPr>
      </w:pPr>
      <w:r>
        <w:rPr>
          <w:rStyle w:val="FootnoteReference"/>
        </w:rPr>
        <w:footnoteRef/>
      </w:r>
      <w:r w:rsidRPr="005D3FDA">
        <w:rPr>
          <w:lang w:val="es-ES"/>
        </w:rPr>
        <w:t xml:space="preserve"> </w:t>
      </w:r>
      <w:r>
        <w:rPr>
          <w:lang w:val="es-ES"/>
        </w:rPr>
        <w:t xml:space="preserve">CIDH, </w:t>
      </w:r>
      <w:r w:rsidR="00000000">
        <w:fldChar w:fldCharType="begin"/>
      </w:r>
      <w:r w:rsidR="00000000" w:rsidRPr="00F51AED">
        <w:rPr>
          <w:lang w:val="es-US"/>
        </w:rPr>
        <w:instrText>HYPERLINK "https://www.oas.org/es/cidh/expresion/publicaciones/ProtestayDerechosHumanos.pdf"</w:instrText>
      </w:r>
      <w:r w:rsidR="00000000">
        <w:fldChar w:fldCharType="separate"/>
      </w:r>
      <w:r w:rsidRPr="00FD20F4">
        <w:rPr>
          <w:rStyle w:val="Hyperlink"/>
          <w:lang w:val="es-ES"/>
        </w:rPr>
        <w:t>Informe Protesta Social y Derechos Humanos</w:t>
      </w:r>
      <w:r w:rsidR="00000000">
        <w:rPr>
          <w:rStyle w:val="Hyperlink"/>
          <w:lang w:val="es-ES"/>
        </w:rPr>
        <w:fldChar w:fldCharType="end"/>
      </w:r>
      <w:r>
        <w:rPr>
          <w:lang w:val="es-ES"/>
        </w:rPr>
        <w:t>, Estándares sobre los derechos involucrados en la protesta social y las obligaciones que deben guiar la respuesta estatal. OEA/</w:t>
      </w:r>
      <w:proofErr w:type="spellStart"/>
      <w:r>
        <w:rPr>
          <w:lang w:val="es-ES"/>
        </w:rPr>
        <w:t>Ser.L</w:t>
      </w:r>
      <w:proofErr w:type="spellEnd"/>
      <w:r>
        <w:rPr>
          <w:lang w:val="es-ES"/>
        </w:rPr>
        <w:t>/V/II.CIDH/RELE/INF.22/19, septiembre de 2019, párr. 322.</w:t>
      </w:r>
    </w:p>
  </w:footnote>
  <w:footnote w:id="150">
    <w:p w14:paraId="3EEC3BB5" w14:textId="595A6956" w:rsidR="000A4A0B" w:rsidRPr="00924B7B" w:rsidRDefault="000A4A0B" w:rsidP="000A4A0B">
      <w:pPr>
        <w:pStyle w:val="FootnoteText"/>
        <w:rPr>
          <w:rFonts w:eastAsia="Cambria" w:cs="Cambria"/>
          <w:color w:val="000000" w:themeColor="text1"/>
          <w:szCs w:val="16"/>
          <w:lang w:val="es-CO"/>
        </w:rPr>
      </w:pPr>
      <w:r>
        <w:rPr>
          <w:rStyle w:val="FootnoteReference"/>
        </w:rPr>
        <w:footnoteRef/>
      </w:r>
      <w:r w:rsidRPr="00924B7B">
        <w:rPr>
          <w:lang w:val="es-ES"/>
        </w:rPr>
        <w:t xml:space="preserve"> </w:t>
      </w:r>
      <w:r w:rsidR="00000000">
        <w:fldChar w:fldCharType="begin"/>
      </w:r>
      <w:r w:rsidR="00000000" w:rsidRPr="00F51AED">
        <w:rPr>
          <w:lang w:val="es-US"/>
        </w:rPr>
        <w:instrText>HYPERLINK "https://img.lpderecho.pe/wp-content/uploads/2023/12/DL-1589-LPDerecho.pdf"</w:instrText>
      </w:r>
      <w:r w:rsidR="00000000">
        <w:fldChar w:fldCharType="separate"/>
      </w:r>
      <w:r w:rsidRPr="00924B7B">
        <w:rPr>
          <w:rStyle w:val="Hyperlink"/>
          <w:rFonts w:eastAsia="Cambria" w:cs="Cambria"/>
          <w:szCs w:val="16"/>
          <w:lang w:val="es-CO"/>
        </w:rPr>
        <w:t xml:space="preserve">Decreto Legislativo </w:t>
      </w:r>
      <w:proofErr w:type="spellStart"/>
      <w:r w:rsidR="00263A17">
        <w:rPr>
          <w:rStyle w:val="Hyperlink"/>
          <w:rFonts w:eastAsia="Cambria" w:cs="Cambria"/>
          <w:szCs w:val="16"/>
          <w:lang w:val="es-CO"/>
        </w:rPr>
        <w:t>Nº</w:t>
      </w:r>
      <w:proofErr w:type="spellEnd"/>
      <w:r w:rsidRPr="00924B7B">
        <w:rPr>
          <w:rStyle w:val="Hyperlink"/>
          <w:rFonts w:eastAsia="Cambria" w:cs="Cambria"/>
          <w:szCs w:val="16"/>
          <w:lang w:val="es-CO"/>
        </w:rPr>
        <w:t xml:space="preserve"> 1589</w:t>
      </w:r>
      <w:r w:rsidR="00000000">
        <w:rPr>
          <w:rStyle w:val="Hyperlink"/>
          <w:rFonts w:eastAsia="Cambria" w:cs="Cambria"/>
          <w:szCs w:val="16"/>
          <w:lang w:val="es-CO"/>
        </w:rPr>
        <w:fldChar w:fldCharType="end"/>
      </w:r>
      <w:r w:rsidRPr="00924B7B">
        <w:rPr>
          <w:rFonts w:eastAsia="Cambria" w:cs="Cambria"/>
          <w:color w:val="000000" w:themeColor="text1"/>
          <w:szCs w:val="16"/>
          <w:lang w:val="es-CO"/>
        </w:rPr>
        <w:t xml:space="preserve">, </w:t>
      </w:r>
      <w:r>
        <w:rPr>
          <w:rFonts w:eastAsia="Cambria" w:cs="Cambria"/>
          <w:color w:val="000000" w:themeColor="text1"/>
          <w:szCs w:val="16"/>
          <w:lang w:val="es-CO"/>
        </w:rPr>
        <w:t>4 de diciembre de 2023.</w:t>
      </w:r>
    </w:p>
  </w:footnote>
  <w:footnote w:id="151">
    <w:p w14:paraId="07BB77CF" w14:textId="1B11EF66" w:rsidR="000A4A0B" w:rsidRPr="006F6786" w:rsidRDefault="000A4A0B" w:rsidP="000A4A0B">
      <w:pPr>
        <w:pStyle w:val="FootnoteText"/>
        <w:rPr>
          <w:lang w:val="es-ES"/>
        </w:rPr>
      </w:pPr>
      <w:r>
        <w:rPr>
          <w:rStyle w:val="FootnoteReference"/>
        </w:rPr>
        <w:footnoteRef/>
      </w:r>
      <w:r w:rsidRPr="006F6786">
        <w:rPr>
          <w:lang w:val="es-ES"/>
        </w:rPr>
        <w:t xml:space="preserve"> </w:t>
      </w:r>
      <w:r w:rsidR="00000000">
        <w:fldChar w:fldCharType="begin"/>
      </w:r>
      <w:r w:rsidR="00000000" w:rsidRPr="00F51AED">
        <w:rPr>
          <w:lang w:val="es-US"/>
        </w:rPr>
        <w:instrText>HYPERLINK "https://img.lpderecho.pe/wp-content/uploads/2023/05/Casacion-1464-2021-Apurimac-LPDerecho.pdf"</w:instrText>
      </w:r>
      <w:r w:rsidR="00000000">
        <w:fldChar w:fldCharType="separate"/>
      </w:r>
      <w:r w:rsidRPr="00924B7B">
        <w:rPr>
          <w:rStyle w:val="Hyperlink"/>
          <w:lang w:val="es-ES"/>
        </w:rPr>
        <w:t>Sentencia de casación 1464-2021/Apurímac</w:t>
      </w:r>
      <w:r w:rsidR="00000000">
        <w:rPr>
          <w:rStyle w:val="Hyperlink"/>
          <w:lang w:val="es-ES"/>
        </w:rPr>
        <w:fldChar w:fldCharType="end"/>
      </w:r>
      <w:r>
        <w:rPr>
          <w:lang w:val="es-ES"/>
        </w:rPr>
        <w:t>, 15 de mayo</w:t>
      </w:r>
      <w:r w:rsidR="00BB3B97">
        <w:rPr>
          <w:lang w:val="es-ES"/>
        </w:rPr>
        <w:t xml:space="preserve"> de</w:t>
      </w:r>
      <w:r>
        <w:rPr>
          <w:lang w:val="es-ES"/>
        </w:rPr>
        <w:t xml:space="preserve"> 2023, Vigesimoprimero “</w:t>
      </w:r>
      <w:r w:rsidRPr="00900A48">
        <w:rPr>
          <w:lang w:val="es-ES"/>
        </w:rPr>
        <w:t>No se puede, so pretexto de reunión o disidencia (pensar u opinar distinto), justificar el impedimento, el estorbo o el entorpecimiento del transporte o la prestación del servicio público o privado, mucho menos la puesta en peligro de la vida, la integridad o la libertad personal ni el daño a la propiedad pública o privada</w:t>
      </w:r>
      <w:r w:rsidR="001D74C3">
        <w:rPr>
          <w:lang w:val="es-ES"/>
        </w:rPr>
        <w:t>”</w:t>
      </w:r>
      <w:r w:rsidRPr="00900A48">
        <w:rPr>
          <w:lang w:val="es-ES"/>
        </w:rPr>
        <w:t xml:space="preserve">. </w:t>
      </w:r>
    </w:p>
  </w:footnote>
  <w:footnote w:id="152">
    <w:p w14:paraId="6E0EC690" w14:textId="573410F6" w:rsidR="001161A5" w:rsidRPr="00CA7BA6" w:rsidRDefault="001161A5" w:rsidP="001161A5">
      <w:pPr>
        <w:pStyle w:val="FootnoteText"/>
        <w:rPr>
          <w:szCs w:val="16"/>
          <w:lang w:val="es-US"/>
        </w:rPr>
      </w:pPr>
      <w:r w:rsidRPr="00A55563">
        <w:rPr>
          <w:rStyle w:val="FootnoteReference"/>
          <w:szCs w:val="16"/>
        </w:rPr>
        <w:footnoteRef/>
      </w:r>
      <w:r w:rsidRPr="00A55563">
        <w:rPr>
          <w:szCs w:val="16"/>
          <w:lang w:val="es-ES"/>
        </w:rPr>
        <w:t xml:space="preserve"> Asociación Nacional de Periodistas</w:t>
      </w:r>
      <w:r>
        <w:rPr>
          <w:szCs w:val="16"/>
          <w:lang w:val="es-ES"/>
        </w:rPr>
        <w:t>,</w:t>
      </w:r>
      <w:r w:rsidRPr="00A55563">
        <w:rPr>
          <w:szCs w:val="16"/>
          <w:lang w:val="es-ES"/>
        </w:rPr>
        <w:t xml:space="preserve"> Termómetro de Libertad de Prensa</w:t>
      </w:r>
      <w:r w:rsidR="00690E06">
        <w:rPr>
          <w:szCs w:val="16"/>
          <w:lang w:val="es-ES"/>
        </w:rPr>
        <w:t>,</w:t>
      </w:r>
      <w:r w:rsidRPr="00A55563">
        <w:rPr>
          <w:szCs w:val="16"/>
          <w:lang w:val="es-ES"/>
        </w:rPr>
        <w:t xml:space="preserve"> </w:t>
      </w:r>
      <w:r w:rsidR="00690E06">
        <w:rPr>
          <w:szCs w:val="16"/>
          <w:lang w:val="es-ES"/>
        </w:rPr>
        <w:t>e</w:t>
      </w:r>
      <w:r w:rsidRPr="00A55563">
        <w:rPr>
          <w:szCs w:val="16"/>
          <w:lang w:val="es-ES"/>
        </w:rPr>
        <w:t xml:space="preserve">nero a mayo </w:t>
      </w:r>
      <w:r w:rsidR="00690E06">
        <w:rPr>
          <w:szCs w:val="16"/>
          <w:lang w:val="es-ES"/>
        </w:rPr>
        <w:t xml:space="preserve">de </w:t>
      </w:r>
      <w:r w:rsidRPr="00A55563">
        <w:rPr>
          <w:szCs w:val="16"/>
          <w:lang w:val="es-ES"/>
        </w:rPr>
        <w:t xml:space="preserve">2024. </w:t>
      </w:r>
      <w:r w:rsidRPr="00CA7BA6">
        <w:rPr>
          <w:szCs w:val="16"/>
          <w:lang w:val="es-US"/>
        </w:rPr>
        <w:t xml:space="preserve">Ver: </w:t>
      </w:r>
      <w:r w:rsidR="00000000">
        <w:fldChar w:fldCharType="begin"/>
      </w:r>
      <w:r w:rsidR="00000000" w:rsidRPr="00F51AED">
        <w:rPr>
          <w:lang w:val="es-US"/>
        </w:rPr>
        <w:instrText>HYPERLINK "https://fiplatina.press/pdfs/peru-termometro-de-libertad-de-prensa-enero-mayo-2024.pdf"</w:instrText>
      </w:r>
      <w:r w:rsidR="00000000">
        <w:fldChar w:fldCharType="separate"/>
      </w:r>
      <w:r w:rsidRPr="00CA7BA6">
        <w:rPr>
          <w:rStyle w:val="Hyperlink"/>
          <w:szCs w:val="16"/>
          <w:lang w:val="es-US"/>
        </w:rPr>
        <w:t>https://fiplatina.press/pdfs/peru-termometro-de-libertad-de-prensa-enero-mayo-2024.pdf</w:t>
      </w:r>
      <w:r w:rsidR="00000000">
        <w:rPr>
          <w:rStyle w:val="Hyperlink"/>
          <w:szCs w:val="16"/>
          <w:lang w:val="es-US"/>
        </w:rPr>
        <w:fldChar w:fldCharType="end"/>
      </w:r>
      <w:r w:rsidRPr="00CA7BA6">
        <w:rPr>
          <w:szCs w:val="16"/>
          <w:lang w:val="es-US"/>
        </w:rPr>
        <w:t xml:space="preserve"> </w:t>
      </w:r>
      <w:r w:rsidR="00A9340B">
        <w:rPr>
          <w:szCs w:val="16"/>
          <w:lang w:val="es-US"/>
        </w:rPr>
        <w:t>.</w:t>
      </w:r>
    </w:p>
  </w:footnote>
  <w:footnote w:id="153">
    <w:p w14:paraId="47E47AA6" w14:textId="03411995" w:rsidR="001161A5" w:rsidRPr="00A55563" w:rsidRDefault="001161A5" w:rsidP="001161A5">
      <w:pPr>
        <w:pStyle w:val="FootnoteText"/>
        <w:rPr>
          <w:szCs w:val="16"/>
          <w:lang w:val="es-ES"/>
        </w:rPr>
      </w:pPr>
      <w:r w:rsidRPr="00A55563">
        <w:rPr>
          <w:rStyle w:val="FootnoteReference"/>
          <w:szCs w:val="16"/>
        </w:rPr>
        <w:footnoteRef/>
      </w:r>
      <w:r w:rsidRPr="00CA7BA6">
        <w:rPr>
          <w:szCs w:val="16"/>
          <w:lang w:val="es-US"/>
        </w:rPr>
        <w:t xml:space="preserve"> CIDH, </w:t>
      </w:r>
      <w:r w:rsidRPr="00A55563">
        <w:rPr>
          <w:szCs w:val="16"/>
          <w:lang w:val="es-ES"/>
        </w:rPr>
        <w:t>Informe sobre la Situación de Derechos Humanos en Perú en el contexto de las protestas sociales</w:t>
      </w:r>
      <w:r>
        <w:rPr>
          <w:szCs w:val="16"/>
          <w:lang w:val="es-ES"/>
        </w:rPr>
        <w:t>,</w:t>
      </w:r>
      <w:r w:rsidRPr="00A55563">
        <w:rPr>
          <w:szCs w:val="16"/>
          <w:lang w:val="es-ES"/>
        </w:rPr>
        <w:t xml:space="preserve"> OEA/</w:t>
      </w:r>
      <w:proofErr w:type="spellStart"/>
      <w:r w:rsidRPr="00A55563">
        <w:rPr>
          <w:szCs w:val="16"/>
          <w:lang w:val="es-ES"/>
        </w:rPr>
        <w:t>Ser.L</w:t>
      </w:r>
      <w:proofErr w:type="spellEnd"/>
      <w:r w:rsidRPr="00A55563">
        <w:rPr>
          <w:szCs w:val="16"/>
          <w:lang w:val="es-ES"/>
        </w:rPr>
        <w:t>/V/II. Doc. 57/23</w:t>
      </w:r>
      <w:r w:rsidR="007A4C1A">
        <w:rPr>
          <w:szCs w:val="16"/>
          <w:lang w:val="es-ES"/>
        </w:rPr>
        <w:t>,</w:t>
      </w:r>
      <w:r w:rsidRPr="00A55563">
        <w:rPr>
          <w:szCs w:val="16"/>
          <w:lang w:val="es-ES"/>
        </w:rPr>
        <w:t xml:space="preserve"> 23 de abril de 2023</w:t>
      </w:r>
      <w:r>
        <w:rPr>
          <w:szCs w:val="16"/>
          <w:lang w:val="es-ES"/>
        </w:rPr>
        <w:t>,</w:t>
      </w:r>
      <w:r w:rsidRPr="00A55563">
        <w:rPr>
          <w:szCs w:val="16"/>
          <w:lang w:val="es-ES"/>
        </w:rPr>
        <w:t xml:space="preserve"> </w:t>
      </w:r>
      <w:r>
        <w:rPr>
          <w:szCs w:val="16"/>
          <w:lang w:val="es-ES"/>
        </w:rPr>
        <w:t>pá</w:t>
      </w:r>
      <w:r w:rsidRPr="00A55563">
        <w:rPr>
          <w:szCs w:val="16"/>
          <w:lang w:val="es-ES"/>
        </w:rPr>
        <w:t>rr. 258</w:t>
      </w:r>
      <w:r>
        <w:rPr>
          <w:szCs w:val="16"/>
          <w:lang w:val="es-ES"/>
        </w:rPr>
        <w:t>.</w:t>
      </w:r>
    </w:p>
  </w:footnote>
  <w:footnote w:id="154">
    <w:p w14:paraId="23420135" w14:textId="737F175B" w:rsidR="001161A5" w:rsidRPr="00A55563" w:rsidRDefault="001161A5" w:rsidP="001161A5">
      <w:pPr>
        <w:pStyle w:val="FootnoteText"/>
        <w:rPr>
          <w:szCs w:val="16"/>
          <w:lang w:val="es-ES"/>
        </w:rPr>
      </w:pPr>
      <w:r w:rsidRPr="00A55563">
        <w:rPr>
          <w:rStyle w:val="FootnoteReference"/>
          <w:szCs w:val="16"/>
        </w:rPr>
        <w:footnoteRef/>
      </w:r>
      <w:r w:rsidRPr="00A55563">
        <w:rPr>
          <w:szCs w:val="16"/>
          <w:lang w:val="es-ES"/>
        </w:rPr>
        <w:t xml:space="preserve"> </w:t>
      </w:r>
      <w:r w:rsidR="00000000">
        <w:fldChar w:fldCharType="begin"/>
      </w:r>
      <w:r w:rsidR="00000000" w:rsidRPr="00F51AED">
        <w:rPr>
          <w:lang w:val="es-US"/>
        </w:rPr>
        <w:instrText>HYPERLINK "https://cdn.www.gob.pe/uploads/document/file/4202609/ANEXO%200277-2023-IN-3.pdf?v=1677624068"</w:instrText>
      </w:r>
      <w:r w:rsidR="00000000">
        <w:fldChar w:fldCharType="separate"/>
      </w:r>
      <w:r w:rsidRPr="00A55563">
        <w:rPr>
          <w:rStyle w:val="Hyperlink"/>
          <w:szCs w:val="16"/>
          <w:lang w:val="es-ES"/>
        </w:rPr>
        <w:t xml:space="preserve">Resolución Ministerial </w:t>
      </w:r>
      <w:proofErr w:type="spellStart"/>
      <w:r w:rsidR="00263A17">
        <w:rPr>
          <w:rStyle w:val="Hyperlink"/>
          <w:szCs w:val="16"/>
          <w:lang w:val="es-ES"/>
        </w:rPr>
        <w:t>Nº</w:t>
      </w:r>
      <w:proofErr w:type="spellEnd"/>
      <w:r w:rsidRPr="00A55563">
        <w:rPr>
          <w:rStyle w:val="Hyperlink"/>
          <w:szCs w:val="16"/>
          <w:lang w:val="es-ES"/>
        </w:rPr>
        <w:t xml:space="preserve"> 102-2023-JUS</w:t>
      </w:r>
      <w:r w:rsidR="00000000">
        <w:rPr>
          <w:rStyle w:val="Hyperlink"/>
          <w:szCs w:val="16"/>
          <w:lang w:val="es-ES"/>
        </w:rPr>
        <w:fldChar w:fldCharType="end"/>
      </w:r>
      <w:r w:rsidRPr="00A55563">
        <w:rPr>
          <w:szCs w:val="16"/>
          <w:lang w:val="es-ES"/>
        </w:rPr>
        <w:t>, 22 de febrero de 2023.</w:t>
      </w:r>
    </w:p>
  </w:footnote>
  <w:footnote w:id="155">
    <w:p w14:paraId="2C1A02E4" w14:textId="77777777" w:rsidR="001161A5" w:rsidRPr="00A55563" w:rsidRDefault="001161A5" w:rsidP="001161A5">
      <w:pPr>
        <w:pStyle w:val="FootnoteText"/>
        <w:rPr>
          <w:rFonts w:eastAsia="Cambria" w:cs="Cambria"/>
          <w:color w:val="000000" w:themeColor="text1"/>
          <w:szCs w:val="16"/>
          <w:lang w:val="es-CO"/>
        </w:rPr>
      </w:pPr>
      <w:r w:rsidRPr="00A55563">
        <w:rPr>
          <w:rStyle w:val="FootnoteReference"/>
          <w:szCs w:val="16"/>
        </w:rPr>
        <w:footnoteRef/>
      </w:r>
      <w:r w:rsidRPr="00A55563">
        <w:rPr>
          <w:szCs w:val="16"/>
          <w:lang w:val="es-ES"/>
        </w:rPr>
        <w:t xml:space="preserve"> </w:t>
      </w:r>
      <w:r w:rsidRPr="00A55563">
        <w:rPr>
          <w:rFonts w:eastAsia="Cambria" w:cs="Cambria"/>
          <w:color w:val="000000" w:themeColor="text1"/>
          <w:szCs w:val="16"/>
          <w:lang w:val="es-CO"/>
        </w:rPr>
        <w:t xml:space="preserve">Proyecto de Resolución Ministerial </w:t>
      </w:r>
      <w:proofErr w:type="spellStart"/>
      <w:r w:rsidRPr="00A55563">
        <w:rPr>
          <w:rFonts w:eastAsia="Cambria" w:cs="Cambria"/>
          <w:color w:val="000000" w:themeColor="text1"/>
          <w:szCs w:val="16"/>
          <w:lang w:val="es-CO"/>
        </w:rPr>
        <w:t>N°</w:t>
      </w:r>
      <w:proofErr w:type="spellEnd"/>
      <w:r w:rsidRPr="00A55563">
        <w:rPr>
          <w:rFonts w:eastAsia="Cambria" w:cs="Cambria"/>
          <w:color w:val="000000" w:themeColor="text1"/>
          <w:szCs w:val="16"/>
          <w:lang w:val="es-CO"/>
        </w:rPr>
        <w:t xml:space="preserve"> 0277-2023-IN, de 28 de febrero de 2023.</w:t>
      </w:r>
    </w:p>
  </w:footnote>
  <w:footnote w:id="156">
    <w:p w14:paraId="43884808" w14:textId="6DB00108" w:rsidR="001161A5" w:rsidRPr="00A55563" w:rsidRDefault="001161A5" w:rsidP="001161A5">
      <w:pPr>
        <w:pStyle w:val="FootnoteText"/>
        <w:rPr>
          <w:szCs w:val="16"/>
          <w:lang w:val="es-ES"/>
        </w:rPr>
      </w:pPr>
      <w:r w:rsidRPr="00A55563">
        <w:rPr>
          <w:rStyle w:val="FootnoteReference"/>
          <w:szCs w:val="16"/>
        </w:rPr>
        <w:footnoteRef/>
      </w:r>
      <w:r w:rsidRPr="00A55563">
        <w:rPr>
          <w:szCs w:val="16"/>
          <w:lang w:val="es-ES"/>
        </w:rPr>
        <w:t xml:space="preserve"> ANP (1 de marzo de 2023), ANP sobre protocolo “</w:t>
      </w:r>
      <w:proofErr w:type="spellStart"/>
      <w:r w:rsidRPr="00A55563">
        <w:rPr>
          <w:szCs w:val="16"/>
          <w:lang w:val="es-ES"/>
        </w:rPr>
        <w:t>express</w:t>
      </w:r>
      <w:proofErr w:type="spellEnd"/>
      <w:r w:rsidRPr="00A55563">
        <w:rPr>
          <w:szCs w:val="16"/>
          <w:lang w:val="es-ES"/>
        </w:rPr>
        <w:t>” para protección de periodistas: no nos protege. Disponible en:</w:t>
      </w:r>
    </w:p>
    <w:p w14:paraId="5E4036FE" w14:textId="1412C39D" w:rsidR="001161A5" w:rsidRPr="00A55563" w:rsidRDefault="00000000" w:rsidP="000B2AFE">
      <w:pPr>
        <w:pStyle w:val="FootnoteText"/>
        <w:ind w:firstLine="0"/>
        <w:rPr>
          <w:szCs w:val="16"/>
          <w:lang w:val="es-ES"/>
        </w:rPr>
      </w:pPr>
      <w:r>
        <w:fldChar w:fldCharType="begin"/>
      </w:r>
      <w:r w:rsidRPr="00F51AED">
        <w:rPr>
          <w:lang w:val="es-CO"/>
        </w:rPr>
        <w:instrText>HYPERLINK "https://anp.org.pe/anp-sobre-protocolo-express-para-proteccion-de-periodistas-no-nos-protege/"</w:instrText>
      </w:r>
      <w:r>
        <w:fldChar w:fldCharType="separate"/>
      </w:r>
      <w:r w:rsidR="002F3421" w:rsidRPr="002F3421">
        <w:rPr>
          <w:rStyle w:val="Hyperlink"/>
          <w:szCs w:val="16"/>
          <w:lang w:val="es-ES"/>
        </w:rPr>
        <w:t>https://anp.org.pe/anp-sobre-protocolo-express-para-proteccion-de-periodistas-no-nos-protege/</w:t>
      </w:r>
      <w:r>
        <w:rPr>
          <w:rStyle w:val="Hyperlink"/>
          <w:szCs w:val="16"/>
          <w:lang w:val="es-ES"/>
        </w:rPr>
        <w:fldChar w:fldCharType="end"/>
      </w:r>
      <w:r w:rsidR="001161A5">
        <w:rPr>
          <w:szCs w:val="16"/>
          <w:lang w:val="es-ES"/>
        </w:rPr>
        <w:t xml:space="preserve"> </w:t>
      </w:r>
      <w:r w:rsidR="00A9340B">
        <w:rPr>
          <w:szCs w:val="16"/>
          <w:lang w:val="es-ES"/>
        </w:rPr>
        <w:t>.</w:t>
      </w:r>
    </w:p>
  </w:footnote>
  <w:footnote w:id="157">
    <w:p w14:paraId="3EF0628F" w14:textId="01059B89" w:rsidR="001161A5" w:rsidRPr="00243BD5" w:rsidRDefault="001161A5" w:rsidP="001161A5">
      <w:pPr>
        <w:pStyle w:val="FootnoteText"/>
        <w:rPr>
          <w:lang w:val="es-CO"/>
        </w:rPr>
      </w:pPr>
      <w:r w:rsidRPr="7732B6E2">
        <w:rPr>
          <w:rStyle w:val="FootnoteReference"/>
        </w:rPr>
        <w:footnoteRef/>
      </w:r>
      <w:r w:rsidRPr="00243BD5">
        <w:rPr>
          <w:lang w:val="es-CO"/>
        </w:rPr>
        <w:t xml:space="preserve"> IPYS, </w:t>
      </w:r>
      <w:r w:rsidR="00000000">
        <w:fldChar w:fldCharType="begin"/>
      </w:r>
      <w:r w:rsidR="00000000" w:rsidRPr="00F51AED">
        <w:rPr>
          <w:lang w:val="es-US"/>
        </w:rPr>
        <w:instrText>HYPERLINK "https://ipys.org/alertas/per%C3%BA-congresista-presenta-proyecto-para-crear-colegio-de-comunicadores-que-exige-colegiatura" \h</w:instrText>
      </w:r>
      <w:r w:rsidR="00000000">
        <w:fldChar w:fldCharType="separate"/>
      </w:r>
      <w:r w:rsidRPr="00243BD5">
        <w:rPr>
          <w:rStyle w:val="Hyperlink"/>
          <w:lang w:val="es-CO"/>
        </w:rPr>
        <w:t>Perú: congresista presenta proyecto para crear colegio de comunicadores que exige colegiatura para ejercer la profesión,</w:t>
      </w:r>
      <w:r w:rsidR="00000000">
        <w:rPr>
          <w:rStyle w:val="Hyperlink"/>
          <w:lang w:val="es-CO"/>
        </w:rPr>
        <w:fldChar w:fldCharType="end"/>
      </w:r>
      <w:r w:rsidRPr="00243BD5">
        <w:rPr>
          <w:lang w:val="es-CO"/>
        </w:rPr>
        <w:t xml:space="preserve"> 5 de abril de 2024; Expreso, </w:t>
      </w:r>
      <w:r w:rsidR="00000000">
        <w:fldChar w:fldCharType="begin"/>
      </w:r>
      <w:r w:rsidR="00000000" w:rsidRPr="00F51AED">
        <w:rPr>
          <w:lang w:val="es-US"/>
        </w:rPr>
        <w:instrText>HYPERLINK "https://www.expreso.com.pe/politica/accion-popular-busca-someter-a-la-prensa-creacion-de-colegio-de-comunicadores-restringiria-ejercicio-de-la-profesion-luis-cordero-jon-tay-jorge-flores-ancachi-darwin-espinoza-noticia/1086099/" \h</w:instrText>
      </w:r>
      <w:r w:rsidR="00000000">
        <w:fldChar w:fldCharType="separate"/>
      </w:r>
      <w:r w:rsidRPr="00243BD5">
        <w:rPr>
          <w:rStyle w:val="Hyperlink"/>
          <w:lang w:val="es-CO"/>
        </w:rPr>
        <w:t>Acción Popular busca someter a la prensa: creación de Colegio de Comunicadores restringiría ejercicio de la profesión</w:t>
      </w:r>
      <w:r w:rsidR="00000000">
        <w:rPr>
          <w:rStyle w:val="Hyperlink"/>
          <w:lang w:val="es-CO"/>
        </w:rPr>
        <w:fldChar w:fldCharType="end"/>
      </w:r>
      <w:r w:rsidRPr="00243BD5">
        <w:rPr>
          <w:lang w:val="es-CO"/>
        </w:rPr>
        <w:t>, 5 de abril de 2024</w:t>
      </w:r>
      <w:r w:rsidR="004168E9">
        <w:rPr>
          <w:lang w:val="es-CO"/>
        </w:rPr>
        <w:t>.</w:t>
      </w:r>
    </w:p>
  </w:footnote>
  <w:footnote w:id="158">
    <w:p w14:paraId="2701E16A" w14:textId="77777777" w:rsidR="001161A5" w:rsidRPr="00CA3044" w:rsidRDefault="001161A5" w:rsidP="001161A5">
      <w:pPr>
        <w:pStyle w:val="FootnoteText"/>
        <w:rPr>
          <w:lang w:val="es-CO"/>
        </w:rPr>
      </w:pPr>
      <w:r>
        <w:rPr>
          <w:rStyle w:val="FootnoteReference"/>
        </w:rPr>
        <w:footnoteRef/>
      </w:r>
      <w:r w:rsidRPr="00CA3044">
        <w:rPr>
          <w:lang w:val="es-CO"/>
        </w:rPr>
        <w:t xml:space="preserve"> </w:t>
      </w:r>
      <w:r>
        <w:rPr>
          <w:lang w:val="es-CO"/>
        </w:rPr>
        <w:t xml:space="preserve">IPYS, </w:t>
      </w:r>
      <w:r w:rsidR="00000000">
        <w:fldChar w:fldCharType="begin"/>
      </w:r>
      <w:r w:rsidR="00000000" w:rsidRPr="00F51AED">
        <w:rPr>
          <w:lang w:val="es-US"/>
        </w:rPr>
        <w:instrText>HYPERLINK "https://ipys.org/alertas/per%C3%BA-congresista-presenta-proyecto-de-ley-para-impedir-que-familiares-de-periodistas"</w:instrText>
      </w:r>
      <w:r w:rsidR="00000000">
        <w:fldChar w:fldCharType="separate"/>
      </w:r>
      <w:r w:rsidRPr="00CA3044">
        <w:rPr>
          <w:rStyle w:val="Hyperlink"/>
          <w:lang w:val="es-CO"/>
        </w:rPr>
        <w:t>Perú: congresista presenta proyecto de ley para impedir que familiares de periodistas contraten con el Estado</w:t>
      </w:r>
      <w:r w:rsidR="00000000">
        <w:rPr>
          <w:rStyle w:val="Hyperlink"/>
          <w:lang w:val="es-CO"/>
        </w:rPr>
        <w:fldChar w:fldCharType="end"/>
      </w:r>
      <w:r>
        <w:rPr>
          <w:lang w:val="es-CO"/>
        </w:rPr>
        <w:t>, 3 de abril de 2024.</w:t>
      </w:r>
    </w:p>
  </w:footnote>
  <w:footnote w:id="159">
    <w:p w14:paraId="0E3174B4" w14:textId="5A548CEF" w:rsidR="001161A5" w:rsidRPr="00A55563" w:rsidRDefault="001161A5" w:rsidP="24019998">
      <w:pPr>
        <w:pStyle w:val="FootnoteText"/>
        <w:rPr>
          <w:lang w:val="es-ES"/>
        </w:rPr>
      </w:pPr>
      <w:r w:rsidRPr="24019998">
        <w:rPr>
          <w:rStyle w:val="FootnoteReference"/>
        </w:rPr>
        <w:footnoteRef/>
      </w:r>
      <w:r w:rsidR="24019998" w:rsidRPr="24019998">
        <w:rPr>
          <w:lang w:val="es-ES"/>
        </w:rPr>
        <w:t xml:space="preserve"> CIDH y RELE, </w:t>
      </w:r>
      <w:r w:rsidR="00000000">
        <w:fldChar w:fldCharType="begin"/>
      </w:r>
      <w:r w:rsidR="00000000" w:rsidRPr="00F51AED">
        <w:rPr>
          <w:lang w:val="es-US"/>
        </w:rPr>
        <w:instrText>HYPERLINK "https://www.oas.org/es/cidh/expresion/informes/DerechoInformacionSeguridadNacional.pdf"</w:instrText>
      </w:r>
      <w:r w:rsidR="00000000">
        <w:fldChar w:fldCharType="separate"/>
      </w:r>
      <w:r w:rsidR="24019998" w:rsidRPr="24019998">
        <w:rPr>
          <w:rStyle w:val="Hyperlink"/>
          <w:lang w:val="es-ES"/>
        </w:rPr>
        <w:t>Derecho a la Información y Seguridad Nacional</w:t>
      </w:r>
      <w:r w:rsidR="00000000">
        <w:rPr>
          <w:rStyle w:val="Hyperlink"/>
          <w:lang w:val="es-ES"/>
        </w:rPr>
        <w:fldChar w:fldCharType="end"/>
      </w:r>
      <w:r w:rsidR="24019998" w:rsidRPr="24019998">
        <w:rPr>
          <w:lang w:val="es-ES"/>
        </w:rPr>
        <w:t xml:space="preserve">, </w:t>
      </w:r>
      <w:r w:rsidR="24019998" w:rsidRPr="24019998">
        <w:rPr>
          <w:lang w:val="es-US"/>
        </w:rPr>
        <w:t>OEA/</w:t>
      </w:r>
      <w:proofErr w:type="spellStart"/>
      <w:r w:rsidR="24019998" w:rsidRPr="24019998">
        <w:rPr>
          <w:lang w:val="es-US"/>
        </w:rPr>
        <w:t>Ser.L</w:t>
      </w:r>
      <w:proofErr w:type="spellEnd"/>
      <w:r w:rsidR="24019998" w:rsidRPr="24019998">
        <w:rPr>
          <w:lang w:val="es-US"/>
        </w:rPr>
        <w:t xml:space="preserve">/V/II. CIDH/RELE/INF.24/20, </w:t>
      </w:r>
      <w:r w:rsidR="24019998" w:rsidRPr="24019998">
        <w:rPr>
          <w:lang w:val="es-ES"/>
        </w:rPr>
        <w:t>julio de 2020, párr. 74.</w:t>
      </w:r>
    </w:p>
  </w:footnote>
  <w:footnote w:id="160">
    <w:p w14:paraId="1A56E506" w14:textId="77777777" w:rsidR="001161A5" w:rsidRPr="00A55563" w:rsidRDefault="001161A5" w:rsidP="001161A5">
      <w:pPr>
        <w:pStyle w:val="FootnoteText"/>
        <w:rPr>
          <w:szCs w:val="16"/>
          <w:lang w:val="es-ES"/>
        </w:rPr>
      </w:pPr>
      <w:r w:rsidRPr="00A55563">
        <w:rPr>
          <w:rStyle w:val="FootnoteReference"/>
          <w:szCs w:val="16"/>
        </w:rPr>
        <w:footnoteRef/>
      </w:r>
      <w:r w:rsidRPr="00A55563">
        <w:rPr>
          <w:szCs w:val="16"/>
          <w:lang w:val="es-ES"/>
        </w:rPr>
        <w:t xml:space="preserve"> Se reportaron actividades como: i) Curso “El rol de las personas defensoras de derechos humanos y su protección policial frente a situaciones de riesgo”, dirigido a efectivos de la Policía Nacional del Perú; </w:t>
      </w:r>
      <w:proofErr w:type="spellStart"/>
      <w:r w:rsidRPr="00A55563">
        <w:rPr>
          <w:szCs w:val="16"/>
          <w:lang w:val="es-ES"/>
        </w:rPr>
        <w:t>ii</w:t>
      </w:r>
      <w:proofErr w:type="spellEnd"/>
      <w:r w:rsidRPr="00A55563">
        <w:rPr>
          <w:szCs w:val="16"/>
          <w:lang w:val="es-ES"/>
        </w:rPr>
        <w:t xml:space="preserve">) Taller de capacitación sobre “Delitos ambientales y situaciones de riesgo en la Amazonía peruana”, </w:t>
      </w:r>
      <w:proofErr w:type="spellStart"/>
      <w:r w:rsidRPr="00A55563">
        <w:rPr>
          <w:szCs w:val="16"/>
          <w:lang w:val="es-ES"/>
        </w:rPr>
        <w:t>iii</w:t>
      </w:r>
      <w:proofErr w:type="spellEnd"/>
      <w:r w:rsidRPr="00A55563">
        <w:rPr>
          <w:szCs w:val="16"/>
          <w:lang w:val="es-ES"/>
        </w:rPr>
        <w:t>) Programa de especialización “El rol de las personas defensoras de derechos humanos, con énfasis en las personas defensoras indígenas y ambientales de la Amazonía, y la actuación del Estado para la prevención, protección y respuesta ante las situaciones de riesgo que los afectan”, entre otros.</w:t>
      </w:r>
    </w:p>
  </w:footnote>
  <w:footnote w:id="161">
    <w:p w14:paraId="27D1B5C5" w14:textId="77777777" w:rsidR="001161A5" w:rsidRPr="00A55563" w:rsidRDefault="001161A5" w:rsidP="001161A5">
      <w:pPr>
        <w:pStyle w:val="FootnoteText"/>
        <w:rPr>
          <w:szCs w:val="16"/>
          <w:lang w:val="es-ES"/>
        </w:rPr>
      </w:pPr>
      <w:r w:rsidRPr="00A55563">
        <w:rPr>
          <w:rStyle w:val="FootnoteReference"/>
          <w:szCs w:val="16"/>
        </w:rPr>
        <w:footnoteRef/>
      </w:r>
      <w:r w:rsidRPr="00A55563">
        <w:rPr>
          <w:szCs w:val="16"/>
          <w:lang w:val="es-ES"/>
        </w:rPr>
        <w:t xml:space="preserve"> Ministerio de Justicia y Derechos Humanos</w:t>
      </w:r>
      <w:r>
        <w:rPr>
          <w:szCs w:val="16"/>
          <w:lang w:val="es-ES"/>
        </w:rPr>
        <w:t>,</w:t>
      </w:r>
      <w:r w:rsidRPr="00A55563">
        <w:rPr>
          <w:szCs w:val="16"/>
          <w:lang w:val="es-ES"/>
        </w:rPr>
        <w:t xml:space="preserve"> Decreto Supremo No 018-2024-JUS, Decreto Supremo que aprueba la Política Nacional Multisectorial de Derechos Humanos al 204</w:t>
      </w:r>
      <w:r>
        <w:rPr>
          <w:szCs w:val="16"/>
          <w:lang w:val="es-ES"/>
        </w:rPr>
        <w:t xml:space="preserve">, </w:t>
      </w:r>
      <w:r w:rsidRPr="00A55563">
        <w:rPr>
          <w:szCs w:val="16"/>
          <w:lang w:val="es-ES"/>
        </w:rPr>
        <w:t>7 de diciembre de 2024</w:t>
      </w:r>
      <w:r>
        <w:rPr>
          <w:szCs w:val="16"/>
          <w:lang w:val="es-ES"/>
        </w:rPr>
        <w:t>.</w:t>
      </w:r>
    </w:p>
  </w:footnote>
  <w:footnote w:id="162">
    <w:p w14:paraId="6976A85C" w14:textId="77777777" w:rsidR="001161A5" w:rsidRPr="00984CE6" w:rsidRDefault="001161A5" w:rsidP="001161A5">
      <w:pPr>
        <w:pStyle w:val="FootnoteText"/>
        <w:rPr>
          <w:b/>
          <w:bCs/>
          <w:lang w:val="es-CO"/>
        </w:rPr>
      </w:pPr>
      <w:r>
        <w:rPr>
          <w:rStyle w:val="FootnoteReference"/>
        </w:rPr>
        <w:footnoteRef/>
      </w:r>
      <w:r w:rsidRPr="001F600B">
        <w:rPr>
          <w:lang w:val="es-CO"/>
        </w:rPr>
        <w:t xml:space="preserve"> </w:t>
      </w:r>
      <w:r>
        <w:rPr>
          <w:lang w:val="es-CO"/>
        </w:rPr>
        <w:t xml:space="preserve">Infobae, </w:t>
      </w:r>
      <w:hyperlink r:id="rId2" w:history="1">
        <w:r w:rsidRPr="00F452E2">
          <w:rPr>
            <w:rStyle w:val="Hyperlink"/>
            <w:lang w:val="es-CO"/>
          </w:rPr>
          <w:t>Ministro de Salud confirma decisión de Dina Boluarte de “alejarse de la prensa” para evitar supuesto “acoso político”</w:t>
        </w:r>
      </w:hyperlink>
      <w:r w:rsidRPr="00F452E2">
        <w:rPr>
          <w:lang w:val="es-CO"/>
        </w:rPr>
        <w:t>, 2 de junio de 2024</w:t>
      </w:r>
      <w:r>
        <w:rPr>
          <w:lang w:val="es-CO"/>
        </w:rPr>
        <w:t xml:space="preserve">; Infobae, </w:t>
      </w:r>
      <w:hyperlink r:id="rId3" w:history="1">
        <w:r w:rsidRPr="00F452E2">
          <w:rPr>
            <w:rStyle w:val="Hyperlink"/>
            <w:lang w:val="es-CO"/>
          </w:rPr>
          <w:t>Altercado en Cusco: Ministra de Comercio Exterior se molesta, arrebata micrófono a reportero y lo lanza al piso</w:t>
        </w:r>
      </w:hyperlink>
      <w:r w:rsidRPr="00F452E2">
        <w:rPr>
          <w:lang w:val="es-CO"/>
        </w:rPr>
        <w:t xml:space="preserve">, </w:t>
      </w:r>
      <w:r>
        <w:rPr>
          <w:lang w:val="es-CO"/>
        </w:rPr>
        <w:t xml:space="preserve">23 de abril de 2024; IPYS, [@IPYS], (4 de junio de 2024), </w:t>
      </w:r>
      <w:r w:rsidRPr="00F452E2">
        <w:rPr>
          <w:lang w:val="es-CO"/>
        </w:rPr>
        <w:t xml:space="preserve">Perú: periodistas de varios medios de comunicación son nuevamente acordonados para evitar preguntas, X, </w:t>
      </w:r>
      <w:hyperlink r:id="rId4" w:history="1">
        <w:r w:rsidRPr="00EF15F9">
          <w:rPr>
            <w:rStyle w:val="Hyperlink"/>
            <w:lang w:val="es-CO"/>
          </w:rPr>
          <w:t>https://x.com/IPYS/status/1798075359726022916?t=SaUcxZk3m_pfacSioc4htQ&amp;s=19</w:t>
        </w:r>
      </w:hyperlink>
      <w:r>
        <w:rPr>
          <w:lang w:val="es-CO"/>
        </w:rPr>
        <w:t xml:space="preserve">; ANP Perú, [@ANP_periodistas], (4 de junio de 2024), </w:t>
      </w:r>
      <w:r w:rsidRPr="00F452E2">
        <w:rPr>
          <w:lang w:val="es-CO"/>
        </w:rPr>
        <w:t xml:space="preserve">Periodistas de diversos medios fueron nuevamente retenidos, esta vez en un estrado destinado a prensa, </w:t>
      </w:r>
      <w:r>
        <w:rPr>
          <w:lang w:val="es-CO"/>
        </w:rPr>
        <w:t xml:space="preserve">X, </w:t>
      </w:r>
      <w:hyperlink r:id="rId5" w:history="1">
        <w:r w:rsidRPr="00EF15F9">
          <w:rPr>
            <w:rStyle w:val="Hyperlink"/>
            <w:lang w:val="es-CO"/>
          </w:rPr>
          <w:t>https://x.com/ANP_periodistas/status/1798045674451394710</w:t>
        </w:r>
      </w:hyperlink>
      <w:r>
        <w:rPr>
          <w:lang w:val="es-CO"/>
        </w:rPr>
        <w:t xml:space="preserve">; IPYS, [@IPYS], (24 de julio de 2024), </w:t>
      </w:r>
      <w:r w:rsidRPr="00F452E2">
        <w:rPr>
          <w:lang w:val="es-CO"/>
        </w:rPr>
        <w:t>Perú: presidente del Congreso @AlejandroSotoRe</w:t>
      </w:r>
      <w:r>
        <w:rPr>
          <w:lang w:val="es-CO"/>
        </w:rPr>
        <w:t xml:space="preserve"> </w:t>
      </w:r>
      <w:r w:rsidRPr="00F452E2">
        <w:rPr>
          <w:lang w:val="es-CO"/>
        </w:rPr>
        <w:t>impide acceso de la prensa a sesión de la comisión permanente</w:t>
      </w:r>
      <w:r>
        <w:rPr>
          <w:lang w:val="es-CO"/>
        </w:rPr>
        <w:t xml:space="preserve">; </w:t>
      </w:r>
      <w:hyperlink r:id="rId6" w:history="1">
        <w:r w:rsidRPr="00EF15F9">
          <w:rPr>
            <w:rStyle w:val="Hyperlink"/>
            <w:lang w:val="es-CO"/>
          </w:rPr>
          <w:t>https://x.com/IPYS/status/1816162008661708932?t=a1-w5mPwsZr0deMwjumkwQ&amp;s=08</w:t>
        </w:r>
      </w:hyperlink>
      <w:r>
        <w:rPr>
          <w:lang w:val="es-CO"/>
        </w:rPr>
        <w:t xml:space="preserve">; ANP Perú, [@ANP_periodistas], (24 de julio de 2024), </w:t>
      </w:r>
      <w:r w:rsidRPr="00F452E2">
        <w:rPr>
          <w:lang w:val="es-CO"/>
        </w:rPr>
        <w:t>La @ANP_periodistas</w:t>
      </w:r>
      <w:r>
        <w:rPr>
          <w:lang w:val="es-CO"/>
        </w:rPr>
        <w:t xml:space="preserve"> </w:t>
      </w:r>
      <w:r w:rsidRPr="00F452E2">
        <w:rPr>
          <w:lang w:val="es-CO"/>
        </w:rPr>
        <w:t>rechaza la decisión del presidente del @congresoperu</w:t>
      </w:r>
      <w:r>
        <w:rPr>
          <w:lang w:val="es-CO"/>
        </w:rPr>
        <w:t xml:space="preserve"> </w:t>
      </w:r>
      <w:r w:rsidRPr="00F452E2">
        <w:rPr>
          <w:lang w:val="es-CO"/>
        </w:rPr>
        <w:t>@AlejandroSotoRe</w:t>
      </w:r>
      <w:r>
        <w:rPr>
          <w:lang w:val="es-CO"/>
        </w:rPr>
        <w:t xml:space="preserve"> </w:t>
      </w:r>
      <w:r w:rsidRPr="00F452E2">
        <w:rPr>
          <w:lang w:val="es-CO"/>
        </w:rPr>
        <w:t>de prohibir el acceso a la prensa a la última sesión de la comisión permanente</w:t>
      </w:r>
      <w:r>
        <w:rPr>
          <w:lang w:val="es-CO"/>
        </w:rPr>
        <w:t xml:space="preserve">, X, </w:t>
      </w:r>
      <w:hyperlink r:id="rId7" w:history="1">
        <w:r w:rsidRPr="00EF15F9">
          <w:rPr>
            <w:rStyle w:val="Hyperlink"/>
            <w:lang w:val="es-CO"/>
          </w:rPr>
          <w:t>https://x.com/ANP_periodistas/status/1816145884926574939</w:t>
        </w:r>
      </w:hyperlink>
      <w:r>
        <w:rPr>
          <w:lang w:val="es-CO"/>
        </w:rPr>
        <w:t xml:space="preserve">; RSF en español, [@rsf_esp], (18 de diciembre de 2024), </w:t>
      </w:r>
      <w:r w:rsidRPr="00F452E2">
        <w:rPr>
          <w:lang w:val="es-CO"/>
        </w:rPr>
        <w:t>RSF se solidariza con la periodista Carol Gonzales Muniz del programa Visión Informativa de Cusco, quien fue agredida verbalmente por el ministro de Economía, José Arista, durante una cobertura informativ</w:t>
      </w:r>
      <w:r>
        <w:rPr>
          <w:lang w:val="es-CO"/>
        </w:rPr>
        <w:t xml:space="preserve">a, X, </w:t>
      </w:r>
      <w:hyperlink r:id="rId8" w:history="1">
        <w:r w:rsidRPr="00EF15F9">
          <w:rPr>
            <w:rStyle w:val="Hyperlink"/>
            <w:lang w:val="es-CO"/>
          </w:rPr>
          <w:t>https://x.com/RSF_esp/status/1869429461822882301</w:t>
        </w:r>
      </w:hyperlink>
      <w:r>
        <w:rPr>
          <w:lang w:val="es-CO"/>
        </w:rPr>
        <w:t xml:space="preserve">; </w:t>
      </w:r>
      <w:proofErr w:type="spellStart"/>
      <w:r>
        <w:rPr>
          <w:lang w:val="es-CO"/>
        </w:rPr>
        <w:t>Swissinfo</w:t>
      </w:r>
      <w:proofErr w:type="spellEnd"/>
      <w:r>
        <w:rPr>
          <w:lang w:val="es-CO"/>
        </w:rPr>
        <w:t xml:space="preserve">, </w:t>
      </w:r>
      <w:hyperlink r:id="rId9" w:history="1">
        <w:r w:rsidRPr="00F452E2">
          <w:rPr>
            <w:rStyle w:val="Hyperlink"/>
            <w:lang w:val="es-CO"/>
          </w:rPr>
          <w:t xml:space="preserve">Gremio de periodistas de Perú rechaza discurso «estigmatizador» a la prensa de </w:t>
        </w:r>
        <w:proofErr w:type="spellStart"/>
        <w:r w:rsidRPr="00F452E2">
          <w:rPr>
            <w:rStyle w:val="Hyperlink"/>
            <w:lang w:val="es-CO"/>
          </w:rPr>
          <w:t>Boluarte</w:t>
        </w:r>
        <w:proofErr w:type="spellEnd"/>
      </w:hyperlink>
      <w:r w:rsidRPr="00F452E2">
        <w:rPr>
          <w:lang w:val="es-CO"/>
        </w:rPr>
        <w:t>, 31 de marzo de 2024</w:t>
      </w:r>
      <w:r>
        <w:rPr>
          <w:lang w:val="es-CO"/>
        </w:rPr>
        <w:t>; La República</w:t>
      </w:r>
      <w:r w:rsidRPr="00984CE6">
        <w:rPr>
          <w:lang w:val="es-CO"/>
        </w:rPr>
        <w:t xml:space="preserve">, </w:t>
      </w:r>
      <w:hyperlink r:id="rId10" w:history="1">
        <w:r w:rsidRPr="00984CE6">
          <w:rPr>
            <w:rStyle w:val="Hyperlink"/>
            <w:lang w:val="es-CO"/>
          </w:rPr>
          <w:t xml:space="preserve">Dina </w:t>
        </w:r>
        <w:proofErr w:type="spellStart"/>
        <w:r w:rsidRPr="00984CE6">
          <w:rPr>
            <w:rStyle w:val="Hyperlink"/>
            <w:lang w:val="es-CO"/>
          </w:rPr>
          <w:t>Boluarte</w:t>
        </w:r>
        <w:proofErr w:type="spellEnd"/>
        <w:r w:rsidRPr="00984CE6">
          <w:rPr>
            <w:rStyle w:val="Hyperlink"/>
            <w:lang w:val="es-CO"/>
          </w:rPr>
          <w:t xml:space="preserve"> cumplió 100 días sin hablar con la prensa en medio de inseguridad ciudadana y desaprobación de la población</w:t>
        </w:r>
      </w:hyperlink>
      <w:r w:rsidRPr="00984CE6">
        <w:rPr>
          <w:lang w:val="es-CO"/>
        </w:rPr>
        <w:t>, 17 de octubre de 2024</w:t>
      </w:r>
      <w:r>
        <w:rPr>
          <w:lang w:val="es-CO"/>
        </w:rPr>
        <w:t xml:space="preserve">; </w:t>
      </w:r>
      <w:r w:rsidRPr="7732B6E2">
        <w:rPr>
          <w:lang w:val="es-ES"/>
        </w:rPr>
        <w:t xml:space="preserve">El Comercio, </w:t>
      </w:r>
      <w:r w:rsidR="00000000">
        <w:fldChar w:fldCharType="begin"/>
      </w:r>
      <w:r w:rsidR="00000000" w:rsidRPr="00F51AED">
        <w:rPr>
          <w:lang w:val="es-US"/>
        </w:rPr>
        <w:instrText>HYPERLINK "https://elcomercio.pe/politica/dina-boluarte-cumple-100-dias-sin-de</w:instrText>
      </w:r>
      <w:r w:rsidR="00000000" w:rsidRPr="00F51AED">
        <w:rPr>
          <w:lang w:val="es-US"/>
        </w:rPr>
        <w:instrText>clarar-a-la-prensa-en-medio-de-investigaciones-y-baja-desaprobacion-noticia/" \h</w:instrText>
      </w:r>
      <w:r w:rsidR="00000000">
        <w:fldChar w:fldCharType="separate"/>
      </w:r>
      <w:r w:rsidRPr="7732B6E2">
        <w:rPr>
          <w:rStyle w:val="Hyperlink"/>
          <w:lang w:val="es-ES"/>
        </w:rPr>
        <w:t xml:space="preserve">Dina </w:t>
      </w:r>
      <w:proofErr w:type="spellStart"/>
      <w:r w:rsidRPr="7732B6E2">
        <w:rPr>
          <w:rStyle w:val="Hyperlink"/>
          <w:lang w:val="es-ES"/>
        </w:rPr>
        <w:t>Boluarte</w:t>
      </w:r>
      <w:proofErr w:type="spellEnd"/>
      <w:r w:rsidRPr="7732B6E2">
        <w:rPr>
          <w:rStyle w:val="Hyperlink"/>
          <w:lang w:val="es-ES"/>
        </w:rPr>
        <w:t xml:space="preserve"> cumple 100 días sin declarar a la prensa en medio de investigaciones y alta desaprobación</w:t>
      </w:r>
      <w:r w:rsidR="00000000">
        <w:rPr>
          <w:rStyle w:val="Hyperlink"/>
          <w:lang w:val="es-ES"/>
        </w:rPr>
        <w:fldChar w:fldCharType="end"/>
      </w:r>
      <w:r w:rsidRPr="7732B6E2">
        <w:rPr>
          <w:lang w:val="es-ES"/>
        </w:rPr>
        <w:t>, 17 de octubre de 2024</w:t>
      </w:r>
      <w:r>
        <w:rPr>
          <w:lang w:val="es-ES"/>
        </w:rPr>
        <w:t xml:space="preserve">. </w:t>
      </w:r>
    </w:p>
  </w:footnote>
  <w:footnote w:id="163">
    <w:p w14:paraId="0825B77A" w14:textId="030EFB68" w:rsidR="001161A5" w:rsidRPr="00243BD5" w:rsidRDefault="001161A5" w:rsidP="001161A5">
      <w:pPr>
        <w:pStyle w:val="FootnoteText"/>
        <w:rPr>
          <w:lang w:val="es-CO"/>
        </w:rPr>
      </w:pPr>
      <w:r w:rsidRPr="7732B6E2">
        <w:rPr>
          <w:rStyle w:val="FootnoteReference"/>
        </w:rPr>
        <w:footnoteRef/>
      </w:r>
      <w:r w:rsidRPr="00243BD5">
        <w:rPr>
          <w:lang w:val="es-CO"/>
        </w:rPr>
        <w:t xml:space="preserve"> IPYS, </w:t>
      </w:r>
      <w:r w:rsidR="00000000">
        <w:fldChar w:fldCharType="begin"/>
      </w:r>
      <w:r w:rsidR="00000000" w:rsidRPr="00F51AED">
        <w:rPr>
          <w:lang w:val="es-US"/>
        </w:rPr>
        <w:instrText>HYPERLINK "https://ipys.org/alertas/tc-ordena-la-presidencia-de-la-rep%C3%BAblica-responder-recomendaciones-de-la-defensor%C3%ADa-del" \h</w:instrText>
      </w:r>
      <w:r w:rsidR="00000000">
        <w:fldChar w:fldCharType="separate"/>
      </w:r>
      <w:r w:rsidRPr="00243BD5">
        <w:rPr>
          <w:rStyle w:val="Hyperlink"/>
          <w:lang w:val="es-CO"/>
        </w:rPr>
        <w:t>TC ordena a la Presidencia de la República responder recomendaciones de la Defensoría del Pueblo que garantizan el trabajo de la prensa</w:t>
      </w:r>
      <w:r w:rsidR="00000000">
        <w:rPr>
          <w:rStyle w:val="Hyperlink"/>
          <w:lang w:val="es-CO"/>
        </w:rPr>
        <w:fldChar w:fldCharType="end"/>
      </w:r>
      <w:r w:rsidRPr="00243BD5">
        <w:rPr>
          <w:lang w:val="es-CO"/>
        </w:rPr>
        <w:t xml:space="preserve">, 16 de diciembre de 2024; Defensoría del Pueblo, </w:t>
      </w:r>
      <w:r w:rsidR="00000000">
        <w:fldChar w:fldCharType="begin"/>
      </w:r>
      <w:r w:rsidR="00000000" w:rsidRPr="00F51AED">
        <w:rPr>
          <w:lang w:val="es-US"/>
        </w:rPr>
        <w:instrText>HYPERLINK "https://www.defensoria.gob.pe/defensor-del-pueblo-reitera-importancia-del-respeto-irrestricto-a-la-libertad-de-prensa/" \h</w:instrText>
      </w:r>
      <w:r w:rsidR="00000000">
        <w:fldChar w:fldCharType="separate"/>
      </w:r>
      <w:r w:rsidRPr="00243BD5">
        <w:rPr>
          <w:rStyle w:val="Hyperlink"/>
          <w:lang w:val="es-CO"/>
        </w:rPr>
        <w:t>Defensor del pueblo reitera importancia del respeto irrestricto a la libertad de prensa</w:t>
      </w:r>
      <w:r w:rsidR="00000000">
        <w:rPr>
          <w:rStyle w:val="Hyperlink"/>
          <w:lang w:val="es-CO"/>
        </w:rPr>
        <w:fldChar w:fldCharType="end"/>
      </w:r>
      <w:r w:rsidRPr="00243BD5">
        <w:rPr>
          <w:lang w:val="es-CO"/>
        </w:rPr>
        <w:t>, 3 de mayo de 2024</w:t>
      </w:r>
      <w:r w:rsidR="00372E54">
        <w:rPr>
          <w:lang w:val="es-CO"/>
        </w:rPr>
        <w:t>.</w:t>
      </w:r>
    </w:p>
  </w:footnote>
  <w:footnote w:id="164">
    <w:p w14:paraId="29FC85EF" w14:textId="70CF8032" w:rsidR="001161A5" w:rsidRDefault="001161A5" w:rsidP="001161A5">
      <w:pPr>
        <w:pStyle w:val="FootnoteText"/>
        <w:rPr>
          <w:lang w:val="es-ES"/>
        </w:rPr>
      </w:pPr>
      <w:r w:rsidRPr="7732B6E2">
        <w:rPr>
          <w:rStyle w:val="FootnoteReference"/>
          <w:lang w:val="es-ES"/>
        </w:rPr>
        <w:footnoteRef/>
      </w:r>
      <w:r w:rsidRPr="7732B6E2">
        <w:rPr>
          <w:lang w:val="es-ES"/>
        </w:rPr>
        <w:t xml:space="preserve"> IPYS, </w:t>
      </w:r>
      <w:r w:rsidR="00000000">
        <w:fldChar w:fldCharType="begin"/>
      </w:r>
      <w:r w:rsidR="00000000" w:rsidRPr="00F51AED">
        <w:rPr>
          <w:lang w:val="es-US"/>
        </w:rPr>
        <w:instrText>HYPERLINK "https://ipys.org/alertas/per%C3%BA-personal-y-seguridad-de-dina-boluarte-encierran-periodistas-en-sala-de-espera-para" \h</w:instrText>
      </w:r>
      <w:r w:rsidR="00000000">
        <w:fldChar w:fldCharType="separate"/>
      </w:r>
      <w:r w:rsidRPr="7732B6E2">
        <w:rPr>
          <w:rStyle w:val="Hyperlink"/>
          <w:lang w:val="es-ES"/>
        </w:rPr>
        <w:t xml:space="preserve">Perú: personal y seguridad de Dina </w:t>
      </w:r>
      <w:proofErr w:type="spellStart"/>
      <w:r w:rsidRPr="7732B6E2">
        <w:rPr>
          <w:rStyle w:val="Hyperlink"/>
          <w:lang w:val="es-ES"/>
        </w:rPr>
        <w:t>Boluarte</w:t>
      </w:r>
      <w:proofErr w:type="spellEnd"/>
      <w:r w:rsidRPr="7732B6E2">
        <w:rPr>
          <w:rStyle w:val="Hyperlink"/>
          <w:lang w:val="es-ES"/>
        </w:rPr>
        <w:t xml:space="preserve"> encierran a periodistas en sala de espera para evitar que le hagan preguntas</w:t>
      </w:r>
      <w:r w:rsidR="00000000">
        <w:rPr>
          <w:rStyle w:val="Hyperlink"/>
          <w:lang w:val="es-ES"/>
        </w:rPr>
        <w:fldChar w:fldCharType="end"/>
      </w:r>
      <w:r w:rsidRPr="7732B6E2">
        <w:rPr>
          <w:lang w:val="es-ES"/>
        </w:rPr>
        <w:t xml:space="preserve">, 31 de mayo de 2024; Infobae, </w:t>
      </w:r>
      <w:r w:rsidR="00000000">
        <w:fldChar w:fldCharType="begin"/>
      </w:r>
      <w:r w:rsidR="00000000" w:rsidRPr="00F51AED">
        <w:rPr>
          <w:lang w:val="es-US"/>
        </w:rPr>
        <w:instrText>HYPERLINK "https://www.infobae.com/peru/2024/05/31/seguridad-de-dina-boluarte-encierra-a-periodistas-en-pleno-simulacro-multipeligro-y-restringe-su-labor/" \h</w:instrText>
      </w:r>
      <w:r w:rsidR="00000000">
        <w:fldChar w:fldCharType="separate"/>
      </w:r>
      <w:r w:rsidRPr="7732B6E2">
        <w:rPr>
          <w:rStyle w:val="Hyperlink"/>
          <w:lang w:val="es-ES"/>
        </w:rPr>
        <w:t xml:space="preserve">Seguridad de Dina </w:t>
      </w:r>
      <w:proofErr w:type="spellStart"/>
      <w:r w:rsidRPr="7732B6E2">
        <w:rPr>
          <w:rStyle w:val="Hyperlink"/>
          <w:lang w:val="es-ES"/>
        </w:rPr>
        <w:t>Boluarte</w:t>
      </w:r>
      <w:proofErr w:type="spellEnd"/>
      <w:r w:rsidRPr="7732B6E2">
        <w:rPr>
          <w:rStyle w:val="Hyperlink"/>
          <w:lang w:val="es-ES"/>
        </w:rPr>
        <w:t xml:space="preserve"> encierra a periodistas en pleno simulacro </w:t>
      </w:r>
      <w:proofErr w:type="spellStart"/>
      <w:r w:rsidRPr="7732B6E2">
        <w:rPr>
          <w:rStyle w:val="Hyperlink"/>
          <w:lang w:val="es-ES"/>
        </w:rPr>
        <w:t>multipeligro</w:t>
      </w:r>
      <w:proofErr w:type="spellEnd"/>
      <w:r w:rsidRPr="7732B6E2">
        <w:rPr>
          <w:rStyle w:val="Hyperlink"/>
          <w:lang w:val="es-ES"/>
        </w:rPr>
        <w:t xml:space="preserve"> y restringe su labor</w:t>
      </w:r>
      <w:r w:rsidR="00000000">
        <w:rPr>
          <w:rStyle w:val="Hyperlink"/>
          <w:lang w:val="es-ES"/>
        </w:rPr>
        <w:fldChar w:fldCharType="end"/>
      </w:r>
      <w:r w:rsidRPr="7732B6E2">
        <w:rPr>
          <w:lang w:val="es-ES"/>
        </w:rPr>
        <w:t>, 31 de mayo de 2024</w:t>
      </w:r>
      <w:r w:rsidR="00372E54">
        <w:rPr>
          <w:lang w:val="es-ES"/>
        </w:rPr>
        <w:t>.</w:t>
      </w:r>
    </w:p>
  </w:footnote>
  <w:footnote w:id="165">
    <w:p w14:paraId="57AAE7A8" w14:textId="77777777" w:rsidR="001161A5" w:rsidRPr="00A55563" w:rsidRDefault="001161A5" w:rsidP="24019998">
      <w:pPr>
        <w:pStyle w:val="FootnoteText"/>
        <w:rPr>
          <w:lang w:val="es-ES"/>
        </w:rPr>
      </w:pPr>
      <w:r w:rsidRPr="24019998">
        <w:rPr>
          <w:rStyle w:val="FootnoteReference"/>
        </w:rPr>
        <w:footnoteRef/>
      </w:r>
      <w:r w:rsidR="24019998" w:rsidRPr="24019998">
        <w:rPr>
          <w:lang w:val="es-ES"/>
        </w:rPr>
        <w:t xml:space="preserve"> CIDH, </w:t>
      </w:r>
      <w:hyperlink r:id="rId11" w:history="1">
        <w:r w:rsidR="24019998" w:rsidRPr="24019998">
          <w:rPr>
            <w:rStyle w:val="Hyperlink"/>
            <w:lang w:val="es-ES"/>
          </w:rPr>
          <w:t xml:space="preserve">Segundo Informe sobre la Situación de </w:t>
        </w:r>
        <w:proofErr w:type="gramStart"/>
        <w:r w:rsidR="24019998" w:rsidRPr="24019998">
          <w:rPr>
            <w:rStyle w:val="Hyperlink"/>
            <w:lang w:val="es-ES"/>
          </w:rPr>
          <w:t>los Defensores y Defensoras</w:t>
        </w:r>
        <w:proofErr w:type="gramEnd"/>
        <w:r w:rsidR="24019998" w:rsidRPr="24019998">
          <w:rPr>
            <w:rStyle w:val="Hyperlink"/>
            <w:lang w:val="es-ES"/>
          </w:rPr>
          <w:t xml:space="preserve"> de Derechos Humanos en las Américas</w:t>
        </w:r>
      </w:hyperlink>
      <w:r w:rsidR="24019998" w:rsidRPr="24019998">
        <w:rPr>
          <w:lang w:val="es-ES"/>
        </w:rPr>
        <w:t>, OEA/</w:t>
      </w:r>
      <w:proofErr w:type="spellStart"/>
      <w:r w:rsidR="24019998" w:rsidRPr="24019998">
        <w:rPr>
          <w:lang w:val="es-ES"/>
        </w:rPr>
        <w:t>Ser.L</w:t>
      </w:r>
      <w:proofErr w:type="spellEnd"/>
      <w:r w:rsidR="24019998" w:rsidRPr="24019998">
        <w:rPr>
          <w:lang w:val="es-ES"/>
        </w:rPr>
        <w:t>/V/II. Doc. 66, 31 de diciembre de 2011.</w:t>
      </w:r>
    </w:p>
  </w:footnote>
  <w:footnote w:id="166">
    <w:p w14:paraId="5285FCF5" w14:textId="0509BEA0" w:rsidR="001161A5" w:rsidRPr="00A55563" w:rsidRDefault="001161A5" w:rsidP="001161A5">
      <w:pPr>
        <w:pStyle w:val="FootnoteText"/>
        <w:rPr>
          <w:szCs w:val="16"/>
          <w:lang w:val="es-ES"/>
        </w:rPr>
      </w:pPr>
      <w:r w:rsidRPr="00A55563">
        <w:rPr>
          <w:rStyle w:val="FootnoteReference"/>
          <w:szCs w:val="16"/>
        </w:rPr>
        <w:footnoteRef/>
      </w:r>
      <w:r w:rsidRPr="00A55563">
        <w:rPr>
          <w:szCs w:val="16"/>
          <w:lang w:val="es-ES"/>
        </w:rPr>
        <w:t xml:space="preserve"> </w:t>
      </w:r>
      <w:r w:rsidRPr="00A55563">
        <w:rPr>
          <w:rFonts w:eastAsia="Cambria" w:cs="Cambria"/>
          <w:color w:val="000000" w:themeColor="text1"/>
          <w:szCs w:val="16"/>
          <w:lang w:val="es-CO"/>
        </w:rPr>
        <w:t>Estado del Perú</w:t>
      </w:r>
      <w:r w:rsidR="00000000">
        <w:fldChar w:fldCharType="begin"/>
      </w:r>
      <w:r w:rsidR="00000000" w:rsidRPr="00F51AED">
        <w:rPr>
          <w:lang w:val="es-US"/>
        </w:rPr>
        <w:instrText>HYPERLINK "1.%09https:/www.oas.org/es/cidh/docs/anual/2024/notas/Cap5_PER_Nota_236_2024.pdf"</w:instrText>
      </w:r>
      <w:r w:rsidR="00000000">
        <w:fldChar w:fldCharType="separate"/>
      </w:r>
      <w:r w:rsidRPr="00437F52">
        <w:rPr>
          <w:rStyle w:val="Hyperlink"/>
          <w:rFonts w:eastAsia="Cambria" w:cs="Cambria"/>
          <w:szCs w:val="16"/>
          <w:lang w:val="es-CO"/>
        </w:rPr>
        <w:t xml:space="preserve">, Nota </w:t>
      </w:r>
      <w:proofErr w:type="spellStart"/>
      <w:r w:rsidR="00263A17" w:rsidRPr="00437F52">
        <w:rPr>
          <w:rStyle w:val="Hyperlink"/>
          <w:rFonts w:eastAsia="Cambria" w:cs="Cambria"/>
          <w:szCs w:val="16"/>
          <w:lang w:val="es-CO"/>
        </w:rPr>
        <w:t>Nº</w:t>
      </w:r>
      <w:proofErr w:type="spellEnd"/>
      <w:r w:rsidRPr="00437F52">
        <w:rPr>
          <w:rStyle w:val="Hyperlink"/>
          <w:rFonts w:eastAsia="Cambria" w:cs="Cambria"/>
          <w:szCs w:val="16"/>
          <w:lang w:val="es-CO"/>
        </w:rPr>
        <w:t xml:space="preserve"> 7-5-M/236</w:t>
      </w:r>
      <w:r w:rsidR="00000000">
        <w:rPr>
          <w:rStyle w:val="Hyperlink"/>
          <w:rFonts w:eastAsia="Cambria" w:cs="Cambria"/>
          <w:szCs w:val="16"/>
          <w:lang w:val="es-CO"/>
        </w:rPr>
        <w:fldChar w:fldCharType="end"/>
      </w:r>
      <w:r w:rsidRPr="00A55563">
        <w:rPr>
          <w:rFonts w:eastAsia="Cambria" w:cs="Cambria"/>
          <w:color w:val="000000" w:themeColor="text1"/>
          <w:szCs w:val="16"/>
          <w:lang w:val="es-CO"/>
        </w:rPr>
        <w:t>, Respuesta al cuestionario del Informe del Estado peruano sobre la implementación de recomendaciones del informe país “Situación de Derechos Humanos en Perú en el contexto de las protestas sociales de la Comisión Interamericana de Derechos Humanos”</w:t>
      </w:r>
      <w:r>
        <w:rPr>
          <w:rFonts w:eastAsia="Cambria" w:cs="Cambria"/>
          <w:color w:val="000000" w:themeColor="text1"/>
          <w:szCs w:val="16"/>
          <w:lang w:val="es-CO"/>
        </w:rPr>
        <w:t>,</w:t>
      </w:r>
      <w:r w:rsidRPr="00A55563">
        <w:rPr>
          <w:rFonts w:eastAsia="Cambria" w:cs="Cambria"/>
          <w:color w:val="000000" w:themeColor="text1"/>
          <w:szCs w:val="16"/>
          <w:lang w:val="es-CO"/>
        </w:rPr>
        <w:t xml:space="preserve"> 11 de diciembre de 2024.</w:t>
      </w:r>
    </w:p>
  </w:footnote>
  <w:footnote w:id="167">
    <w:p w14:paraId="7946368A" w14:textId="77777777" w:rsidR="001161A5" w:rsidRPr="00A55563" w:rsidRDefault="001161A5" w:rsidP="001161A5">
      <w:pPr>
        <w:pStyle w:val="FootnoteText"/>
        <w:rPr>
          <w:szCs w:val="16"/>
          <w:lang w:val="es-ES"/>
        </w:rPr>
      </w:pPr>
      <w:r w:rsidRPr="00A55563">
        <w:rPr>
          <w:rStyle w:val="FootnoteReference"/>
          <w:szCs w:val="16"/>
        </w:rPr>
        <w:footnoteRef/>
      </w:r>
      <w:r w:rsidRPr="00A55563">
        <w:rPr>
          <w:szCs w:val="16"/>
          <w:lang w:val="es-ES"/>
        </w:rPr>
        <w:t xml:space="preserve"> La Asociación Pro Derechos Humanos (</w:t>
      </w:r>
      <w:proofErr w:type="spellStart"/>
      <w:r w:rsidRPr="00A55563">
        <w:rPr>
          <w:szCs w:val="16"/>
          <w:lang w:val="es-ES"/>
        </w:rPr>
        <w:t>Aprodeh</w:t>
      </w:r>
      <w:proofErr w:type="spellEnd"/>
      <w:r w:rsidRPr="00A55563">
        <w:rPr>
          <w:szCs w:val="16"/>
          <w:lang w:val="es-ES"/>
        </w:rPr>
        <w:t>), Comisión Episcopal de Acción Social (CEAS), la Coordinadora Nacional de Derechos Humanos (CNDDHH), Instituto de Defensa Legal (IDL), Estudio para la Defensa de los Derechos de la Mujer (</w:t>
      </w:r>
      <w:proofErr w:type="spellStart"/>
      <w:r w:rsidRPr="00A55563">
        <w:rPr>
          <w:szCs w:val="16"/>
          <w:lang w:val="es-ES"/>
        </w:rPr>
        <w:t>Demus</w:t>
      </w:r>
      <w:proofErr w:type="spellEnd"/>
      <w:r w:rsidRPr="00A55563">
        <w:rPr>
          <w:szCs w:val="16"/>
          <w:lang w:val="es-ES"/>
        </w:rPr>
        <w:t>), Fundación Ecuménica para el Desarrollo y la Paz (</w:t>
      </w:r>
      <w:proofErr w:type="spellStart"/>
      <w:r w:rsidRPr="00A55563">
        <w:rPr>
          <w:szCs w:val="16"/>
          <w:lang w:val="es-ES"/>
        </w:rPr>
        <w:t>Fedepaz</w:t>
      </w:r>
      <w:proofErr w:type="spellEnd"/>
      <w:r w:rsidRPr="00A55563">
        <w:rPr>
          <w:szCs w:val="16"/>
          <w:lang w:val="es-ES"/>
        </w:rPr>
        <w:t>), Paz y Esperanza y el Centro por la Justicia y el Derecho Internacional (CEJIL)</w:t>
      </w:r>
      <w:r>
        <w:rPr>
          <w:szCs w:val="16"/>
          <w:lang w:val="es-ES"/>
        </w:rPr>
        <w:t>,</w:t>
      </w:r>
      <w:r w:rsidRPr="00A55563">
        <w:rPr>
          <w:szCs w:val="16"/>
          <w:lang w:val="es-ES"/>
        </w:rPr>
        <w:t xml:space="preserve"> Respuesta al cuestionario de seguimiento del Informe sobre la situación de derechos humanos en Perú</w:t>
      </w:r>
      <w:r>
        <w:rPr>
          <w:szCs w:val="16"/>
          <w:lang w:val="es-ES"/>
        </w:rPr>
        <w:t>,</w:t>
      </w:r>
      <w:r w:rsidRPr="00A55563">
        <w:rPr>
          <w:szCs w:val="16"/>
          <w:lang w:val="es-ES"/>
        </w:rPr>
        <w:t xml:space="preserve"> 17 de diciembre de 2024.</w:t>
      </w:r>
    </w:p>
  </w:footnote>
  <w:footnote w:id="168">
    <w:p w14:paraId="2FABC758" w14:textId="77777777" w:rsidR="00A57A6B" w:rsidRPr="00717FC5" w:rsidRDefault="00A57A6B" w:rsidP="00A57A6B">
      <w:pPr>
        <w:pStyle w:val="FootnoteText"/>
        <w:spacing w:after="120"/>
        <w:rPr>
          <w:color w:val="000000" w:themeColor="text1"/>
          <w:szCs w:val="16"/>
          <w:lang w:val="es-CO"/>
        </w:rPr>
      </w:pPr>
      <w:r w:rsidRPr="00717FC5">
        <w:rPr>
          <w:rStyle w:val="FootnoteReference"/>
          <w:rFonts w:eastAsia="Cambria" w:cs="Cambria"/>
          <w:color w:val="000000" w:themeColor="text1"/>
          <w:szCs w:val="16"/>
        </w:rPr>
        <w:footnoteRef/>
      </w:r>
      <w:r w:rsidRPr="00717FC5">
        <w:rPr>
          <w:rFonts w:eastAsia="Cambria" w:cs="Cambria"/>
          <w:color w:val="000000" w:themeColor="text1"/>
          <w:szCs w:val="16"/>
          <w:lang w:val="es-CO"/>
        </w:rPr>
        <w:t xml:space="preserve"> CIDH, </w:t>
      </w:r>
      <w:r w:rsidR="00000000">
        <w:fldChar w:fldCharType="begin"/>
      </w:r>
      <w:r w:rsidR="00000000" w:rsidRPr="00F51AED">
        <w:rPr>
          <w:lang w:val="es-US"/>
        </w:rPr>
        <w:instrText>HYPERLINK "https://www.oas.org/es/cidh/informes/pdfs/2024/Directrices-generales-seguimiento-2daEdicion.pdf"</w:instrText>
      </w:r>
      <w:r w:rsidR="00000000">
        <w:fldChar w:fldCharType="separate"/>
      </w:r>
      <w:r w:rsidRPr="00474C73">
        <w:rPr>
          <w:rStyle w:val="Hyperlink"/>
          <w:lang w:val="es-ES"/>
        </w:rPr>
        <w:t>Directrices Generales de seguimiento de recomendaciones y decisiones de la Comisión Interamericana de Derechos Humanos</w:t>
      </w:r>
      <w:r w:rsidR="00000000">
        <w:rPr>
          <w:rStyle w:val="Hyperlink"/>
          <w:lang w:val="es-ES"/>
        </w:rPr>
        <w:fldChar w:fldCharType="end"/>
      </w:r>
      <w:r w:rsidRPr="00717FC5">
        <w:rPr>
          <w:rFonts w:eastAsia="Cambria" w:cs="Cambria"/>
          <w:color w:val="000000" w:themeColor="text1"/>
          <w:szCs w:val="16"/>
          <w:lang w:val="es-CO"/>
        </w:rPr>
        <w:t xml:space="preserve">, </w:t>
      </w:r>
      <w:r w:rsidRPr="00717FC5">
        <w:rPr>
          <w:color w:val="000000" w:themeColor="text1"/>
          <w:szCs w:val="16"/>
          <w:lang w:val="es-US"/>
        </w:rPr>
        <w:t>OEA/</w:t>
      </w:r>
      <w:proofErr w:type="spellStart"/>
      <w:r w:rsidRPr="00717FC5">
        <w:rPr>
          <w:color w:val="000000" w:themeColor="text1"/>
          <w:szCs w:val="16"/>
          <w:lang w:val="es-US"/>
        </w:rPr>
        <w:t>Ser.L</w:t>
      </w:r>
      <w:proofErr w:type="spellEnd"/>
      <w:r w:rsidRPr="00717FC5">
        <w:rPr>
          <w:color w:val="000000" w:themeColor="text1"/>
          <w:szCs w:val="16"/>
          <w:lang w:val="es-US"/>
        </w:rPr>
        <w:t>/V/II. Doc.385/23 (segunda edición), 20 de noviembre de 2023</w:t>
      </w:r>
      <w:r w:rsidRPr="00717FC5">
        <w:rPr>
          <w:rFonts w:eastAsia="Cambria" w:cs="Cambria"/>
          <w:color w:val="000000" w:themeColor="text1"/>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01FB3" w14:paraId="30E7C039" w14:textId="77777777" w:rsidTr="7C902D31">
      <w:trPr>
        <w:trHeight w:hRule="exact" w:val="640"/>
        <w:jc w:val="center"/>
      </w:trPr>
      <w:tc>
        <w:tcPr>
          <w:tcW w:w="4675" w:type="dxa"/>
          <w:shd w:val="clear" w:color="auto" w:fill="auto"/>
        </w:tcPr>
        <w:p w14:paraId="389DA755" w14:textId="64B8D174" w:rsidR="00401FB3" w:rsidRDefault="7C902D31" w:rsidP="00401FB3">
          <w:pPr>
            <w:pStyle w:val="Header"/>
          </w:pPr>
          <w:r>
            <w:rPr>
              <w:noProof/>
            </w:rPr>
            <w:drawing>
              <wp:inline distT="0" distB="0" distL="0" distR="0" wp14:anchorId="1D303F78" wp14:editId="1624C1B8">
                <wp:extent cx="819150" cy="314325"/>
                <wp:effectExtent l="0" t="0" r="0" b="0"/>
                <wp:docPr id="1109590433" name="Imagen 110959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19150" cy="314325"/>
                        </a:xfrm>
                        <a:prstGeom prst="rect">
                          <a:avLst/>
                        </a:prstGeom>
                      </pic:spPr>
                    </pic:pic>
                  </a:graphicData>
                </a:graphic>
              </wp:inline>
            </w:drawing>
          </w:r>
          <w:r w:rsidR="00401FB3">
            <w:br/>
          </w:r>
          <w:r w:rsidR="00401FB3">
            <w:br/>
          </w:r>
        </w:p>
      </w:tc>
      <w:tc>
        <w:tcPr>
          <w:tcW w:w="4675" w:type="dxa"/>
          <w:shd w:val="clear" w:color="auto" w:fill="auto"/>
        </w:tcPr>
        <w:p w14:paraId="13294278" w14:textId="77777777" w:rsidR="00401FB3" w:rsidRDefault="00401FB3" w:rsidP="00401FB3">
          <w:pPr>
            <w:pStyle w:val="Header"/>
            <w:jc w:val="right"/>
          </w:pPr>
          <w:r>
            <w:rPr>
              <w:noProof/>
            </w:rPr>
            <w:drawing>
              <wp:inline distT="0" distB="0" distL="0" distR="0" wp14:anchorId="1DDF896A" wp14:editId="23A774C3">
                <wp:extent cx="1344098" cy="317500"/>
                <wp:effectExtent l="0" t="0" r="8890" b="0"/>
                <wp:docPr id="4"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401FB3" w:rsidRDefault="003B41C5" w:rsidP="00401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F7CB9" w14:paraId="2BDF75FD" w14:textId="77777777" w:rsidTr="7C902D31">
      <w:trPr>
        <w:trHeight w:hRule="exact" w:val="860"/>
        <w:jc w:val="center"/>
      </w:trPr>
      <w:tc>
        <w:tcPr>
          <w:tcW w:w="4675" w:type="dxa"/>
          <w:shd w:val="clear" w:color="auto" w:fill="auto"/>
        </w:tcPr>
        <w:p w14:paraId="0555DBAD" w14:textId="22E2E1DC" w:rsidR="00CF7CB9" w:rsidRDefault="7C902D31" w:rsidP="00CF7CB9">
          <w:pPr>
            <w:pStyle w:val="Header"/>
          </w:pPr>
          <w:r>
            <w:rPr>
              <w:noProof/>
            </w:rPr>
            <w:drawing>
              <wp:inline distT="0" distB="0" distL="0" distR="0" wp14:anchorId="44D482B4" wp14:editId="2777BA33">
                <wp:extent cx="1181100" cy="457200"/>
                <wp:effectExtent l="0" t="0" r="0" b="0"/>
                <wp:docPr id="887279798" name="Imagen 88727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100" cy="457200"/>
                        </a:xfrm>
                        <a:prstGeom prst="rect">
                          <a:avLst/>
                        </a:prstGeom>
                      </pic:spPr>
                    </pic:pic>
                  </a:graphicData>
                </a:graphic>
              </wp:inline>
            </w:drawing>
          </w:r>
          <w:r w:rsidR="00CF7CB9">
            <w:br/>
          </w:r>
        </w:p>
      </w:tc>
      <w:tc>
        <w:tcPr>
          <w:tcW w:w="4675" w:type="dxa"/>
          <w:shd w:val="clear" w:color="auto" w:fill="auto"/>
        </w:tcPr>
        <w:p w14:paraId="49D92EA6" w14:textId="77777777" w:rsidR="00CF7CB9" w:rsidRDefault="00CF7CB9" w:rsidP="00CF7CB9">
          <w:pPr>
            <w:pStyle w:val="Header"/>
            <w:jc w:val="right"/>
          </w:pPr>
          <w:r>
            <w:rPr>
              <w:noProof/>
            </w:rPr>
            <w:drawing>
              <wp:inline distT="0" distB="0" distL="0" distR="0" wp14:anchorId="6BFF5EAF" wp14:editId="3EE05609">
                <wp:extent cx="1935501" cy="457200"/>
                <wp:effectExtent l="0" t="0" r="0" b="0"/>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CF7CB9" w:rsidRDefault="003B41C5" w:rsidP="00CF7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805164"/>
    <w:multiLevelType w:val="hybridMultilevel"/>
    <w:tmpl w:val="DDBAB078"/>
    <w:lvl w:ilvl="0" w:tplc="9E443A5C">
      <w:start w:val="1"/>
      <w:numFmt w:val="decimal"/>
      <w:pStyle w:val="IAPrrafo"/>
      <w:lvlText w:val="%1."/>
      <w:lvlJc w:val="left"/>
      <w:pPr>
        <w:tabs>
          <w:tab w:val="num" w:pos="720"/>
        </w:tabs>
        <w:ind w:left="0" w:firstLine="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00E17"/>
    <w:multiLevelType w:val="hybridMultilevel"/>
    <w:tmpl w:val="6ED2F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391B25"/>
    <w:multiLevelType w:val="hybridMultilevel"/>
    <w:tmpl w:val="33FE1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C02905"/>
    <w:multiLevelType w:val="hybridMultilevel"/>
    <w:tmpl w:val="C07E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1A77B2"/>
    <w:multiLevelType w:val="hybridMultilevel"/>
    <w:tmpl w:val="7AD8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62664A"/>
    <w:multiLevelType w:val="hybridMultilevel"/>
    <w:tmpl w:val="C610E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1D4CEF"/>
    <w:multiLevelType w:val="hybridMultilevel"/>
    <w:tmpl w:val="C74C6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D38BA"/>
    <w:multiLevelType w:val="hybridMultilevel"/>
    <w:tmpl w:val="DAF8E57A"/>
    <w:lvl w:ilvl="0" w:tplc="2872EE58">
      <w:start w:val="1"/>
      <w:numFmt w:val="lowerLetter"/>
      <w:lvlText w:val="%1."/>
      <w:lvlJc w:val="left"/>
      <w:pPr>
        <w:ind w:left="2160" w:hanging="360"/>
      </w:pPr>
      <w:rPr>
        <w:lang w:val="es-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D4F53"/>
    <w:multiLevelType w:val="multilevel"/>
    <w:tmpl w:val="37CCEE64"/>
    <w:lvl w:ilvl="0">
      <w:start w:val="1"/>
      <w:numFmt w:val="upperLetter"/>
      <w:pStyle w:val="IASubttulo2"/>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8175A4"/>
    <w:multiLevelType w:val="hybridMultilevel"/>
    <w:tmpl w:val="AF50F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4E2DD8"/>
    <w:multiLevelType w:val="hybridMultilevel"/>
    <w:tmpl w:val="D93A3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041CD1"/>
    <w:multiLevelType w:val="multilevel"/>
    <w:tmpl w:val="52CA75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0A7AAA"/>
    <w:multiLevelType w:val="hybridMultilevel"/>
    <w:tmpl w:val="A5703152"/>
    <w:lvl w:ilvl="0" w:tplc="8B00EA2E">
      <w:start w:val="1"/>
      <w:numFmt w:val="decimal"/>
      <w:lvlText w:val="%1."/>
      <w:lvlJc w:val="left"/>
      <w:pPr>
        <w:ind w:left="0" w:firstLine="720"/>
      </w:pPr>
      <w:rPr>
        <w:rFonts w:hint="default"/>
        <w:b w:val="0"/>
        <w:bCs w:val="0"/>
        <w:color w:val="000000" w:themeColor="text1"/>
        <w:sz w:val="20"/>
        <w:szCs w:val="20"/>
        <w:vertAlign w:val="baseline"/>
        <w:lang w:val="es-US"/>
      </w:rPr>
    </w:lvl>
    <w:lvl w:ilvl="1" w:tplc="2872EE58">
      <w:start w:val="1"/>
      <w:numFmt w:val="lowerLetter"/>
      <w:lvlText w:val="%2."/>
      <w:lvlJc w:val="left"/>
      <w:pPr>
        <w:ind w:left="2160" w:hanging="360"/>
      </w:pPr>
      <w:rPr>
        <w:lang w:val="es-U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24189D"/>
    <w:multiLevelType w:val="hybridMultilevel"/>
    <w:tmpl w:val="04383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29284A"/>
    <w:multiLevelType w:val="hybridMultilevel"/>
    <w:tmpl w:val="A5703152"/>
    <w:lvl w:ilvl="0" w:tplc="FFFFFFFF">
      <w:start w:val="1"/>
      <w:numFmt w:val="decimal"/>
      <w:lvlText w:val="%1."/>
      <w:lvlJc w:val="left"/>
      <w:pPr>
        <w:ind w:left="0" w:firstLine="720"/>
      </w:pPr>
      <w:rPr>
        <w:rFonts w:hint="default"/>
        <w:b w:val="0"/>
        <w:bCs w:val="0"/>
        <w:color w:val="000000" w:themeColor="text1"/>
        <w:sz w:val="20"/>
        <w:szCs w:val="20"/>
        <w:vertAlign w:val="baseline"/>
        <w:lang w:val="es-US"/>
      </w:rPr>
    </w:lvl>
    <w:lvl w:ilvl="1" w:tplc="FFFFFFFF">
      <w:start w:val="1"/>
      <w:numFmt w:val="lowerLetter"/>
      <w:lvlText w:val="%2."/>
      <w:lvlJc w:val="left"/>
      <w:pPr>
        <w:ind w:left="2160" w:hanging="360"/>
      </w:pPr>
      <w:rPr>
        <w:lang w:val="es-U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B7232DB"/>
    <w:multiLevelType w:val="multilevel"/>
    <w:tmpl w:val="7B0A92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3931BB"/>
    <w:multiLevelType w:val="hybridMultilevel"/>
    <w:tmpl w:val="1AA208DE"/>
    <w:lvl w:ilvl="0" w:tplc="8AC41438">
      <w:start w:val="45"/>
      <w:numFmt w:val="decimal"/>
      <w:lvlText w:val="%1."/>
      <w:lvlJc w:val="left"/>
      <w:pPr>
        <w:ind w:left="1080" w:hanging="360"/>
      </w:pPr>
      <w:rPr>
        <w:rFonts w:hint="default"/>
        <w:color w:val="auto"/>
        <w:lang w:val="es-US"/>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30" w15:restartNumberingAfterBreak="0">
    <w:nsid w:val="7BA835C2"/>
    <w:multiLevelType w:val="hybridMultilevel"/>
    <w:tmpl w:val="C79E6BC2"/>
    <w:lvl w:ilvl="0" w:tplc="FFFFFFFF">
      <w:start w:val="1"/>
      <w:numFmt w:val="decimal"/>
      <w:lvlText w:val="%1."/>
      <w:lvlJc w:val="left"/>
      <w:pPr>
        <w:ind w:left="0" w:firstLine="720"/>
      </w:pPr>
      <w:rPr>
        <w:rFonts w:hint="default"/>
        <w:b w:val="0"/>
        <w:bCs w:val="0"/>
        <w:color w:val="000000" w:themeColor="text1"/>
        <w:sz w:val="20"/>
        <w:szCs w:val="20"/>
        <w:vertAlign w:val="baseline"/>
        <w:lang w:val="es-ES"/>
      </w:rPr>
    </w:lvl>
    <w:lvl w:ilvl="1" w:tplc="FFFFFFFF">
      <w:start w:val="1"/>
      <w:numFmt w:val="lowerLetter"/>
      <w:lvlText w:val="%2."/>
      <w:lvlJc w:val="left"/>
      <w:pPr>
        <w:ind w:left="2160" w:hanging="360"/>
      </w:pPr>
      <w:rPr>
        <w:lang w:val="es-U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4"/>
  </w:num>
  <w:num w:numId="12" w16cid:durableId="1956398699">
    <w:abstractNumId w:val="19"/>
  </w:num>
  <w:num w:numId="13" w16cid:durableId="2122874164">
    <w:abstractNumId w:val="28"/>
  </w:num>
  <w:num w:numId="14" w16cid:durableId="90856609">
    <w:abstractNumId w:val="25"/>
  </w:num>
  <w:num w:numId="15" w16cid:durableId="1236355313">
    <w:abstractNumId w:val="10"/>
  </w:num>
  <w:num w:numId="16" w16cid:durableId="1863978532">
    <w:abstractNumId w:val="23"/>
  </w:num>
  <w:num w:numId="17" w16cid:durableId="165094196">
    <w:abstractNumId w:val="13"/>
  </w:num>
  <w:num w:numId="18" w16cid:durableId="65615148">
    <w:abstractNumId w:val="23"/>
  </w:num>
  <w:num w:numId="19" w16cid:durableId="1556047240">
    <w:abstractNumId w:val="26"/>
  </w:num>
  <w:num w:numId="20" w16cid:durableId="131142168">
    <w:abstractNumId w:val="29"/>
  </w:num>
  <w:num w:numId="21" w16cid:durableId="353191956">
    <w:abstractNumId w:val="30"/>
  </w:num>
  <w:num w:numId="22" w16cid:durableId="2053648440">
    <w:abstractNumId w:val="14"/>
  </w:num>
  <w:num w:numId="23" w16cid:durableId="1815488769">
    <w:abstractNumId w:val="27"/>
  </w:num>
  <w:num w:numId="24" w16cid:durableId="1416591773">
    <w:abstractNumId w:val="22"/>
  </w:num>
  <w:num w:numId="25" w16cid:durableId="912541435">
    <w:abstractNumId w:val="20"/>
  </w:num>
  <w:num w:numId="26" w16cid:durableId="617638947">
    <w:abstractNumId w:val="21"/>
  </w:num>
  <w:num w:numId="27" w16cid:durableId="76564789">
    <w:abstractNumId w:val="15"/>
  </w:num>
  <w:num w:numId="28" w16cid:durableId="488719645">
    <w:abstractNumId w:val="16"/>
  </w:num>
  <w:num w:numId="29" w16cid:durableId="880938044">
    <w:abstractNumId w:val="11"/>
  </w:num>
  <w:num w:numId="30" w16cid:durableId="692656847">
    <w:abstractNumId w:val="12"/>
  </w:num>
  <w:num w:numId="31" w16cid:durableId="954754587">
    <w:abstractNumId w:val="24"/>
  </w:num>
  <w:num w:numId="32" w16cid:durableId="434834351">
    <w:abstractNumId w:val="17"/>
  </w:num>
  <w:num w:numId="33" w16cid:durableId="165040217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03065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173323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7D4"/>
    <w:rsid w:val="00000EA9"/>
    <w:rsid w:val="0000109D"/>
    <w:rsid w:val="0000191F"/>
    <w:rsid w:val="00001E03"/>
    <w:rsid w:val="0000267C"/>
    <w:rsid w:val="00002B96"/>
    <w:rsid w:val="00002BCC"/>
    <w:rsid w:val="00003283"/>
    <w:rsid w:val="00003655"/>
    <w:rsid w:val="00003B08"/>
    <w:rsid w:val="00003CFC"/>
    <w:rsid w:val="000045F8"/>
    <w:rsid w:val="00004C5F"/>
    <w:rsid w:val="00005004"/>
    <w:rsid w:val="0000567A"/>
    <w:rsid w:val="00005718"/>
    <w:rsid w:val="00005DD0"/>
    <w:rsid w:val="00005F19"/>
    <w:rsid w:val="00005FBF"/>
    <w:rsid w:val="000064FF"/>
    <w:rsid w:val="00006794"/>
    <w:rsid w:val="00006905"/>
    <w:rsid w:val="00006A05"/>
    <w:rsid w:val="00006C40"/>
    <w:rsid w:val="00006DE0"/>
    <w:rsid w:val="000073BA"/>
    <w:rsid w:val="00007448"/>
    <w:rsid w:val="000075CB"/>
    <w:rsid w:val="000076BA"/>
    <w:rsid w:val="00011280"/>
    <w:rsid w:val="000124C9"/>
    <w:rsid w:val="00012911"/>
    <w:rsid w:val="00012F24"/>
    <w:rsid w:val="00013374"/>
    <w:rsid w:val="00013688"/>
    <w:rsid w:val="00014245"/>
    <w:rsid w:val="00014556"/>
    <w:rsid w:val="000148C2"/>
    <w:rsid w:val="00014911"/>
    <w:rsid w:val="00014B90"/>
    <w:rsid w:val="00014C28"/>
    <w:rsid w:val="00015825"/>
    <w:rsid w:val="00015C35"/>
    <w:rsid w:val="0001611F"/>
    <w:rsid w:val="00016A21"/>
    <w:rsid w:val="00016E05"/>
    <w:rsid w:val="000170C4"/>
    <w:rsid w:val="000176EC"/>
    <w:rsid w:val="0002019A"/>
    <w:rsid w:val="000212A3"/>
    <w:rsid w:val="00021597"/>
    <w:rsid w:val="00021630"/>
    <w:rsid w:val="000220D1"/>
    <w:rsid w:val="0002213C"/>
    <w:rsid w:val="000224AB"/>
    <w:rsid w:val="00022A8E"/>
    <w:rsid w:val="00022B92"/>
    <w:rsid w:val="00022B9D"/>
    <w:rsid w:val="00022F3C"/>
    <w:rsid w:val="000237AF"/>
    <w:rsid w:val="000243FA"/>
    <w:rsid w:val="0002458F"/>
    <w:rsid w:val="00024A0E"/>
    <w:rsid w:val="00025015"/>
    <w:rsid w:val="00025142"/>
    <w:rsid w:val="00025A29"/>
    <w:rsid w:val="00025C7F"/>
    <w:rsid w:val="00025D9E"/>
    <w:rsid w:val="00025E8F"/>
    <w:rsid w:val="00026485"/>
    <w:rsid w:val="00026498"/>
    <w:rsid w:val="00026EAE"/>
    <w:rsid w:val="00027077"/>
    <w:rsid w:val="00027310"/>
    <w:rsid w:val="00030BB2"/>
    <w:rsid w:val="000310C6"/>
    <w:rsid w:val="0003117A"/>
    <w:rsid w:val="000313BC"/>
    <w:rsid w:val="00031D09"/>
    <w:rsid w:val="00031D0F"/>
    <w:rsid w:val="00031ED9"/>
    <w:rsid w:val="0003222F"/>
    <w:rsid w:val="00032299"/>
    <w:rsid w:val="0003237E"/>
    <w:rsid w:val="0003364F"/>
    <w:rsid w:val="00033958"/>
    <w:rsid w:val="00033AEB"/>
    <w:rsid w:val="00033E33"/>
    <w:rsid w:val="0003470A"/>
    <w:rsid w:val="00034955"/>
    <w:rsid w:val="00034E5A"/>
    <w:rsid w:val="00035335"/>
    <w:rsid w:val="0003659D"/>
    <w:rsid w:val="00036A1E"/>
    <w:rsid w:val="00037B88"/>
    <w:rsid w:val="00037E43"/>
    <w:rsid w:val="0004057B"/>
    <w:rsid w:val="00040767"/>
    <w:rsid w:val="00040964"/>
    <w:rsid w:val="00041A02"/>
    <w:rsid w:val="00041E2D"/>
    <w:rsid w:val="000426B3"/>
    <w:rsid w:val="000428FB"/>
    <w:rsid w:val="00043300"/>
    <w:rsid w:val="00043305"/>
    <w:rsid w:val="00043B8E"/>
    <w:rsid w:val="00043D64"/>
    <w:rsid w:val="00043F1B"/>
    <w:rsid w:val="0004418B"/>
    <w:rsid w:val="000442A3"/>
    <w:rsid w:val="00044C0E"/>
    <w:rsid w:val="000459E2"/>
    <w:rsid w:val="00045B30"/>
    <w:rsid w:val="00045CAC"/>
    <w:rsid w:val="00045ECE"/>
    <w:rsid w:val="0004616E"/>
    <w:rsid w:val="000467EC"/>
    <w:rsid w:val="0004692B"/>
    <w:rsid w:val="0004697E"/>
    <w:rsid w:val="00047099"/>
    <w:rsid w:val="00050414"/>
    <w:rsid w:val="0005091D"/>
    <w:rsid w:val="00050A7F"/>
    <w:rsid w:val="000510BA"/>
    <w:rsid w:val="0005159C"/>
    <w:rsid w:val="00051AB5"/>
    <w:rsid w:val="00051EE9"/>
    <w:rsid w:val="00052930"/>
    <w:rsid w:val="00052C6A"/>
    <w:rsid w:val="0005313A"/>
    <w:rsid w:val="000537C4"/>
    <w:rsid w:val="0005381F"/>
    <w:rsid w:val="000539FD"/>
    <w:rsid w:val="00054B3C"/>
    <w:rsid w:val="00054D23"/>
    <w:rsid w:val="00054E6A"/>
    <w:rsid w:val="00054EC6"/>
    <w:rsid w:val="00055856"/>
    <w:rsid w:val="00055975"/>
    <w:rsid w:val="00055DDD"/>
    <w:rsid w:val="00055E84"/>
    <w:rsid w:val="0005631D"/>
    <w:rsid w:val="000567D2"/>
    <w:rsid w:val="00056F24"/>
    <w:rsid w:val="0005718D"/>
    <w:rsid w:val="000579D4"/>
    <w:rsid w:val="00057C1D"/>
    <w:rsid w:val="000602AC"/>
    <w:rsid w:val="000603C5"/>
    <w:rsid w:val="0006223C"/>
    <w:rsid w:val="0006241D"/>
    <w:rsid w:val="0006274E"/>
    <w:rsid w:val="00062AA1"/>
    <w:rsid w:val="00062D97"/>
    <w:rsid w:val="0006392C"/>
    <w:rsid w:val="00063B98"/>
    <w:rsid w:val="00063F30"/>
    <w:rsid w:val="00063FE4"/>
    <w:rsid w:val="0006425E"/>
    <w:rsid w:val="00064400"/>
    <w:rsid w:val="000648D4"/>
    <w:rsid w:val="00064E3D"/>
    <w:rsid w:val="00064F96"/>
    <w:rsid w:val="000653CE"/>
    <w:rsid w:val="00065BBF"/>
    <w:rsid w:val="00065EE4"/>
    <w:rsid w:val="00065F32"/>
    <w:rsid w:val="0006632C"/>
    <w:rsid w:val="00066E2D"/>
    <w:rsid w:val="00067891"/>
    <w:rsid w:val="0006797B"/>
    <w:rsid w:val="00067C35"/>
    <w:rsid w:val="00067E9B"/>
    <w:rsid w:val="0006F21D"/>
    <w:rsid w:val="0007003B"/>
    <w:rsid w:val="000701BD"/>
    <w:rsid w:val="000702F2"/>
    <w:rsid w:val="000705D3"/>
    <w:rsid w:val="000708DF"/>
    <w:rsid w:val="00070A12"/>
    <w:rsid w:val="00070B9C"/>
    <w:rsid w:val="00070CBA"/>
    <w:rsid w:val="00070D99"/>
    <w:rsid w:val="00071879"/>
    <w:rsid w:val="00071F76"/>
    <w:rsid w:val="00072465"/>
    <w:rsid w:val="000735B2"/>
    <w:rsid w:val="000735C9"/>
    <w:rsid w:val="00073A3F"/>
    <w:rsid w:val="000740B9"/>
    <w:rsid w:val="00074492"/>
    <w:rsid w:val="0007491D"/>
    <w:rsid w:val="00074EC8"/>
    <w:rsid w:val="00075185"/>
    <w:rsid w:val="00075895"/>
    <w:rsid w:val="00076659"/>
    <w:rsid w:val="00077B64"/>
    <w:rsid w:val="00077F3A"/>
    <w:rsid w:val="00080324"/>
    <w:rsid w:val="00080412"/>
    <w:rsid w:val="00080585"/>
    <w:rsid w:val="000805E8"/>
    <w:rsid w:val="00080E33"/>
    <w:rsid w:val="00080EB6"/>
    <w:rsid w:val="00081279"/>
    <w:rsid w:val="000826C9"/>
    <w:rsid w:val="0008291E"/>
    <w:rsid w:val="00082DD2"/>
    <w:rsid w:val="00083421"/>
    <w:rsid w:val="00084448"/>
    <w:rsid w:val="000845A5"/>
    <w:rsid w:val="00084B26"/>
    <w:rsid w:val="00085100"/>
    <w:rsid w:val="000854FE"/>
    <w:rsid w:val="000855DD"/>
    <w:rsid w:val="000858AB"/>
    <w:rsid w:val="00085DD4"/>
    <w:rsid w:val="00086B8E"/>
    <w:rsid w:val="00086F0C"/>
    <w:rsid w:val="00087879"/>
    <w:rsid w:val="000878D3"/>
    <w:rsid w:val="00087B4C"/>
    <w:rsid w:val="00090274"/>
    <w:rsid w:val="00090A25"/>
    <w:rsid w:val="0009107E"/>
    <w:rsid w:val="000916D0"/>
    <w:rsid w:val="0009221F"/>
    <w:rsid w:val="000923C7"/>
    <w:rsid w:val="00092407"/>
    <w:rsid w:val="00092722"/>
    <w:rsid w:val="00092DA8"/>
    <w:rsid w:val="0009307F"/>
    <w:rsid w:val="000932BE"/>
    <w:rsid w:val="00093BB2"/>
    <w:rsid w:val="00093D6F"/>
    <w:rsid w:val="0009402C"/>
    <w:rsid w:val="000940EA"/>
    <w:rsid w:val="00094120"/>
    <w:rsid w:val="00094C3F"/>
    <w:rsid w:val="00095707"/>
    <w:rsid w:val="000959C6"/>
    <w:rsid w:val="00096382"/>
    <w:rsid w:val="00096726"/>
    <w:rsid w:val="000968CF"/>
    <w:rsid w:val="0009699C"/>
    <w:rsid w:val="00096B54"/>
    <w:rsid w:val="00096D16"/>
    <w:rsid w:val="00096FFD"/>
    <w:rsid w:val="000A008E"/>
    <w:rsid w:val="000A0590"/>
    <w:rsid w:val="000A079A"/>
    <w:rsid w:val="000A0CB6"/>
    <w:rsid w:val="000A0ECA"/>
    <w:rsid w:val="000A141D"/>
    <w:rsid w:val="000A1471"/>
    <w:rsid w:val="000A1723"/>
    <w:rsid w:val="000A3721"/>
    <w:rsid w:val="000A3EC5"/>
    <w:rsid w:val="000A40DF"/>
    <w:rsid w:val="000A4A0B"/>
    <w:rsid w:val="000A50B2"/>
    <w:rsid w:val="000A5267"/>
    <w:rsid w:val="000A5FB7"/>
    <w:rsid w:val="000A676A"/>
    <w:rsid w:val="000A69C9"/>
    <w:rsid w:val="000A71A7"/>
    <w:rsid w:val="000A7524"/>
    <w:rsid w:val="000A7A72"/>
    <w:rsid w:val="000A7E70"/>
    <w:rsid w:val="000A7EDC"/>
    <w:rsid w:val="000B06C0"/>
    <w:rsid w:val="000B09CE"/>
    <w:rsid w:val="000B11ED"/>
    <w:rsid w:val="000B1D99"/>
    <w:rsid w:val="000B24F4"/>
    <w:rsid w:val="000B2AFE"/>
    <w:rsid w:val="000B3210"/>
    <w:rsid w:val="000B331A"/>
    <w:rsid w:val="000B371F"/>
    <w:rsid w:val="000B401A"/>
    <w:rsid w:val="000B4E39"/>
    <w:rsid w:val="000B6A61"/>
    <w:rsid w:val="000B701F"/>
    <w:rsid w:val="000B726A"/>
    <w:rsid w:val="000B7505"/>
    <w:rsid w:val="000B7822"/>
    <w:rsid w:val="000B7867"/>
    <w:rsid w:val="000B7A0F"/>
    <w:rsid w:val="000B7E02"/>
    <w:rsid w:val="000C01AA"/>
    <w:rsid w:val="000C055D"/>
    <w:rsid w:val="000C0D18"/>
    <w:rsid w:val="000C1429"/>
    <w:rsid w:val="000C181A"/>
    <w:rsid w:val="000C1A27"/>
    <w:rsid w:val="000C1AD0"/>
    <w:rsid w:val="000C2997"/>
    <w:rsid w:val="000C2C97"/>
    <w:rsid w:val="000C2D3A"/>
    <w:rsid w:val="000C2D7F"/>
    <w:rsid w:val="000C3147"/>
    <w:rsid w:val="000C3480"/>
    <w:rsid w:val="000C3926"/>
    <w:rsid w:val="000C4082"/>
    <w:rsid w:val="000C44DF"/>
    <w:rsid w:val="000C5527"/>
    <w:rsid w:val="000C583A"/>
    <w:rsid w:val="000C5AAA"/>
    <w:rsid w:val="000C5ABC"/>
    <w:rsid w:val="000C5D61"/>
    <w:rsid w:val="000C6092"/>
    <w:rsid w:val="000C668A"/>
    <w:rsid w:val="000C6A67"/>
    <w:rsid w:val="000C6EE6"/>
    <w:rsid w:val="000C7116"/>
    <w:rsid w:val="000C73A6"/>
    <w:rsid w:val="000C7478"/>
    <w:rsid w:val="000C7B2F"/>
    <w:rsid w:val="000D004E"/>
    <w:rsid w:val="000D01BA"/>
    <w:rsid w:val="000D03A6"/>
    <w:rsid w:val="000D0E83"/>
    <w:rsid w:val="000D1B03"/>
    <w:rsid w:val="000D1FED"/>
    <w:rsid w:val="000D296B"/>
    <w:rsid w:val="000D2B16"/>
    <w:rsid w:val="000D2EA2"/>
    <w:rsid w:val="000D30D7"/>
    <w:rsid w:val="000D3176"/>
    <w:rsid w:val="000D3400"/>
    <w:rsid w:val="000D39DA"/>
    <w:rsid w:val="000D3C2B"/>
    <w:rsid w:val="000D3CFC"/>
    <w:rsid w:val="000D40F3"/>
    <w:rsid w:val="000D4403"/>
    <w:rsid w:val="000D4C72"/>
    <w:rsid w:val="000D4CB2"/>
    <w:rsid w:val="000D4F36"/>
    <w:rsid w:val="000D5E7E"/>
    <w:rsid w:val="000D5EC7"/>
    <w:rsid w:val="000D5F5D"/>
    <w:rsid w:val="000D63BC"/>
    <w:rsid w:val="000D6873"/>
    <w:rsid w:val="000D6B96"/>
    <w:rsid w:val="000D6E40"/>
    <w:rsid w:val="000D6EF6"/>
    <w:rsid w:val="000D6FEC"/>
    <w:rsid w:val="000D7D1D"/>
    <w:rsid w:val="000E005F"/>
    <w:rsid w:val="000E0229"/>
    <w:rsid w:val="000E076A"/>
    <w:rsid w:val="000E0EA1"/>
    <w:rsid w:val="000E1270"/>
    <w:rsid w:val="000E1A5B"/>
    <w:rsid w:val="000E26E8"/>
    <w:rsid w:val="000E27D3"/>
    <w:rsid w:val="000E2D28"/>
    <w:rsid w:val="000E2D30"/>
    <w:rsid w:val="000E34F7"/>
    <w:rsid w:val="000E3F3E"/>
    <w:rsid w:val="000E430C"/>
    <w:rsid w:val="000E4CD8"/>
    <w:rsid w:val="000E5037"/>
    <w:rsid w:val="000E5100"/>
    <w:rsid w:val="000E5108"/>
    <w:rsid w:val="000E567F"/>
    <w:rsid w:val="000E5F45"/>
    <w:rsid w:val="000E60C4"/>
    <w:rsid w:val="000E60FF"/>
    <w:rsid w:val="000E708D"/>
    <w:rsid w:val="000E745D"/>
    <w:rsid w:val="000E766F"/>
    <w:rsid w:val="000E7716"/>
    <w:rsid w:val="000E787D"/>
    <w:rsid w:val="000F01BA"/>
    <w:rsid w:val="000F0314"/>
    <w:rsid w:val="000F0A47"/>
    <w:rsid w:val="000F0A91"/>
    <w:rsid w:val="000F1767"/>
    <w:rsid w:val="000F1DEC"/>
    <w:rsid w:val="000F3A46"/>
    <w:rsid w:val="000F3CC4"/>
    <w:rsid w:val="000F4043"/>
    <w:rsid w:val="000F502E"/>
    <w:rsid w:val="000F52B1"/>
    <w:rsid w:val="000F5617"/>
    <w:rsid w:val="000F5F01"/>
    <w:rsid w:val="000F621E"/>
    <w:rsid w:val="000F62B4"/>
    <w:rsid w:val="000F67BF"/>
    <w:rsid w:val="000F6F13"/>
    <w:rsid w:val="000F6FD5"/>
    <w:rsid w:val="000F73CD"/>
    <w:rsid w:val="000F74FC"/>
    <w:rsid w:val="000F7545"/>
    <w:rsid w:val="000F7637"/>
    <w:rsid w:val="0010089C"/>
    <w:rsid w:val="00100BFF"/>
    <w:rsid w:val="00101448"/>
    <w:rsid w:val="00101E18"/>
    <w:rsid w:val="00102639"/>
    <w:rsid w:val="00103BD2"/>
    <w:rsid w:val="0010451C"/>
    <w:rsid w:val="00104FE8"/>
    <w:rsid w:val="00105375"/>
    <w:rsid w:val="001055BA"/>
    <w:rsid w:val="001056D8"/>
    <w:rsid w:val="001058A6"/>
    <w:rsid w:val="00105B7D"/>
    <w:rsid w:val="00105CC2"/>
    <w:rsid w:val="00105D1D"/>
    <w:rsid w:val="00107117"/>
    <w:rsid w:val="001074AE"/>
    <w:rsid w:val="00107E0D"/>
    <w:rsid w:val="0011044E"/>
    <w:rsid w:val="00110646"/>
    <w:rsid w:val="00110DAB"/>
    <w:rsid w:val="00111172"/>
    <w:rsid w:val="001112E3"/>
    <w:rsid w:val="001118B0"/>
    <w:rsid w:val="00111C1A"/>
    <w:rsid w:val="0011299D"/>
    <w:rsid w:val="00112CA4"/>
    <w:rsid w:val="00112CC4"/>
    <w:rsid w:val="00113214"/>
    <w:rsid w:val="00113A07"/>
    <w:rsid w:val="00113F94"/>
    <w:rsid w:val="00114203"/>
    <w:rsid w:val="001142EA"/>
    <w:rsid w:val="0011486C"/>
    <w:rsid w:val="0011527D"/>
    <w:rsid w:val="00115A55"/>
    <w:rsid w:val="001161A5"/>
    <w:rsid w:val="0011695D"/>
    <w:rsid w:val="00117B7D"/>
    <w:rsid w:val="001200BD"/>
    <w:rsid w:val="001203B1"/>
    <w:rsid w:val="00120572"/>
    <w:rsid w:val="00120A04"/>
    <w:rsid w:val="00120A23"/>
    <w:rsid w:val="00120AB5"/>
    <w:rsid w:val="00120BF5"/>
    <w:rsid w:val="0012127A"/>
    <w:rsid w:val="00121478"/>
    <w:rsid w:val="001214B6"/>
    <w:rsid w:val="001216DE"/>
    <w:rsid w:val="00121B56"/>
    <w:rsid w:val="00121E7D"/>
    <w:rsid w:val="0012223F"/>
    <w:rsid w:val="00122392"/>
    <w:rsid w:val="00122ACA"/>
    <w:rsid w:val="00123DBD"/>
    <w:rsid w:val="001245A3"/>
    <w:rsid w:val="00124F0F"/>
    <w:rsid w:val="001251B1"/>
    <w:rsid w:val="0012531A"/>
    <w:rsid w:val="00125791"/>
    <w:rsid w:val="001259A4"/>
    <w:rsid w:val="00125C88"/>
    <w:rsid w:val="00126065"/>
    <w:rsid w:val="0012627E"/>
    <w:rsid w:val="001266BE"/>
    <w:rsid w:val="001269C7"/>
    <w:rsid w:val="001269D1"/>
    <w:rsid w:val="00126B0A"/>
    <w:rsid w:val="00127204"/>
    <w:rsid w:val="0012790D"/>
    <w:rsid w:val="00127A53"/>
    <w:rsid w:val="00130218"/>
    <w:rsid w:val="00130486"/>
    <w:rsid w:val="00130FDD"/>
    <w:rsid w:val="001310AE"/>
    <w:rsid w:val="00131E01"/>
    <w:rsid w:val="00131FEE"/>
    <w:rsid w:val="001322BB"/>
    <w:rsid w:val="00132743"/>
    <w:rsid w:val="00132A3E"/>
    <w:rsid w:val="001332C2"/>
    <w:rsid w:val="0013391B"/>
    <w:rsid w:val="00133DCC"/>
    <w:rsid w:val="001349CE"/>
    <w:rsid w:val="00134EAB"/>
    <w:rsid w:val="00134EFB"/>
    <w:rsid w:val="001353E9"/>
    <w:rsid w:val="00136007"/>
    <w:rsid w:val="001360A2"/>
    <w:rsid w:val="001365C3"/>
    <w:rsid w:val="00136A34"/>
    <w:rsid w:val="00137319"/>
    <w:rsid w:val="00140C53"/>
    <w:rsid w:val="00140DBD"/>
    <w:rsid w:val="00141779"/>
    <w:rsid w:val="001417CC"/>
    <w:rsid w:val="00141908"/>
    <w:rsid w:val="00141A84"/>
    <w:rsid w:val="00141B68"/>
    <w:rsid w:val="00141B94"/>
    <w:rsid w:val="00141EB1"/>
    <w:rsid w:val="00142406"/>
    <w:rsid w:val="0014261D"/>
    <w:rsid w:val="001428A6"/>
    <w:rsid w:val="0014290C"/>
    <w:rsid w:val="00142B3E"/>
    <w:rsid w:val="00142BE9"/>
    <w:rsid w:val="001438C7"/>
    <w:rsid w:val="001439E1"/>
    <w:rsid w:val="00143E13"/>
    <w:rsid w:val="0014438F"/>
    <w:rsid w:val="001446B2"/>
    <w:rsid w:val="00144B54"/>
    <w:rsid w:val="001457C3"/>
    <w:rsid w:val="00145949"/>
    <w:rsid w:val="00145BBB"/>
    <w:rsid w:val="00145CF7"/>
    <w:rsid w:val="00145D6A"/>
    <w:rsid w:val="0014632D"/>
    <w:rsid w:val="001465D6"/>
    <w:rsid w:val="00146F97"/>
    <w:rsid w:val="00147622"/>
    <w:rsid w:val="00147D9B"/>
    <w:rsid w:val="00150027"/>
    <w:rsid w:val="00150212"/>
    <w:rsid w:val="0015111E"/>
    <w:rsid w:val="00151236"/>
    <w:rsid w:val="00151B7D"/>
    <w:rsid w:val="001524FB"/>
    <w:rsid w:val="00152543"/>
    <w:rsid w:val="0015307A"/>
    <w:rsid w:val="001538A8"/>
    <w:rsid w:val="00154A52"/>
    <w:rsid w:val="00154ABB"/>
    <w:rsid w:val="00155C6C"/>
    <w:rsid w:val="0015602E"/>
    <w:rsid w:val="00156633"/>
    <w:rsid w:val="00156BBC"/>
    <w:rsid w:val="00156D40"/>
    <w:rsid w:val="00156E39"/>
    <w:rsid w:val="00156F62"/>
    <w:rsid w:val="00157525"/>
    <w:rsid w:val="00160555"/>
    <w:rsid w:val="00160606"/>
    <w:rsid w:val="00160DA1"/>
    <w:rsid w:val="001618A5"/>
    <w:rsid w:val="00161D29"/>
    <w:rsid w:val="00161EAA"/>
    <w:rsid w:val="00162225"/>
    <w:rsid w:val="00162556"/>
    <w:rsid w:val="001644D6"/>
    <w:rsid w:val="00164AAA"/>
    <w:rsid w:val="001652B9"/>
    <w:rsid w:val="00166044"/>
    <w:rsid w:val="0016733E"/>
    <w:rsid w:val="00167C00"/>
    <w:rsid w:val="00170151"/>
    <w:rsid w:val="00170307"/>
    <w:rsid w:val="00170D4A"/>
    <w:rsid w:val="00170E81"/>
    <w:rsid w:val="001720D8"/>
    <w:rsid w:val="00172222"/>
    <w:rsid w:val="00172348"/>
    <w:rsid w:val="001725B5"/>
    <w:rsid w:val="00172749"/>
    <w:rsid w:val="001727DC"/>
    <w:rsid w:val="00172893"/>
    <w:rsid w:val="00172B23"/>
    <w:rsid w:val="00173D57"/>
    <w:rsid w:val="001740C2"/>
    <w:rsid w:val="0017505E"/>
    <w:rsid w:val="001757CF"/>
    <w:rsid w:val="00175F5B"/>
    <w:rsid w:val="001770AC"/>
    <w:rsid w:val="001771C1"/>
    <w:rsid w:val="00177461"/>
    <w:rsid w:val="00177E8A"/>
    <w:rsid w:val="00180013"/>
    <w:rsid w:val="00180762"/>
    <w:rsid w:val="00180921"/>
    <w:rsid w:val="00180FA3"/>
    <w:rsid w:val="00181E65"/>
    <w:rsid w:val="0018233F"/>
    <w:rsid w:val="001823C9"/>
    <w:rsid w:val="00183679"/>
    <w:rsid w:val="00183B8A"/>
    <w:rsid w:val="00183E28"/>
    <w:rsid w:val="00183ED7"/>
    <w:rsid w:val="0018433A"/>
    <w:rsid w:val="00185037"/>
    <w:rsid w:val="00185226"/>
    <w:rsid w:val="00186353"/>
    <w:rsid w:val="001865F4"/>
    <w:rsid w:val="00187908"/>
    <w:rsid w:val="00190987"/>
    <w:rsid w:val="001909EE"/>
    <w:rsid w:val="00190AD2"/>
    <w:rsid w:val="00190D65"/>
    <w:rsid w:val="00190E38"/>
    <w:rsid w:val="00191177"/>
    <w:rsid w:val="001916E7"/>
    <w:rsid w:val="00191B56"/>
    <w:rsid w:val="00191FE3"/>
    <w:rsid w:val="00192139"/>
    <w:rsid w:val="0019215C"/>
    <w:rsid w:val="001926E3"/>
    <w:rsid w:val="00192AC8"/>
    <w:rsid w:val="001932E7"/>
    <w:rsid w:val="001941C4"/>
    <w:rsid w:val="001948E5"/>
    <w:rsid w:val="00194CF7"/>
    <w:rsid w:val="00195234"/>
    <w:rsid w:val="001953EF"/>
    <w:rsid w:val="00195BFB"/>
    <w:rsid w:val="001961EB"/>
    <w:rsid w:val="00196291"/>
    <w:rsid w:val="00196FFC"/>
    <w:rsid w:val="001973C6"/>
    <w:rsid w:val="001974B4"/>
    <w:rsid w:val="00197B13"/>
    <w:rsid w:val="00197CD1"/>
    <w:rsid w:val="00197CD6"/>
    <w:rsid w:val="00197E36"/>
    <w:rsid w:val="001A01DA"/>
    <w:rsid w:val="001A1773"/>
    <w:rsid w:val="001A181D"/>
    <w:rsid w:val="001A1B3A"/>
    <w:rsid w:val="001A1F0E"/>
    <w:rsid w:val="001A20BF"/>
    <w:rsid w:val="001A2A69"/>
    <w:rsid w:val="001A318B"/>
    <w:rsid w:val="001A3A39"/>
    <w:rsid w:val="001A3B9C"/>
    <w:rsid w:val="001A3D13"/>
    <w:rsid w:val="001A42E3"/>
    <w:rsid w:val="001A5017"/>
    <w:rsid w:val="001A55D5"/>
    <w:rsid w:val="001A5672"/>
    <w:rsid w:val="001A56BE"/>
    <w:rsid w:val="001A5C28"/>
    <w:rsid w:val="001A6019"/>
    <w:rsid w:val="001A6787"/>
    <w:rsid w:val="001A690C"/>
    <w:rsid w:val="001A6B13"/>
    <w:rsid w:val="001A7E24"/>
    <w:rsid w:val="001B000D"/>
    <w:rsid w:val="001B0177"/>
    <w:rsid w:val="001B05BC"/>
    <w:rsid w:val="001B0A18"/>
    <w:rsid w:val="001B10A5"/>
    <w:rsid w:val="001B15EC"/>
    <w:rsid w:val="001B1C0E"/>
    <w:rsid w:val="001B2565"/>
    <w:rsid w:val="001B274B"/>
    <w:rsid w:val="001B2BB4"/>
    <w:rsid w:val="001B327A"/>
    <w:rsid w:val="001B3EDE"/>
    <w:rsid w:val="001B3FE9"/>
    <w:rsid w:val="001B43A1"/>
    <w:rsid w:val="001B4641"/>
    <w:rsid w:val="001B48EC"/>
    <w:rsid w:val="001B4B14"/>
    <w:rsid w:val="001B4CE2"/>
    <w:rsid w:val="001B52E2"/>
    <w:rsid w:val="001B5785"/>
    <w:rsid w:val="001B6517"/>
    <w:rsid w:val="001B6D31"/>
    <w:rsid w:val="001B75B7"/>
    <w:rsid w:val="001B7D11"/>
    <w:rsid w:val="001B7EE0"/>
    <w:rsid w:val="001B7FCE"/>
    <w:rsid w:val="001C01B8"/>
    <w:rsid w:val="001C0630"/>
    <w:rsid w:val="001C075C"/>
    <w:rsid w:val="001C095A"/>
    <w:rsid w:val="001C0BE4"/>
    <w:rsid w:val="001C0FE2"/>
    <w:rsid w:val="001C1108"/>
    <w:rsid w:val="001C2062"/>
    <w:rsid w:val="001C2E51"/>
    <w:rsid w:val="001C3185"/>
    <w:rsid w:val="001C3495"/>
    <w:rsid w:val="001C368F"/>
    <w:rsid w:val="001C4583"/>
    <w:rsid w:val="001C4DBC"/>
    <w:rsid w:val="001C4F3E"/>
    <w:rsid w:val="001C50D9"/>
    <w:rsid w:val="001C577B"/>
    <w:rsid w:val="001C5ECC"/>
    <w:rsid w:val="001C646D"/>
    <w:rsid w:val="001C6B51"/>
    <w:rsid w:val="001C6ED9"/>
    <w:rsid w:val="001C721E"/>
    <w:rsid w:val="001C7765"/>
    <w:rsid w:val="001C7FC1"/>
    <w:rsid w:val="001D00CA"/>
    <w:rsid w:val="001D0207"/>
    <w:rsid w:val="001D055A"/>
    <w:rsid w:val="001D0A0E"/>
    <w:rsid w:val="001D1E09"/>
    <w:rsid w:val="001D20CF"/>
    <w:rsid w:val="001D2896"/>
    <w:rsid w:val="001D388C"/>
    <w:rsid w:val="001D4242"/>
    <w:rsid w:val="001D424F"/>
    <w:rsid w:val="001D44B0"/>
    <w:rsid w:val="001D44DE"/>
    <w:rsid w:val="001D4910"/>
    <w:rsid w:val="001D4D7A"/>
    <w:rsid w:val="001D5005"/>
    <w:rsid w:val="001D5B1D"/>
    <w:rsid w:val="001D5E4B"/>
    <w:rsid w:val="001D685C"/>
    <w:rsid w:val="001D70C5"/>
    <w:rsid w:val="001D74C3"/>
    <w:rsid w:val="001D79BA"/>
    <w:rsid w:val="001E0E23"/>
    <w:rsid w:val="001E0F64"/>
    <w:rsid w:val="001E1369"/>
    <w:rsid w:val="001E151F"/>
    <w:rsid w:val="001E1A78"/>
    <w:rsid w:val="001E1D07"/>
    <w:rsid w:val="001E21AC"/>
    <w:rsid w:val="001E2403"/>
    <w:rsid w:val="001E2434"/>
    <w:rsid w:val="001E2611"/>
    <w:rsid w:val="001E26AF"/>
    <w:rsid w:val="001E2E13"/>
    <w:rsid w:val="001E3220"/>
    <w:rsid w:val="001E39E2"/>
    <w:rsid w:val="001E406E"/>
    <w:rsid w:val="001E4072"/>
    <w:rsid w:val="001E40DE"/>
    <w:rsid w:val="001E44E2"/>
    <w:rsid w:val="001E4793"/>
    <w:rsid w:val="001E47BA"/>
    <w:rsid w:val="001E4B74"/>
    <w:rsid w:val="001E4FC6"/>
    <w:rsid w:val="001E5003"/>
    <w:rsid w:val="001E5131"/>
    <w:rsid w:val="001E586B"/>
    <w:rsid w:val="001E58CA"/>
    <w:rsid w:val="001E643B"/>
    <w:rsid w:val="001E651A"/>
    <w:rsid w:val="001E677D"/>
    <w:rsid w:val="001E679F"/>
    <w:rsid w:val="001E6B83"/>
    <w:rsid w:val="001E6D48"/>
    <w:rsid w:val="001E77B6"/>
    <w:rsid w:val="001E785E"/>
    <w:rsid w:val="001E7AE8"/>
    <w:rsid w:val="001E7F30"/>
    <w:rsid w:val="001F0AE5"/>
    <w:rsid w:val="001F0E15"/>
    <w:rsid w:val="001F0EEE"/>
    <w:rsid w:val="001F3002"/>
    <w:rsid w:val="001F42C8"/>
    <w:rsid w:val="001F45AF"/>
    <w:rsid w:val="001F4A73"/>
    <w:rsid w:val="001F5099"/>
    <w:rsid w:val="001F537B"/>
    <w:rsid w:val="001F53C2"/>
    <w:rsid w:val="001F607E"/>
    <w:rsid w:val="001F60C3"/>
    <w:rsid w:val="001F61BB"/>
    <w:rsid w:val="001F659F"/>
    <w:rsid w:val="001F682A"/>
    <w:rsid w:val="001F6C67"/>
    <w:rsid w:val="001F6CEB"/>
    <w:rsid w:val="00200605"/>
    <w:rsid w:val="00200AA6"/>
    <w:rsid w:val="00200FDB"/>
    <w:rsid w:val="0020118A"/>
    <w:rsid w:val="00201996"/>
    <w:rsid w:val="00201BA9"/>
    <w:rsid w:val="00202606"/>
    <w:rsid w:val="00202C50"/>
    <w:rsid w:val="002031AA"/>
    <w:rsid w:val="00203400"/>
    <w:rsid w:val="00203C47"/>
    <w:rsid w:val="0020516A"/>
    <w:rsid w:val="002056AB"/>
    <w:rsid w:val="0020575F"/>
    <w:rsid w:val="00205863"/>
    <w:rsid w:val="00206524"/>
    <w:rsid w:val="0020723A"/>
    <w:rsid w:val="00207374"/>
    <w:rsid w:val="00207938"/>
    <w:rsid w:val="00207C52"/>
    <w:rsid w:val="00207F83"/>
    <w:rsid w:val="00210098"/>
    <w:rsid w:val="00210461"/>
    <w:rsid w:val="002108B6"/>
    <w:rsid w:val="00210CAE"/>
    <w:rsid w:val="00210D12"/>
    <w:rsid w:val="00210DFF"/>
    <w:rsid w:val="00211319"/>
    <w:rsid w:val="002116BA"/>
    <w:rsid w:val="00212031"/>
    <w:rsid w:val="00212051"/>
    <w:rsid w:val="00212292"/>
    <w:rsid w:val="002122C6"/>
    <w:rsid w:val="002127EF"/>
    <w:rsid w:val="0021301D"/>
    <w:rsid w:val="00213320"/>
    <w:rsid w:val="00213634"/>
    <w:rsid w:val="002136DC"/>
    <w:rsid w:val="002137DD"/>
    <w:rsid w:val="00213F5F"/>
    <w:rsid w:val="002142BA"/>
    <w:rsid w:val="00214502"/>
    <w:rsid w:val="002157E5"/>
    <w:rsid w:val="00215904"/>
    <w:rsid w:val="00215AE9"/>
    <w:rsid w:val="00215C24"/>
    <w:rsid w:val="00216857"/>
    <w:rsid w:val="00216A88"/>
    <w:rsid w:val="00216F9B"/>
    <w:rsid w:val="0021707A"/>
    <w:rsid w:val="00217474"/>
    <w:rsid w:val="002175BE"/>
    <w:rsid w:val="002178C5"/>
    <w:rsid w:val="002178CA"/>
    <w:rsid w:val="00220060"/>
    <w:rsid w:val="00220292"/>
    <w:rsid w:val="00220954"/>
    <w:rsid w:val="00220C99"/>
    <w:rsid w:val="00220D4F"/>
    <w:rsid w:val="00220E68"/>
    <w:rsid w:val="00220F20"/>
    <w:rsid w:val="00221312"/>
    <w:rsid w:val="00221950"/>
    <w:rsid w:val="00221E6B"/>
    <w:rsid w:val="0022201F"/>
    <w:rsid w:val="002223EB"/>
    <w:rsid w:val="00223628"/>
    <w:rsid w:val="00223DFE"/>
    <w:rsid w:val="00224011"/>
    <w:rsid w:val="00224684"/>
    <w:rsid w:val="00224A94"/>
    <w:rsid w:val="00224CD6"/>
    <w:rsid w:val="00225106"/>
    <w:rsid w:val="0022562B"/>
    <w:rsid w:val="00225649"/>
    <w:rsid w:val="002256EE"/>
    <w:rsid w:val="002257F3"/>
    <w:rsid w:val="00226318"/>
    <w:rsid w:val="00226505"/>
    <w:rsid w:val="002268B5"/>
    <w:rsid w:val="00226DD2"/>
    <w:rsid w:val="00226E60"/>
    <w:rsid w:val="00226F27"/>
    <w:rsid w:val="00226FF5"/>
    <w:rsid w:val="00227161"/>
    <w:rsid w:val="002300B5"/>
    <w:rsid w:val="00230439"/>
    <w:rsid w:val="00230BE1"/>
    <w:rsid w:val="00230D78"/>
    <w:rsid w:val="00231264"/>
    <w:rsid w:val="0023172D"/>
    <w:rsid w:val="002317A1"/>
    <w:rsid w:val="00231B5F"/>
    <w:rsid w:val="00231C54"/>
    <w:rsid w:val="0023211B"/>
    <w:rsid w:val="00232359"/>
    <w:rsid w:val="00232A28"/>
    <w:rsid w:val="00232A69"/>
    <w:rsid w:val="002331E2"/>
    <w:rsid w:val="0023395A"/>
    <w:rsid w:val="00233C38"/>
    <w:rsid w:val="0023403A"/>
    <w:rsid w:val="002342F7"/>
    <w:rsid w:val="00234513"/>
    <w:rsid w:val="002349FC"/>
    <w:rsid w:val="00234FE2"/>
    <w:rsid w:val="00235252"/>
    <w:rsid w:val="00235974"/>
    <w:rsid w:val="002360B8"/>
    <w:rsid w:val="00236C03"/>
    <w:rsid w:val="00237106"/>
    <w:rsid w:val="00237512"/>
    <w:rsid w:val="0023789D"/>
    <w:rsid w:val="00237DE6"/>
    <w:rsid w:val="00237E2C"/>
    <w:rsid w:val="002400F3"/>
    <w:rsid w:val="0024081F"/>
    <w:rsid w:val="00240F8F"/>
    <w:rsid w:val="00241500"/>
    <w:rsid w:val="002416BF"/>
    <w:rsid w:val="00242625"/>
    <w:rsid w:val="002427C0"/>
    <w:rsid w:val="00243061"/>
    <w:rsid w:val="0024333C"/>
    <w:rsid w:val="002438B7"/>
    <w:rsid w:val="00243B7B"/>
    <w:rsid w:val="002443DA"/>
    <w:rsid w:val="002459E3"/>
    <w:rsid w:val="00245A60"/>
    <w:rsid w:val="00245C0B"/>
    <w:rsid w:val="00246051"/>
    <w:rsid w:val="002467A6"/>
    <w:rsid w:val="0024726D"/>
    <w:rsid w:val="00247651"/>
    <w:rsid w:val="00247AC0"/>
    <w:rsid w:val="00247BA5"/>
    <w:rsid w:val="00247EE3"/>
    <w:rsid w:val="00247FBE"/>
    <w:rsid w:val="002502F4"/>
    <w:rsid w:val="0025036D"/>
    <w:rsid w:val="002507A3"/>
    <w:rsid w:val="00251B4E"/>
    <w:rsid w:val="00252083"/>
    <w:rsid w:val="002522A6"/>
    <w:rsid w:val="002526BD"/>
    <w:rsid w:val="002532D1"/>
    <w:rsid w:val="002537D6"/>
    <w:rsid w:val="00253917"/>
    <w:rsid w:val="00253952"/>
    <w:rsid w:val="002539CF"/>
    <w:rsid w:val="00253C53"/>
    <w:rsid w:val="00253F65"/>
    <w:rsid w:val="0025411D"/>
    <w:rsid w:val="0025489A"/>
    <w:rsid w:val="00255115"/>
    <w:rsid w:val="00255AE2"/>
    <w:rsid w:val="00256046"/>
    <w:rsid w:val="00256BCE"/>
    <w:rsid w:val="00256E94"/>
    <w:rsid w:val="002576A6"/>
    <w:rsid w:val="002576F8"/>
    <w:rsid w:val="00257727"/>
    <w:rsid w:val="00257903"/>
    <w:rsid w:val="00257A48"/>
    <w:rsid w:val="00257E90"/>
    <w:rsid w:val="00257EDE"/>
    <w:rsid w:val="002606C5"/>
    <w:rsid w:val="00260748"/>
    <w:rsid w:val="00261B57"/>
    <w:rsid w:val="00262108"/>
    <w:rsid w:val="00262152"/>
    <w:rsid w:val="00262CE9"/>
    <w:rsid w:val="00262FC2"/>
    <w:rsid w:val="00263136"/>
    <w:rsid w:val="0026323C"/>
    <w:rsid w:val="00263532"/>
    <w:rsid w:val="00263A17"/>
    <w:rsid w:val="00263E0C"/>
    <w:rsid w:val="0026405A"/>
    <w:rsid w:val="0026442D"/>
    <w:rsid w:val="002645D0"/>
    <w:rsid w:val="00264735"/>
    <w:rsid w:val="00264D16"/>
    <w:rsid w:val="002654BD"/>
    <w:rsid w:val="00265B5A"/>
    <w:rsid w:val="0026646D"/>
    <w:rsid w:val="00267090"/>
    <w:rsid w:val="0026715D"/>
    <w:rsid w:val="002671FC"/>
    <w:rsid w:val="0026793B"/>
    <w:rsid w:val="00267C74"/>
    <w:rsid w:val="00267EFD"/>
    <w:rsid w:val="00267FE5"/>
    <w:rsid w:val="00270861"/>
    <w:rsid w:val="002708A7"/>
    <w:rsid w:val="00271165"/>
    <w:rsid w:val="00271AC5"/>
    <w:rsid w:val="00271C14"/>
    <w:rsid w:val="00272613"/>
    <w:rsid w:val="00272D54"/>
    <w:rsid w:val="002732FB"/>
    <w:rsid w:val="0027343B"/>
    <w:rsid w:val="00273839"/>
    <w:rsid w:val="00273D5A"/>
    <w:rsid w:val="00273F2F"/>
    <w:rsid w:val="00274014"/>
    <w:rsid w:val="00274271"/>
    <w:rsid w:val="002742EF"/>
    <w:rsid w:val="00274A80"/>
    <w:rsid w:val="00274E38"/>
    <w:rsid w:val="00274F7F"/>
    <w:rsid w:val="002753E8"/>
    <w:rsid w:val="002762D8"/>
    <w:rsid w:val="00276717"/>
    <w:rsid w:val="002767E7"/>
    <w:rsid w:val="0027681E"/>
    <w:rsid w:val="002768F9"/>
    <w:rsid w:val="00276A0A"/>
    <w:rsid w:val="00276A9B"/>
    <w:rsid w:val="00276D38"/>
    <w:rsid w:val="002774ED"/>
    <w:rsid w:val="0027768D"/>
    <w:rsid w:val="0027793D"/>
    <w:rsid w:val="00278CD8"/>
    <w:rsid w:val="0028008D"/>
    <w:rsid w:val="002800B0"/>
    <w:rsid w:val="00280120"/>
    <w:rsid w:val="0028033E"/>
    <w:rsid w:val="002805B0"/>
    <w:rsid w:val="00280880"/>
    <w:rsid w:val="00280889"/>
    <w:rsid w:val="0028098A"/>
    <w:rsid w:val="00280FF9"/>
    <w:rsid w:val="00281BA9"/>
    <w:rsid w:val="00281E6C"/>
    <w:rsid w:val="0028274B"/>
    <w:rsid w:val="00282ACE"/>
    <w:rsid w:val="0028324E"/>
    <w:rsid w:val="00283CB0"/>
    <w:rsid w:val="00283D83"/>
    <w:rsid w:val="002850B4"/>
    <w:rsid w:val="002855EE"/>
    <w:rsid w:val="002858CC"/>
    <w:rsid w:val="00285B29"/>
    <w:rsid w:val="002860DF"/>
    <w:rsid w:val="002865A1"/>
    <w:rsid w:val="00286E60"/>
    <w:rsid w:val="002870B4"/>
    <w:rsid w:val="002870C6"/>
    <w:rsid w:val="00287A54"/>
    <w:rsid w:val="00287BF2"/>
    <w:rsid w:val="00290345"/>
    <w:rsid w:val="00290DC4"/>
    <w:rsid w:val="00291564"/>
    <w:rsid w:val="00291826"/>
    <w:rsid w:val="00291992"/>
    <w:rsid w:val="00291AD2"/>
    <w:rsid w:val="00291B82"/>
    <w:rsid w:val="00292146"/>
    <w:rsid w:val="0029214B"/>
    <w:rsid w:val="002922D7"/>
    <w:rsid w:val="002924ED"/>
    <w:rsid w:val="00292BA1"/>
    <w:rsid w:val="002933A3"/>
    <w:rsid w:val="00293D0A"/>
    <w:rsid w:val="00294B8C"/>
    <w:rsid w:val="00294FA6"/>
    <w:rsid w:val="00295764"/>
    <w:rsid w:val="002957F5"/>
    <w:rsid w:val="00295A83"/>
    <w:rsid w:val="00295D97"/>
    <w:rsid w:val="00296E47"/>
    <w:rsid w:val="00297167"/>
    <w:rsid w:val="00297444"/>
    <w:rsid w:val="002978DF"/>
    <w:rsid w:val="002A09D8"/>
    <w:rsid w:val="002A0D36"/>
    <w:rsid w:val="002A0F7A"/>
    <w:rsid w:val="002A108E"/>
    <w:rsid w:val="002A17D1"/>
    <w:rsid w:val="002A269F"/>
    <w:rsid w:val="002A2C3E"/>
    <w:rsid w:val="002A2DC1"/>
    <w:rsid w:val="002A3B3B"/>
    <w:rsid w:val="002A3BFF"/>
    <w:rsid w:val="002A3C5E"/>
    <w:rsid w:val="002A478D"/>
    <w:rsid w:val="002A4E0A"/>
    <w:rsid w:val="002A5525"/>
    <w:rsid w:val="002A55A4"/>
    <w:rsid w:val="002A5965"/>
    <w:rsid w:val="002A5C63"/>
    <w:rsid w:val="002A67EB"/>
    <w:rsid w:val="002A69C5"/>
    <w:rsid w:val="002A70C1"/>
    <w:rsid w:val="002A7EFC"/>
    <w:rsid w:val="002A7FC8"/>
    <w:rsid w:val="002B02F3"/>
    <w:rsid w:val="002B060D"/>
    <w:rsid w:val="002B0B88"/>
    <w:rsid w:val="002B0BEA"/>
    <w:rsid w:val="002B0CBC"/>
    <w:rsid w:val="002B0D45"/>
    <w:rsid w:val="002B0D5D"/>
    <w:rsid w:val="002B0F10"/>
    <w:rsid w:val="002B1725"/>
    <w:rsid w:val="002B17E4"/>
    <w:rsid w:val="002B19A0"/>
    <w:rsid w:val="002B22FE"/>
    <w:rsid w:val="002B28E6"/>
    <w:rsid w:val="002B2ACE"/>
    <w:rsid w:val="002B2D06"/>
    <w:rsid w:val="002B3776"/>
    <w:rsid w:val="002B3DD1"/>
    <w:rsid w:val="002B4561"/>
    <w:rsid w:val="002B4903"/>
    <w:rsid w:val="002B4BAB"/>
    <w:rsid w:val="002B4C16"/>
    <w:rsid w:val="002B4C9F"/>
    <w:rsid w:val="002B4D73"/>
    <w:rsid w:val="002B4FD5"/>
    <w:rsid w:val="002B5096"/>
    <w:rsid w:val="002B5133"/>
    <w:rsid w:val="002B55A7"/>
    <w:rsid w:val="002B563D"/>
    <w:rsid w:val="002B57CB"/>
    <w:rsid w:val="002B6867"/>
    <w:rsid w:val="002B6B5C"/>
    <w:rsid w:val="002B74BE"/>
    <w:rsid w:val="002B793A"/>
    <w:rsid w:val="002B7B90"/>
    <w:rsid w:val="002B7F4A"/>
    <w:rsid w:val="002BEDFD"/>
    <w:rsid w:val="002C13AA"/>
    <w:rsid w:val="002C19C7"/>
    <w:rsid w:val="002C1AD6"/>
    <w:rsid w:val="002C1DB8"/>
    <w:rsid w:val="002C2D35"/>
    <w:rsid w:val="002C2D6C"/>
    <w:rsid w:val="002C320B"/>
    <w:rsid w:val="002C32C0"/>
    <w:rsid w:val="002C378B"/>
    <w:rsid w:val="002C5211"/>
    <w:rsid w:val="002C5902"/>
    <w:rsid w:val="002C5932"/>
    <w:rsid w:val="002C640D"/>
    <w:rsid w:val="002C6757"/>
    <w:rsid w:val="002C6C8A"/>
    <w:rsid w:val="002C7831"/>
    <w:rsid w:val="002C7F4D"/>
    <w:rsid w:val="002D06F8"/>
    <w:rsid w:val="002D08E6"/>
    <w:rsid w:val="002D096F"/>
    <w:rsid w:val="002D0E6D"/>
    <w:rsid w:val="002D1486"/>
    <w:rsid w:val="002D26D9"/>
    <w:rsid w:val="002D2BBC"/>
    <w:rsid w:val="002D2C25"/>
    <w:rsid w:val="002D2C8A"/>
    <w:rsid w:val="002D2D0C"/>
    <w:rsid w:val="002D2F9A"/>
    <w:rsid w:val="002D396C"/>
    <w:rsid w:val="002D3D58"/>
    <w:rsid w:val="002D45D0"/>
    <w:rsid w:val="002D4B07"/>
    <w:rsid w:val="002D587A"/>
    <w:rsid w:val="002D5D2A"/>
    <w:rsid w:val="002D63CD"/>
    <w:rsid w:val="002D65FE"/>
    <w:rsid w:val="002D71B3"/>
    <w:rsid w:val="002D725A"/>
    <w:rsid w:val="002D73CA"/>
    <w:rsid w:val="002D7645"/>
    <w:rsid w:val="002D7A75"/>
    <w:rsid w:val="002D7BE8"/>
    <w:rsid w:val="002D7D3F"/>
    <w:rsid w:val="002E01A3"/>
    <w:rsid w:val="002E0399"/>
    <w:rsid w:val="002E0591"/>
    <w:rsid w:val="002E08E1"/>
    <w:rsid w:val="002E0E31"/>
    <w:rsid w:val="002E1D26"/>
    <w:rsid w:val="002E224E"/>
    <w:rsid w:val="002E22B1"/>
    <w:rsid w:val="002E22EE"/>
    <w:rsid w:val="002E2827"/>
    <w:rsid w:val="002E28C9"/>
    <w:rsid w:val="002E2D02"/>
    <w:rsid w:val="002E2FC6"/>
    <w:rsid w:val="002E3DEE"/>
    <w:rsid w:val="002E4A1B"/>
    <w:rsid w:val="002E4BE5"/>
    <w:rsid w:val="002E4E28"/>
    <w:rsid w:val="002E4F88"/>
    <w:rsid w:val="002E587A"/>
    <w:rsid w:val="002E58BA"/>
    <w:rsid w:val="002E5971"/>
    <w:rsid w:val="002E654F"/>
    <w:rsid w:val="002E68B5"/>
    <w:rsid w:val="002E6FD8"/>
    <w:rsid w:val="002E726B"/>
    <w:rsid w:val="002E74FF"/>
    <w:rsid w:val="002E7D26"/>
    <w:rsid w:val="002F01C3"/>
    <w:rsid w:val="002F03A0"/>
    <w:rsid w:val="002F0550"/>
    <w:rsid w:val="002F05D3"/>
    <w:rsid w:val="002F0C06"/>
    <w:rsid w:val="002F0CB2"/>
    <w:rsid w:val="002F0D30"/>
    <w:rsid w:val="002F1770"/>
    <w:rsid w:val="002F18E0"/>
    <w:rsid w:val="002F1E6A"/>
    <w:rsid w:val="002F1EB7"/>
    <w:rsid w:val="002F218F"/>
    <w:rsid w:val="002F21B4"/>
    <w:rsid w:val="002F2B22"/>
    <w:rsid w:val="002F2B4B"/>
    <w:rsid w:val="002F2CD6"/>
    <w:rsid w:val="002F325C"/>
    <w:rsid w:val="002F3421"/>
    <w:rsid w:val="002F3788"/>
    <w:rsid w:val="002F3A9F"/>
    <w:rsid w:val="002F488E"/>
    <w:rsid w:val="002F49CE"/>
    <w:rsid w:val="002F5092"/>
    <w:rsid w:val="002F5C0B"/>
    <w:rsid w:val="002F5D90"/>
    <w:rsid w:val="002F6211"/>
    <w:rsid w:val="002F6714"/>
    <w:rsid w:val="002F690B"/>
    <w:rsid w:val="002F6D17"/>
    <w:rsid w:val="002F6FCB"/>
    <w:rsid w:val="002F7041"/>
    <w:rsid w:val="002F714B"/>
    <w:rsid w:val="002F78FC"/>
    <w:rsid w:val="002F7C24"/>
    <w:rsid w:val="00300104"/>
    <w:rsid w:val="0030086A"/>
    <w:rsid w:val="00300BF4"/>
    <w:rsid w:val="00300CA8"/>
    <w:rsid w:val="00300CAB"/>
    <w:rsid w:val="00300E25"/>
    <w:rsid w:val="00301406"/>
    <w:rsid w:val="003014F1"/>
    <w:rsid w:val="003016A5"/>
    <w:rsid w:val="00302CF9"/>
    <w:rsid w:val="00302DF7"/>
    <w:rsid w:val="003031E1"/>
    <w:rsid w:val="00303663"/>
    <w:rsid w:val="00303865"/>
    <w:rsid w:val="00304880"/>
    <w:rsid w:val="003050DE"/>
    <w:rsid w:val="0030564F"/>
    <w:rsid w:val="00305923"/>
    <w:rsid w:val="00306086"/>
    <w:rsid w:val="00306CE8"/>
    <w:rsid w:val="003070E9"/>
    <w:rsid w:val="00307177"/>
    <w:rsid w:val="00307387"/>
    <w:rsid w:val="00307A82"/>
    <w:rsid w:val="00307B6A"/>
    <w:rsid w:val="00307E92"/>
    <w:rsid w:val="00310073"/>
    <w:rsid w:val="00310117"/>
    <w:rsid w:val="00310B6A"/>
    <w:rsid w:val="00310FFB"/>
    <w:rsid w:val="00311048"/>
    <w:rsid w:val="003119D6"/>
    <w:rsid w:val="00311A47"/>
    <w:rsid w:val="00311E26"/>
    <w:rsid w:val="00311FEA"/>
    <w:rsid w:val="00312561"/>
    <w:rsid w:val="00312A5C"/>
    <w:rsid w:val="0031390B"/>
    <w:rsid w:val="00313FB2"/>
    <w:rsid w:val="0031408E"/>
    <w:rsid w:val="003140BD"/>
    <w:rsid w:val="003149AF"/>
    <w:rsid w:val="0031522A"/>
    <w:rsid w:val="00315292"/>
    <w:rsid w:val="00315605"/>
    <w:rsid w:val="0031579C"/>
    <w:rsid w:val="00315CD9"/>
    <w:rsid w:val="00316779"/>
    <w:rsid w:val="00316E10"/>
    <w:rsid w:val="00316F9F"/>
    <w:rsid w:val="003178AC"/>
    <w:rsid w:val="003178DA"/>
    <w:rsid w:val="00317A56"/>
    <w:rsid w:val="00317BB8"/>
    <w:rsid w:val="00317CA6"/>
    <w:rsid w:val="00317E00"/>
    <w:rsid w:val="00317E52"/>
    <w:rsid w:val="00320145"/>
    <w:rsid w:val="003206E9"/>
    <w:rsid w:val="0032079F"/>
    <w:rsid w:val="00320D60"/>
    <w:rsid w:val="00320EA4"/>
    <w:rsid w:val="003217EB"/>
    <w:rsid w:val="00321FC3"/>
    <w:rsid w:val="00322164"/>
    <w:rsid w:val="003223A8"/>
    <w:rsid w:val="00323053"/>
    <w:rsid w:val="003231E8"/>
    <w:rsid w:val="0032331B"/>
    <w:rsid w:val="003238B2"/>
    <w:rsid w:val="00323D68"/>
    <w:rsid w:val="003240A2"/>
    <w:rsid w:val="00324500"/>
    <w:rsid w:val="0032462C"/>
    <w:rsid w:val="00325011"/>
    <w:rsid w:val="003251D8"/>
    <w:rsid w:val="00325D4F"/>
    <w:rsid w:val="00325ED9"/>
    <w:rsid w:val="00326492"/>
    <w:rsid w:val="0032685B"/>
    <w:rsid w:val="00326CA0"/>
    <w:rsid w:val="00327237"/>
    <w:rsid w:val="00327794"/>
    <w:rsid w:val="00327994"/>
    <w:rsid w:val="00330DBD"/>
    <w:rsid w:val="003310CA"/>
    <w:rsid w:val="0033197F"/>
    <w:rsid w:val="00331F2D"/>
    <w:rsid w:val="00332034"/>
    <w:rsid w:val="00332322"/>
    <w:rsid w:val="0033236E"/>
    <w:rsid w:val="003327DD"/>
    <w:rsid w:val="00332B80"/>
    <w:rsid w:val="0033300C"/>
    <w:rsid w:val="0033351D"/>
    <w:rsid w:val="0033375D"/>
    <w:rsid w:val="00333EC7"/>
    <w:rsid w:val="00334207"/>
    <w:rsid w:val="00334814"/>
    <w:rsid w:val="00334C3A"/>
    <w:rsid w:val="00334EE0"/>
    <w:rsid w:val="00335EF9"/>
    <w:rsid w:val="00335F5F"/>
    <w:rsid w:val="00336005"/>
    <w:rsid w:val="00336910"/>
    <w:rsid w:val="00336C59"/>
    <w:rsid w:val="00337A9A"/>
    <w:rsid w:val="00337E58"/>
    <w:rsid w:val="00340065"/>
    <w:rsid w:val="00340245"/>
    <w:rsid w:val="003408E5"/>
    <w:rsid w:val="00340A5D"/>
    <w:rsid w:val="00340FEF"/>
    <w:rsid w:val="00341701"/>
    <w:rsid w:val="00341BBC"/>
    <w:rsid w:val="003422A8"/>
    <w:rsid w:val="00342380"/>
    <w:rsid w:val="00343008"/>
    <w:rsid w:val="003431A2"/>
    <w:rsid w:val="0034356B"/>
    <w:rsid w:val="00343DDC"/>
    <w:rsid w:val="00343F92"/>
    <w:rsid w:val="003440A7"/>
    <w:rsid w:val="00344702"/>
    <w:rsid w:val="003448DD"/>
    <w:rsid w:val="00344BCF"/>
    <w:rsid w:val="00344D98"/>
    <w:rsid w:val="00344F0A"/>
    <w:rsid w:val="003451AF"/>
    <w:rsid w:val="003456A0"/>
    <w:rsid w:val="00345C23"/>
    <w:rsid w:val="0034608F"/>
    <w:rsid w:val="00346380"/>
    <w:rsid w:val="00346468"/>
    <w:rsid w:val="003466AC"/>
    <w:rsid w:val="003468B4"/>
    <w:rsid w:val="00346C08"/>
    <w:rsid w:val="00346C3B"/>
    <w:rsid w:val="00346F2A"/>
    <w:rsid w:val="00350301"/>
    <w:rsid w:val="003508FE"/>
    <w:rsid w:val="00350CC4"/>
    <w:rsid w:val="00350CD3"/>
    <w:rsid w:val="00351126"/>
    <w:rsid w:val="0035127F"/>
    <w:rsid w:val="00351453"/>
    <w:rsid w:val="00351704"/>
    <w:rsid w:val="00351E29"/>
    <w:rsid w:val="00351F0D"/>
    <w:rsid w:val="003520DF"/>
    <w:rsid w:val="00352347"/>
    <w:rsid w:val="003530E5"/>
    <w:rsid w:val="00353EC9"/>
    <w:rsid w:val="00354339"/>
    <w:rsid w:val="00355254"/>
    <w:rsid w:val="003553C8"/>
    <w:rsid w:val="0035584A"/>
    <w:rsid w:val="00355FAD"/>
    <w:rsid w:val="0035667F"/>
    <w:rsid w:val="00357060"/>
    <w:rsid w:val="0035733D"/>
    <w:rsid w:val="003575D9"/>
    <w:rsid w:val="003578BE"/>
    <w:rsid w:val="00357ABE"/>
    <w:rsid w:val="00357BFE"/>
    <w:rsid w:val="00357DDB"/>
    <w:rsid w:val="00357FE7"/>
    <w:rsid w:val="00360328"/>
    <w:rsid w:val="0036072B"/>
    <w:rsid w:val="00360DAB"/>
    <w:rsid w:val="00360E38"/>
    <w:rsid w:val="00361023"/>
    <w:rsid w:val="003612DF"/>
    <w:rsid w:val="003613A1"/>
    <w:rsid w:val="0036178C"/>
    <w:rsid w:val="00362663"/>
    <w:rsid w:val="00362CF3"/>
    <w:rsid w:val="003638A8"/>
    <w:rsid w:val="003639D5"/>
    <w:rsid w:val="00364315"/>
    <w:rsid w:val="003645D6"/>
    <w:rsid w:val="003645FA"/>
    <w:rsid w:val="003647E8"/>
    <w:rsid w:val="003650AE"/>
    <w:rsid w:val="00365937"/>
    <w:rsid w:val="00365BD3"/>
    <w:rsid w:val="00365D67"/>
    <w:rsid w:val="00365E7E"/>
    <w:rsid w:val="0036647D"/>
    <w:rsid w:val="00366787"/>
    <w:rsid w:val="003668BE"/>
    <w:rsid w:val="0036705A"/>
    <w:rsid w:val="0036715D"/>
    <w:rsid w:val="00367269"/>
    <w:rsid w:val="003672A7"/>
    <w:rsid w:val="003674D8"/>
    <w:rsid w:val="00367843"/>
    <w:rsid w:val="00367BC7"/>
    <w:rsid w:val="0037033A"/>
    <w:rsid w:val="003706B7"/>
    <w:rsid w:val="00371A56"/>
    <w:rsid w:val="00372108"/>
    <w:rsid w:val="0037262E"/>
    <w:rsid w:val="00372700"/>
    <w:rsid w:val="00372E54"/>
    <w:rsid w:val="00373222"/>
    <w:rsid w:val="00373242"/>
    <w:rsid w:val="003733E8"/>
    <w:rsid w:val="00373967"/>
    <w:rsid w:val="00373A6E"/>
    <w:rsid w:val="00373C31"/>
    <w:rsid w:val="003742EA"/>
    <w:rsid w:val="003744DB"/>
    <w:rsid w:val="00374596"/>
    <w:rsid w:val="0037465B"/>
    <w:rsid w:val="0037549A"/>
    <w:rsid w:val="00375777"/>
    <w:rsid w:val="00375A58"/>
    <w:rsid w:val="003761F8"/>
    <w:rsid w:val="00376226"/>
    <w:rsid w:val="00377D24"/>
    <w:rsid w:val="003800DA"/>
    <w:rsid w:val="0038067A"/>
    <w:rsid w:val="00380927"/>
    <w:rsid w:val="00380C51"/>
    <w:rsid w:val="00381416"/>
    <w:rsid w:val="00381454"/>
    <w:rsid w:val="0038161D"/>
    <w:rsid w:val="00381792"/>
    <w:rsid w:val="00381A17"/>
    <w:rsid w:val="003820AC"/>
    <w:rsid w:val="00382D4A"/>
    <w:rsid w:val="003836C3"/>
    <w:rsid w:val="00383AE5"/>
    <w:rsid w:val="00383F8F"/>
    <w:rsid w:val="0038430A"/>
    <w:rsid w:val="00384D89"/>
    <w:rsid w:val="00384F7F"/>
    <w:rsid w:val="0038566E"/>
    <w:rsid w:val="00385ABC"/>
    <w:rsid w:val="00385EFD"/>
    <w:rsid w:val="003862CC"/>
    <w:rsid w:val="00386399"/>
    <w:rsid w:val="00386461"/>
    <w:rsid w:val="003864BC"/>
    <w:rsid w:val="00386622"/>
    <w:rsid w:val="00386D8D"/>
    <w:rsid w:val="00387213"/>
    <w:rsid w:val="00387B8C"/>
    <w:rsid w:val="00390430"/>
    <w:rsid w:val="00390B76"/>
    <w:rsid w:val="00390B9F"/>
    <w:rsid w:val="00390BE2"/>
    <w:rsid w:val="003910C9"/>
    <w:rsid w:val="0039113D"/>
    <w:rsid w:val="003913F9"/>
    <w:rsid w:val="003916CC"/>
    <w:rsid w:val="003919AE"/>
    <w:rsid w:val="00391E2E"/>
    <w:rsid w:val="00392C22"/>
    <w:rsid w:val="003930E0"/>
    <w:rsid w:val="00393325"/>
    <w:rsid w:val="00393688"/>
    <w:rsid w:val="003938A1"/>
    <w:rsid w:val="00393F7B"/>
    <w:rsid w:val="003942BA"/>
    <w:rsid w:val="00394587"/>
    <w:rsid w:val="00394992"/>
    <w:rsid w:val="00394C41"/>
    <w:rsid w:val="003952E0"/>
    <w:rsid w:val="0039582F"/>
    <w:rsid w:val="00395920"/>
    <w:rsid w:val="00395D5B"/>
    <w:rsid w:val="00395ECB"/>
    <w:rsid w:val="00395F71"/>
    <w:rsid w:val="0039630C"/>
    <w:rsid w:val="003967F8"/>
    <w:rsid w:val="00396A20"/>
    <w:rsid w:val="003972A3"/>
    <w:rsid w:val="003972D5"/>
    <w:rsid w:val="00397B09"/>
    <w:rsid w:val="00397FE5"/>
    <w:rsid w:val="003A0EE0"/>
    <w:rsid w:val="003A2075"/>
    <w:rsid w:val="003A2521"/>
    <w:rsid w:val="003A2726"/>
    <w:rsid w:val="003A27C5"/>
    <w:rsid w:val="003A2BC8"/>
    <w:rsid w:val="003A309E"/>
    <w:rsid w:val="003A334B"/>
    <w:rsid w:val="003A380A"/>
    <w:rsid w:val="003A3ED5"/>
    <w:rsid w:val="003A4511"/>
    <w:rsid w:val="003A4A1A"/>
    <w:rsid w:val="003A4BEB"/>
    <w:rsid w:val="003A53AE"/>
    <w:rsid w:val="003A5EAA"/>
    <w:rsid w:val="003A602C"/>
    <w:rsid w:val="003A65C8"/>
    <w:rsid w:val="003A65FB"/>
    <w:rsid w:val="003A66B5"/>
    <w:rsid w:val="003A66F3"/>
    <w:rsid w:val="003A6B14"/>
    <w:rsid w:val="003A75B6"/>
    <w:rsid w:val="003A7B9A"/>
    <w:rsid w:val="003A7D77"/>
    <w:rsid w:val="003B0CE5"/>
    <w:rsid w:val="003B198B"/>
    <w:rsid w:val="003B1A6C"/>
    <w:rsid w:val="003B2B66"/>
    <w:rsid w:val="003B41C5"/>
    <w:rsid w:val="003B4972"/>
    <w:rsid w:val="003B4B63"/>
    <w:rsid w:val="003B4BC6"/>
    <w:rsid w:val="003B4D96"/>
    <w:rsid w:val="003B4E95"/>
    <w:rsid w:val="003B5758"/>
    <w:rsid w:val="003B5BF1"/>
    <w:rsid w:val="003B5E5B"/>
    <w:rsid w:val="003B5FF3"/>
    <w:rsid w:val="003B6930"/>
    <w:rsid w:val="003B6C8E"/>
    <w:rsid w:val="003B73B4"/>
    <w:rsid w:val="003C0386"/>
    <w:rsid w:val="003C0E69"/>
    <w:rsid w:val="003C1045"/>
    <w:rsid w:val="003C108B"/>
    <w:rsid w:val="003C1A53"/>
    <w:rsid w:val="003C1BEF"/>
    <w:rsid w:val="003C21F7"/>
    <w:rsid w:val="003C3339"/>
    <w:rsid w:val="003C339A"/>
    <w:rsid w:val="003C40E7"/>
    <w:rsid w:val="003C4637"/>
    <w:rsid w:val="003C4F8D"/>
    <w:rsid w:val="003C5C21"/>
    <w:rsid w:val="003C5F9D"/>
    <w:rsid w:val="003C63B7"/>
    <w:rsid w:val="003C69E2"/>
    <w:rsid w:val="003C6DFC"/>
    <w:rsid w:val="003C7697"/>
    <w:rsid w:val="003C7CCF"/>
    <w:rsid w:val="003D048A"/>
    <w:rsid w:val="003D052B"/>
    <w:rsid w:val="003D09A0"/>
    <w:rsid w:val="003D0F14"/>
    <w:rsid w:val="003D0FA6"/>
    <w:rsid w:val="003D13AA"/>
    <w:rsid w:val="003D14EF"/>
    <w:rsid w:val="003D1580"/>
    <w:rsid w:val="003D17BB"/>
    <w:rsid w:val="003D1C8C"/>
    <w:rsid w:val="003D1DCF"/>
    <w:rsid w:val="003D2414"/>
    <w:rsid w:val="003D2831"/>
    <w:rsid w:val="003D2AB3"/>
    <w:rsid w:val="003D2E96"/>
    <w:rsid w:val="003D39E0"/>
    <w:rsid w:val="003D39E9"/>
    <w:rsid w:val="003D40D0"/>
    <w:rsid w:val="003D461C"/>
    <w:rsid w:val="003D5A45"/>
    <w:rsid w:val="003D5E9C"/>
    <w:rsid w:val="003D68E2"/>
    <w:rsid w:val="003D6BED"/>
    <w:rsid w:val="003D6DB4"/>
    <w:rsid w:val="003D7129"/>
    <w:rsid w:val="003D717A"/>
    <w:rsid w:val="003D75AA"/>
    <w:rsid w:val="003D75B9"/>
    <w:rsid w:val="003D7FC6"/>
    <w:rsid w:val="003E0701"/>
    <w:rsid w:val="003E0786"/>
    <w:rsid w:val="003E1276"/>
    <w:rsid w:val="003E148F"/>
    <w:rsid w:val="003E1A1D"/>
    <w:rsid w:val="003E1A21"/>
    <w:rsid w:val="003E203B"/>
    <w:rsid w:val="003E2096"/>
    <w:rsid w:val="003E2426"/>
    <w:rsid w:val="003E24B9"/>
    <w:rsid w:val="003E2809"/>
    <w:rsid w:val="003E2A66"/>
    <w:rsid w:val="003E2C8B"/>
    <w:rsid w:val="003E2D13"/>
    <w:rsid w:val="003E2F26"/>
    <w:rsid w:val="003E364C"/>
    <w:rsid w:val="003E3CCC"/>
    <w:rsid w:val="003E4302"/>
    <w:rsid w:val="003E4C38"/>
    <w:rsid w:val="003E4DC5"/>
    <w:rsid w:val="003E4E00"/>
    <w:rsid w:val="003E56E1"/>
    <w:rsid w:val="003E5952"/>
    <w:rsid w:val="003E624A"/>
    <w:rsid w:val="003E6863"/>
    <w:rsid w:val="003E6AD6"/>
    <w:rsid w:val="003E79E8"/>
    <w:rsid w:val="003E7C02"/>
    <w:rsid w:val="003E7F29"/>
    <w:rsid w:val="003F03D6"/>
    <w:rsid w:val="003F0879"/>
    <w:rsid w:val="003F0B3A"/>
    <w:rsid w:val="003F0EA5"/>
    <w:rsid w:val="003F1521"/>
    <w:rsid w:val="003F1959"/>
    <w:rsid w:val="003F1BFE"/>
    <w:rsid w:val="003F1C7E"/>
    <w:rsid w:val="003F2426"/>
    <w:rsid w:val="003F26E9"/>
    <w:rsid w:val="003F2DED"/>
    <w:rsid w:val="003F2E7A"/>
    <w:rsid w:val="003F3DE6"/>
    <w:rsid w:val="003F42DA"/>
    <w:rsid w:val="003F43F2"/>
    <w:rsid w:val="003F4547"/>
    <w:rsid w:val="003F494B"/>
    <w:rsid w:val="003F4A74"/>
    <w:rsid w:val="003F4E52"/>
    <w:rsid w:val="003F5D48"/>
    <w:rsid w:val="003F6357"/>
    <w:rsid w:val="003F6DCA"/>
    <w:rsid w:val="003F7620"/>
    <w:rsid w:val="003F7C93"/>
    <w:rsid w:val="00400250"/>
    <w:rsid w:val="0040113C"/>
    <w:rsid w:val="00401A35"/>
    <w:rsid w:val="00401FB3"/>
    <w:rsid w:val="00402094"/>
    <w:rsid w:val="00402134"/>
    <w:rsid w:val="004028F0"/>
    <w:rsid w:val="00402DF2"/>
    <w:rsid w:val="00402E93"/>
    <w:rsid w:val="00403223"/>
    <w:rsid w:val="004032B5"/>
    <w:rsid w:val="00403DE2"/>
    <w:rsid w:val="00404321"/>
    <w:rsid w:val="0040459C"/>
    <w:rsid w:val="00405725"/>
    <w:rsid w:val="00405D06"/>
    <w:rsid w:val="00405D11"/>
    <w:rsid w:val="00405DF9"/>
    <w:rsid w:val="004060F5"/>
    <w:rsid w:val="004064B8"/>
    <w:rsid w:val="004066D3"/>
    <w:rsid w:val="00406DFA"/>
    <w:rsid w:val="004074B7"/>
    <w:rsid w:val="00407677"/>
    <w:rsid w:val="00407D72"/>
    <w:rsid w:val="00410145"/>
    <w:rsid w:val="004107EF"/>
    <w:rsid w:val="0041102C"/>
    <w:rsid w:val="00411209"/>
    <w:rsid w:val="00411383"/>
    <w:rsid w:val="0041150A"/>
    <w:rsid w:val="00411546"/>
    <w:rsid w:val="00411742"/>
    <w:rsid w:val="004118EC"/>
    <w:rsid w:val="004119B7"/>
    <w:rsid w:val="00411AD1"/>
    <w:rsid w:val="0041235C"/>
    <w:rsid w:val="004123AB"/>
    <w:rsid w:val="00412475"/>
    <w:rsid w:val="00412565"/>
    <w:rsid w:val="00412A20"/>
    <w:rsid w:val="00412AB8"/>
    <w:rsid w:val="004131D8"/>
    <w:rsid w:val="004135F2"/>
    <w:rsid w:val="00414132"/>
    <w:rsid w:val="00414985"/>
    <w:rsid w:val="00414D76"/>
    <w:rsid w:val="004156DD"/>
    <w:rsid w:val="00415BCF"/>
    <w:rsid w:val="00415DCA"/>
    <w:rsid w:val="004164B0"/>
    <w:rsid w:val="00416666"/>
    <w:rsid w:val="00416811"/>
    <w:rsid w:val="004168E9"/>
    <w:rsid w:val="00416ECA"/>
    <w:rsid w:val="00417061"/>
    <w:rsid w:val="004176F0"/>
    <w:rsid w:val="00420446"/>
    <w:rsid w:val="0042093D"/>
    <w:rsid w:val="00420AD7"/>
    <w:rsid w:val="00421972"/>
    <w:rsid w:val="00421FB7"/>
    <w:rsid w:val="004220BE"/>
    <w:rsid w:val="004221C8"/>
    <w:rsid w:val="004222A3"/>
    <w:rsid w:val="0042251C"/>
    <w:rsid w:val="00422C43"/>
    <w:rsid w:val="00422F40"/>
    <w:rsid w:val="00422F8D"/>
    <w:rsid w:val="00423E67"/>
    <w:rsid w:val="0042461F"/>
    <w:rsid w:val="004249F1"/>
    <w:rsid w:val="00424D84"/>
    <w:rsid w:val="00424D8D"/>
    <w:rsid w:val="004251FC"/>
    <w:rsid w:val="00425310"/>
    <w:rsid w:val="00425AE3"/>
    <w:rsid w:val="004263C8"/>
    <w:rsid w:val="0042640C"/>
    <w:rsid w:val="00426559"/>
    <w:rsid w:val="004276E3"/>
    <w:rsid w:val="00427F63"/>
    <w:rsid w:val="0043073C"/>
    <w:rsid w:val="004308C2"/>
    <w:rsid w:val="00431401"/>
    <w:rsid w:val="00431418"/>
    <w:rsid w:val="00431438"/>
    <w:rsid w:val="00431AFD"/>
    <w:rsid w:val="00431C0A"/>
    <w:rsid w:val="0043204B"/>
    <w:rsid w:val="00432504"/>
    <w:rsid w:val="00432644"/>
    <w:rsid w:val="0043280E"/>
    <w:rsid w:val="00432AE4"/>
    <w:rsid w:val="00433058"/>
    <w:rsid w:val="0043399C"/>
    <w:rsid w:val="0043461D"/>
    <w:rsid w:val="00435006"/>
    <w:rsid w:val="0043543E"/>
    <w:rsid w:val="00435ACA"/>
    <w:rsid w:val="00435B28"/>
    <w:rsid w:val="00435ED8"/>
    <w:rsid w:val="00436690"/>
    <w:rsid w:val="00436918"/>
    <w:rsid w:val="004369E7"/>
    <w:rsid w:val="00436C5E"/>
    <w:rsid w:val="00437B43"/>
    <w:rsid w:val="00437B76"/>
    <w:rsid w:val="00437D37"/>
    <w:rsid w:val="00437F3D"/>
    <w:rsid w:val="00437F52"/>
    <w:rsid w:val="00440064"/>
    <w:rsid w:val="004407CE"/>
    <w:rsid w:val="00440901"/>
    <w:rsid w:val="00441751"/>
    <w:rsid w:val="00442B89"/>
    <w:rsid w:val="00442EF0"/>
    <w:rsid w:val="004430A6"/>
    <w:rsid w:val="00443C02"/>
    <w:rsid w:val="00443E87"/>
    <w:rsid w:val="00443FD7"/>
    <w:rsid w:val="00444290"/>
    <w:rsid w:val="00444471"/>
    <w:rsid w:val="0044476B"/>
    <w:rsid w:val="00444906"/>
    <w:rsid w:val="004450D4"/>
    <w:rsid w:val="00445817"/>
    <w:rsid w:val="00445DEB"/>
    <w:rsid w:val="004465D4"/>
    <w:rsid w:val="0044673B"/>
    <w:rsid w:val="004469CF"/>
    <w:rsid w:val="00446C23"/>
    <w:rsid w:val="004470C7"/>
    <w:rsid w:val="004471DB"/>
    <w:rsid w:val="00447532"/>
    <w:rsid w:val="004477CE"/>
    <w:rsid w:val="00447B8E"/>
    <w:rsid w:val="00447FD0"/>
    <w:rsid w:val="00450594"/>
    <w:rsid w:val="00450A47"/>
    <w:rsid w:val="004514B9"/>
    <w:rsid w:val="00451A82"/>
    <w:rsid w:val="004521A7"/>
    <w:rsid w:val="0045374C"/>
    <w:rsid w:val="00453CCF"/>
    <w:rsid w:val="00453D47"/>
    <w:rsid w:val="00453F92"/>
    <w:rsid w:val="00453FE5"/>
    <w:rsid w:val="00454620"/>
    <w:rsid w:val="00454BEA"/>
    <w:rsid w:val="00454FD7"/>
    <w:rsid w:val="0045570E"/>
    <w:rsid w:val="004559F1"/>
    <w:rsid w:val="00456C87"/>
    <w:rsid w:val="00457027"/>
    <w:rsid w:val="004572B1"/>
    <w:rsid w:val="0045AE54"/>
    <w:rsid w:val="0046019B"/>
    <w:rsid w:val="00460413"/>
    <w:rsid w:val="00460ECD"/>
    <w:rsid w:val="00461193"/>
    <w:rsid w:val="00461AAF"/>
    <w:rsid w:val="0046232A"/>
    <w:rsid w:val="00462422"/>
    <w:rsid w:val="00462821"/>
    <w:rsid w:val="00462A45"/>
    <w:rsid w:val="00462C5A"/>
    <w:rsid w:val="00462EAF"/>
    <w:rsid w:val="004633B9"/>
    <w:rsid w:val="00463635"/>
    <w:rsid w:val="00463761"/>
    <w:rsid w:val="00464602"/>
    <w:rsid w:val="00464A59"/>
    <w:rsid w:val="0046546B"/>
    <w:rsid w:val="00465661"/>
    <w:rsid w:val="00467636"/>
    <w:rsid w:val="004677D7"/>
    <w:rsid w:val="00467931"/>
    <w:rsid w:val="00467994"/>
    <w:rsid w:val="00467F98"/>
    <w:rsid w:val="00470DA7"/>
    <w:rsid w:val="00470FBE"/>
    <w:rsid w:val="004712B5"/>
    <w:rsid w:val="004714AF"/>
    <w:rsid w:val="00471AAE"/>
    <w:rsid w:val="00471C26"/>
    <w:rsid w:val="00472C12"/>
    <w:rsid w:val="0047368B"/>
    <w:rsid w:val="00473948"/>
    <w:rsid w:val="00473C38"/>
    <w:rsid w:val="00474856"/>
    <w:rsid w:val="004749DF"/>
    <w:rsid w:val="004749F1"/>
    <w:rsid w:val="00474AD7"/>
    <w:rsid w:val="00474C73"/>
    <w:rsid w:val="00474D6D"/>
    <w:rsid w:val="00474E9A"/>
    <w:rsid w:val="0047504C"/>
    <w:rsid w:val="0047505A"/>
    <w:rsid w:val="00475EE8"/>
    <w:rsid w:val="004763C1"/>
    <w:rsid w:val="00476A5A"/>
    <w:rsid w:val="004771D9"/>
    <w:rsid w:val="00477BE3"/>
    <w:rsid w:val="00477D66"/>
    <w:rsid w:val="00480373"/>
    <w:rsid w:val="0048052F"/>
    <w:rsid w:val="00480C37"/>
    <w:rsid w:val="00480C6E"/>
    <w:rsid w:val="00480CF7"/>
    <w:rsid w:val="00481131"/>
    <w:rsid w:val="0048123B"/>
    <w:rsid w:val="00481528"/>
    <w:rsid w:val="0048164B"/>
    <w:rsid w:val="00481B6A"/>
    <w:rsid w:val="004821B6"/>
    <w:rsid w:val="00482B84"/>
    <w:rsid w:val="004833A5"/>
    <w:rsid w:val="0048349B"/>
    <w:rsid w:val="00483906"/>
    <w:rsid w:val="004845CA"/>
    <w:rsid w:val="00484689"/>
    <w:rsid w:val="00484860"/>
    <w:rsid w:val="00484AB0"/>
    <w:rsid w:val="00484D86"/>
    <w:rsid w:val="004850A8"/>
    <w:rsid w:val="0048515A"/>
    <w:rsid w:val="0048529F"/>
    <w:rsid w:val="00485728"/>
    <w:rsid w:val="0048596E"/>
    <w:rsid w:val="0048628D"/>
    <w:rsid w:val="004862D7"/>
    <w:rsid w:val="004865C9"/>
    <w:rsid w:val="00486DC9"/>
    <w:rsid w:val="00486F91"/>
    <w:rsid w:val="0048753C"/>
    <w:rsid w:val="00487AD8"/>
    <w:rsid w:val="00491F2D"/>
    <w:rsid w:val="00491FB5"/>
    <w:rsid w:val="0049206D"/>
    <w:rsid w:val="00492470"/>
    <w:rsid w:val="00492517"/>
    <w:rsid w:val="0049267E"/>
    <w:rsid w:val="004927B6"/>
    <w:rsid w:val="004937E9"/>
    <w:rsid w:val="00493F66"/>
    <w:rsid w:val="004942AD"/>
    <w:rsid w:val="00494433"/>
    <w:rsid w:val="00494FCC"/>
    <w:rsid w:val="00494FF4"/>
    <w:rsid w:val="00495E05"/>
    <w:rsid w:val="00495FD9"/>
    <w:rsid w:val="0049651C"/>
    <w:rsid w:val="004966AC"/>
    <w:rsid w:val="0049693E"/>
    <w:rsid w:val="00496B9D"/>
    <w:rsid w:val="00497383"/>
    <w:rsid w:val="00497AD9"/>
    <w:rsid w:val="004A04C7"/>
    <w:rsid w:val="004A04CB"/>
    <w:rsid w:val="004A068E"/>
    <w:rsid w:val="004A078F"/>
    <w:rsid w:val="004A0FA4"/>
    <w:rsid w:val="004A1C37"/>
    <w:rsid w:val="004A1EA7"/>
    <w:rsid w:val="004A3171"/>
    <w:rsid w:val="004A341E"/>
    <w:rsid w:val="004A4DF8"/>
    <w:rsid w:val="004A5022"/>
    <w:rsid w:val="004A510F"/>
    <w:rsid w:val="004A53D0"/>
    <w:rsid w:val="004A6F3D"/>
    <w:rsid w:val="004A70C1"/>
    <w:rsid w:val="004A786D"/>
    <w:rsid w:val="004A793A"/>
    <w:rsid w:val="004A7F77"/>
    <w:rsid w:val="004A7FEF"/>
    <w:rsid w:val="004B1EDE"/>
    <w:rsid w:val="004B2372"/>
    <w:rsid w:val="004B23CC"/>
    <w:rsid w:val="004B2B4A"/>
    <w:rsid w:val="004B3128"/>
    <w:rsid w:val="004B3EF3"/>
    <w:rsid w:val="004B4027"/>
    <w:rsid w:val="004B405A"/>
    <w:rsid w:val="004B4C7F"/>
    <w:rsid w:val="004B532A"/>
    <w:rsid w:val="004B6283"/>
    <w:rsid w:val="004B64A7"/>
    <w:rsid w:val="004B6CEA"/>
    <w:rsid w:val="004B70BF"/>
    <w:rsid w:val="004B7F75"/>
    <w:rsid w:val="004C023B"/>
    <w:rsid w:val="004C0632"/>
    <w:rsid w:val="004C0B81"/>
    <w:rsid w:val="004C0F84"/>
    <w:rsid w:val="004C1785"/>
    <w:rsid w:val="004C18E8"/>
    <w:rsid w:val="004C2476"/>
    <w:rsid w:val="004C251A"/>
    <w:rsid w:val="004C27E6"/>
    <w:rsid w:val="004C2B76"/>
    <w:rsid w:val="004C2FDE"/>
    <w:rsid w:val="004C311C"/>
    <w:rsid w:val="004C361C"/>
    <w:rsid w:val="004C4081"/>
    <w:rsid w:val="004C4208"/>
    <w:rsid w:val="004C481E"/>
    <w:rsid w:val="004C4A14"/>
    <w:rsid w:val="004C4C41"/>
    <w:rsid w:val="004C59E4"/>
    <w:rsid w:val="004C5B87"/>
    <w:rsid w:val="004C5BF9"/>
    <w:rsid w:val="004C5BFD"/>
    <w:rsid w:val="004C5D91"/>
    <w:rsid w:val="004C615C"/>
    <w:rsid w:val="004C6765"/>
    <w:rsid w:val="004C68E1"/>
    <w:rsid w:val="004C6A1A"/>
    <w:rsid w:val="004C6DFE"/>
    <w:rsid w:val="004C7608"/>
    <w:rsid w:val="004C789E"/>
    <w:rsid w:val="004C7C20"/>
    <w:rsid w:val="004C7CE4"/>
    <w:rsid w:val="004C7DBB"/>
    <w:rsid w:val="004C99F3"/>
    <w:rsid w:val="004D003C"/>
    <w:rsid w:val="004D0269"/>
    <w:rsid w:val="004D06B6"/>
    <w:rsid w:val="004D0D9B"/>
    <w:rsid w:val="004D1153"/>
    <w:rsid w:val="004D1506"/>
    <w:rsid w:val="004D1A6D"/>
    <w:rsid w:val="004D1D5C"/>
    <w:rsid w:val="004D1FBF"/>
    <w:rsid w:val="004D268F"/>
    <w:rsid w:val="004D26EE"/>
    <w:rsid w:val="004D284B"/>
    <w:rsid w:val="004D2ADD"/>
    <w:rsid w:val="004D2F3B"/>
    <w:rsid w:val="004D36CC"/>
    <w:rsid w:val="004D386E"/>
    <w:rsid w:val="004D3ACE"/>
    <w:rsid w:val="004D3E7C"/>
    <w:rsid w:val="004D3EBF"/>
    <w:rsid w:val="004D4668"/>
    <w:rsid w:val="004D48AF"/>
    <w:rsid w:val="004D4BCE"/>
    <w:rsid w:val="004D5E00"/>
    <w:rsid w:val="004D5F88"/>
    <w:rsid w:val="004D7FC1"/>
    <w:rsid w:val="004E0200"/>
    <w:rsid w:val="004E0372"/>
    <w:rsid w:val="004E0711"/>
    <w:rsid w:val="004E0A8E"/>
    <w:rsid w:val="004E0CB6"/>
    <w:rsid w:val="004E1B18"/>
    <w:rsid w:val="004E27E2"/>
    <w:rsid w:val="004E281D"/>
    <w:rsid w:val="004E28BA"/>
    <w:rsid w:val="004E2B5C"/>
    <w:rsid w:val="004E2C4C"/>
    <w:rsid w:val="004E2DAB"/>
    <w:rsid w:val="004E2E0B"/>
    <w:rsid w:val="004E2E7E"/>
    <w:rsid w:val="004E2E89"/>
    <w:rsid w:val="004E34CF"/>
    <w:rsid w:val="004E3576"/>
    <w:rsid w:val="004E3900"/>
    <w:rsid w:val="004E4429"/>
    <w:rsid w:val="004E4BDF"/>
    <w:rsid w:val="004E56F0"/>
    <w:rsid w:val="004E5ECF"/>
    <w:rsid w:val="004E6213"/>
    <w:rsid w:val="004E6FFA"/>
    <w:rsid w:val="004E7016"/>
    <w:rsid w:val="004E73D5"/>
    <w:rsid w:val="004E7700"/>
    <w:rsid w:val="004E7954"/>
    <w:rsid w:val="004E7C6B"/>
    <w:rsid w:val="004E7E8B"/>
    <w:rsid w:val="004F072F"/>
    <w:rsid w:val="004F0AC6"/>
    <w:rsid w:val="004F1152"/>
    <w:rsid w:val="004F27C7"/>
    <w:rsid w:val="004F283D"/>
    <w:rsid w:val="004F291B"/>
    <w:rsid w:val="004F2A75"/>
    <w:rsid w:val="004F2B34"/>
    <w:rsid w:val="004F2E65"/>
    <w:rsid w:val="004F32CB"/>
    <w:rsid w:val="004F3495"/>
    <w:rsid w:val="004F34AB"/>
    <w:rsid w:val="004F36A1"/>
    <w:rsid w:val="004F3757"/>
    <w:rsid w:val="004F4088"/>
    <w:rsid w:val="004F5115"/>
    <w:rsid w:val="004F5D05"/>
    <w:rsid w:val="004F60F7"/>
    <w:rsid w:val="004F6141"/>
    <w:rsid w:val="004F66EF"/>
    <w:rsid w:val="004F69ED"/>
    <w:rsid w:val="004F6A5E"/>
    <w:rsid w:val="004F6BE9"/>
    <w:rsid w:val="004F6E1A"/>
    <w:rsid w:val="004F7056"/>
    <w:rsid w:val="004F747E"/>
    <w:rsid w:val="004F7A8E"/>
    <w:rsid w:val="00500022"/>
    <w:rsid w:val="00500184"/>
    <w:rsid w:val="005009F9"/>
    <w:rsid w:val="00501B13"/>
    <w:rsid w:val="0050203A"/>
    <w:rsid w:val="005020BA"/>
    <w:rsid w:val="0050308E"/>
    <w:rsid w:val="005032A2"/>
    <w:rsid w:val="00503310"/>
    <w:rsid w:val="00503CA3"/>
    <w:rsid w:val="00503FDA"/>
    <w:rsid w:val="00504014"/>
    <w:rsid w:val="00504E78"/>
    <w:rsid w:val="00505728"/>
    <w:rsid w:val="00505842"/>
    <w:rsid w:val="0050607B"/>
    <w:rsid w:val="00506099"/>
    <w:rsid w:val="00506631"/>
    <w:rsid w:val="00506AD4"/>
    <w:rsid w:val="0050705F"/>
    <w:rsid w:val="0050733A"/>
    <w:rsid w:val="005077FA"/>
    <w:rsid w:val="00507DD3"/>
    <w:rsid w:val="00507E84"/>
    <w:rsid w:val="00510075"/>
    <w:rsid w:val="00510677"/>
    <w:rsid w:val="0051067D"/>
    <w:rsid w:val="0051090D"/>
    <w:rsid w:val="00510A9F"/>
    <w:rsid w:val="00510BBF"/>
    <w:rsid w:val="00511166"/>
    <w:rsid w:val="00511692"/>
    <w:rsid w:val="00511711"/>
    <w:rsid w:val="00511C7F"/>
    <w:rsid w:val="0051297A"/>
    <w:rsid w:val="00512D24"/>
    <w:rsid w:val="00513050"/>
    <w:rsid w:val="0051316E"/>
    <w:rsid w:val="00513599"/>
    <w:rsid w:val="00513672"/>
    <w:rsid w:val="00513C11"/>
    <w:rsid w:val="00513D80"/>
    <w:rsid w:val="00513E61"/>
    <w:rsid w:val="00513EE0"/>
    <w:rsid w:val="00514D4F"/>
    <w:rsid w:val="00514F77"/>
    <w:rsid w:val="00515ED3"/>
    <w:rsid w:val="00516117"/>
    <w:rsid w:val="005161AA"/>
    <w:rsid w:val="00516345"/>
    <w:rsid w:val="00516D0E"/>
    <w:rsid w:val="005170E6"/>
    <w:rsid w:val="00517407"/>
    <w:rsid w:val="005176AF"/>
    <w:rsid w:val="00517DFD"/>
    <w:rsid w:val="00520096"/>
    <w:rsid w:val="00520621"/>
    <w:rsid w:val="00520762"/>
    <w:rsid w:val="0052131A"/>
    <w:rsid w:val="00521866"/>
    <w:rsid w:val="005218B3"/>
    <w:rsid w:val="00521A28"/>
    <w:rsid w:val="00521D0F"/>
    <w:rsid w:val="00522548"/>
    <w:rsid w:val="005230CD"/>
    <w:rsid w:val="005230ED"/>
    <w:rsid w:val="005233DC"/>
    <w:rsid w:val="005238A4"/>
    <w:rsid w:val="00523D80"/>
    <w:rsid w:val="00523E54"/>
    <w:rsid w:val="00523F1B"/>
    <w:rsid w:val="005246E5"/>
    <w:rsid w:val="005247C1"/>
    <w:rsid w:val="005259FA"/>
    <w:rsid w:val="00525CC7"/>
    <w:rsid w:val="00526878"/>
    <w:rsid w:val="005268B1"/>
    <w:rsid w:val="00527195"/>
    <w:rsid w:val="00527223"/>
    <w:rsid w:val="0053040B"/>
    <w:rsid w:val="00530737"/>
    <w:rsid w:val="00530EB3"/>
    <w:rsid w:val="00531379"/>
    <w:rsid w:val="00531904"/>
    <w:rsid w:val="00531E1C"/>
    <w:rsid w:val="005320BA"/>
    <w:rsid w:val="005325F1"/>
    <w:rsid w:val="0053289F"/>
    <w:rsid w:val="005328A2"/>
    <w:rsid w:val="00532CCA"/>
    <w:rsid w:val="00532D80"/>
    <w:rsid w:val="00532E8B"/>
    <w:rsid w:val="00532E99"/>
    <w:rsid w:val="00532F25"/>
    <w:rsid w:val="00533023"/>
    <w:rsid w:val="00533097"/>
    <w:rsid w:val="005334B5"/>
    <w:rsid w:val="0053422F"/>
    <w:rsid w:val="0053438B"/>
    <w:rsid w:val="005349AC"/>
    <w:rsid w:val="00534F1E"/>
    <w:rsid w:val="00534FFE"/>
    <w:rsid w:val="0053505F"/>
    <w:rsid w:val="00536343"/>
    <w:rsid w:val="005366CA"/>
    <w:rsid w:val="00536858"/>
    <w:rsid w:val="0053697A"/>
    <w:rsid w:val="005369DB"/>
    <w:rsid w:val="00536ABD"/>
    <w:rsid w:val="00536BF1"/>
    <w:rsid w:val="00537D00"/>
    <w:rsid w:val="00541263"/>
    <w:rsid w:val="00541CD3"/>
    <w:rsid w:val="00542589"/>
    <w:rsid w:val="00542D8B"/>
    <w:rsid w:val="00542E97"/>
    <w:rsid w:val="00543186"/>
    <w:rsid w:val="00543BC2"/>
    <w:rsid w:val="00544188"/>
    <w:rsid w:val="00544A0B"/>
    <w:rsid w:val="00545455"/>
    <w:rsid w:val="005454B6"/>
    <w:rsid w:val="005455EE"/>
    <w:rsid w:val="00545AD6"/>
    <w:rsid w:val="005465FC"/>
    <w:rsid w:val="00546B2A"/>
    <w:rsid w:val="005475DA"/>
    <w:rsid w:val="00547610"/>
    <w:rsid w:val="00547FA4"/>
    <w:rsid w:val="00550185"/>
    <w:rsid w:val="00550242"/>
    <w:rsid w:val="00550598"/>
    <w:rsid w:val="00550811"/>
    <w:rsid w:val="00550DA5"/>
    <w:rsid w:val="00550F98"/>
    <w:rsid w:val="00551119"/>
    <w:rsid w:val="005511CB"/>
    <w:rsid w:val="005513C2"/>
    <w:rsid w:val="005514A5"/>
    <w:rsid w:val="0055195E"/>
    <w:rsid w:val="005521DA"/>
    <w:rsid w:val="00552354"/>
    <w:rsid w:val="00552A48"/>
    <w:rsid w:val="00553941"/>
    <w:rsid w:val="00553CF0"/>
    <w:rsid w:val="00553F76"/>
    <w:rsid w:val="005542BC"/>
    <w:rsid w:val="005545FA"/>
    <w:rsid w:val="00554E6E"/>
    <w:rsid w:val="005552D2"/>
    <w:rsid w:val="005556F5"/>
    <w:rsid w:val="00555D53"/>
    <w:rsid w:val="00556034"/>
    <w:rsid w:val="0055640A"/>
    <w:rsid w:val="0055654D"/>
    <w:rsid w:val="00557252"/>
    <w:rsid w:val="00557543"/>
    <w:rsid w:val="00560139"/>
    <w:rsid w:val="00560733"/>
    <w:rsid w:val="005607F6"/>
    <w:rsid w:val="005608B6"/>
    <w:rsid w:val="00560CCF"/>
    <w:rsid w:val="00560E5C"/>
    <w:rsid w:val="005613E1"/>
    <w:rsid w:val="00561881"/>
    <w:rsid w:val="005619F4"/>
    <w:rsid w:val="0056204C"/>
    <w:rsid w:val="00562146"/>
    <w:rsid w:val="005623B1"/>
    <w:rsid w:val="00562516"/>
    <w:rsid w:val="005627F0"/>
    <w:rsid w:val="005631E7"/>
    <w:rsid w:val="005635A3"/>
    <w:rsid w:val="00563CFF"/>
    <w:rsid w:val="00564560"/>
    <w:rsid w:val="00565989"/>
    <w:rsid w:val="005660BE"/>
    <w:rsid w:val="00566127"/>
    <w:rsid w:val="00566408"/>
    <w:rsid w:val="0056687C"/>
    <w:rsid w:val="00566B06"/>
    <w:rsid w:val="005671E4"/>
    <w:rsid w:val="00567451"/>
    <w:rsid w:val="00567765"/>
    <w:rsid w:val="0057026E"/>
    <w:rsid w:val="005704B3"/>
    <w:rsid w:val="005709E2"/>
    <w:rsid w:val="00570A62"/>
    <w:rsid w:val="00570F32"/>
    <w:rsid w:val="00571325"/>
    <w:rsid w:val="005714E2"/>
    <w:rsid w:val="00571540"/>
    <w:rsid w:val="0057154A"/>
    <w:rsid w:val="00571757"/>
    <w:rsid w:val="00571961"/>
    <w:rsid w:val="005719F9"/>
    <w:rsid w:val="0057209D"/>
    <w:rsid w:val="005722AF"/>
    <w:rsid w:val="00572509"/>
    <w:rsid w:val="005726CE"/>
    <w:rsid w:val="005726DC"/>
    <w:rsid w:val="00572710"/>
    <w:rsid w:val="0057298A"/>
    <w:rsid w:val="00573187"/>
    <w:rsid w:val="00573346"/>
    <w:rsid w:val="00573421"/>
    <w:rsid w:val="0057398B"/>
    <w:rsid w:val="00574377"/>
    <w:rsid w:val="00574545"/>
    <w:rsid w:val="00574589"/>
    <w:rsid w:val="00574937"/>
    <w:rsid w:val="00575698"/>
    <w:rsid w:val="005760CE"/>
    <w:rsid w:val="00576778"/>
    <w:rsid w:val="005767F1"/>
    <w:rsid w:val="0057777F"/>
    <w:rsid w:val="005803CF"/>
    <w:rsid w:val="00581AB2"/>
    <w:rsid w:val="00581EFA"/>
    <w:rsid w:val="005820CA"/>
    <w:rsid w:val="005822F5"/>
    <w:rsid w:val="00582965"/>
    <w:rsid w:val="00583A04"/>
    <w:rsid w:val="0058402E"/>
    <w:rsid w:val="00584468"/>
    <w:rsid w:val="0058513E"/>
    <w:rsid w:val="00585368"/>
    <w:rsid w:val="0058540F"/>
    <w:rsid w:val="005854D4"/>
    <w:rsid w:val="0058572E"/>
    <w:rsid w:val="00586952"/>
    <w:rsid w:val="00587037"/>
    <w:rsid w:val="00587EA1"/>
    <w:rsid w:val="00587F02"/>
    <w:rsid w:val="005901B5"/>
    <w:rsid w:val="0059093B"/>
    <w:rsid w:val="005927CB"/>
    <w:rsid w:val="005929AF"/>
    <w:rsid w:val="00592D4A"/>
    <w:rsid w:val="00593078"/>
    <w:rsid w:val="005939D7"/>
    <w:rsid w:val="00594C1E"/>
    <w:rsid w:val="0059534B"/>
    <w:rsid w:val="0059534C"/>
    <w:rsid w:val="0059565E"/>
    <w:rsid w:val="00595909"/>
    <w:rsid w:val="00595B15"/>
    <w:rsid w:val="00595B29"/>
    <w:rsid w:val="00595C17"/>
    <w:rsid w:val="00595D49"/>
    <w:rsid w:val="00595DD2"/>
    <w:rsid w:val="005963B4"/>
    <w:rsid w:val="00596474"/>
    <w:rsid w:val="005964B2"/>
    <w:rsid w:val="00596C11"/>
    <w:rsid w:val="00597177"/>
    <w:rsid w:val="005972CA"/>
    <w:rsid w:val="00597414"/>
    <w:rsid w:val="005978F5"/>
    <w:rsid w:val="00597CD7"/>
    <w:rsid w:val="005A0231"/>
    <w:rsid w:val="005A05AC"/>
    <w:rsid w:val="005A07E2"/>
    <w:rsid w:val="005A0C83"/>
    <w:rsid w:val="005A1E5E"/>
    <w:rsid w:val="005A232E"/>
    <w:rsid w:val="005A2D3C"/>
    <w:rsid w:val="005A2ED7"/>
    <w:rsid w:val="005A3AE1"/>
    <w:rsid w:val="005A3FAB"/>
    <w:rsid w:val="005A4051"/>
    <w:rsid w:val="005A4329"/>
    <w:rsid w:val="005A442B"/>
    <w:rsid w:val="005A48F1"/>
    <w:rsid w:val="005A4C3E"/>
    <w:rsid w:val="005A4FF2"/>
    <w:rsid w:val="005A50F7"/>
    <w:rsid w:val="005A5864"/>
    <w:rsid w:val="005A5D8B"/>
    <w:rsid w:val="005A60F1"/>
    <w:rsid w:val="005A67B6"/>
    <w:rsid w:val="005A69E4"/>
    <w:rsid w:val="005A72CF"/>
    <w:rsid w:val="005A7578"/>
    <w:rsid w:val="005A7E10"/>
    <w:rsid w:val="005A7E67"/>
    <w:rsid w:val="005A7EE3"/>
    <w:rsid w:val="005A8A92"/>
    <w:rsid w:val="005B01D0"/>
    <w:rsid w:val="005B0783"/>
    <w:rsid w:val="005B07FF"/>
    <w:rsid w:val="005B081B"/>
    <w:rsid w:val="005B0FD1"/>
    <w:rsid w:val="005B101E"/>
    <w:rsid w:val="005B14A2"/>
    <w:rsid w:val="005B14EB"/>
    <w:rsid w:val="005B1F38"/>
    <w:rsid w:val="005B2364"/>
    <w:rsid w:val="005B24F2"/>
    <w:rsid w:val="005B2C50"/>
    <w:rsid w:val="005B2D74"/>
    <w:rsid w:val="005B2F46"/>
    <w:rsid w:val="005B39A0"/>
    <w:rsid w:val="005B593B"/>
    <w:rsid w:val="005B6600"/>
    <w:rsid w:val="005B682E"/>
    <w:rsid w:val="005B77C7"/>
    <w:rsid w:val="005B79AB"/>
    <w:rsid w:val="005B7AF4"/>
    <w:rsid w:val="005C0016"/>
    <w:rsid w:val="005C011C"/>
    <w:rsid w:val="005C01B0"/>
    <w:rsid w:val="005C08F0"/>
    <w:rsid w:val="005C0940"/>
    <w:rsid w:val="005C0990"/>
    <w:rsid w:val="005C1D81"/>
    <w:rsid w:val="005C2273"/>
    <w:rsid w:val="005C2A3E"/>
    <w:rsid w:val="005C2CB5"/>
    <w:rsid w:val="005C3180"/>
    <w:rsid w:val="005C3295"/>
    <w:rsid w:val="005C35B8"/>
    <w:rsid w:val="005C3C82"/>
    <w:rsid w:val="005C3EBC"/>
    <w:rsid w:val="005C42A9"/>
    <w:rsid w:val="005C438B"/>
    <w:rsid w:val="005C4593"/>
    <w:rsid w:val="005C5289"/>
    <w:rsid w:val="005C5E25"/>
    <w:rsid w:val="005C5FF7"/>
    <w:rsid w:val="005C613C"/>
    <w:rsid w:val="005C614E"/>
    <w:rsid w:val="005C6516"/>
    <w:rsid w:val="005C656F"/>
    <w:rsid w:val="005C6657"/>
    <w:rsid w:val="005C6816"/>
    <w:rsid w:val="005C6D01"/>
    <w:rsid w:val="005C6E77"/>
    <w:rsid w:val="005C7489"/>
    <w:rsid w:val="005C7518"/>
    <w:rsid w:val="005C7788"/>
    <w:rsid w:val="005C792E"/>
    <w:rsid w:val="005C7BCB"/>
    <w:rsid w:val="005C7C7B"/>
    <w:rsid w:val="005C7F51"/>
    <w:rsid w:val="005D0C58"/>
    <w:rsid w:val="005D1822"/>
    <w:rsid w:val="005D1F77"/>
    <w:rsid w:val="005D244A"/>
    <w:rsid w:val="005D2865"/>
    <w:rsid w:val="005D2CB3"/>
    <w:rsid w:val="005D35F4"/>
    <w:rsid w:val="005D3FDA"/>
    <w:rsid w:val="005D48CA"/>
    <w:rsid w:val="005D4CC3"/>
    <w:rsid w:val="005D4E66"/>
    <w:rsid w:val="005D4E94"/>
    <w:rsid w:val="005D63C2"/>
    <w:rsid w:val="005D6866"/>
    <w:rsid w:val="005D6B8C"/>
    <w:rsid w:val="005D71E6"/>
    <w:rsid w:val="005D787A"/>
    <w:rsid w:val="005D78C0"/>
    <w:rsid w:val="005D7972"/>
    <w:rsid w:val="005E0139"/>
    <w:rsid w:val="005E04A7"/>
    <w:rsid w:val="005E077C"/>
    <w:rsid w:val="005E132B"/>
    <w:rsid w:val="005E228B"/>
    <w:rsid w:val="005E2EFB"/>
    <w:rsid w:val="005E30D1"/>
    <w:rsid w:val="005E31F7"/>
    <w:rsid w:val="005E3496"/>
    <w:rsid w:val="005E3D56"/>
    <w:rsid w:val="005E4BF8"/>
    <w:rsid w:val="005E5087"/>
    <w:rsid w:val="005E512C"/>
    <w:rsid w:val="005E5227"/>
    <w:rsid w:val="005E52EA"/>
    <w:rsid w:val="005E59B4"/>
    <w:rsid w:val="005E5A8E"/>
    <w:rsid w:val="005E5BA5"/>
    <w:rsid w:val="005E5CF0"/>
    <w:rsid w:val="005E6A0E"/>
    <w:rsid w:val="005E6A50"/>
    <w:rsid w:val="005E7067"/>
    <w:rsid w:val="005E7633"/>
    <w:rsid w:val="005F0AA4"/>
    <w:rsid w:val="005F0DAF"/>
    <w:rsid w:val="005F0EB1"/>
    <w:rsid w:val="005F0EF6"/>
    <w:rsid w:val="005F197F"/>
    <w:rsid w:val="005F2029"/>
    <w:rsid w:val="005F27B5"/>
    <w:rsid w:val="005F2A0E"/>
    <w:rsid w:val="005F2CF5"/>
    <w:rsid w:val="005F34A9"/>
    <w:rsid w:val="005F3594"/>
    <w:rsid w:val="005F3C7F"/>
    <w:rsid w:val="005F3CAF"/>
    <w:rsid w:val="005F563A"/>
    <w:rsid w:val="005F569C"/>
    <w:rsid w:val="005F5872"/>
    <w:rsid w:val="005F59EE"/>
    <w:rsid w:val="005F5CAF"/>
    <w:rsid w:val="005F607C"/>
    <w:rsid w:val="005F60A4"/>
    <w:rsid w:val="005F69DA"/>
    <w:rsid w:val="005F6C6E"/>
    <w:rsid w:val="005F7158"/>
    <w:rsid w:val="005F77E0"/>
    <w:rsid w:val="005F78B6"/>
    <w:rsid w:val="005F7DB5"/>
    <w:rsid w:val="005F7EC2"/>
    <w:rsid w:val="0060039C"/>
    <w:rsid w:val="00600D90"/>
    <w:rsid w:val="00600FE5"/>
    <w:rsid w:val="0060127A"/>
    <w:rsid w:val="00601EAE"/>
    <w:rsid w:val="006026F8"/>
    <w:rsid w:val="006028DD"/>
    <w:rsid w:val="00602B70"/>
    <w:rsid w:val="00602C48"/>
    <w:rsid w:val="006031B5"/>
    <w:rsid w:val="00603665"/>
    <w:rsid w:val="006036B3"/>
    <w:rsid w:val="006037B9"/>
    <w:rsid w:val="006039B2"/>
    <w:rsid w:val="006040BB"/>
    <w:rsid w:val="006041B7"/>
    <w:rsid w:val="0060432F"/>
    <w:rsid w:val="00604478"/>
    <w:rsid w:val="0060471B"/>
    <w:rsid w:val="006051CA"/>
    <w:rsid w:val="006053AD"/>
    <w:rsid w:val="0060580B"/>
    <w:rsid w:val="006058E4"/>
    <w:rsid w:val="00605A96"/>
    <w:rsid w:val="0061070F"/>
    <w:rsid w:val="00610A01"/>
    <w:rsid w:val="00610B8E"/>
    <w:rsid w:val="00610BA0"/>
    <w:rsid w:val="006113BD"/>
    <w:rsid w:val="00611C5E"/>
    <w:rsid w:val="00611D00"/>
    <w:rsid w:val="00612C7D"/>
    <w:rsid w:val="006131AF"/>
    <w:rsid w:val="00613F6E"/>
    <w:rsid w:val="0061571F"/>
    <w:rsid w:val="00615902"/>
    <w:rsid w:val="00615CE8"/>
    <w:rsid w:val="00615D70"/>
    <w:rsid w:val="00616210"/>
    <w:rsid w:val="00616466"/>
    <w:rsid w:val="006166BA"/>
    <w:rsid w:val="00616A38"/>
    <w:rsid w:val="006202EC"/>
    <w:rsid w:val="00620AC7"/>
    <w:rsid w:val="00620B5D"/>
    <w:rsid w:val="00621266"/>
    <w:rsid w:val="00622ED6"/>
    <w:rsid w:val="00623031"/>
    <w:rsid w:val="00623991"/>
    <w:rsid w:val="00623D0E"/>
    <w:rsid w:val="00623F81"/>
    <w:rsid w:val="00624164"/>
    <w:rsid w:val="00624489"/>
    <w:rsid w:val="00624515"/>
    <w:rsid w:val="00624580"/>
    <w:rsid w:val="006248E4"/>
    <w:rsid w:val="00624AAE"/>
    <w:rsid w:val="00624E78"/>
    <w:rsid w:val="006250CD"/>
    <w:rsid w:val="006251CF"/>
    <w:rsid w:val="00625316"/>
    <w:rsid w:val="00625A68"/>
    <w:rsid w:val="00625E44"/>
    <w:rsid w:val="0062601A"/>
    <w:rsid w:val="006261D0"/>
    <w:rsid w:val="00626910"/>
    <w:rsid w:val="00626C2B"/>
    <w:rsid w:val="00626E66"/>
    <w:rsid w:val="00626F54"/>
    <w:rsid w:val="0062751F"/>
    <w:rsid w:val="006277A5"/>
    <w:rsid w:val="00627BED"/>
    <w:rsid w:val="00627C78"/>
    <w:rsid w:val="0063086A"/>
    <w:rsid w:val="00630996"/>
    <w:rsid w:val="00630A55"/>
    <w:rsid w:val="00630F37"/>
    <w:rsid w:val="00631231"/>
    <w:rsid w:val="006312A1"/>
    <w:rsid w:val="00631490"/>
    <w:rsid w:val="00631AE6"/>
    <w:rsid w:val="006321FB"/>
    <w:rsid w:val="00632754"/>
    <w:rsid w:val="00632A86"/>
    <w:rsid w:val="00632D7A"/>
    <w:rsid w:val="006331A7"/>
    <w:rsid w:val="00633797"/>
    <w:rsid w:val="0063393A"/>
    <w:rsid w:val="00633D8C"/>
    <w:rsid w:val="00634D1A"/>
    <w:rsid w:val="0063536D"/>
    <w:rsid w:val="006353FE"/>
    <w:rsid w:val="0063555A"/>
    <w:rsid w:val="00635A13"/>
    <w:rsid w:val="0063606F"/>
    <w:rsid w:val="00636B5A"/>
    <w:rsid w:val="00636BD1"/>
    <w:rsid w:val="00636E60"/>
    <w:rsid w:val="00637919"/>
    <w:rsid w:val="00637AD0"/>
    <w:rsid w:val="0064004E"/>
    <w:rsid w:val="00641217"/>
    <w:rsid w:val="0064145E"/>
    <w:rsid w:val="006425C5"/>
    <w:rsid w:val="00642B50"/>
    <w:rsid w:val="00642BE5"/>
    <w:rsid w:val="0064355B"/>
    <w:rsid w:val="00643B2C"/>
    <w:rsid w:val="006441FE"/>
    <w:rsid w:val="006447E6"/>
    <w:rsid w:val="00644BC7"/>
    <w:rsid w:val="00645109"/>
    <w:rsid w:val="00645246"/>
    <w:rsid w:val="006455A1"/>
    <w:rsid w:val="0064572B"/>
    <w:rsid w:val="00645F29"/>
    <w:rsid w:val="00646408"/>
    <w:rsid w:val="006500EA"/>
    <w:rsid w:val="00650112"/>
    <w:rsid w:val="006505A9"/>
    <w:rsid w:val="00650678"/>
    <w:rsid w:val="006509E8"/>
    <w:rsid w:val="00650B68"/>
    <w:rsid w:val="00651094"/>
    <w:rsid w:val="006511F2"/>
    <w:rsid w:val="00651668"/>
    <w:rsid w:val="00651D97"/>
    <w:rsid w:val="00651FD9"/>
    <w:rsid w:val="0065272D"/>
    <w:rsid w:val="00652762"/>
    <w:rsid w:val="00653778"/>
    <w:rsid w:val="0065398F"/>
    <w:rsid w:val="00653A47"/>
    <w:rsid w:val="00653B49"/>
    <w:rsid w:val="00654405"/>
    <w:rsid w:val="00654B96"/>
    <w:rsid w:val="00654C5D"/>
    <w:rsid w:val="00655046"/>
    <w:rsid w:val="0065538E"/>
    <w:rsid w:val="006565F9"/>
    <w:rsid w:val="006567C4"/>
    <w:rsid w:val="00656A63"/>
    <w:rsid w:val="00656AB6"/>
    <w:rsid w:val="00656EE8"/>
    <w:rsid w:val="00657385"/>
    <w:rsid w:val="0065742C"/>
    <w:rsid w:val="006574B3"/>
    <w:rsid w:val="00657806"/>
    <w:rsid w:val="006579C2"/>
    <w:rsid w:val="006604B7"/>
    <w:rsid w:val="006607D8"/>
    <w:rsid w:val="006615BF"/>
    <w:rsid w:val="00662422"/>
    <w:rsid w:val="00662869"/>
    <w:rsid w:val="00662CD8"/>
    <w:rsid w:val="006633A2"/>
    <w:rsid w:val="00663751"/>
    <w:rsid w:val="006637C4"/>
    <w:rsid w:val="00663B03"/>
    <w:rsid w:val="00664699"/>
    <w:rsid w:val="006647D3"/>
    <w:rsid w:val="00665152"/>
    <w:rsid w:val="00665B19"/>
    <w:rsid w:val="00666952"/>
    <w:rsid w:val="00667513"/>
    <w:rsid w:val="0066756D"/>
    <w:rsid w:val="006678AB"/>
    <w:rsid w:val="00667E9A"/>
    <w:rsid w:val="00667F21"/>
    <w:rsid w:val="0067054E"/>
    <w:rsid w:val="00670890"/>
    <w:rsid w:val="006708A7"/>
    <w:rsid w:val="00670DFF"/>
    <w:rsid w:val="006710B9"/>
    <w:rsid w:val="00671AFC"/>
    <w:rsid w:val="00671DEE"/>
    <w:rsid w:val="0067265C"/>
    <w:rsid w:val="00672AC2"/>
    <w:rsid w:val="00672C83"/>
    <w:rsid w:val="00673D92"/>
    <w:rsid w:val="0067439B"/>
    <w:rsid w:val="00674882"/>
    <w:rsid w:val="00674C19"/>
    <w:rsid w:val="0067503E"/>
    <w:rsid w:val="006758BB"/>
    <w:rsid w:val="00675B46"/>
    <w:rsid w:val="00675C03"/>
    <w:rsid w:val="0067607D"/>
    <w:rsid w:val="00677056"/>
    <w:rsid w:val="00677D5E"/>
    <w:rsid w:val="00677D88"/>
    <w:rsid w:val="00677E8E"/>
    <w:rsid w:val="00677FB6"/>
    <w:rsid w:val="00680C4A"/>
    <w:rsid w:val="00680CAA"/>
    <w:rsid w:val="00680DB9"/>
    <w:rsid w:val="006817D0"/>
    <w:rsid w:val="006818DC"/>
    <w:rsid w:val="00682037"/>
    <w:rsid w:val="00682075"/>
    <w:rsid w:val="00682466"/>
    <w:rsid w:val="006829BF"/>
    <w:rsid w:val="0068385F"/>
    <w:rsid w:val="006838B8"/>
    <w:rsid w:val="006838E9"/>
    <w:rsid w:val="00683E6A"/>
    <w:rsid w:val="00684DF3"/>
    <w:rsid w:val="006855B5"/>
    <w:rsid w:val="006859B3"/>
    <w:rsid w:val="00686133"/>
    <w:rsid w:val="00686643"/>
    <w:rsid w:val="006867A9"/>
    <w:rsid w:val="00686A0E"/>
    <w:rsid w:val="00686BCE"/>
    <w:rsid w:val="00686CD3"/>
    <w:rsid w:val="006878AD"/>
    <w:rsid w:val="00690CEF"/>
    <w:rsid w:val="00690E06"/>
    <w:rsid w:val="00691746"/>
    <w:rsid w:val="00691B99"/>
    <w:rsid w:val="00691E6F"/>
    <w:rsid w:val="00692469"/>
    <w:rsid w:val="00692A69"/>
    <w:rsid w:val="00693260"/>
    <w:rsid w:val="00693AB4"/>
    <w:rsid w:val="00694DF9"/>
    <w:rsid w:val="00695521"/>
    <w:rsid w:val="006955B0"/>
    <w:rsid w:val="006956C5"/>
    <w:rsid w:val="00695BCF"/>
    <w:rsid w:val="00695D04"/>
    <w:rsid w:val="00695F9A"/>
    <w:rsid w:val="00696117"/>
    <w:rsid w:val="00696152"/>
    <w:rsid w:val="006962E5"/>
    <w:rsid w:val="00696431"/>
    <w:rsid w:val="006964D0"/>
    <w:rsid w:val="0069662F"/>
    <w:rsid w:val="00696960"/>
    <w:rsid w:val="00696E82"/>
    <w:rsid w:val="006979F0"/>
    <w:rsid w:val="00697A42"/>
    <w:rsid w:val="00697A7F"/>
    <w:rsid w:val="00697C4E"/>
    <w:rsid w:val="00697DFD"/>
    <w:rsid w:val="006A00A7"/>
    <w:rsid w:val="006A0986"/>
    <w:rsid w:val="006A0CA0"/>
    <w:rsid w:val="006A0DC4"/>
    <w:rsid w:val="006A1BC1"/>
    <w:rsid w:val="006A1DCD"/>
    <w:rsid w:val="006A22D5"/>
    <w:rsid w:val="006A2561"/>
    <w:rsid w:val="006A27A8"/>
    <w:rsid w:val="006A27D1"/>
    <w:rsid w:val="006A333F"/>
    <w:rsid w:val="006A3493"/>
    <w:rsid w:val="006A35AF"/>
    <w:rsid w:val="006A3762"/>
    <w:rsid w:val="006A3A94"/>
    <w:rsid w:val="006A435E"/>
    <w:rsid w:val="006A448D"/>
    <w:rsid w:val="006A4564"/>
    <w:rsid w:val="006A46E7"/>
    <w:rsid w:val="006A5CDA"/>
    <w:rsid w:val="006A5D99"/>
    <w:rsid w:val="006A5DCA"/>
    <w:rsid w:val="006A6440"/>
    <w:rsid w:val="006A68D0"/>
    <w:rsid w:val="006A6942"/>
    <w:rsid w:val="006A73B1"/>
    <w:rsid w:val="006A77E8"/>
    <w:rsid w:val="006A7CF7"/>
    <w:rsid w:val="006B03DB"/>
    <w:rsid w:val="006B0C69"/>
    <w:rsid w:val="006B0F01"/>
    <w:rsid w:val="006B0F06"/>
    <w:rsid w:val="006B103C"/>
    <w:rsid w:val="006B10D9"/>
    <w:rsid w:val="006B11A3"/>
    <w:rsid w:val="006B14F8"/>
    <w:rsid w:val="006B152E"/>
    <w:rsid w:val="006B19DE"/>
    <w:rsid w:val="006B29B8"/>
    <w:rsid w:val="006B2ABD"/>
    <w:rsid w:val="006B2E26"/>
    <w:rsid w:val="006B388B"/>
    <w:rsid w:val="006B4238"/>
    <w:rsid w:val="006B4282"/>
    <w:rsid w:val="006B47FB"/>
    <w:rsid w:val="006B4AC7"/>
    <w:rsid w:val="006B4FA4"/>
    <w:rsid w:val="006B54AD"/>
    <w:rsid w:val="006B6810"/>
    <w:rsid w:val="006C0102"/>
    <w:rsid w:val="006C0119"/>
    <w:rsid w:val="006C0677"/>
    <w:rsid w:val="006C0AC9"/>
    <w:rsid w:val="006C10C7"/>
    <w:rsid w:val="006C1505"/>
    <w:rsid w:val="006C18BE"/>
    <w:rsid w:val="006C1971"/>
    <w:rsid w:val="006C1D12"/>
    <w:rsid w:val="006C1DC9"/>
    <w:rsid w:val="006C2066"/>
    <w:rsid w:val="006C25D7"/>
    <w:rsid w:val="006C2D02"/>
    <w:rsid w:val="006C3701"/>
    <w:rsid w:val="006C371E"/>
    <w:rsid w:val="006C3D87"/>
    <w:rsid w:val="006C4332"/>
    <w:rsid w:val="006C4822"/>
    <w:rsid w:val="006C491D"/>
    <w:rsid w:val="006C4B8B"/>
    <w:rsid w:val="006C50C1"/>
    <w:rsid w:val="006C5295"/>
    <w:rsid w:val="006C5873"/>
    <w:rsid w:val="006C590B"/>
    <w:rsid w:val="006C658A"/>
    <w:rsid w:val="006C6611"/>
    <w:rsid w:val="006C67AD"/>
    <w:rsid w:val="006C68DF"/>
    <w:rsid w:val="006C6C34"/>
    <w:rsid w:val="006C6C7C"/>
    <w:rsid w:val="006C6EEF"/>
    <w:rsid w:val="006D0087"/>
    <w:rsid w:val="006D05BD"/>
    <w:rsid w:val="006D074C"/>
    <w:rsid w:val="006D0934"/>
    <w:rsid w:val="006D0ABA"/>
    <w:rsid w:val="006D14AB"/>
    <w:rsid w:val="006D1586"/>
    <w:rsid w:val="006D1670"/>
    <w:rsid w:val="006D172A"/>
    <w:rsid w:val="006D173D"/>
    <w:rsid w:val="006D1B51"/>
    <w:rsid w:val="006D1F65"/>
    <w:rsid w:val="006D2497"/>
    <w:rsid w:val="006D26B1"/>
    <w:rsid w:val="006D2876"/>
    <w:rsid w:val="006D31AA"/>
    <w:rsid w:val="006D329D"/>
    <w:rsid w:val="006D3309"/>
    <w:rsid w:val="006D330D"/>
    <w:rsid w:val="006D365A"/>
    <w:rsid w:val="006D376A"/>
    <w:rsid w:val="006D379B"/>
    <w:rsid w:val="006D3CA8"/>
    <w:rsid w:val="006D4490"/>
    <w:rsid w:val="006D46B7"/>
    <w:rsid w:val="006D6062"/>
    <w:rsid w:val="006D61EA"/>
    <w:rsid w:val="006D6E0C"/>
    <w:rsid w:val="006D713D"/>
    <w:rsid w:val="006D769F"/>
    <w:rsid w:val="006E04E2"/>
    <w:rsid w:val="006E0742"/>
    <w:rsid w:val="006E1125"/>
    <w:rsid w:val="006E13D3"/>
    <w:rsid w:val="006E1790"/>
    <w:rsid w:val="006E2089"/>
    <w:rsid w:val="006E2231"/>
    <w:rsid w:val="006E262A"/>
    <w:rsid w:val="006E294A"/>
    <w:rsid w:val="006E2DC7"/>
    <w:rsid w:val="006E2EAD"/>
    <w:rsid w:val="006E3704"/>
    <w:rsid w:val="006E3730"/>
    <w:rsid w:val="006E4284"/>
    <w:rsid w:val="006E44A6"/>
    <w:rsid w:val="006E4906"/>
    <w:rsid w:val="006E4D5D"/>
    <w:rsid w:val="006E4EAA"/>
    <w:rsid w:val="006E509E"/>
    <w:rsid w:val="006E52D2"/>
    <w:rsid w:val="006E55ED"/>
    <w:rsid w:val="006E6855"/>
    <w:rsid w:val="006E686F"/>
    <w:rsid w:val="006E6A3C"/>
    <w:rsid w:val="006E6B2D"/>
    <w:rsid w:val="006E6EC9"/>
    <w:rsid w:val="006E7088"/>
    <w:rsid w:val="006E7195"/>
    <w:rsid w:val="006E72EB"/>
    <w:rsid w:val="006E747E"/>
    <w:rsid w:val="006E7B7D"/>
    <w:rsid w:val="006E7D75"/>
    <w:rsid w:val="006F104A"/>
    <w:rsid w:val="006F1CD5"/>
    <w:rsid w:val="006F1E79"/>
    <w:rsid w:val="006F213D"/>
    <w:rsid w:val="006F262E"/>
    <w:rsid w:val="006F2B65"/>
    <w:rsid w:val="006F2C8F"/>
    <w:rsid w:val="006F3744"/>
    <w:rsid w:val="006F38DB"/>
    <w:rsid w:val="006F42CF"/>
    <w:rsid w:val="006F46E1"/>
    <w:rsid w:val="006F4781"/>
    <w:rsid w:val="006F534C"/>
    <w:rsid w:val="006F6786"/>
    <w:rsid w:val="006F67F8"/>
    <w:rsid w:val="006F6C46"/>
    <w:rsid w:val="006F6E2F"/>
    <w:rsid w:val="006F6F04"/>
    <w:rsid w:val="006F7115"/>
    <w:rsid w:val="006F72D9"/>
    <w:rsid w:val="006F783E"/>
    <w:rsid w:val="006F7F16"/>
    <w:rsid w:val="006F7FCB"/>
    <w:rsid w:val="007000C0"/>
    <w:rsid w:val="00700188"/>
    <w:rsid w:val="007004AF"/>
    <w:rsid w:val="007011AF"/>
    <w:rsid w:val="00701479"/>
    <w:rsid w:val="007016CC"/>
    <w:rsid w:val="00701AB4"/>
    <w:rsid w:val="007028A8"/>
    <w:rsid w:val="007039A3"/>
    <w:rsid w:val="00703E85"/>
    <w:rsid w:val="00704145"/>
    <w:rsid w:val="00704C24"/>
    <w:rsid w:val="00704E2E"/>
    <w:rsid w:val="00705767"/>
    <w:rsid w:val="00705A75"/>
    <w:rsid w:val="007060D4"/>
    <w:rsid w:val="00706A6E"/>
    <w:rsid w:val="007074D3"/>
    <w:rsid w:val="00707D13"/>
    <w:rsid w:val="00710F56"/>
    <w:rsid w:val="007110E3"/>
    <w:rsid w:val="00711940"/>
    <w:rsid w:val="00711CA6"/>
    <w:rsid w:val="0071238F"/>
    <w:rsid w:val="007129F6"/>
    <w:rsid w:val="00713292"/>
    <w:rsid w:val="007132AE"/>
    <w:rsid w:val="007138CA"/>
    <w:rsid w:val="00713B1A"/>
    <w:rsid w:val="00714837"/>
    <w:rsid w:val="007148B5"/>
    <w:rsid w:val="0071491A"/>
    <w:rsid w:val="00714F2A"/>
    <w:rsid w:val="00715310"/>
    <w:rsid w:val="0071541A"/>
    <w:rsid w:val="00715821"/>
    <w:rsid w:val="00715EF1"/>
    <w:rsid w:val="007165CC"/>
    <w:rsid w:val="0071701A"/>
    <w:rsid w:val="007176ED"/>
    <w:rsid w:val="007179A7"/>
    <w:rsid w:val="00717A82"/>
    <w:rsid w:val="00717EC1"/>
    <w:rsid w:val="00717EC3"/>
    <w:rsid w:val="00717FC5"/>
    <w:rsid w:val="0072037F"/>
    <w:rsid w:val="00720847"/>
    <w:rsid w:val="007209EF"/>
    <w:rsid w:val="00720AFE"/>
    <w:rsid w:val="00721916"/>
    <w:rsid w:val="00721D4C"/>
    <w:rsid w:val="0072216C"/>
    <w:rsid w:val="007228B7"/>
    <w:rsid w:val="007228BA"/>
    <w:rsid w:val="00723008"/>
    <w:rsid w:val="007232F0"/>
    <w:rsid w:val="00723AFB"/>
    <w:rsid w:val="00723C43"/>
    <w:rsid w:val="00723D18"/>
    <w:rsid w:val="00724275"/>
    <w:rsid w:val="00724CE8"/>
    <w:rsid w:val="0072542F"/>
    <w:rsid w:val="0072561A"/>
    <w:rsid w:val="007260C4"/>
    <w:rsid w:val="007270DB"/>
    <w:rsid w:val="007271E1"/>
    <w:rsid w:val="00727D20"/>
    <w:rsid w:val="00727D30"/>
    <w:rsid w:val="0073095B"/>
    <w:rsid w:val="00730BFF"/>
    <w:rsid w:val="00730DF0"/>
    <w:rsid w:val="00731440"/>
    <w:rsid w:val="00731825"/>
    <w:rsid w:val="00731C4B"/>
    <w:rsid w:val="00732658"/>
    <w:rsid w:val="00733834"/>
    <w:rsid w:val="00733ACE"/>
    <w:rsid w:val="00733D75"/>
    <w:rsid w:val="00733D81"/>
    <w:rsid w:val="00734F35"/>
    <w:rsid w:val="00734F7D"/>
    <w:rsid w:val="00735892"/>
    <w:rsid w:val="00735DEB"/>
    <w:rsid w:val="00735FC3"/>
    <w:rsid w:val="00736359"/>
    <w:rsid w:val="00736900"/>
    <w:rsid w:val="00736BCB"/>
    <w:rsid w:val="0073717F"/>
    <w:rsid w:val="007372FC"/>
    <w:rsid w:val="00737313"/>
    <w:rsid w:val="007373D8"/>
    <w:rsid w:val="00737D00"/>
    <w:rsid w:val="00737DA8"/>
    <w:rsid w:val="007402AE"/>
    <w:rsid w:val="007403DD"/>
    <w:rsid w:val="00740C0F"/>
    <w:rsid w:val="00740D04"/>
    <w:rsid w:val="00740E2A"/>
    <w:rsid w:val="0074117E"/>
    <w:rsid w:val="00741285"/>
    <w:rsid w:val="00741D41"/>
    <w:rsid w:val="00742376"/>
    <w:rsid w:val="00742B22"/>
    <w:rsid w:val="00742B5A"/>
    <w:rsid w:val="00742DAA"/>
    <w:rsid w:val="00742F50"/>
    <w:rsid w:val="0074326A"/>
    <w:rsid w:val="0074341B"/>
    <w:rsid w:val="00743512"/>
    <w:rsid w:val="00743D67"/>
    <w:rsid w:val="0074408D"/>
    <w:rsid w:val="007441F7"/>
    <w:rsid w:val="0074440B"/>
    <w:rsid w:val="00744A3D"/>
    <w:rsid w:val="007457B3"/>
    <w:rsid w:val="007457D2"/>
    <w:rsid w:val="007459AC"/>
    <w:rsid w:val="00745B4F"/>
    <w:rsid w:val="00745B8F"/>
    <w:rsid w:val="007464D3"/>
    <w:rsid w:val="00746B36"/>
    <w:rsid w:val="00746D52"/>
    <w:rsid w:val="00747137"/>
    <w:rsid w:val="0074743F"/>
    <w:rsid w:val="007475BC"/>
    <w:rsid w:val="00747B7C"/>
    <w:rsid w:val="00747BE0"/>
    <w:rsid w:val="00750BA9"/>
    <w:rsid w:val="007515BC"/>
    <w:rsid w:val="00751693"/>
    <w:rsid w:val="00751C46"/>
    <w:rsid w:val="00751FB4"/>
    <w:rsid w:val="0075244B"/>
    <w:rsid w:val="00752A19"/>
    <w:rsid w:val="0075307E"/>
    <w:rsid w:val="00753231"/>
    <w:rsid w:val="0075341D"/>
    <w:rsid w:val="00754076"/>
    <w:rsid w:val="007544B2"/>
    <w:rsid w:val="00754F58"/>
    <w:rsid w:val="00755B89"/>
    <w:rsid w:val="00756150"/>
    <w:rsid w:val="0075616F"/>
    <w:rsid w:val="007564A8"/>
    <w:rsid w:val="007565B5"/>
    <w:rsid w:val="00756B90"/>
    <w:rsid w:val="00756E3B"/>
    <w:rsid w:val="00756FA4"/>
    <w:rsid w:val="00757156"/>
    <w:rsid w:val="0075717F"/>
    <w:rsid w:val="00757451"/>
    <w:rsid w:val="00757513"/>
    <w:rsid w:val="007578FD"/>
    <w:rsid w:val="0075792F"/>
    <w:rsid w:val="00757A0E"/>
    <w:rsid w:val="00757A1D"/>
    <w:rsid w:val="00757DBB"/>
    <w:rsid w:val="0076041D"/>
    <w:rsid w:val="007607D0"/>
    <w:rsid w:val="0076087A"/>
    <w:rsid w:val="0076142B"/>
    <w:rsid w:val="00761B61"/>
    <w:rsid w:val="00761E8B"/>
    <w:rsid w:val="00761FEE"/>
    <w:rsid w:val="007632A5"/>
    <w:rsid w:val="0076341A"/>
    <w:rsid w:val="00763470"/>
    <w:rsid w:val="007635A3"/>
    <w:rsid w:val="007635EF"/>
    <w:rsid w:val="0076371E"/>
    <w:rsid w:val="007638DD"/>
    <w:rsid w:val="0076528E"/>
    <w:rsid w:val="007653E6"/>
    <w:rsid w:val="007657AF"/>
    <w:rsid w:val="0076581C"/>
    <w:rsid w:val="00765B77"/>
    <w:rsid w:val="00765D35"/>
    <w:rsid w:val="00765E02"/>
    <w:rsid w:val="00766B6F"/>
    <w:rsid w:val="007676DF"/>
    <w:rsid w:val="0076775F"/>
    <w:rsid w:val="00767A58"/>
    <w:rsid w:val="00767B1A"/>
    <w:rsid w:val="00767D3D"/>
    <w:rsid w:val="0077031F"/>
    <w:rsid w:val="0077044B"/>
    <w:rsid w:val="00770534"/>
    <w:rsid w:val="00770929"/>
    <w:rsid w:val="00770BAE"/>
    <w:rsid w:val="00770E69"/>
    <w:rsid w:val="00770F47"/>
    <w:rsid w:val="00771507"/>
    <w:rsid w:val="00771672"/>
    <w:rsid w:val="00771CC9"/>
    <w:rsid w:val="00772E17"/>
    <w:rsid w:val="00772E79"/>
    <w:rsid w:val="007733F3"/>
    <w:rsid w:val="00773AF1"/>
    <w:rsid w:val="007742AB"/>
    <w:rsid w:val="007742CD"/>
    <w:rsid w:val="00774443"/>
    <w:rsid w:val="0077479D"/>
    <w:rsid w:val="007749E5"/>
    <w:rsid w:val="00774B07"/>
    <w:rsid w:val="00774F65"/>
    <w:rsid w:val="00775FD7"/>
    <w:rsid w:val="0077635E"/>
    <w:rsid w:val="00776F91"/>
    <w:rsid w:val="00777133"/>
    <w:rsid w:val="0077767C"/>
    <w:rsid w:val="007776E4"/>
    <w:rsid w:val="00777F3F"/>
    <w:rsid w:val="0078176C"/>
    <w:rsid w:val="007819C3"/>
    <w:rsid w:val="00781E28"/>
    <w:rsid w:val="00781E47"/>
    <w:rsid w:val="00782646"/>
    <w:rsid w:val="0078290A"/>
    <w:rsid w:val="00782990"/>
    <w:rsid w:val="00782CE5"/>
    <w:rsid w:val="00782F85"/>
    <w:rsid w:val="00783041"/>
    <w:rsid w:val="0078337D"/>
    <w:rsid w:val="007833CE"/>
    <w:rsid w:val="0078380D"/>
    <w:rsid w:val="0078396A"/>
    <w:rsid w:val="0078401F"/>
    <w:rsid w:val="00784079"/>
    <w:rsid w:val="0078439A"/>
    <w:rsid w:val="0078453F"/>
    <w:rsid w:val="00784CBC"/>
    <w:rsid w:val="007853AE"/>
    <w:rsid w:val="007859C8"/>
    <w:rsid w:val="00785B7E"/>
    <w:rsid w:val="007866FF"/>
    <w:rsid w:val="00786ABC"/>
    <w:rsid w:val="00787424"/>
    <w:rsid w:val="00790436"/>
    <w:rsid w:val="00790446"/>
    <w:rsid w:val="0079070A"/>
    <w:rsid w:val="00790DC8"/>
    <w:rsid w:val="00790F1E"/>
    <w:rsid w:val="007912CC"/>
    <w:rsid w:val="0079160D"/>
    <w:rsid w:val="0079245A"/>
    <w:rsid w:val="007924EC"/>
    <w:rsid w:val="00793281"/>
    <w:rsid w:val="007937BB"/>
    <w:rsid w:val="00793D17"/>
    <w:rsid w:val="00793D7D"/>
    <w:rsid w:val="00794240"/>
    <w:rsid w:val="00794311"/>
    <w:rsid w:val="0079439A"/>
    <w:rsid w:val="00794A4B"/>
    <w:rsid w:val="00794F83"/>
    <w:rsid w:val="00794FE6"/>
    <w:rsid w:val="007952B0"/>
    <w:rsid w:val="00795665"/>
    <w:rsid w:val="00795858"/>
    <w:rsid w:val="00795BE4"/>
    <w:rsid w:val="00795E91"/>
    <w:rsid w:val="00796122"/>
    <w:rsid w:val="007967D1"/>
    <w:rsid w:val="0079724F"/>
    <w:rsid w:val="007A0079"/>
    <w:rsid w:val="007A0482"/>
    <w:rsid w:val="007A0EB0"/>
    <w:rsid w:val="007A111B"/>
    <w:rsid w:val="007A23B8"/>
    <w:rsid w:val="007A26CB"/>
    <w:rsid w:val="007A2E83"/>
    <w:rsid w:val="007A31C4"/>
    <w:rsid w:val="007A323A"/>
    <w:rsid w:val="007A34A5"/>
    <w:rsid w:val="007A3EB5"/>
    <w:rsid w:val="007A4520"/>
    <w:rsid w:val="007A4694"/>
    <w:rsid w:val="007A47EC"/>
    <w:rsid w:val="007A487F"/>
    <w:rsid w:val="007A4C1A"/>
    <w:rsid w:val="007A5F47"/>
    <w:rsid w:val="007A6F2D"/>
    <w:rsid w:val="007A7FC3"/>
    <w:rsid w:val="007B0ACA"/>
    <w:rsid w:val="007B109C"/>
    <w:rsid w:val="007B1B72"/>
    <w:rsid w:val="007B1DBA"/>
    <w:rsid w:val="007B1F34"/>
    <w:rsid w:val="007B3250"/>
    <w:rsid w:val="007B37D3"/>
    <w:rsid w:val="007B4216"/>
    <w:rsid w:val="007B4465"/>
    <w:rsid w:val="007B479C"/>
    <w:rsid w:val="007B4AF2"/>
    <w:rsid w:val="007B5184"/>
    <w:rsid w:val="007B5AA3"/>
    <w:rsid w:val="007B5D10"/>
    <w:rsid w:val="007B6688"/>
    <w:rsid w:val="007B6C07"/>
    <w:rsid w:val="007B6F7B"/>
    <w:rsid w:val="007B70FF"/>
    <w:rsid w:val="007B7B04"/>
    <w:rsid w:val="007B7BC8"/>
    <w:rsid w:val="007C0B39"/>
    <w:rsid w:val="007C0BD5"/>
    <w:rsid w:val="007C0DC2"/>
    <w:rsid w:val="007C0EC1"/>
    <w:rsid w:val="007C11C6"/>
    <w:rsid w:val="007C12F2"/>
    <w:rsid w:val="007C190D"/>
    <w:rsid w:val="007C1F47"/>
    <w:rsid w:val="007C2005"/>
    <w:rsid w:val="007C224C"/>
    <w:rsid w:val="007C3451"/>
    <w:rsid w:val="007C3A74"/>
    <w:rsid w:val="007C4231"/>
    <w:rsid w:val="007C4BE0"/>
    <w:rsid w:val="007C50C5"/>
    <w:rsid w:val="007C571F"/>
    <w:rsid w:val="007C5B5C"/>
    <w:rsid w:val="007C629A"/>
    <w:rsid w:val="007C6D2A"/>
    <w:rsid w:val="007C77F9"/>
    <w:rsid w:val="007C78F4"/>
    <w:rsid w:val="007C7D9F"/>
    <w:rsid w:val="007C7E31"/>
    <w:rsid w:val="007C7FCB"/>
    <w:rsid w:val="007CE287"/>
    <w:rsid w:val="007D03FC"/>
    <w:rsid w:val="007D04A7"/>
    <w:rsid w:val="007D0536"/>
    <w:rsid w:val="007D0770"/>
    <w:rsid w:val="007D0805"/>
    <w:rsid w:val="007D0AC9"/>
    <w:rsid w:val="007D0D83"/>
    <w:rsid w:val="007D0F73"/>
    <w:rsid w:val="007D1245"/>
    <w:rsid w:val="007D18F4"/>
    <w:rsid w:val="007D1C04"/>
    <w:rsid w:val="007D1DFC"/>
    <w:rsid w:val="007D2185"/>
    <w:rsid w:val="007D22E5"/>
    <w:rsid w:val="007D258F"/>
    <w:rsid w:val="007D2CCD"/>
    <w:rsid w:val="007D2E50"/>
    <w:rsid w:val="007D331F"/>
    <w:rsid w:val="007D3591"/>
    <w:rsid w:val="007D4086"/>
    <w:rsid w:val="007D487A"/>
    <w:rsid w:val="007D57AA"/>
    <w:rsid w:val="007D5AB9"/>
    <w:rsid w:val="007D5AFB"/>
    <w:rsid w:val="007D60D5"/>
    <w:rsid w:val="007D6130"/>
    <w:rsid w:val="007D6175"/>
    <w:rsid w:val="007D7B28"/>
    <w:rsid w:val="007D7B91"/>
    <w:rsid w:val="007D7B94"/>
    <w:rsid w:val="007E07BF"/>
    <w:rsid w:val="007E0909"/>
    <w:rsid w:val="007E0A36"/>
    <w:rsid w:val="007E0BB1"/>
    <w:rsid w:val="007E240A"/>
    <w:rsid w:val="007E2416"/>
    <w:rsid w:val="007E2A71"/>
    <w:rsid w:val="007E3402"/>
    <w:rsid w:val="007E3B48"/>
    <w:rsid w:val="007E3C7D"/>
    <w:rsid w:val="007E3EBA"/>
    <w:rsid w:val="007E4C70"/>
    <w:rsid w:val="007E5A29"/>
    <w:rsid w:val="007E62D6"/>
    <w:rsid w:val="007E6420"/>
    <w:rsid w:val="007E64A2"/>
    <w:rsid w:val="007E6A63"/>
    <w:rsid w:val="007E6B53"/>
    <w:rsid w:val="007E6B6D"/>
    <w:rsid w:val="007E6EAC"/>
    <w:rsid w:val="007E78CC"/>
    <w:rsid w:val="007E7FCF"/>
    <w:rsid w:val="007E7FE6"/>
    <w:rsid w:val="007F065F"/>
    <w:rsid w:val="007F0CAF"/>
    <w:rsid w:val="007F0CC8"/>
    <w:rsid w:val="007F0E5C"/>
    <w:rsid w:val="007F1858"/>
    <w:rsid w:val="007F1DB5"/>
    <w:rsid w:val="007F1EA3"/>
    <w:rsid w:val="007F1F1A"/>
    <w:rsid w:val="007F24A0"/>
    <w:rsid w:val="007F278A"/>
    <w:rsid w:val="007F2D7B"/>
    <w:rsid w:val="007F32DF"/>
    <w:rsid w:val="007F34A1"/>
    <w:rsid w:val="007F34A6"/>
    <w:rsid w:val="007F34C0"/>
    <w:rsid w:val="007F3D9D"/>
    <w:rsid w:val="007F401B"/>
    <w:rsid w:val="007F4652"/>
    <w:rsid w:val="007F4C1B"/>
    <w:rsid w:val="007F5208"/>
    <w:rsid w:val="007F5746"/>
    <w:rsid w:val="007F59B4"/>
    <w:rsid w:val="007F65B9"/>
    <w:rsid w:val="007F6CF5"/>
    <w:rsid w:val="007F7041"/>
    <w:rsid w:val="007F78A4"/>
    <w:rsid w:val="007F7A3A"/>
    <w:rsid w:val="00800239"/>
    <w:rsid w:val="00800B6F"/>
    <w:rsid w:val="00800E38"/>
    <w:rsid w:val="00800FA5"/>
    <w:rsid w:val="00801116"/>
    <w:rsid w:val="00801204"/>
    <w:rsid w:val="00801532"/>
    <w:rsid w:val="008019A1"/>
    <w:rsid w:val="00802041"/>
    <w:rsid w:val="008024BC"/>
    <w:rsid w:val="00802600"/>
    <w:rsid w:val="00802B00"/>
    <w:rsid w:val="0080310E"/>
    <w:rsid w:val="008031FB"/>
    <w:rsid w:val="00803211"/>
    <w:rsid w:val="00803DD7"/>
    <w:rsid w:val="008042E3"/>
    <w:rsid w:val="00804F55"/>
    <w:rsid w:val="00805E45"/>
    <w:rsid w:val="00805E75"/>
    <w:rsid w:val="0080638E"/>
    <w:rsid w:val="0080710C"/>
    <w:rsid w:val="0080755F"/>
    <w:rsid w:val="00807928"/>
    <w:rsid w:val="00807942"/>
    <w:rsid w:val="008106E0"/>
    <w:rsid w:val="00810CF8"/>
    <w:rsid w:val="0081106E"/>
    <w:rsid w:val="008110AA"/>
    <w:rsid w:val="0081119B"/>
    <w:rsid w:val="0081124D"/>
    <w:rsid w:val="00811D84"/>
    <w:rsid w:val="00812244"/>
    <w:rsid w:val="00812565"/>
    <w:rsid w:val="008127E2"/>
    <w:rsid w:val="008136B7"/>
    <w:rsid w:val="00813A78"/>
    <w:rsid w:val="0081410E"/>
    <w:rsid w:val="008141C8"/>
    <w:rsid w:val="008141EE"/>
    <w:rsid w:val="00814221"/>
    <w:rsid w:val="008148C8"/>
    <w:rsid w:val="00814A08"/>
    <w:rsid w:val="00814E34"/>
    <w:rsid w:val="00814E73"/>
    <w:rsid w:val="0081504E"/>
    <w:rsid w:val="008153E6"/>
    <w:rsid w:val="00815603"/>
    <w:rsid w:val="00815AAF"/>
    <w:rsid w:val="00815CB8"/>
    <w:rsid w:val="0081637F"/>
    <w:rsid w:val="00816564"/>
    <w:rsid w:val="00816679"/>
    <w:rsid w:val="008166A9"/>
    <w:rsid w:val="00816748"/>
    <w:rsid w:val="00816F15"/>
    <w:rsid w:val="00816FD9"/>
    <w:rsid w:val="0082062D"/>
    <w:rsid w:val="00820697"/>
    <w:rsid w:val="008207FE"/>
    <w:rsid w:val="00820DE3"/>
    <w:rsid w:val="00822304"/>
    <w:rsid w:val="00822848"/>
    <w:rsid w:val="0082295F"/>
    <w:rsid w:val="00822C58"/>
    <w:rsid w:val="00822C59"/>
    <w:rsid w:val="00822CEE"/>
    <w:rsid w:val="00823A39"/>
    <w:rsid w:val="00823A6B"/>
    <w:rsid w:val="00824564"/>
    <w:rsid w:val="00824795"/>
    <w:rsid w:val="00824820"/>
    <w:rsid w:val="008249D5"/>
    <w:rsid w:val="00825475"/>
    <w:rsid w:val="008266A5"/>
    <w:rsid w:val="00826BF2"/>
    <w:rsid w:val="00826ED8"/>
    <w:rsid w:val="00830328"/>
    <w:rsid w:val="00830981"/>
    <w:rsid w:val="00830F63"/>
    <w:rsid w:val="00831019"/>
    <w:rsid w:val="0083126E"/>
    <w:rsid w:val="00831548"/>
    <w:rsid w:val="008316ED"/>
    <w:rsid w:val="0083183F"/>
    <w:rsid w:val="00831A22"/>
    <w:rsid w:val="00831C64"/>
    <w:rsid w:val="00831E29"/>
    <w:rsid w:val="00831FF6"/>
    <w:rsid w:val="0083225E"/>
    <w:rsid w:val="00832673"/>
    <w:rsid w:val="0083297C"/>
    <w:rsid w:val="008336AF"/>
    <w:rsid w:val="00833970"/>
    <w:rsid w:val="0083407E"/>
    <w:rsid w:val="0083413A"/>
    <w:rsid w:val="008341EB"/>
    <w:rsid w:val="00834226"/>
    <w:rsid w:val="008346C9"/>
    <w:rsid w:val="00834700"/>
    <w:rsid w:val="008354BE"/>
    <w:rsid w:val="008362D1"/>
    <w:rsid w:val="00836599"/>
    <w:rsid w:val="008365E6"/>
    <w:rsid w:val="00836605"/>
    <w:rsid w:val="00836C22"/>
    <w:rsid w:val="008370D0"/>
    <w:rsid w:val="00837546"/>
    <w:rsid w:val="00837C42"/>
    <w:rsid w:val="00840A38"/>
    <w:rsid w:val="00840B90"/>
    <w:rsid w:val="00840BDF"/>
    <w:rsid w:val="008417DD"/>
    <w:rsid w:val="008418BF"/>
    <w:rsid w:val="00841D4F"/>
    <w:rsid w:val="008429CE"/>
    <w:rsid w:val="0084322D"/>
    <w:rsid w:val="00843314"/>
    <w:rsid w:val="00843D12"/>
    <w:rsid w:val="00843DFD"/>
    <w:rsid w:val="00843E49"/>
    <w:rsid w:val="00844007"/>
    <w:rsid w:val="0084479C"/>
    <w:rsid w:val="00844B84"/>
    <w:rsid w:val="00844EE6"/>
    <w:rsid w:val="00844F0D"/>
    <w:rsid w:val="008450C3"/>
    <w:rsid w:val="00845602"/>
    <w:rsid w:val="00845795"/>
    <w:rsid w:val="00845F61"/>
    <w:rsid w:val="0084626C"/>
    <w:rsid w:val="00847BE3"/>
    <w:rsid w:val="00847DCD"/>
    <w:rsid w:val="00847DF3"/>
    <w:rsid w:val="0085002A"/>
    <w:rsid w:val="008501BD"/>
    <w:rsid w:val="0085033A"/>
    <w:rsid w:val="008511EE"/>
    <w:rsid w:val="0085147C"/>
    <w:rsid w:val="008517B2"/>
    <w:rsid w:val="00851C99"/>
    <w:rsid w:val="00851E14"/>
    <w:rsid w:val="00851EFC"/>
    <w:rsid w:val="00851F6E"/>
    <w:rsid w:val="00852E07"/>
    <w:rsid w:val="00853995"/>
    <w:rsid w:val="008543D3"/>
    <w:rsid w:val="008544E5"/>
    <w:rsid w:val="00854BB3"/>
    <w:rsid w:val="00854CC7"/>
    <w:rsid w:val="008554AB"/>
    <w:rsid w:val="008554AE"/>
    <w:rsid w:val="00855ABC"/>
    <w:rsid w:val="00855B99"/>
    <w:rsid w:val="008560BE"/>
    <w:rsid w:val="00856337"/>
    <w:rsid w:val="008569F6"/>
    <w:rsid w:val="00856A45"/>
    <w:rsid w:val="00856C2E"/>
    <w:rsid w:val="0085713D"/>
    <w:rsid w:val="00857169"/>
    <w:rsid w:val="00857275"/>
    <w:rsid w:val="00857424"/>
    <w:rsid w:val="00857D4F"/>
    <w:rsid w:val="00860556"/>
    <w:rsid w:val="00860829"/>
    <w:rsid w:val="00860876"/>
    <w:rsid w:val="00860B52"/>
    <w:rsid w:val="00860C11"/>
    <w:rsid w:val="0086115B"/>
    <w:rsid w:val="00861D2F"/>
    <w:rsid w:val="008623F1"/>
    <w:rsid w:val="00863043"/>
    <w:rsid w:val="008630E4"/>
    <w:rsid w:val="0086332C"/>
    <w:rsid w:val="008637CE"/>
    <w:rsid w:val="0086420E"/>
    <w:rsid w:val="00864A10"/>
    <w:rsid w:val="00864C83"/>
    <w:rsid w:val="008650FD"/>
    <w:rsid w:val="0086614D"/>
    <w:rsid w:val="00866DFA"/>
    <w:rsid w:val="0086722E"/>
    <w:rsid w:val="00867A71"/>
    <w:rsid w:val="0087071B"/>
    <w:rsid w:val="0087080A"/>
    <w:rsid w:val="008709FB"/>
    <w:rsid w:val="0087141B"/>
    <w:rsid w:val="00871702"/>
    <w:rsid w:val="00871AFE"/>
    <w:rsid w:val="00872114"/>
    <w:rsid w:val="0087288B"/>
    <w:rsid w:val="00872920"/>
    <w:rsid w:val="00872BA1"/>
    <w:rsid w:val="00873070"/>
    <w:rsid w:val="008736C4"/>
    <w:rsid w:val="00873A4E"/>
    <w:rsid w:val="00873A7B"/>
    <w:rsid w:val="0087533A"/>
    <w:rsid w:val="00875533"/>
    <w:rsid w:val="008759E3"/>
    <w:rsid w:val="008763AE"/>
    <w:rsid w:val="00876736"/>
    <w:rsid w:val="008775CB"/>
    <w:rsid w:val="00880457"/>
    <w:rsid w:val="00880D30"/>
    <w:rsid w:val="00881138"/>
    <w:rsid w:val="00881429"/>
    <w:rsid w:val="0088144D"/>
    <w:rsid w:val="008815B9"/>
    <w:rsid w:val="008817C6"/>
    <w:rsid w:val="008817C8"/>
    <w:rsid w:val="00881D88"/>
    <w:rsid w:val="00881DEB"/>
    <w:rsid w:val="00881F7D"/>
    <w:rsid w:val="008824D1"/>
    <w:rsid w:val="008825D8"/>
    <w:rsid w:val="008826C6"/>
    <w:rsid w:val="00882981"/>
    <w:rsid w:val="00882A5F"/>
    <w:rsid w:val="0088302D"/>
    <w:rsid w:val="0088338C"/>
    <w:rsid w:val="008833E1"/>
    <w:rsid w:val="00883C75"/>
    <w:rsid w:val="00883F64"/>
    <w:rsid w:val="00884599"/>
    <w:rsid w:val="008848CB"/>
    <w:rsid w:val="00884991"/>
    <w:rsid w:val="008858BB"/>
    <w:rsid w:val="00885D44"/>
    <w:rsid w:val="008864A7"/>
    <w:rsid w:val="00886DD2"/>
    <w:rsid w:val="0088771F"/>
    <w:rsid w:val="00887CA1"/>
    <w:rsid w:val="00887D13"/>
    <w:rsid w:val="00890092"/>
    <w:rsid w:val="008903DF"/>
    <w:rsid w:val="00890872"/>
    <w:rsid w:val="00890A47"/>
    <w:rsid w:val="00890A5B"/>
    <w:rsid w:val="00890C6E"/>
    <w:rsid w:val="00890FE4"/>
    <w:rsid w:val="008911AA"/>
    <w:rsid w:val="00891316"/>
    <w:rsid w:val="00891898"/>
    <w:rsid w:val="0089262E"/>
    <w:rsid w:val="00893465"/>
    <w:rsid w:val="00893AD3"/>
    <w:rsid w:val="0089419F"/>
    <w:rsid w:val="008951CD"/>
    <w:rsid w:val="008954F9"/>
    <w:rsid w:val="00895C23"/>
    <w:rsid w:val="00895D7D"/>
    <w:rsid w:val="00896278"/>
    <w:rsid w:val="00896F65"/>
    <w:rsid w:val="00897015"/>
    <w:rsid w:val="00897117"/>
    <w:rsid w:val="0089733D"/>
    <w:rsid w:val="008974F2"/>
    <w:rsid w:val="008A0A30"/>
    <w:rsid w:val="008A1FAE"/>
    <w:rsid w:val="008A200D"/>
    <w:rsid w:val="008A265C"/>
    <w:rsid w:val="008A2AD3"/>
    <w:rsid w:val="008A2B5C"/>
    <w:rsid w:val="008A2FC7"/>
    <w:rsid w:val="008A31D9"/>
    <w:rsid w:val="008A395A"/>
    <w:rsid w:val="008A3AA8"/>
    <w:rsid w:val="008A3E75"/>
    <w:rsid w:val="008A410E"/>
    <w:rsid w:val="008A4A99"/>
    <w:rsid w:val="008A515A"/>
    <w:rsid w:val="008A5480"/>
    <w:rsid w:val="008A57A3"/>
    <w:rsid w:val="008A591C"/>
    <w:rsid w:val="008A69CF"/>
    <w:rsid w:val="008A6A20"/>
    <w:rsid w:val="008A6EDF"/>
    <w:rsid w:val="008A797B"/>
    <w:rsid w:val="008B04BC"/>
    <w:rsid w:val="008B0CDB"/>
    <w:rsid w:val="008B11D6"/>
    <w:rsid w:val="008B194D"/>
    <w:rsid w:val="008B19A4"/>
    <w:rsid w:val="008B1B75"/>
    <w:rsid w:val="008B1DB8"/>
    <w:rsid w:val="008B2894"/>
    <w:rsid w:val="008B2A4C"/>
    <w:rsid w:val="008B2D18"/>
    <w:rsid w:val="008B3554"/>
    <w:rsid w:val="008B361E"/>
    <w:rsid w:val="008B3941"/>
    <w:rsid w:val="008B3ACF"/>
    <w:rsid w:val="008B3B6B"/>
    <w:rsid w:val="008B4CDE"/>
    <w:rsid w:val="008B5A47"/>
    <w:rsid w:val="008B6403"/>
    <w:rsid w:val="008B6569"/>
    <w:rsid w:val="008B6965"/>
    <w:rsid w:val="008B6E3B"/>
    <w:rsid w:val="008B6E4D"/>
    <w:rsid w:val="008B713B"/>
    <w:rsid w:val="008B71FE"/>
    <w:rsid w:val="008B7239"/>
    <w:rsid w:val="008B761D"/>
    <w:rsid w:val="008B7A11"/>
    <w:rsid w:val="008C0209"/>
    <w:rsid w:val="008C07C6"/>
    <w:rsid w:val="008C0F65"/>
    <w:rsid w:val="008C1229"/>
    <w:rsid w:val="008C190D"/>
    <w:rsid w:val="008C1AA8"/>
    <w:rsid w:val="008C21FE"/>
    <w:rsid w:val="008C22EF"/>
    <w:rsid w:val="008C28BE"/>
    <w:rsid w:val="008C2ABD"/>
    <w:rsid w:val="008C2D1D"/>
    <w:rsid w:val="008C3138"/>
    <w:rsid w:val="008C3265"/>
    <w:rsid w:val="008C330E"/>
    <w:rsid w:val="008C34F5"/>
    <w:rsid w:val="008C4045"/>
    <w:rsid w:val="008C4AA0"/>
    <w:rsid w:val="008C524B"/>
    <w:rsid w:val="008C53C2"/>
    <w:rsid w:val="008C60C6"/>
    <w:rsid w:val="008C63F7"/>
    <w:rsid w:val="008C649A"/>
    <w:rsid w:val="008C6994"/>
    <w:rsid w:val="008C7128"/>
    <w:rsid w:val="008C7213"/>
    <w:rsid w:val="008C7340"/>
    <w:rsid w:val="008C73BA"/>
    <w:rsid w:val="008C7420"/>
    <w:rsid w:val="008C7842"/>
    <w:rsid w:val="008C7C10"/>
    <w:rsid w:val="008D024E"/>
    <w:rsid w:val="008D02AC"/>
    <w:rsid w:val="008D02B5"/>
    <w:rsid w:val="008D075E"/>
    <w:rsid w:val="008D0CE9"/>
    <w:rsid w:val="008D14C9"/>
    <w:rsid w:val="008D1665"/>
    <w:rsid w:val="008D18D3"/>
    <w:rsid w:val="008D24AB"/>
    <w:rsid w:val="008D2552"/>
    <w:rsid w:val="008D277E"/>
    <w:rsid w:val="008D28AA"/>
    <w:rsid w:val="008D2977"/>
    <w:rsid w:val="008D2F4A"/>
    <w:rsid w:val="008D31A0"/>
    <w:rsid w:val="008D334B"/>
    <w:rsid w:val="008D3450"/>
    <w:rsid w:val="008D3572"/>
    <w:rsid w:val="008D3761"/>
    <w:rsid w:val="008D39C6"/>
    <w:rsid w:val="008D3A7C"/>
    <w:rsid w:val="008D49EC"/>
    <w:rsid w:val="008D4F6B"/>
    <w:rsid w:val="008D4FC7"/>
    <w:rsid w:val="008D5544"/>
    <w:rsid w:val="008D6492"/>
    <w:rsid w:val="008D67A7"/>
    <w:rsid w:val="008D6D93"/>
    <w:rsid w:val="008D70D2"/>
    <w:rsid w:val="008D72BC"/>
    <w:rsid w:val="008D7493"/>
    <w:rsid w:val="008D7BFC"/>
    <w:rsid w:val="008E009A"/>
    <w:rsid w:val="008E03F8"/>
    <w:rsid w:val="008E0499"/>
    <w:rsid w:val="008E0AFD"/>
    <w:rsid w:val="008E0E95"/>
    <w:rsid w:val="008E163F"/>
    <w:rsid w:val="008E1CD4"/>
    <w:rsid w:val="008E2625"/>
    <w:rsid w:val="008E32F3"/>
    <w:rsid w:val="008E3780"/>
    <w:rsid w:val="008E3867"/>
    <w:rsid w:val="008E3E2E"/>
    <w:rsid w:val="008E47B0"/>
    <w:rsid w:val="008E4C39"/>
    <w:rsid w:val="008E4C81"/>
    <w:rsid w:val="008E5647"/>
    <w:rsid w:val="008E5D53"/>
    <w:rsid w:val="008E6013"/>
    <w:rsid w:val="008E673C"/>
    <w:rsid w:val="008E6E36"/>
    <w:rsid w:val="008E7A03"/>
    <w:rsid w:val="008E7A94"/>
    <w:rsid w:val="008E7CB0"/>
    <w:rsid w:val="008F06F9"/>
    <w:rsid w:val="008F0F7B"/>
    <w:rsid w:val="008F12C6"/>
    <w:rsid w:val="008F19A0"/>
    <w:rsid w:val="008F1A25"/>
    <w:rsid w:val="008F1B20"/>
    <w:rsid w:val="008F2270"/>
    <w:rsid w:val="008F2406"/>
    <w:rsid w:val="008F2439"/>
    <w:rsid w:val="008F2833"/>
    <w:rsid w:val="008F2B51"/>
    <w:rsid w:val="008F2D59"/>
    <w:rsid w:val="008F2EB1"/>
    <w:rsid w:val="008F2FE7"/>
    <w:rsid w:val="008F332D"/>
    <w:rsid w:val="008F33D5"/>
    <w:rsid w:val="008F3BD0"/>
    <w:rsid w:val="008F4109"/>
    <w:rsid w:val="008F414F"/>
    <w:rsid w:val="008F4163"/>
    <w:rsid w:val="008F42F5"/>
    <w:rsid w:val="008F4BB5"/>
    <w:rsid w:val="008F4F6B"/>
    <w:rsid w:val="008F623C"/>
    <w:rsid w:val="008F6727"/>
    <w:rsid w:val="008F6F4A"/>
    <w:rsid w:val="008F75CF"/>
    <w:rsid w:val="008F761B"/>
    <w:rsid w:val="008F76D5"/>
    <w:rsid w:val="008F773C"/>
    <w:rsid w:val="008F7904"/>
    <w:rsid w:val="008F7A96"/>
    <w:rsid w:val="008F7C3C"/>
    <w:rsid w:val="008F7D9A"/>
    <w:rsid w:val="00900E8F"/>
    <w:rsid w:val="009012D6"/>
    <w:rsid w:val="009018F9"/>
    <w:rsid w:val="00901DCE"/>
    <w:rsid w:val="00902090"/>
    <w:rsid w:val="00902238"/>
    <w:rsid w:val="00902791"/>
    <w:rsid w:val="00902879"/>
    <w:rsid w:val="00902D28"/>
    <w:rsid w:val="009031FE"/>
    <w:rsid w:val="00903CFC"/>
    <w:rsid w:val="0090401F"/>
    <w:rsid w:val="009049A0"/>
    <w:rsid w:val="00904C08"/>
    <w:rsid w:val="00904F4B"/>
    <w:rsid w:val="00905387"/>
    <w:rsid w:val="00905669"/>
    <w:rsid w:val="009058F4"/>
    <w:rsid w:val="00905C9F"/>
    <w:rsid w:val="0090660F"/>
    <w:rsid w:val="0090663A"/>
    <w:rsid w:val="00906732"/>
    <w:rsid w:val="00907171"/>
    <w:rsid w:val="009071BB"/>
    <w:rsid w:val="00907B56"/>
    <w:rsid w:val="00907F2A"/>
    <w:rsid w:val="00910011"/>
    <w:rsid w:val="009106DE"/>
    <w:rsid w:val="00910B47"/>
    <w:rsid w:val="00911637"/>
    <w:rsid w:val="00912215"/>
    <w:rsid w:val="009127BD"/>
    <w:rsid w:val="0091355A"/>
    <w:rsid w:val="0091385F"/>
    <w:rsid w:val="00913BB6"/>
    <w:rsid w:val="00913F37"/>
    <w:rsid w:val="00914667"/>
    <w:rsid w:val="0091493E"/>
    <w:rsid w:val="00914976"/>
    <w:rsid w:val="0091524E"/>
    <w:rsid w:val="009158A3"/>
    <w:rsid w:val="00916710"/>
    <w:rsid w:val="00916B28"/>
    <w:rsid w:val="00916D2C"/>
    <w:rsid w:val="00917178"/>
    <w:rsid w:val="009174D0"/>
    <w:rsid w:val="00917523"/>
    <w:rsid w:val="00917EE5"/>
    <w:rsid w:val="00920662"/>
    <w:rsid w:val="00920ABB"/>
    <w:rsid w:val="0092194C"/>
    <w:rsid w:val="00921A93"/>
    <w:rsid w:val="00921FA6"/>
    <w:rsid w:val="00922193"/>
    <w:rsid w:val="009221AE"/>
    <w:rsid w:val="00922725"/>
    <w:rsid w:val="00922B6E"/>
    <w:rsid w:val="00922B82"/>
    <w:rsid w:val="009233E2"/>
    <w:rsid w:val="00923D23"/>
    <w:rsid w:val="0092448C"/>
    <w:rsid w:val="009245C3"/>
    <w:rsid w:val="00924A9D"/>
    <w:rsid w:val="00924B7B"/>
    <w:rsid w:val="00924F78"/>
    <w:rsid w:val="00925133"/>
    <w:rsid w:val="00925B15"/>
    <w:rsid w:val="00925E7E"/>
    <w:rsid w:val="0092720B"/>
    <w:rsid w:val="00927628"/>
    <w:rsid w:val="0092787B"/>
    <w:rsid w:val="0092794B"/>
    <w:rsid w:val="0093001A"/>
    <w:rsid w:val="009316CA"/>
    <w:rsid w:val="00932A28"/>
    <w:rsid w:val="00932D7D"/>
    <w:rsid w:val="00933D5D"/>
    <w:rsid w:val="009340F3"/>
    <w:rsid w:val="00934799"/>
    <w:rsid w:val="00934893"/>
    <w:rsid w:val="00934FEC"/>
    <w:rsid w:val="00935972"/>
    <w:rsid w:val="00935C9F"/>
    <w:rsid w:val="00936191"/>
    <w:rsid w:val="009365A8"/>
    <w:rsid w:val="009366AD"/>
    <w:rsid w:val="009369F0"/>
    <w:rsid w:val="00936D6D"/>
    <w:rsid w:val="00937658"/>
    <w:rsid w:val="00937FA1"/>
    <w:rsid w:val="00937FD6"/>
    <w:rsid w:val="00940607"/>
    <w:rsid w:val="00940879"/>
    <w:rsid w:val="00940A98"/>
    <w:rsid w:val="00940C84"/>
    <w:rsid w:val="0094190D"/>
    <w:rsid w:val="00941F52"/>
    <w:rsid w:val="009426AD"/>
    <w:rsid w:val="009436AA"/>
    <w:rsid w:val="009436D1"/>
    <w:rsid w:val="009440ED"/>
    <w:rsid w:val="0094469D"/>
    <w:rsid w:val="00946E2A"/>
    <w:rsid w:val="009470E8"/>
    <w:rsid w:val="009471A7"/>
    <w:rsid w:val="0094768E"/>
    <w:rsid w:val="00947B38"/>
    <w:rsid w:val="00947BFA"/>
    <w:rsid w:val="009503D3"/>
    <w:rsid w:val="009507D4"/>
    <w:rsid w:val="00950C13"/>
    <w:rsid w:val="00950E03"/>
    <w:rsid w:val="00951AF2"/>
    <w:rsid w:val="00952592"/>
    <w:rsid w:val="0095278B"/>
    <w:rsid w:val="00952A79"/>
    <w:rsid w:val="00953475"/>
    <w:rsid w:val="00953565"/>
    <w:rsid w:val="009539B1"/>
    <w:rsid w:val="009540E6"/>
    <w:rsid w:val="009543F7"/>
    <w:rsid w:val="00954D8A"/>
    <w:rsid w:val="00954DB6"/>
    <w:rsid w:val="009551D1"/>
    <w:rsid w:val="0095577B"/>
    <w:rsid w:val="0095658C"/>
    <w:rsid w:val="009567CA"/>
    <w:rsid w:val="009569D5"/>
    <w:rsid w:val="00956B88"/>
    <w:rsid w:val="0095781B"/>
    <w:rsid w:val="00957BAB"/>
    <w:rsid w:val="00960BCA"/>
    <w:rsid w:val="009613F3"/>
    <w:rsid w:val="00961F08"/>
    <w:rsid w:val="00962775"/>
    <w:rsid w:val="00962A03"/>
    <w:rsid w:val="00963085"/>
    <w:rsid w:val="009630A6"/>
    <w:rsid w:val="00963479"/>
    <w:rsid w:val="009634A1"/>
    <w:rsid w:val="00963555"/>
    <w:rsid w:val="00963B55"/>
    <w:rsid w:val="00964494"/>
    <w:rsid w:val="00964658"/>
    <w:rsid w:val="00964B02"/>
    <w:rsid w:val="00964C14"/>
    <w:rsid w:val="00965247"/>
    <w:rsid w:val="00965B55"/>
    <w:rsid w:val="00965BE6"/>
    <w:rsid w:val="0096632A"/>
    <w:rsid w:val="00966EC3"/>
    <w:rsid w:val="00966FF7"/>
    <w:rsid w:val="0096718B"/>
    <w:rsid w:val="00967885"/>
    <w:rsid w:val="00967BFB"/>
    <w:rsid w:val="00967E66"/>
    <w:rsid w:val="00970630"/>
    <w:rsid w:val="00970814"/>
    <w:rsid w:val="00970CBD"/>
    <w:rsid w:val="00970F60"/>
    <w:rsid w:val="009713F7"/>
    <w:rsid w:val="00971C4A"/>
    <w:rsid w:val="00971C9F"/>
    <w:rsid w:val="00971DED"/>
    <w:rsid w:val="00971E28"/>
    <w:rsid w:val="00971FEA"/>
    <w:rsid w:val="009724A4"/>
    <w:rsid w:val="0097337D"/>
    <w:rsid w:val="0097384F"/>
    <w:rsid w:val="00973AE4"/>
    <w:rsid w:val="00973C93"/>
    <w:rsid w:val="00974A23"/>
    <w:rsid w:val="00974ABA"/>
    <w:rsid w:val="00974E07"/>
    <w:rsid w:val="00974E0B"/>
    <w:rsid w:val="00974E88"/>
    <w:rsid w:val="0097500F"/>
    <w:rsid w:val="009755F1"/>
    <w:rsid w:val="00975A6C"/>
    <w:rsid w:val="00975C82"/>
    <w:rsid w:val="00976310"/>
    <w:rsid w:val="009765BA"/>
    <w:rsid w:val="00976A78"/>
    <w:rsid w:val="00977225"/>
    <w:rsid w:val="009774A7"/>
    <w:rsid w:val="0098033F"/>
    <w:rsid w:val="00980540"/>
    <w:rsid w:val="00980655"/>
    <w:rsid w:val="009808DC"/>
    <w:rsid w:val="00981647"/>
    <w:rsid w:val="00981B88"/>
    <w:rsid w:val="00982211"/>
    <w:rsid w:val="00982528"/>
    <w:rsid w:val="00982730"/>
    <w:rsid w:val="00982949"/>
    <w:rsid w:val="009831D8"/>
    <w:rsid w:val="00983C8F"/>
    <w:rsid w:val="00984A69"/>
    <w:rsid w:val="00985490"/>
    <w:rsid w:val="009863DF"/>
    <w:rsid w:val="00986731"/>
    <w:rsid w:val="00986897"/>
    <w:rsid w:val="00986A14"/>
    <w:rsid w:val="00986DE5"/>
    <w:rsid w:val="00986E0F"/>
    <w:rsid w:val="00986F10"/>
    <w:rsid w:val="00987200"/>
    <w:rsid w:val="0098735C"/>
    <w:rsid w:val="00987645"/>
    <w:rsid w:val="009878DC"/>
    <w:rsid w:val="009879A9"/>
    <w:rsid w:val="00987F8B"/>
    <w:rsid w:val="00990173"/>
    <w:rsid w:val="009903EE"/>
    <w:rsid w:val="00990A76"/>
    <w:rsid w:val="00990FA4"/>
    <w:rsid w:val="0099109D"/>
    <w:rsid w:val="0099180D"/>
    <w:rsid w:val="00991CAF"/>
    <w:rsid w:val="00991E74"/>
    <w:rsid w:val="009921CA"/>
    <w:rsid w:val="009922E1"/>
    <w:rsid w:val="00992979"/>
    <w:rsid w:val="00992C0D"/>
    <w:rsid w:val="00992CFF"/>
    <w:rsid w:val="00992D0E"/>
    <w:rsid w:val="00992D54"/>
    <w:rsid w:val="009931A8"/>
    <w:rsid w:val="009932CA"/>
    <w:rsid w:val="00993877"/>
    <w:rsid w:val="00993ECC"/>
    <w:rsid w:val="00993F44"/>
    <w:rsid w:val="00993FDE"/>
    <w:rsid w:val="00994392"/>
    <w:rsid w:val="0099472C"/>
    <w:rsid w:val="00994ACC"/>
    <w:rsid w:val="00994AF0"/>
    <w:rsid w:val="00995432"/>
    <w:rsid w:val="0099555D"/>
    <w:rsid w:val="00995580"/>
    <w:rsid w:val="00995793"/>
    <w:rsid w:val="0099597B"/>
    <w:rsid w:val="009968DE"/>
    <w:rsid w:val="00996A5C"/>
    <w:rsid w:val="00996AC4"/>
    <w:rsid w:val="00996BF2"/>
    <w:rsid w:val="00996C8B"/>
    <w:rsid w:val="009970DC"/>
    <w:rsid w:val="00997311"/>
    <w:rsid w:val="0099761E"/>
    <w:rsid w:val="00997850"/>
    <w:rsid w:val="00997C02"/>
    <w:rsid w:val="0099CB34"/>
    <w:rsid w:val="009A0074"/>
    <w:rsid w:val="009A090F"/>
    <w:rsid w:val="009A0AC4"/>
    <w:rsid w:val="009A1503"/>
    <w:rsid w:val="009A15AC"/>
    <w:rsid w:val="009A180F"/>
    <w:rsid w:val="009A19DD"/>
    <w:rsid w:val="009A1FE6"/>
    <w:rsid w:val="009A2329"/>
    <w:rsid w:val="009A2429"/>
    <w:rsid w:val="009A2438"/>
    <w:rsid w:val="009A36BE"/>
    <w:rsid w:val="009A3F4F"/>
    <w:rsid w:val="009A44C3"/>
    <w:rsid w:val="009A4F1F"/>
    <w:rsid w:val="009A58AE"/>
    <w:rsid w:val="009A5DC8"/>
    <w:rsid w:val="009A6520"/>
    <w:rsid w:val="009A68E6"/>
    <w:rsid w:val="009A6CBB"/>
    <w:rsid w:val="009A78E3"/>
    <w:rsid w:val="009A7B3B"/>
    <w:rsid w:val="009A7B88"/>
    <w:rsid w:val="009A7C17"/>
    <w:rsid w:val="009B05E6"/>
    <w:rsid w:val="009B0616"/>
    <w:rsid w:val="009B0620"/>
    <w:rsid w:val="009B0C39"/>
    <w:rsid w:val="009B1172"/>
    <w:rsid w:val="009B1A96"/>
    <w:rsid w:val="009B2687"/>
    <w:rsid w:val="009B34D5"/>
    <w:rsid w:val="009B38D1"/>
    <w:rsid w:val="009B3F20"/>
    <w:rsid w:val="009B474D"/>
    <w:rsid w:val="009B49A6"/>
    <w:rsid w:val="009B4AFA"/>
    <w:rsid w:val="009B5358"/>
    <w:rsid w:val="009B6021"/>
    <w:rsid w:val="009B6FB4"/>
    <w:rsid w:val="009B73A8"/>
    <w:rsid w:val="009B7408"/>
    <w:rsid w:val="009B74F7"/>
    <w:rsid w:val="009C0767"/>
    <w:rsid w:val="009C11B7"/>
    <w:rsid w:val="009C14EA"/>
    <w:rsid w:val="009C1BA1"/>
    <w:rsid w:val="009C1E4F"/>
    <w:rsid w:val="009C2005"/>
    <w:rsid w:val="009C20A4"/>
    <w:rsid w:val="009C2BED"/>
    <w:rsid w:val="009C3712"/>
    <w:rsid w:val="009C3804"/>
    <w:rsid w:val="009C404B"/>
    <w:rsid w:val="009C48D0"/>
    <w:rsid w:val="009C4B8E"/>
    <w:rsid w:val="009C4D3F"/>
    <w:rsid w:val="009C55FE"/>
    <w:rsid w:val="009C5BF9"/>
    <w:rsid w:val="009C5E38"/>
    <w:rsid w:val="009C5F1D"/>
    <w:rsid w:val="009C5F2A"/>
    <w:rsid w:val="009C63D5"/>
    <w:rsid w:val="009C6A99"/>
    <w:rsid w:val="009C6D11"/>
    <w:rsid w:val="009C7340"/>
    <w:rsid w:val="009C743B"/>
    <w:rsid w:val="009C7726"/>
    <w:rsid w:val="009C7D40"/>
    <w:rsid w:val="009D05B8"/>
    <w:rsid w:val="009D099B"/>
    <w:rsid w:val="009D0B0C"/>
    <w:rsid w:val="009D0E3F"/>
    <w:rsid w:val="009D21A9"/>
    <w:rsid w:val="009D22D6"/>
    <w:rsid w:val="009D2F8B"/>
    <w:rsid w:val="009D4BAA"/>
    <w:rsid w:val="009D50B3"/>
    <w:rsid w:val="009D539B"/>
    <w:rsid w:val="009D54DD"/>
    <w:rsid w:val="009D5D09"/>
    <w:rsid w:val="009D65EE"/>
    <w:rsid w:val="009D685E"/>
    <w:rsid w:val="009D6BCF"/>
    <w:rsid w:val="009D72D0"/>
    <w:rsid w:val="009D7830"/>
    <w:rsid w:val="009D7933"/>
    <w:rsid w:val="009D7A2D"/>
    <w:rsid w:val="009D7AD8"/>
    <w:rsid w:val="009E0411"/>
    <w:rsid w:val="009E0C88"/>
    <w:rsid w:val="009E10E9"/>
    <w:rsid w:val="009E1110"/>
    <w:rsid w:val="009E1B89"/>
    <w:rsid w:val="009E2094"/>
    <w:rsid w:val="009E2345"/>
    <w:rsid w:val="009E2479"/>
    <w:rsid w:val="009E2629"/>
    <w:rsid w:val="009E3647"/>
    <w:rsid w:val="009E386A"/>
    <w:rsid w:val="009E3A40"/>
    <w:rsid w:val="009E3F43"/>
    <w:rsid w:val="009E4697"/>
    <w:rsid w:val="009E48A1"/>
    <w:rsid w:val="009E48D8"/>
    <w:rsid w:val="009E4C5A"/>
    <w:rsid w:val="009E53C5"/>
    <w:rsid w:val="009E58EF"/>
    <w:rsid w:val="009E600E"/>
    <w:rsid w:val="009E61C1"/>
    <w:rsid w:val="009E6205"/>
    <w:rsid w:val="009E6246"/>
    <w:rsid w:val="009E68E3"/>
    <w:rsid w:val="009E6BEE"/>
    <w:rsid w:val="009E6D9D"/>
    <w:rsid w:val="009E734F"/>
    <w:rsid w:val="009E7364"/>
    <w:rsid w:val="009E79BC"/>
    <w:rsid w:val="009E7B42"/>
    <w:rsid w:val="009F022B"/>
    <w:rsid w:val="009F08EB"/>
    <w:rsid w:val="009F10EB"/>
    <w:rsid w:val="009F2118"/>
    <w:rsid w:val="009F212A"/>
    <w:rsid w:val="009F24A9"/>
    <w:rsid w:val="009F2527"/>
    <w:rsid w:val="009F2903"/>
    <w:rsid w:val="009F2F0A"/>
    <w:rsid w:val="009F3562"/>
    <w:rsid w:val="009F3A8C"/>
    <w:rsid w:val="009F3A8E"/>
    <w:rsid w:val="009F3C21"/>
    <w:rsid w:val="009F479C"/>
    <w:rsid w:val="009F5738"/>
    <w:rsid w:val="009F5AD5"/>
    <w:rsid w:val="009F5D11"/>
    <w:rsid w:val="009F6158"/>
    <w:rsid w:val="009F6BC2"/>
    <w:rsid w:val="009F6F07"/>
    <w:rsid w:val="009F719F"/>
    <w:rsid w:val="009F71CC"/>
    <w:rsid w:val="009F71ED"/>
    <w:rsid w:val="009F73CE"/>
    <w:rsid w:val="00A00EE4"/>
    <w:rsid w:val="00A0196C"/>
    <w:rsid w:val="00A01F7B"/>
    <w:rsid w:val="00A0217E"/>
    <w:rsid w:val="00A02554"/>
    <w:rsid w:val="00A028C0"/>
    <w:rsid w:val="00A02B4E"/>
    <w:rsid w:val="00A02E7E"/>
    <w:rsid w:val="00A02FB4"/>
    <w:rsid w:val="00A030D8"/>
    <w:rsid w:val="00A039D9"/>
    <w:rsid w:val="00A0428C"/>
    <w:rsid w:val="00A0435F"/>
    <w:rsid w:val="00A049EB"/>
    <w:rsid w:val="00A0525E"/>
    <w:rsid w:val="00A0564B"/>
    <w:rsid w:val="00A05CE0"/>
    <w:rsid w:val="00A0622F"/>
    <w:rsid w:val="00A068BB"/>
    <w:rsid w:val="00A06B16"/>
    <w:rsid w:val="00A06C4A"/>
    <w:rsid w:val="00A072C8"/>
    <w:rsid w:val="00A07386"/>
    <w:rsid w:val="00A07770"/>
    <w:rsid w:val="00A0778D"/>
    <w:rsid w:val="00A07E38"/>
    <w:rsid w:val="00A07F48"/>
    <w:rsid w:val="00A07FAD"/>
    <w:rsid w:val="00A107B6"/>
    <w:rsid w:val="00A1111F"/>
    <w:rsid w:val="00A11264"/>
    <w:rsid w:val="00A1145F"/>
    <w:rsid w:val="00A114A3"/>
    <w:rsid w:val="00A115EC"/>
    <w:rsid w:val="00A1165E"/>
    <w:rsid w:val="00A11CCF"/>
    <w:rsid w:val="00A11E3C"/>
    <w:rsid w:val="00A12080"/>
    <w:rsid w:val="00A120BC"/>
    <w:rsid w:val="00A12C1A"/>
    <w:rsid w:val="00A13207"/>
    <w:rsid w:val="00A133E1"/>
    <w:rsid w:val="00A136EE"/>
    <w:rsid w:val="00A140B8"/>
    <w:rsid w:val="00A1411B"/>
    <w:rsid w:val="00A14C5C"/>
    <w:rsid w:val="00A14E4C"/>
    <w:rsid w:val="00A152CA"/>
    <w:rsid w:val="00A15D83"/>
    <w:rsid w:val="00A15DC7"/>
    <w:rsid w:val="00A15E3A"/>
    <w:rsid w:val="00A16420"/>
    <w:rsid w:val="00A1677C"/>
    <w:rsid w:val="00A16805"/>
    <w:rsid w:val="00A20365"/>
    <w:rsid w:val="00A20AB1"/>
    <w:rsid w:val="00A20D27"/>
    <w:rsid w:val="00A21BC9"/>
    <w:rsid w:val="00A21CF1"/>
    <w:rsid w:val="00A21FFC"/>
    <w:rsid w:val="00A224FE"/>
    <w:rsid w:val="00A22B94"/>
    <w:rsid w:val="00A22BB3"/>
    <w:rsid w:val="00A2326B"/>
    <w:rsid w:val="00A2399A"/>
    <w:rsid w:val="00A23AB1"/>
    <w:rsid w:val="00A244FA"/>
    <w:rsid w:val="00A2451C"/>
    <w:rsid w:val="00A24A70"/>
    <w:rsid w:val="00A24A97"/>
    <w:rsid w:val="00A25472"/>
    <w:rsid w:val="00A25815"/>
    <w:rsid w:val="00A25987"/>
    <w:rsid w:val="00A25AF8"/>
    <w:rsid w:val="00A25E7E"/>
    <w:rsid w:val="00A268BE"/>
    <w:rsid w:val="00A26B43"/>
    <w:rsid w:val="00A26CFA"/>
    <w:rsid w:val="00A270F9"/>
    <w:rsid w:val="00A27164"/>
    <w:rsid w:val="00A2777A"/>
    <w:rsid w:val="00A27B63"/>
    <w:rsid w:val="00A27C2B"/>
    <w:rsid w:val="00A3058F"/>
    <w:rsid w:val="00A308C6"/>
    <w:rsid w:val="00A322B9"/>
    <w:rsid w:val="00A325A3"/>
    <w:rsid w:val="00A32E60"/>
    <w:rsid w:val="00A337BB"/>
    <w:rsid w:val="00A33A2B"/>
    <w:rsid w:val="00A35A7B"/>
    <w:rsid w:val="00A35D33"/>
    <w:rsid w:val="00A35F4B"/>
    <w:rsid w:val="00A365CE"/>
    <w:rsid w:val="00A36660"/>
    <w:rsid w:val="00A36959"/>
    <w:rsid w:val="00A37294"/>
    <w:rsid w:val="00A373D1"/>
    <w:rsid w:val="00A377FF"/>
    <w:rsid w:val="00A37BE6"/>
    <w:rsid w:val="00A37C52"/>
    <w:rsid w:val="00A41374"/>
    <w:rsid w:val="00A41BA8"/>
    <w:rsid w:val="00A41D8F"/>
    <w:rsid w:val="00A41FEF"/>
    <w:rsid w:val="00A42254"/>
    <w:rsid w:val="00A424E3"/>
    <w:rsid w:val="00A42522"/>
    <w:rsid w:val="00A428C4"/>
    <w:rsid w:val="00A42A86"/>
    <w:rsid w:val="00A42AFF"/>
    <w:rsid w:val="00A42ECC"/>
    <w:rsid w:val="00A4314B"/>
    <w:rsid w:val="00A445F6"/>
    <w:rsid w:val="00A4469A"/>
    <w:rsid w:val="00A44CE6"/>
    <w:rsid w:val="00A44D4F"/>
    <w:rsid w:val="00A457CA"/>
    <w:rsid w:val="00A45B39"/>
    <w:rsid w:val="00A45DC1"/>
    <w:rsid w:val="00A463FF"/>
    <w:rsid w:val="00A47DDA"/>
    <w:rsid w:val="00A5013E"/>
    <w:rsid w:val="00A503A8"/>
    <w:rsid w:val="00A503EC"/>
    <w:rsid w:val="00A51494"/>
    <w:rsid w:val="00A519CC"/>
    <w:rsid w:val="00A51B5F"/>
    <w:rsid w:val="00A51CF0"/>
    <w:rsid w:val="00A520CC"/>
    <w:rsid w:val="00A52298"/>
    <w:rsid w:val="00A522DA"/>
    <w:rsid w:val="00A52CC0"/>
    <w:rsid w:val="00A52F78"/>
    <w:rsid w:val="00A534FD"/>
    <w:rsid w:val="00A53EFF"/>
    <w:rsid w:val="00A54A93"/>
    <w:rsid w:val="00A54C19"/>
    <w:rsid w:val="00A54D2B"/>
    <w:rsid w:val="00A5546E"/>
    <w:rsid w:val="00A55C2C"/>
    <w:rsid w:val="00A56464"/>
    <w:rsid w:val="00A56514"/>
    <w:rsid w:val="00A56D97"/>
    <w:rsid w:val="00A570A5"/>
    <w:rsid w:val="00A57308"/>
    <w:rsid w:val="00A574BE"/>
    <w:rsid w:val="00A57979"/>
    <w:rsid w:val="00A57986"/>
    <w:rsid w:val="00A57A6B"/>
    <w:rsid w:val="00A57CF7"/>
    <w:rsid w:val="00A57EEF"/>
    <w:rsid w:val="00A602C7"/>
    <w:rsid w:val="00A6089E"/>
    <w:rsid w:val="00A6119A"/>
    <w:rsid w:val="00A6143F"/>
    <w:rsid w:val="00A6193F"/>
    <w:rsid w:val="00A61DC8"/>
    <w:rsid w:val="00A620FB"/>
    <w:rsid w:val="00A6212C"/>
    <w:rsid w:val="00A624FE"/>
    <w:rsid w:val="00A6319C"/>
    <w:rsid w:val="00A6335F"/>
    <w:rsid w:val="00A63807"/>
    <w:rsid w:val="00A639B3"/>
    <w:rsid w:val="00A64C0F"/>
    <w:rsid w:val="00A64D24"/>
    <w:rsid w:val="00A64FEA"/>
    <w:rsid w:val="00A65A35"/>
    <w:rsid w:val="00A65D4C"/>
    <w:rsid w:val="00A65D71"/>
    <w:rsid w:val="00A66271"/>
    <w:rsid w:val="00A66672"/>
    <w:rsid w:val="00A66D5B"/>
    <w:rsid w:val="00A66EEA"/>
    <w:rsid w:val="00A673B1"/>
    <w:rsid w:val="00A6779D"/>
    <w:rsid w:val="00A67843"/>
    <w:rsid w:val="00A678E3"/>
    <w:rsid w:val="00A67B25"/>
    <w:rsid w:val="00A67EE9"/>
    <w:rsid w:val="00A707FA"/>
    <w:rsid w:val="00A70D2F"/>
    <w:rsid w:val="00A70F92"/>
    <w:rsid w:val="00A7183A"/>
    <w:rsid w:val="00A71F0F"/>
    <w:rsid w:val="00A72920"/>
    <w:rsid w:val="00A72B45"/>
    <w:rsid w:val="00A73D3E"/>
    <w:rsid w:val="00A74340"/>
    <w:rsid w:val="00A744C6"/>
    <w:rsid w:val="00A751F8"/>
    <w:rsid w:val="00A758F2"/>
    <w:rsid w:val="00A7599C"/>
    <w:rsid w:val="00A760C1"/>
    <w:rsid w:val="00A764B5"/>
    <w:rsid w:val="00A7690A"/>
    <w:rsid w:val="00A76B2A"/>
    <w:rsid w:val="00A77421"/>
    <w:rsid w:val="00A77425"/>
    <w:rsid w:val="00A777E5"/>
    <w:rsid w:val="00A779BF"/>
    <w:rsid w:val="00A808D6"/>
    <w:rsid w:val="00A80A2F"/>
    <w:rsid w:val="00A8111F"/>
    <w:rsid w:val="00A8118E"/>
    <w:rsid w:val="00A819E0"/>
    <w:rsid w:val="00A81B0E"/>
    <w:rsid w:val="00A81C7A"/>
    <w:rsid w:val="00A824FB"/>
    <w:rsid w:val="00A828A0"/>
    <w:rsid w:val="00A83126"/>
    <w:rsid w:val="00A83A89"/>
    <w:rsid w:val="00A84384"/>
    <w:rsid w:val="00A843B0"/>
    <w:rsid w:val="00A84808"/>
    <w:rsid w:val="00A848EC"/>
    <w:rsid w:val="00A84AC1"/>
    <w:rsid w:val="00A85B56"/>
    <w:rsid w:val="00A85C16"/>
    <w:rsid w:val="00A85F08"/>
    <w:rsid w:val="00A86050"/>
    <w:rsid w:val="00A870A2"/>
    <w:rsid w:val="00A873E4"/>
    <w:rsid w:val="00A87490"/>
    <w:rsid w:val="00A906C7"/>
    <w:rsid w:val="00A912F5"/>
    <w:rsid w:val="00A91373"/>
    <w:rsid w:val="00A9174D"/>
    <w:rsid w:val="00A91E03"/>
    <w:rsid w:val="00A9264B"/>
    <w:rsid w:val="00A92711"/>
    <w:rsid w:val="00A92BB4"/>
    <w:rsid w:val="00A92D9F"/>
    <w:rsid w:val="00A92EA6"/>
    <w:rsid w:val="00A9340B"/>
    <w:rsid w:val="00A93473"/>
    <w:rsid w:val="00A93966"/>
    <w:rsid w:val="00A93B20"/>
    <w:rsid w:val="00A940E6"/>
    <w:rsid w:val="00A94BC9"/>
    <w:rsid w:val="00A94C12"/>
    <w:rsid w:val="00A94C94"/>
    <w:rsid w:val="00A94E97"/>
    <w:rsid w:val="00A95CE2"/>
    <w:rsid w:val="00A95FCE"/>
    <w:rsid w:val="00A96A0D"/>
    <w:rsid w:val="00A96BBF"/>
    <w:rsid w:val="00A971CD"/>
    <w:rsid w:val="00A9777B"/>
    <w:rsid w:val="00A97C7F"/>
    <w:rsid w:val="00A97F38"/>
    <w:rsid w:val="00AA072F"/>
    <w:rsid w:val="00AA0BA5"/>
    <w:rsid w:val="00AA12BC"/>
    <w:rsid w:val="00AA18EC"/>
    <w:rsid w:val="00AA1D2C"/>
    <w:rsid w:val="00AA207B"/>
    <w:rsid w:val="00AA2541"/>
    <w:rsid w:val="00AA28B1"/>
    <w:rsid w:val="00AA2A84"/>
    <w:rsid w:val="00AA2DCC"/>
    <w:rsid w:val="00AA2FEB"/>
    <w:rsid w:val="00AA334D"/>
    <w:rsid w:val="00AA33C5"/>
    <w:rsid w:val="00AA428C"/>
    <w:rsid w:val="00AA42A2"/>
    <w:rsid w:val="00AA4A26"/>
    <w:rsid w:val="00AA4F09"/>
    <w:rsid w:val="00AA50A0"/>
    <w:rsid w:val="00AA583F"/>
    <w:rsid w:val="00AA666D"/>
    <w:rsid w:val="00AA6B1E"/>
    <w:rsid w:val="00AA6FCF"/>
    <w:rsid w:val="00AA7533"/>
    <w:rsid w:val="00AB003F"/>
    <w:rsid w:val="00AB01FE"/>
    <w:rsid w:val="00AB0443"/>
    <w:rsid w:val="00AB15F8"/>
    <w:rsid w:val="00AB184E"/>
    <w:rsid w:val="00AB1965"/>
    <w:rsid w:val="00AB19A4"/>
    <w:rsid w:val="00AB1A6F"/>
    <w:rsid w:val="00AB1A71"/>
    <w:rsid w:val="00AB28CC"/>
    <w:rsid w:val="00AB2A72"/>
    <w:rsid w:val="00AB3498"/>
    <w:rsid w:val="00AB3A61"/>
    <w:rsid w:val="00AB3AE0"/>
    <w:rsid w:val="00AB3D5B"/>
    <w:rsid w:val="00AB58DD"/>
    <w:rsid w:val="00AB5A3E"/>
    <w:rsid w:val="00AB5D16"/>
    <w:rsid w:val="00AB5E3A"/>
    <w:rsid w:val="00AB623C"/>
    <w:rsid w:val="00AB725D"/>
    <w:rsid w:val="00AC13A8"/>
    <w:rsid w:val="00AC141E"/>
    <w:rsid w:val="00AC1714"/>
    <w:rsid w:val="00AC1A1E"/>
    <w:rsid w:val="00AC1B2B"/>
    <w:rsid w:val="00AC203E"/>
    <w:rsid w:val="00AC20BA"/>
    <w:rsid w:val="00AC28D0"/>
    <w:rsid w:val="00AC350A"/>
    <w:rsid w:val="00AC36D7"/>
    <w:rsid w:val="00AC45BD"/>
    <w:rsid w:val="00AC45BF"/>
    <w:rsid w:val="00AC4650"/>
    <w:rsid w:val="00AC50C4"/>
    <w:rsid w:val="00AC518F"/>
    <w:rsid w:val="00AC5232"/>
    <w:rsid w:val="00AC53A3"/>
    <w:rsid w:val="00AC5701"/>
    <w:rsid w:val="00AC5C0E"/>
    <w:rsid w:val="00AC5EE7"/>
    <w:rsid w:val="00AC6501"/>
    <w:rsid w:val="00AC72AE"/>
    <w:rsid w:val="00AC738C"/>
    <w:rsid w:val="00AC75EC"/>
    <w:rsid w:val="00AC77D6"/>
    <w:rsid w:val="00AD03C8"/>
    <w:rsid w:val="00AD0A7F"/>
    <w:rsid w:val="00AD0DE3"/>
    <w:rsid w:val="00AD0E5B"/>
    <w:rsid w:val="00AD0F26"/>
    <w:rsid w:val="00AD1692"/>
    <w:rsid w:val="00AD1708"/>
    <w:rsid w:val="00AD1A25"/>
    <w:rsid w:val="00AD1B6B"/>
    <w:rsid w:val="00AD1C7A"/>
    <w:rsid w:val="00AD1D40"/>
    <w:rsid w:val="00AD1F87"/>
    <w:rsid w:val="00AD208D"/>
    <w:rsid w:val="00AD249D"/>
    <w:rsid w:val="00AD2A7B"/>
    <w:rsid w:val="00AD3401"/>
    <w:rsid w:val="00AD3911"/>
    <w:rsid w:val="00AD46AC"/>
    <w:rsid w:val="00AD48AE"/>
    <w:rsid w:val="00AD4DAC"/>
    <w:rsid w:val="00AD4ED4"/>
    <w:rsid w:val="00AD4FC1"/>
    <w:rsid w:val="00AD5193"/>
    <w:rsid w:val="00AD585A"/>
    <w:rsid w:val="00AD5999"/>
    <w:rsid w:val="00AD5B13"/>
    <w:rsid w:val="00AD60EA"/>
    <w:rsid w:val="00AD6136"/>
    <w:rsid w:val="00AD625C"/>
    <w:rsid w:val="00AD71DE"/>
    <w:rsid w:val="00AD79A5"/>
    <w:rsid w:val="00AE02A9"/>
    <w:rsid w:val="00AE0B31"/>
    <w:rsid w:val="00AE0F2D"/>
    <w:rsid w:val="00AE106A"/>
    <w:rsid w:val="00AE11F1"/>
    <w:rsid w:val="00AE163C"/>
    <w:rsid w:val="00AE1857"/>
    <w:rsid w:val="00AE19E6"/>
    <w:rsid w:val="00AE1C9B"/>
    <w:rsid w:val="00AE22E7"/>
    <w:rsid w:val="00AE2C09"/>
    <w:rsid w:val="00AE2D76"/>
    <w:rsid w:val="00AE30B7"/>
    <w:rsid w:val="00AE3324"/>
    <w:rsid w:val="00AE371D"/>
    <w:rsid w:val="00AE428D"/>
    <w:rsid w:val="00AE43A9"/>
    <w:rsid w:val="00AE4536"/>
    <w:rsid w:val="00AE45C4"/>
    <w:rsid w:val="00AE467F"/>
    <w:rsid w:val="00AE477C"/>
    <w:rsid w:val="00AE4CB2"/>
    <w:rsid w:val="00AE54B4"/>
    <w:rsid w:val="00AE5C57"/>
    <w:rsid w:val="00AE6A98"/>
    <w:rsid w:val="00AE7710"/>
    <w:rsid w:val="00AE7F3F"/>
    <w:rsid w:val="00AF03F6"/>
    <w:rsid w:val="00AF053B"/>
    <w:rsid w:val="00AF0635"/>
    <w:rsid w:val="00AF093C"/>
    <w:rsid w:val="00AF0C02"/>
    <w:rsid w:val="00AF0D19"/>
    <w:rsid w:val="00AF0FAE"/>
    <w:rsid w:val="00AF22E7"/>
    <w:rsid w:val="00AF2997"/>
    <w:rsid w:val="00AF2AFB"/>
    <w:rsid w:val="00AF2D68"/>
    <w:rsid w:val="00AF2FFA"/>
    <w:rsid w:val="00AF35B2"/>
    <w:rsid w:val="00AF380F"/>
    <w:rsid w:val="00AF39EC"/>
    <w:rsid w:val="00AF40EE"/>
    <w:rsid w:val="00AF56DE"/>
    <w:rsid w:val="00AF5A50"/>
    <w:rsid w:val="00AF63D6"/>
    <w:rsid w:val="00AF6427"/>
    <w:rsid w:val="00AF649E"/>
    <w:rsid w:val="00AF6827"/>
    <w:rsid w:val="00AF6F2E"/>
    <w:rsid w:val="00AF6FC6"/>
    <w:rsid w:val="00AF7167"/>
    <w:rsid w:val="00AF76A1"/>
    <w:rsid w:val="00B00284"/>
    <w:rsid w:val="00B006FA"/>
    <w:rsid w:val="00B00D49"/>
    <w:rsid w:val="00B00F74"/>
    <w:rsid w:val="00B01912"/>
    <w:rsid w:val="00B01DF0"/>
    <w:rsid w:val="00B02201"/>
    <w:rsid w:val="00B02374"/>
    <w:rsid w:val="00B02EDE"/>
    <w:rsid w:val="00B036F4"/>
    <w:rsid w:val="00B043A3"/>
    <w:rsid w:val="00B04F25"/>
    <w:rsid w:val="00B05286"/>
    <w:rsid w:val="00B05526"/>
    <w:rsid w:val="00B0584A"/>
    <w:rsid w:val="00B059DB"/>
    <w:rsid w:val="00B0604E"/>
    <w:rsid w:val="00B0611B"/>
    <w:rsid w:val="00B06B59"/>
    <w:rsid w:val="00B06EBA"/>
    <w:rsid w:val="00B06FEA"/>
    <w:rsid w:val="00B0770A"/>
    <w:rsid w:val="00B077DA"/>
    <w:rsid w:val="00B07B25"/>
    <w:rsid w:val="00B07B96"/>
    <w:rsid w:val="00B07E6F"/>
    <w:rsid w:val="00B10B1B"/>
    <w:rsid w:val="00B111DD"/>
    <w:rsid w:val="00B119C0"/>
    <w:rsid w:val="00B11C95"/>
    <w:rsid w:val="00B11E47"/>
    <w:rsid w:val="00B13180"/>
    <w:rsid w:val="00B1323B"/>
    <w:rsid w:val="00B144FA"/>
    <w:rsid w:val="00B14556"/>
    <w:rsid w:val="00B14DAD"/>
    <w:rsid w:val="00B153D7"/>
    <w:rsid w:val="00B15AF3"/>
    <w:rsid w:val="00B162A6"/>
    <w:rsid w:val="00B164A4"/>
    <w:rsid w:val="00B16A4C"/>
    <w:rsid w:val="00B16A67"/>
    <w:rsid w:val="00B16BBC"/>
    <w:rsid w:val="00B16EC8"/>
    <w:rsid w:val="00B1747D"/>
    <w:rsid w:val="00B1748D"/>
    <w:rsid w:val="00B1755A"/>
    <w:rsid w:val="00B17994"/>
    <w:rsid w:val="00B17C86"/>
    <w:rsid w:val="00B17DDC"/>
    <w:rsid w:val="00B17E1E"/>
    <w:rsid w:val="00B20045"/>
    <w:rsid w:val="00B203CB"/>
    <w:rsid w:val="00B2071E"/>
    <w:rsid w:val="00B20A2F"/>
    <w:rsid w:val="00B20CD2"/>
    <w:rsid w:val="00B21166"/>
    <w:rsid w:val="00B21608"/>
    <w:rsid w:val="00B223F7"/>
    <w:rsid w:val="00B2254C"/>
    <w:rsid w:val="00B22B4F"/>
    <w:rsid w:val="00B22FDA"/>
    <w:rsid w:val="00B2302F"/>
    <w:rsid w:val="00B23473"/>
    <w:rsid w:val="00B239E1"/>
    <w:rsid w:val="00B239F7"/>
    <w:rsid w:val="00B23A8B"/>
    <w:rsid w:val="00B23B39"/>
    <w:rsid w:val="00B23D18"/>
    <w:rsid w:val="00B243B6"/>
    <w:rsid w:val="00B24894"/>
    <w:rsid w:val="00B24E94"/>
    <w:rsid w:val="00B25823"/>
    <w:rsid w:val="00B25C45"/>
    <w:rsid w:val="00B25EC9"/>
    <w:rsid w:val="00B268F7"/>
    <w:rsid w:val="00B26D32"/>
    <w:rsid w:val="00B2712C"/>
    <w:rsid w:val="00B271AC"/>
    <w:rsid w:val="00B27237"/>
    <w:rsid w:val="00B277F6"/>
    <w:rsid w:val="00B27CF0"/>
    <w:rsid w:val="00B3035B"/>
    <w:rsid w:val="00B31278"/>
    <w:rsid w:val="00B31814"/>
    <w:rsid w:val="00B31FA9"/>
    <w:rsid w:val="00B3253A"/>
    <w:rsid w:val="00B328FF"/>
    <w:rsid w:val="00B33014"/>
    <w:rsid w:val="00B33699"/>
    <w:rsid w:val="00B33866"/>
    <w:rsid w:val="00B3387E"/>
    <w:rsid w:val="00B338A5"/>
    <w:rsid w:val="00B33BE3"/>
    <w:rsid w:val="00B34350"/>
    <w:rsid w:val="00B34A8C"/>
    <w:rsid w:val="00B34CC3"/>
    <w:rsid w:val="00B34DA7"/>
    <w:rsid w:val="00B35705"/>
    <w:rsid w:val="00B35F8A"/>
    <w:rsid w:val="00B3605B"/>
    <w:rsid w:val="00B3616A"/>
    <w:rsid w:val="00B36262"/>
    <w:rsid w:val="00B3695D"/>
    <w:rsid w:val="00B36CFA"/>
    <w:rsid w:val="00B372D9"/>
    <w:rsid w:val="00B376A2"/>
    <w:rsid w:val="00B37CB0"/>
    <w:rsid w:val="00B401AC"/>
    <w:rsid w:val="00B40259"/>
    <w:rsid w:val="00B408A5"/>
    <w:rsid w:val="00B40D12"/>
    <w:rsid w:val="00B4104E"/>
    <w:rsid w:val="00B41F1D"/>
    <w:rsid w:val="00B4207A"/>
    <w:rsid w:val="00B4215E"/>
    <w:rsid w:val="00B421DB"/>
    <w:rsid w:val="00B422AE"/>
    <w:rsid w:val="00B422FF"/>
    <w:rsid w:val="00B424A1"/>
    <w:rsid w:val="00B42794"/>
    <w:rsid w:val="00B42B89"/>
    <w:rsid w:val="00B43459"/>
    <w:rsid w:val="00B43E03"/>
    <w:rsid w:val="00B43F34"/>
    <w:rsid w:val="00B443D5"/>
    <w:rsid w:val="00B45536"/>
    <w:rsid w:val="00B4587E"/>
    <w:rsid w:val="00B45C60"/>
    <w:rsid w:val="00B45DF9"/>
    <w:rsid w:val="00B467A5"/>
    <w:rsid w:val="00B46D8B"/>
    <w:rsid w:val="00B473F1"/>
    <w:rsid w:val="00B47A1F"/>
    <w:rsid w:val="00B5048D"/>
    <w:rsid w:val="00B50BD8"/>
    <w:rsid w:val="00B510C3"/>
    <w:rsid w:val="00B51788"/>
    <w:rsid w:val="00B5189B"/>
    <w:rsid w:val="00B51952"/>
    <w:rsid w:val="00B522B9"/>
    <w:rsid w:val="00B52DD4"/>
    <w:rsid w:val="00B53216"/>
    <w:rsid w:val="00B538E2"/>
    <w:rsid w:val="00B54162"/>
    <w:rsid w:val="00B54993"/>
    <w:rsid w:val="00B54B24"/>
    <w:rsid w:val="00B54BEA"/>
    <w:rsid w:val="00B5520C"/>
    <w:rsid w:val="00B55977"/>
    <w:rsid w:val="00B55ADA"/>
    <w:rsid w:val="00B55D8C"/>
    <w:rsid w:val="00B560AF"/>
    <w:rsid w:val="00B56D25"/>
    <w:rsid w:val="00B56D5A"/>
    <w:rsid w:val="00B56F5F"/>
    <w:rsid w:val="00B57236"/>
    <w:rsid w:val="00B578DE"/>
    <w:rsid w:val="00B57FD6"/>
    <w:rsid w:val="00B603FB"/>
    <w:rsid w:val="00B60F25"/>
    <w:rsid w:val="00B61371"/>
    <w:rsid w:val="00B6140D"/>
    <w:rsid w:val="00B6147C"/>
    <w:rsid w:val="00B62027"/>
    <w:rsid w:val="00B6209E"/>
    <w:rsid w:val="00B62226"/>
    <w:rsid w:val="00B6314E"/>
    <w:rsid w:val="00B632D0"/>
    <w:rsid w:val="00B632EB"/>
    <w:rsid w:val="00B635EA"/>
    <w:rsid w:val="00B63742"/>
    <w:rsid w:val="00B63BD4"/>
    <w:rsid w:val="00B6492C"/>
    <w:rsid w:val="00B64D9E"/>
    <w:rsid w:val="00B650F5"/>
    <w:rsid w:val="00B65247"/>
    <w:rsid w:val="00B654BE"/>
    <w:rsid w:val="00B6577D"/>
    <w:rsid w:val="00B659D1"/>
    <w:rsid w:val="00B66271"/>
    <w:rsid w:val="00B66429"/>
    <w:rsid w:val="00B6669B"/>
    <w:rsid w:val="00B66DAE"/>
    <w:rsid w:val="00B66FCE"/>
    <w:rsid w:val="00B6714F"/>
    <w:rsid w:val="00B674BE"/>
    <w:rsid w:val="00B67B9C"/>
    <w:rsid w:val="00B67BE2"/>
    <w:rsid w:val="00B67CA2"/>
    <w:rsid w:val="00B67FDB"/>
    <w:rsid w:val="00B703C2"/>
    <w:rsid w:val="00B7098A"/>
    <w:rsid w:val="00B70C02"/>
    <w:rsid w:val="00B71813"/>
    <w:rsid w:val="00B7283C"/>
    <w:rsid w:val="00B72F40"/>
    <w:rsid w:val="00B737C3"/>
    <w:rsid w:val="00B73FA2"/>
    <w:rsid w:val="00B745B2"/>
    <w:rsid w:val="00B7484E"/>
    <w:rsid w:val="00B7539F"/>
    <w:rsid w:val="00B75571"/>
    <w:rsid w:val="00B759D8"/>
    <w:rsid w:val="00B75E02"/>
    <w:rsid w:val="00B76277"/>
    <w:rsid w:val="00B76C6B"/>
    <w:rsid w:val="00B76C6E"/>
    <w:rsid w:val="00B772E9"/>
    <w:rsid w:val="00B77744"/>
    <w:rsid w:val="00B77BCC"/>
    <w:rsid w:val="00B77D03"/>
    <w:rsid w:val="00B77DD6"/>
    <w:rsid w:val="00B77F0E"/>
    <w:rsid w:val="00B8030D"/>
    <w:rsid w:val="00B80531"/>
    <w:rsid w:val="00B8073D"/>
    <w:rsid w:val="00B8074C"/>
    <w:rsid w:val="00B80774"/>
    <w:rsid w:val="00B80BCD"/>
    <w:rsid w:val="00B81799"/>
    <w:rsid w:val="00B81B2A"/>
    <w:rsid w:val="00B81C0A"/>
    <w:rsid w:val="00B81CDD"/>
    <w:rsid w:val="00B81E8E"/>
    <w:rsid w:val="00B822AF"/>
    <w:rsid w:val="00B82A27"/>
    <w:rsid w:val="00B82A9D"/>
    <w:rsid w:val="00B82ECA"/>
    <w:rsid w:val="00B833A0"/>
    <w:rsid w:val="00B8346F"/>
    <w:rsid w:val="00B834F6"/>
    <w:rsid w:val="00B838AF"/>
    <w:rsid w:val="00B845F7"/>
    <w:rsid w:val="00B8510F"/>
    <w:rsid w:val="00B85255"/>
    <w:rsid w:val="00B855E6"/>
    <w:rsid w:val="00B856A7"/>
    <w:rsid w:val="00B85D2A"/>
    <w:rsid w:val="00B864A4"/>
    <w:rsid w:val="00B86ACC"/>
    <w:rsid w:val="00B8717F"/>
    <w:rsid w:val="00B87588"/>
    <w:rsid w:val="00B92087"/>
    <w:rsid w:val="00B9226B"/>
    <w:rsid w:val="00B92330"/>
    <w:rsid w:val="00B9255F"/>
    <w:rsid w:val="00B92F88"/>
    <w:rsid w:val="00B934CF"/>
    <w:rsid w:val="00B93864"/>
    <w:rsid w:val="00B93946"/>
    <w:rsid w:val="00B951D0"/>
    <w:rsid w:val="00B95347"/>
    <w:rsid w:val="00B95D51"/>
    <w:rsid w:val="00B95E2C"/>
    <w:rsid w:val="00B96030"/>
    <w:rsid w:val="00B9727D"/>
    <w:rsid w:val="00B972B9"/>
    <w:rsid w:val="00B975CB"/>
    <w:rsid w:val="00B97767"/>
    <w:rsid w:val="00B978D6"/>
    <w:rsid w:val="00B97C3C"/>
    <w:rsid w:val="00B97C94"/>
    <w:rsid w:val="00BA0235"/>
    <w:rsid w:val="00BA03B3"/>
    <w:rsid w:val="00BA03F9"/>
    <w:rsid w:val="00BA0432"/>
    <w:rsid w:val="00BA06FD"/>
    <w:rsid w:val="00BA0788"/>
    <w:rsid w:val="00BA0F12"/>
    <w:rsid w:val="00BA12F6"/>
    <w:rsid w:val="00BA1E3A"/>
    <w:rsid w:val="00BA1FE9"/>
    <w:rsid w:val="00BA27DB"/>
    <w:rsid w:val="00BA2D5C"/>
    <w:rsid w:val="00BA3409"/>
    <w:rsid w:val="00BA3562"/>
    <w:rsid w:val="00BA359D"/>
    <w:rsid w:val="00BA3D01"/>
    <w:rsid w:val="00BA3DA4"/>
    <w:rsid w:val="00BA4719"/>
    <w:rsid w:val="00BA4D21"/>
    <w:rsid w:val="00BA4EF7"/>
    <w:rsid w:val="00BA50E5"/>
    <w:rsid w:val="00BA53AC"/>
    <w:rsid w:val="00BA56D7"/>
    <w:rsid w:val="00BA5D1D"/>
    <w:rsid w:val="00BA5EF2"/>
    <w:rsid w:val="00BA65E3"/>
    <w:rsid w:val="00BA65E6"/>
    <w:rsid w:val="00BA66E3"/>
    <w:rsid w:val="00BA6B0D"/>
    <w:rsid w:val="00BB00CC"/>
    <w:rsid w:val="00BB061F"/>
    <w:rsid w:val="00BB0B58"/>
    <w:rsid w:val="00BB0C33"/>
    <w:rsid w:val="00BB0FF9"/>
    <w:rsid w:val="00BB1168"/>
    <w:rsid w:val="00BB15EE"/>
    <w:rsid w:val="00BB17E1"/>
    <w:rsid w:val="00BB1E50"/>
    <w:rsid w:val="00BB23D4"/>
    <w:rsid w:val="00BB242B"/>
    <w:rsid w:val="00BB2522"/>
    <w:rsid w:val="00BB26D1"/>
    <w:rsid w:val="00BB2AA7"/>
    <w:rsid w:val="00BB308C"/>
    <w:rsid w:val="00BB328E"/>
    <w:rsid w:val="00BB3310"/>
    <w:rsid w:val="00BB3B97"/>
    <w:rsid w:val="00BB3F50"/>
    <w:rsid w:val="00BB4168"/>
    <w:rsid w:val="00BB4479"/>
    <w:rsid w:val="00BB4EF1"/>
    <w:rsid w:val="00BB5158"/>
    <w:rsid w:val="00BB6680"/>
    <w:rsid w:val="00BB6D7F"/>
    <w:rsid w:val="00BB72E1"/>
    <w:rsid w:val="00BC00BB"/>
    <w:rsid w:val="00BC02A1"/>
    <w:rsid w:val="00BC0B2A"/>
    <w:rsid w:val="00BC0D99"/>
    <w:rsid w:val="00BC0E08"/>
    <w:rsid w:val="00BC0EF7"/>
    <w:rsid w:val="00BC1678"/>
    <w:rsid w:val="00BC1919"/>
    <w:rsid w:val="00BC2927"/>
    <w:rsid w:val="00BC32C7"/>
    <w:rsid w:val="00BC3763"/>
    <w:rsid w:val="00BC3BDE"/>
    <w:rsid w:val="00BC499B"/>
    <w:rsid w:val="00BC532D"/>
    <w:rsid w:val="00BC5E75"/>
    <w:rsid w:val="00BC6045"/>
    <w:rsid w:val="00BC6368"/>
    <w:rsid w:val="00BD045F"/>
    <w:rsid w:val="00BD0724"/>
    <w:rsid w:val="00BD0E7D"/>
    <w:rsid w:val="00BD110C"/>
    <w:rsid w:val="00BD1717"/>
    <w:rsid w:val="00BD1799"/>
    <w:rsid w:val="00BD18EB"/>
    <w:rsid w:val="00BD1991"/>
    <w:rsid w:val="00BD1F6E"/>
    <w:rsid w:val="00BD21C6"/>
    <w:rsid w:val="00BD23F1"/>
    <w:rsid w:val="00BD27A1"/>
    <w:rsid w:val="00BD29FD"/>
    <w:rsid w:val="00BD2C95"/>
    <w:rsid w:val="00BD3898"/>
    <w:rsid w:val="00BD3C70"/>
    <w:rsid w:val="00BD418F"/>
    <w:rsid w:val="00BD4B66"/>
    <w:rsid w:val="00BD62A0"/>
    <w:rsid w:val="00BD62B4"/>
    <w:rsid w:val="00BD63A0"/>
    <w:rsid w:val="00BD68E8"/>
    <w:rsid w:val="00BD6DAE"/>
    <w:rsid w:val="00BD78F9"/>
    <w:rsid w:val="00BD7A49"/>
    <w:rsid w:val="00BD7F0B"/>
    <w:rsid w:val="00BE015B"/>
    <w:rsid w:val="00BE05CD"/>
    <w:rsid w:val="00BE071B"/>
    <w:rsid w:val="00BE1685"/>
    <w:rsid w:val="00BE1840"/>
    <w:rsid w:val="00BE1977"/>
    <w:rsid w:val="00BE1D15"/>
    <w:rsid w:val="00BE1FAA"/>
    <w:rsid w:val="00BE20F0"/>
    <w:rsid w:val="00BE211B"/>
    <w:rsid w:val="00BE2BF0"/>
    <w:rsid w:val="00BE2C4A"/>
    <w:rsid w:val="00BE2F75"/>
    <w:rsid w:val="00BE2F80"/>
    <w:rsid w:val="00BE3366"/>
    <w:rsid w:val="00BE411A"/>
    <w:rsid w:val="00BE4311"/>
    <w:rsid w:val="00BE45EA"/>
    <w:rsid w:val="00BE48DE"/>
    <w:rsid w:val="00BE4B59"/>
    <w:rsid w:val="00BE52B7"/>
    <w:rsid w:val="00BE543E"/>
    <w:rsid w:val="00BE59D4"/>
    <w:rsid w:val="00BE59DB"/>
    <w:rsid w:val="00BE5ACC"/>
    <w:rsid w:val="00BE6167"/>
    <w:rsid w:val="00BE64E8"/>
    <w:rsid w:val="00BE6C3F"/>
    <w:rsid w:val="00BE7094"/>
    <w:rsid w:val="00BE7CB4"/>
    <w:rsid w:val="00BE7D90"/>
    <w:rsid w:val="00BF015D"/>
    <w:rsid w:val="00BF02CD"/>
    <w:rsid w:val="00BF0AE4"/>
    <w:rsid w:val="00BF0F72"/>
    <w:rsid w:val="00BF29F5"/>
    <w:rsid w:val="00BF2EDD"/>
    <w:rsid w:val="00BF3012"/>
    <w:rsid w:val="00BF4067"/>
    <w:rsid w:val="00BF408A"/>
    <w:rsid w:val="00BF47C4"/>
    <w:rsid w:val="00BF480E"/>
    <w:rsid w:val="00BF5308"/>
    <w:rsid w:val="00BF532E"/>
    <w:rsid w:val="00BF5766"/>
    <w:rsid w:val="00BF5882"/>
    <w:rsid w:val="00BF5B1A"/>
    <w:rsid w:val="00BF6605"/>
    <w:rsid w:val="00BF688B"/>
    <w:rsid w:val="00BF6B5B"/>
    <w:rsid w:val="00BF6BC4"/>
    <w:rsid w:val="00BF6E9A"/>
    <w:rsid w:val="00BF724E"/>
    <w:rsid w:val="00BF738F"/>
    <w:rsid w:val="00C0069A"/>
    <w:rsid w:val="00C006F8"/>
    <w:rsid w:val="00C00BA2"/>
    <w:rsid w:val="00C0172F"/>
    <w:rsid w:val="00C02157"/>
    <w:rsid w:val="00C02413"/>
    <w:rsid w:val="00C0295B"/>
    <w:rsid w:val="00C02FAC"/>
    <w:rsid w:val="00C0347E"/>
    <w:rsid w:val="00C04020"/>
    <w:rsid w:val="00C04024"/>
    <w:rsid w:val="00C041C3"/>
    <w:rsid w:val="00C042B1"/>
    <w:rsid w:val="00C04EE3"/>
    <w:rsid w:val="00C05319"/>
    <w:rsid w:val="00C05764"/>
    <w:rsid w:val="00C05999"/>
    <w:rsid w:val="00C061CC"/>
    <w:rsid w:val="00C06979"/>
    <w:rsid w:val="00C069C4"/>
    <w:rsid w:val="00C06B43"/>
    <w:rsid w:val="00C07547"/>
    <w:rsid w:val="00C07877"/>
    <w:rsid w:val="00C0797C"/>
    <w:rsid w:val="00C07CE6"/>
    <w:rsid w:val="00C07F36"/>
    <w:rsid w:val="00C10258"/>
    <w:rsid w:val="00C10AFD"/>
    <w:rsid w:val="00C111A0"/>
    <w:rsid w:val="00C11DAC"/>
    <w:rsid w:val="00C12537"/>
    <w:rsid w:val="00C13226"/>
    <w:rsid w:val="00C1336A"/>
    <w:rsid w:val="00C13632"/>
    <w:rsid w:val="00C136C9"/>
    <w:rsid w:val="00C13F66"/>
    <w:rsid w:val="00C1427C"/>
    <w:rsid w:val="00C146FC"/>
    <w:rsid w:val="00C1487C"/>
    <w:rsid w:val="00C14A9F"/>
    <w:rsid w:val="00C14E06"/>
    <w:rsid w:val="00C1564A"/>
    <w:rsid w:val="00C15B78"/>
    <w:rsid w:val="00C15C6D"/>
    <w:rsid w:val="00C15D63"/>
    <w:rsid w:val="00C1624A"/>
    <w:rsid w:val="00C1651B"/>
    <w:rsid w:val="00C16606"/>
    <w:rsid w:val="00C16659"/>
    <w:rsid w:val="00C16911"/>
    <w:rsid w:val="00C170D8"/>
    <w:rsid w:val="00C171F0"/>
    <w:rsid w:val="00C172CE"/>
    <w:rsid w:val="00C17540"/>
    <w:rsid w:val="00C176F6"/>
    <w:rsid w:val="00C207C3"/>
    <w:rsid w:val="00C20925"/>
    <w:rsid w:val="00C20C31"/>
    <w:rsid w:val="00C2115A"/>
    <w:rsid w:val="00C21CE6"/>
    <w:rsid w:val="00C2264C"/>
    <w:rsid w:val="00C22BE1"/>
    <w:rsid w:val="00C22C14"/>
    <w:rsid w:val="00C23229"/>
    <w:rsid w:val="00C23579"/>
    <w:rsid w:val="00C2389E"/>
    <w:rsid w:val="00C239BE"/>
    <w:rsid w:val="00C23A96"/>
    <w:rsid w:val="00C23E09"/>
    <w:rsid w:val="00C2405A"/>
    <w:rsid w:val="00C240F5"/>
    <w:rsid w:val="00C24564"/>
    <w:rsid w:val="00C24FF9"/>
    <w:rsid w:val="00C25529"/>
    <w:rsid w:val="00C25614"/>
    <w:rsid w:val="00C25D35"/>
    <w:rsid w:val="00C260C0"/>
    <w:rsid w:val="00C264CE"/>
    <w:rsid w:val="00C2681C"/>
    <w:rsid w:val="00C2704B"/>
    <w:rsid w:val="00C279BD"/>
    <w:rsid w:val="00C27B2A"/>
    <w:rsid w:val="00C27E6E"/>
    <w:rsid w:val="00C27EE8"/>
    <w:rsid w:val="00C30467"/>
    <w:rsid w:val="00C3052E"/>
    <w:rsid w:val="00C3063B"/>
    <w:rsid w:val="00C30D90"/>
    <w:rsid w:val="00C3146C"/>
    <w:rsid w:val="00C31F6E"/>
    <w:rsid w:val="00C3209F"/>
    <w:rsid w:val="00C324D6"/>
    <w:rsid w:val="00C32EA4"/>
    <w:rsid w:val="00C32F3B"/>
    <w:rsid w:val="00C3309F"/>
    <w:rsid w:val="00C3322A"/>
    <w:rsid w:val="00C340FE"/>
    <w:rsid w:val="00C348FF"/>
    <w:rsid w:val="00C34F73"/>
    <w:rsid w:val="00C35087"/>
    <w:rsid w:val="00C35192"/>
    <w:rsid w:val="00C353A8"/>
    <w:rsid w:val="00C3553B"/>
    <w:rsid w:val="00C35EEA"/>
    <w:rsid w:val="00C35FAA"/>
    <w:rsid w:val="00C360CA"/>
    <w:rsid w:val="00C36325"/>
    <w:rsid w:val="00C367BB"/>
    <w:rsid w:val="00C36A4A"/>
    <w:rsid w:val="00C3700F"/>
    <w:rsid w:val="00C37133"/>
    <w:rsid w:val="00C3758D"/>
    <w:rsid w:val="00C40599"/>
    <w:rsid w:val="00C4072F"/>
    <w:rsid w:val="00C40762"/>
    <w:rsid w:val="00C41B59"/>
    <w:rsid w:val="00C41EA6"/>
    <w:rsid w:val="00C421A7"/>
    <w:rsid w:val="00C42380"/>
    <w:rsid w:val="00C42654"/>
    <w:rsid w:val="00C4281C"/>
    <w:rsid w:val="00C42C92"/>
    <w:rsid w:val="00C42CC6"/>
    <w:rsid w:val="00C42E93"/>
    <w:rsid w:val="00C4360C"/>
    <w:rsid w:val="00C437AC"/>
    <w:rsid w:val="00C437F2"/>
    <w:rsid w:val="00C43E6D"/>
    <w:rsid w:val="00C44473"/>
    <w:rsid w:val="00C44B42"/>
    <w:rsid w:val="00C4564F"/>
    <w:rsid w:val="00C45AF8"/>
    <w:rsid w:val="00C45B0E"/>
    <w:rsid w:val="00C45E50"/>
    <w:rsid w:val="00C468D3"/>
    <w:rsid w:val="00C46AA6"/>
    <w:rsid w:val="00C46F65"/>
    <w:rsid w:val="00C470E1"/>
    <w:rsid w:val="00C4716C"/>
    <w:rsid w:val="00C477D7"/>
    <w:rsid w:val="00C47A8A"/>
    <w:rsid w:val="00C47CAD"/>
    <w:rsid w:val="00C5023D"/>
    <w:rsid w:val="00C50547"/>
    <w:rsid w:val="00C50647"/>
    <w:rsid w:val="00C50E9C"/>
    <w:rsid w:val="00C5141A"/>
    <w:rsid w:val="00C52748"/>
    <w:rsid w:val="00C5316C"/>
    <w:rsid w:val="00C53352"/>
    <w:rsid w:val="00C53CA5"/>
    <w:rsid w:val="00C542BC"/>
    <w:rsid w:val="00C543DC"/>
    <w:rsid w:val="00C54426"/>
    <w:rsid w:val="00C54894"/>
    <w:rsid w:val="00C54B7E"/>
    <w:rsid w:val="00C54EF9"/>
    <w:rsid w:val="00C551F6"/>
    <w:rsid w:val="00C556D5"/>
    <w:rsid w:val="00C56549"/>
    <w:rsid w:val="00C57704"/>
    <w:rsid w:val="00C5770B"/>
    <w:rsid w:val="00C5778D"/>
    <w:rsid w:val="00C60537"/>
    <w:rsid w:val="00C6064D"/>
    <w:rsid w:val="00C607DB"/>
    <w:rsid w:val="00C60A4F"/>
    <w:rsid w:val="00C60C60"/>
    <w:rsid w:val="00C60F23"/>
    <w:rsid w:val="00C617EE"/>
    <w:rsid w:val="00C61C3A"/>
    <w:rsid w:val="00C62187"/>
    <w:rsid w:val="00C621DF"/>
    <w:rsid w:val="00C62931"/>
    <w:rsid w:val="00C639E3"/>
    <w:rsid w:val="00C63ADE"/>
    <w:rsid w:val="00C63BD7"/>
    <w:rsid w:val="00C63C2E"/>
    <w:rsid w:val="00C6433A"/>
    <w:rsid w:val="00C64C2C"/>
    <w:rsid w:val="00C65BB8"/>
    <w:rsid w:val="00C65BC3"/>
    <w:rsid w:val="00C65C03"/>
    <w:rsid w:val="00C664B6"/>
    <w:rsid w:val="00C67040"/>
    <w:rsid w:val="00C676AB"/>
    <w:rsid w:val="00C67BC5"/>
    <w:rsid w:val="00C67FB4"/>
    <w:rsid w:val="00C6B82B"/>
    <w:rsid w:val="00C700C1"/>
    <w:rsid w:val="00C7020B"/>
    <w:rsid w:val="00C706C8"/>
    <w:rsid w:val="00C706F4"/>
    <w:rsid w:val="00C707BE"/>
    <w:rsid w:val="00C717C9"/>
    <w:rsid w:val="00C71C13"/>
    <w:rsid w:val="00C72031"/>
    <w:rsid w:val="00C72191"/>
    <w:rsid w:val="00C7250C"/>
    <w:rsid w:val="00C7263A"/>
    <w:rsid w:val="00C745F8"/>
    <w:rsid w:val="00C747ED"/>
    <w:rsid w:val="00C74B37"/>
    <w:rsid w:val="00C7518E"/>
    <w:rsid w:val="00C75A57"/>
    <w:rsid w:val="00C761C1"/>
    <w:rsid w:val="00C76594"/>
    <w:rsid w:val="00C7691B"/>
    <w:rsid w:val="00C76A97"/>
    <w:rsid w:val="00C76BB7"/>
    <w:rsid w:val="00C76D8E"/>
    <w:rsid w:val="00C76E16"/>
    <w:rsid w:val="00C772BF"/>
    <w:rsid w:val="00C7741A"/>
    <w:rsid w:val="00C80310"/>
    <w:rsid w:val="00C807DA"/>
    <w:rsid w:val="00C80AAB"/>
    <w:rsid w:val="00C8191B"/>
    <w:rsid w:val="00C81B7B"/>
    <w:rsid w:val="00C81E45"/>
    <w:rsid w:val="00C82C24"/>
    <w:rsid w:val="00C82F6D"/>
    <w:rsid w:val="00C83096"/>
    <w:rsid w:val="00C839BD"/>
    <w:rsid w:val="00C83F26"/>
    <w:rsid w:val="00C84DB2"/>
    <w:rsid w:val="00C85B11"/>
    <w:rsid w:val="00C8662D"/>
    <w:rsid w:val="00C86727"/>
    <w:rsid w:val="00C86ABA"/>
    <w:rsid w:val="00C86C2F"/>
    <w:rsid w:val="00C86F8D"/>
    <w:rsid w:val="00C870D2"/>
    <w:rsid w:val="00C871D3"/>
    <w:rsid w:val="00C874D5"/>
    <w:rsid w:val="00C87649"/>
    <w:rsid w:val="00C87737"/>
    <w:rsid w:val="00C87DDE"/>
    <w:rsid w:val="00C9043C"/>
    <w:rsid w:val="00C90508"/>
    <w:rsid w:val="00C9091E"/>
    <w:rsid w:val="00C90B50"/>
    <w:rsid w:val="00C91453"/>
    <w:rsid w:val="00C9274D"/>
    <w:rsid w:val="00C93214"/>
    <w:rsid w:val="00C942AD"/>
    <w:rsid w:val="00C9462D"/>
    <w:rsid w:val="00C946B6"/>
    <w:rsid w:val="00C95DD7"/>
    <w:rsid w:val="00C963B9"/>
    <w:rsid w:val="00C96548"/>
    <w:rsid w:val="00C96789"/>
    <w:rsid w:val="00C96DBC"/>
    <w:rsid w:val="00C97563"/>
    <w:rsid w:val="00C97B6C"/>
    <w:rsid w:val="00C97E09"/>
    <w:rsid w:val="00CA0035"/>
    <w:rsid w:val="00CA0141"/>
    <w:rsid w:val="00CA015A"/>
    <w:rsid w:val="00CA0410"/>
    <w:rsid w:val="00CA0448"/>
    <w:rsid w:val="00CA14BB"/>
    <w:rsid w:val="00CA16F4"/>
    <w:rsid w:val="00CA2393"/>
    <w:rsid w:val="00CA3733"/>
    <w:rsid w:val="00CA3B31"/>
    <w:rsid w:val="00CA3BEF"/>
    <w:rsid w:val="00CA3C6A"/>
    <w:rsid w:val="00CA420C"/>
    <w:rsid w:val="00CA451C"/>
    <w:rsid w:val="00CA45EB"/>
    <w:rsid w:val="00CA497F"/>
    <w:rsid w:val="00CA4FD8"/>
    <w:rsid w:val="00CA55BC"/>
    <w:rsid w:val="00CA5E3E"/>
    <w:rsid w:val="00CA620C"/>
    <w:rsid w:val="00CA6247"/>
    <w:rsid w:val="00CA6359"/>
    <w:rsid w:val="00CA6870"/>
    <w:rsid w:val="00CA73A2"/>
    <w:rsid w:val="00CA7871"/>
    <w:rsid w:val="00CA7DBD"/>
    <w:rsid w:val="00CA7ECD"/>
    <w:rsid w:val="00CA7F3C"/>
    <w:rsid w:val="00CB0A49"/>
    <w:rsid w:val="00CB0F20"/>
    <w:rsid w:val="00CB10C7"/>
    <w:rsid w:val="00CB13BE"/>
    <w:rsid w:val="00CB15E9"/>
    <w:rsid w:val="00CB19D2"/>
    <w:rsid w:val="00CB21B5"/>
    <w:rsid w:val="00CB2303"/>
    <w:rsid w:val="00CB24F8"/>
    <w:rsid w:val="00CB27C9"/>
    <w:rsid w:val="00CB28A5"/>
    <w:rsid w:val="00CB2904"/>
    <w:rsid w:val="00CB307A"/>
    <w:rsid w:val="00CB3F49"/>
    <w:rsid w:val="00CB40F2"/>
    <w:rsid w:val="00CB4396"/>
    <w:rsid w:val="00CB47F4"/>
    <w:rsid w:val="00CB4818"/>
    <w:rsid w:val="00CB4D80"/>
    <w:rsid w:val="00CB4F05"/>
    <w:rsid w:val="00CB5169"/>
    <w:rsid w:val="00CB53AA"/>
    <w:rsid w:val="00CB5E23"/>
    <w:rsid w:val="00CB60CB"/>
    <w:rsid w:val="00CB64FE"/>
    <w:rsid w:val="00CB6612"/>
    <w:rsid w:val="00CB6DC6"/>
    <w:rsid w:val="00CB74AE"/>
    <w:rsid w:val="00CB77B5"/>
    <w:rsid w:val="00CB7925"/>
    <w:rsid w:val="00CC01C4"/>
    <w:rsid w:val="00CC0216"/>
    <w:rsid w:val="00CC0358"/>
    <w:rsid w:val="00CC0886"/>
    <w:rsid w:val="00CC0F87"/>
    <w:rsid w:val="00CC17A7"/>
    <w:rsid w:val="00CC199F"/>
    <w:rsid w:val="00CC1E1B"/>
    <w:rsid w:val="00CC38EF"/>
    <w:rsid w:val="00CC42E9"/>
    <w:rsid w:val="00CC43A0"/>
    <w:rsid w:val="00CC46E4"/>
    <w:rsid w:val="00CC490A"/>
    <w:rsid w:val="00CC4977"/>
    <w:rsid w:val="00CC4A26"/>
    <w:rsid w:val="00CC4C6D"/>
    <w:rsid w:val="00CC4DFB"/>
    <w:rsid w:val="00CC589C"/>
    <w:rsid w:val="00CC5A77"/>
    <w:rsid w:val="00CC5D18"/>
    <w:rsid w:val="00CC5EE9"/>
    <w:rsid w:val="00CC611B"/>
    <w:rsid w:val="00CC66C1"/>
    <w:rsid w:val="00CC675D"/>
    <w:rsid w:val="00CC7084"/>
    <w:rsid w:val="00CC74A4"/>
    <w:rsid w:val="00CC750C"/>
    <w:rsid w:val="00CC7D8E"/>
    <w:rsid w:val="00CD00CB"/>
    <w:rsid w:val="00CD0761"/>
    <w:rsid w:val="00CD0AF2"/>
    <w:rsid w:val="00CD0CF2"/>
    <w:rsid w:val="00CD161C"/>
    <w:rsid w:val="00CD1A38"/>
    <w:rsid w:val="00CD1DC4"/>
    <w:rsid w:val="00CD25F9"/>
    <w:rsid w:val="00CD285E"/>
    <w:rsid w:val="00CD29F4"/>
    <w:rsid w:val="00CD3467"/>
    <w:rsid w:val="00CD3768"/>
    <w:rsid w:val="00CD37C7"/>
    <w:rsid w:val="00CD3B1A"/>
    <w:rsid w:val="00CD3E91"/>
    <w:rsid w:val="00CD46E0"/>
    <w:rsid w:val="00CD4A55"/>
    <w:rsid w:val="00CD4E47"/>
    <w:rsid w:val="00CD525F"/>
    <w:rsid w:val="00CD5795"/>
    <w:rsid w:val="00CD6A09"/>
    <w:rsid w:val="00CE0319"/>
    <w:rsid w:val="00CE0539"/>
    <w:rsid w:val="00CE0DA0"/>
    <w:rsid w:val="00CE0FEB"/>
    <w:rsid w:val="00CE1681"/>
    <w:rsid w:val="00CE1AE1"/>
    <w:rsid w:val="00CE2F77"/>
    <w:rsid w:val="00CE2F9E"/>
    <w:rsid w:val="00CE36AE"/>
    <w:rsid w:val="00CE3823"/>
    <w:rsid w:val="00CE6060"/>
    <w:rsid w:val="00CE681F"/>
    <w:rsid w:val="00CE6A47"/>
    <w:rsid w:val="00CE7041"/>
    <w:rsid w:val="00CE72F6"/>
    <w:rsid w:val="00CE74DA"/>
    <w:rsid w:val="00CF015C"/>
    <w:rsid w:val="00CF037E"/>
    <w:rsid w:val="00CF04BA"/>
    <w:rsid w:val="00CF096F"/>
    <w:rsid w:val="00CF0CD6"/>
    <w:rsid w:val="00CF1B58"/>
    <w:rsid w:val="00CF1CBF"/>
    <w:rsid w:val="00CF2179"/>
    <w:rsid w:val="00CF2860"/>
    <w:rsid w:val="00CF290B"/>
    <w:rsid w:val="00CF3391"/>
    <w:rsid w:val="00CF3D9A"/>
    <w:rsid w:val="00CF3E11"/>
    <w:rsid w:val="00CF3E33"/>
    <w:rsid w:val="00CF4249"/>
    <w:rsid w:val="00CF47D6"/>
    <w:rsid w:val="00CF4B46"/>
    <w:rsid w:val="00CF502B"/>
    <w:rsid w:val="00CF5080"/>
    <w:rsid w:val="00CF53F1"/>
    <w:rsid w:val="00CF5C8B"/>
    <w:rsid w:val="00CF5F2E"/>
    <w:rsid w:val="00CF613D"/>
    <w:rsid w:val="00CF64F0"/>
    <w:rsid w:val="00CF683D"/>
    <w:rsid w:val="00CF6D9E"/>
    <w:rsid w:val="00CF6F4E"/>
    <w:rsid w:val="00CF7382"/>
    <w:rsid w:val="00CF747C"/>
    <w:rsid w:val="00CF780C"/>
    <w:rsid w:val="00CF7AF2"/>
    <w:rsid w:val="00CF7C5D"/>
    <w:rsid w:val="00CF7CB9"/>
    <w:rsid w:val="00CF7FF5"/>
    <w:rsid w:val="00D00257"/>
    <w:rsid w:val="00D00AFD"/>
    <w:rsid w:val="00D00FAF"/>
    <w:rsid w:val="00D012A3"/>
    <w:rsid w:val="00D0172C"/>
    <w:rsid w:val="00D033D8"/>
    <w:rsid w:val="00D03581"/>
    <w:rsid w:val="00D0376A"/>
    <w:rsid w:val="00D04587"/>
    <w:rsid w:val="00D05317"/>
    <w:rsid w:val="00D054CD"/>
    <w:rsid w:val="00D05C85"/>
    <w:rsid w:val="00D05FB1"/>
    <w:rsid w:val="00D0612B"/>
    <w:rsid w:val="00D06616"/>
    <w:rsid w:val="00D06DC5"/>
    <w:rsid w:val="00D07904"/>
    <w:rsid w:val="00D079EC"/>
    <w:rsid w:val="00D10224"/>
    <w:rsid w:val="00D111A1"/>
    <w:rsid w:val="00D11813"/>
    <w:rsid w:val="00D11B19"/>
    <w:rsid w:val="00D11C12"/>
    <w:rsid w:val="00D120CA"/>
    <w:rsid w:val="00D12A1D"/>
    <w:rsid w:val="00D12C7B"/>
    <w:rsid w:val="00D13424"/>
    <w:rsid w:val="00D135F0"/>
    <w:rsid w:val="00D13936"/>
    <w:rsid w:val="00D13D95"/>
    <w:rsid w:val="00D13E01"/>
    <w:rsid w:val="00D13F55"/>
    <w:rsid w:val="00D13F6D"/>
    <w:rsid w:val="00D15298"/>
    <w:rsid w:val="00D16B79"/>
    <w:rsid w:val="00D16C38"/>
    <w:rsid w:val="00D17591"/>
    <w:rsid w:val="00D17957"/>
    <w:rsid w:val="00D17C58"/>
    <w:rsid w:val="00D17FA9"/>
    <w:rsid w:val="00D2042E"/>
    <w:rsid w:val="00D20898"/>
    <w:rsid w:val="00D20A16"/>
    <w:rsid w:val="00D20DD1"/>
    <w:rsid w:val="00D20F6F"/>
    <w:rsid w:val="00D2118B"/>
    <w:rsid w:val="00D2136F"/>
    <w:rsid w:val="00D2170D"/>
    <w:rsid w:val="00D222B1"/>
    <w:rsid w:val="00D22D09"/>
    <w:rsid w:val="00D23171"/>
    <w:rsid w:val="00D2319D"/>
    <w:rsid w:val="00D23813"/>
    <w:rsid w:val="00D240EE"/>
    <w:rsid w:val="00D24201"/>
    <w:rsid w:val="00D24D2D"/>
    <w:rsid w:val="00D24FFF"/>
    <w:rsid w:val="00D25DBA"/>
    <w:rsid w:val="00D25DEF"/>
    <w:rsid w:val="00D262F7"/>
    <w:rsid w:val="00D26738"/>
    <w:rsid w:val="00D27C52"/>
    <w:rsid w:val="00D27CD8"/>
    <w:rsid w:val="00D30383"/>
    <w:rsid w:val="00D3098C"/>
    <w:rsid w:val="00D30D2C"/>
    <w:rsid w:val="00D31066"/>
    <w:rsid w:val="00D316AF"/>
    <w:rsid w:val="00D31D55"/>
    <w:rsid w:val="00D325AC"/>
    <w:rsid w:val="00D327AB"/>
    <w:rsid w:val="00D32C6A"/>
    <w:rsid w:val="00D33414"/>
    <w:rsid w:val="00D33A82"/>
    <w:rsid w:val="00D36693"/>
    <w:rsid w:val="00D366F7"/>
    <w:rsid w:val="00D36972"/>
    <w:rsid w:val="00D378AE"/>
    <w:rsid w:val="00D37C3C"/>
    <w:rsid w:val="00D37C89"/>
    <w:rsid w:val="00D4070E"/>
    <w:rsid w:val="00D40D86"/>
    <w:rsid w:val="00D415BD"/>
    <w:rsid w:val="00D417F9"/>
    <w:rsid w:val="00D41977"/>
    <w:rsid w:val="00D41981"/>
    <w:rsid w:val="00D4264F"/>
    <w:rsid w:val="00D43BD1"/>
    <w:rsid w:val="00D43F53"/>
    <w:rsid w:val="00D4457D"/>
    <w:rsid w:val="00D4509E"/>
    <w:rsid w:val="00D4513C"/>
    <w:rsid w:val="00D45552"/>
    <w:rsid w:val="00D45B64"/>
    <w:rsid w:val="00D45F8A"/>
    <w:rsid w:val="00D45FDB"/>
    <w:rsid w:val="00D465A9"/>
    <w:rsid w:val="00D46A4D"/>
    <w:rsid w:val="00D46EAF"/>
    <w:rsid w:val="00D47116"/>
    <w:rsid w:val="00D47B2C"/>
    <w:rsid w:val="00D47D12"/>
    <w:rsid w:val="00D50470"/>
    <w:rsid w:val="00D50611"/>
    <w:rsid w:val="00D50936"/>
    <w:rsid w:val="00D51566"/>
    <w:rsid w:val="00D52357"/>
    <w:rsid w:val="00D5250D"/>
    <w:rsid w:val="00D5298B"/>
    <w:rsid w:val="00D529BC"/>
    <w:rsid w:val="00D52BDE"/>
    <w:rsid w:val="00D53388"/>
    <w:rsid w:val="00D5350C"/>
    <w:rsid w:val="00D5370D"/>
    <w:rsid w:val="00D53EC5"/>
    <w:rsid w:val="00D540BB"/>
    <w:rsid w:val="00D540BD"/>
    <w:rsid w:val="00D5470F"/>
    <w:rsid w:val="00D55078"/>
    <w:rsid w:val="00D55315"/>
    <w:rsid w:val="00D55A44"/>
    <w:rsid w:val="00D55E89"/>
    <w:rsid w:val="00D5664F"/>
    <w:rsid w:val="00D56AF8"/>
    <w:rsid w:val="00D578DE"/>
    <w:rsid w:val="00D600ED"/>
    <w:rsid w:val="00D60287"/>
    <w:rsid w:val="00D602E9"/>
    <w:rsid w:val="00D605D1"/>
    <w:rsid w:val="00D60A9F"/>
    <w:rsid w:val="00D61103"/>
    <w:rsid w:val="00D61851"/>
    <w:rsid w:val="00D61A64"/>
    <w:rsid w:val="00D6247C"/>
    <w:rsid w:val="00D62880"/>
    <w:rsid w:val="00D62F24"/>
    <w:rsid w:val="00D630F4"/>
    <w:rsid w:val="00D63230"/>
    <w:rsid w:val="00D633DC"/>
    <w:rsid w:val="00D63474"/>
    <w:rsid w:val="00D6365E"/>
    <w:rsid w:val="00D63BC5"/>
    <w:rsid w:val="00D63CEC"/>
    <w:rsid w:val="00D64266"/>
    <w:rsid w:val="00D64465"/>
    <w:rsid w:val="00D645C9"/>
    <w:rsid w:val="00D64620"/>
    <w:rsid w:val="00D64A7D"/>
    <w:rsid w:val="00D64FB0"/>
    <w:rsid w:val="00D6538C"/>
    <w:rsid w:val="00D6557F"/>
    <w:rsid w:val="00D6563C"/>
    <w:rsid w:val="00D65F6D"/>
    <w:rsid w:val="00D66219"/>
    <w:rsid w:val="00D6637B"/>
    <w:rsid w:val="00D66761"/>
    <w:rsid w:val="00D66CBE"/>
    <w:rsid w:val="00D6739D"/>
    <w:rsid w:val="00D70033"/>
    <w:rsid w:val="00D7023B"/>
    <w:rsid w:val="00D70412"/>
    <w:rsid w:val="00D70BBE"/>
    <w:rsid w:val="00D71867"/>
    <w:rsid w:val="00D71AB2"/>
    <w:rsid w:val="00D71BD5"/>
    <w:rsid w:val="00D722E3"/>
    <w:rsid w:val="00D72516"/>
    <w:rsid w:val="00D72854"/>
    <w:rsid w:val="00D73D90"/>
    <w:rsid w:val="00D74077"/>
    <w:rsid w:val="00D74079"/>
    <w:rsid w:val="00D7426F"/>
    <w:rsid w:val="00D742C5"/>
    <w:rsid w:val="00D7431F"/>
    <w:rsid w:val="00D74F5F"/>
    <w:rsid w:val="00D752F0"/>
    <w:rsid w:val="00D7537E"/>
    <w:rsid w:val="00D75641"/>
    <w:rsid w:val="00D758B6"/>
    <w:rsid w:val="00D76019"/>
    <w:rsid w:val="00D76F49"/>
    <w:rsid w:val="00D77626"/>
    <w:rsid w:val="00D778C1"/>
    <w:rsid w:val="00D77B10"/>
    <w:rsid w:val="00D802A7"/>
    <w:rsid w:val="00D8039F"/>
    <w:rsid w:val="00D80AB7"/>
    <w:rsid w:val="00D80D6B"/>
    <w:rsid w:val="00D80D93"/>
    <w:rsid w:val="00D80E3C"/>
    <w:rsid w:val="00D815D6"/>
    <w:rsid w:val="00D8166D"/>
    <w:rsid w:val="00D81866"/>
    <w:rsid w:val="00D82438"/>
    <w:rsid w:val="00D83277"/>
    <w:rsid w:val="00D83547"/>
    <w:rsid w:val="00D8357B"/>
    <w:rsid w:val="00D83B4C"/>
    <w:rsid w:val="00D83B55"/>
    <w:rsid w:val="00D84040"/>
    <w:rsid w:val="00D8415A"/>
    <w:rsid w:val="00D845FC"/>
    <w:rsid w:val="00D84E93"/>
    <w:rsid w:val="00D85B49"/>
    <w:rsid w:val="00D86720"/>
    <w:rsid w:val="00D867C3"/>
    <w:rsid w:val="00D8682D"/>
    <w:rsid w:val="00D86BC8"/>
    <w:rsid w:val="00D87381"/>
    <w:rsid w:val="00D873F8"/>
    <w:rsid w:val="00D87404"/>
    <w:rsid w:val="00D87DFC"/>
    <w:rsid w:val="00D9036A"/>
    <w:rsid w:val="00D905BF"/>
    <w:rsid w:val="00D906BF"/>
    <w:rsid w:val="00D90E8D"/>
    <w:rsid w:val="00D90EF2"/>
    <w:rsid w:val="00D9102F"/>
    <w:rsid w:val="00D9212B"/>
    <w:rsid w:val="00D92509"/>
    <w:rsid w:val="00D92A6E"/>
    <w:rsid w:val="00D936F2"/>
    <w:rsid w:val="00D93995"/>
    <w:rsid w:val="00D93AEC"/>
    <w:rsid w:val="00D948DA"/>
    <w:rsid w:val="00D94B38"/>
    <w:rsid w:val="00D955F2"/>
    <w:rsid w:val="00D957AC"/>
    <w:rsid w:val="00D95A9B"/>
    <w:rsid w:val="00D95F59"/>
    <w:rsid w:val="00D96307"/>
    <w:rsid w:val="00D966A8"/>
    <w:rsid w:val="00D9673B"/>
    <w:rsid w:val="00D96F86"/>
    <w:rsid w:val="00D97079"/>
    <w:rsid w:val="00D970A8"/>
    <w:rsid w:val="00D97881"/>
    <w:rsid w:val="00D979B7"/>
    <w:rsid w:val="00D97A56"/>
    <w:rsid w:val="00D97DF4"/>
    <w:rsid w:val="00DA019E"/>
    <w:rsid w:val="00DA05FA"/>
    <w:rsid w:val="00DA086B"/>
    <w:rsid w:val="00DA0880"/>
    <w:rsid w:val="00DA0A30"/>
    <w:rsid w:val="00DA0C10"/>
    <w:rsid w:val="00DA0C92"/>
    <w:rsid w:val="00DA11DB"/>
    <w:rsid w:val="00DA13B9"/>
    <w:rsid w:val="00DA18D6"/>
    <w:rsid w:val="00DA1DEB"/>
    <w:rsid w:val="00DA2711"/>
    <w:rsid w:val="00DA288D"/>
    <w:rsid w:val="00DA32B6"/>
    <w:rsid w:val="00DA330C"/>
    <w:rsid w:val="00DA3A3A"/>
    <w:rsid w:val="00DA4828"/>
    <w:rsid w:val="00DA4975"/>
    <w:rsid w:val="00DA505D"/>
    <w:rsid w:val="00DA5476"/>
    <w:rsid w:val="00DA57D6"/>
    <w:rsid w:val="00DA5B25"/>
    <w:rsid w:val="00DA6194"/>
    <w:rsid w:val="00DA61BE"/>
    <w:rsid w:val="00DA67F8"/>
    <w:rsid w:val="00DA6BF5"/>
    <w:rsid w:val="00DA756D"/>
    <w:rsid w:val="00DA7717"/>
    <w:rsid w:val="00DA7C7B"/>
    <w:rsid w:val="00DB0490"/>
    <w:rsid w:val="00DB092F"/>
    <w:rsid w:val="00DB0B06"/>
    <w:rsid w:val="00DB0B6D"/>
    <w:rsid w:val="00DB0D8E"/>
    <w:rsid w:val="00DB11CB"/>
    <w:rsid w:val="00DB142E"/>
    <w:rsid w:val="00DB1509"/>
    <w:rsid w:val="00DB18F9"/>
    <w:rsid w:val="00DB1B8C"/>
    <w:rsid w:val="00DB26D8"/>
    <w:rsid w:val="00DB2AFC"/>
    <w:rsid w:val="00DB2F25"/>
    <w:rsid w:val="00DB342C"/>
    <w:rsid w:val="00DB3523"/>
    <w:rsid w:val="00DB3B7C"/>
    <w:rsid w:val="00DB4514"/>
    <w:rsid w:val="00DB54F5"/>
    <w:rsid w:val="00DB5FA7"/>
    <w:rsid w:val="00DB6A30"/>
    <w:rsid w:val="00DB774E"/>
    <w:rsid w:val="00DB7A2F"/>
    <w:rsid w:val="00DB7E5A"/>
    <w:rsid w:val="00DC0743"/>
    <w:rsid w:val="00DC07C9"/>
    <w:rsid w:val="00DC0F6D"/>
    <w:rsid w:val="00DC1221"/>
    <w:rsid w:val="00DC12A8"/>
    <w:rsid w:val="00DC1C91"/>
    <w:rsid w:val="00DC1CF8"/>
    <w:rsid w:val="00DC1D28"/>
    <w:rsid w:val="00DC1EB8"/>
    <w:rsid w:val="00DC200E"/>
    <w:rsid w:val="00DC20EE"/>
    <w:rsid w:val="00DC213F"/>
    <w:rsid w:val="00DC2B90"/>
    <w:rsid w:val="00DC2D22"/>
    <w:rsid w:val="00DC2D9F"/>
    <w:rsid w:val="00DC39E8"/>
    <w:rsid w:val="00DC3B2F"/>
    <w:rsid w:val="00DC3C17"/>
    <w:rsid w:val="00DC3F7B"/>
    <w:rsid w:val="00DC4583"/>
    <w:rsid w:val="00DC46F4"/>
    <w:rsid w:val="00DC4E1D"/>
    <w:rsid w:val="00DC4E51"/>
    <w:rsid w:val="00DC50F6"/>
    <w:rsid w:val="00DC58C7"/>
    <w:rsid w:val="00DC59D3"/>
    <w:rsid w:val="00DC5FD0"/>
    <w:rsid w:val="00DC6A31"/>
    <w:rsid w:val="00DC6E10"/>
    <w:rsid w:val="00DC71EC"/>
    <w:rsid w:val="00DC7384"/>
    <w:rsid w:val="00DC76F2"/>
    <w:rsid w:val="00DC7B2C"/>
    <w:rsid w:val="00DC7F7A"/>
    <w:rsid w:val="00DC7FAC"/>
    <w:rsid w:val="00DD00A2"/>
    <w:rsid w:val="00DD010E"/>
    <w:rsid w:val="00DD02EE"/>
    <w:rsid w:val="00DD04B6"/>
    <w:rsid w:val="00DD1001"/>
    <w:rsid w:val="00DD201C"/>
    <w:rsid w:val="00DD22AE"/>
    <w:rsid w:val="00DD29C0"/>
    <w:rsid w:val="00DD2EAC"/>
    <w:rsid w:val="00DD39DB"/>
    <w:rsid w:val="00DD4FEE"/>
    <w:rsid w:val="00DD51F3"/>
    <w:rsid w:val="00DD5229"/>
    <w:rsid w:val="00DD64B5"/>
    <w:rsid w:val="00DD696E"/>
    <w:rsid w:val="00DD6CA1"/>
    <w:rsid w:val="00DD6EDC"/>
    <w:rsid w:val="00DE06BD"/>
    <w:rsid w:val="00DE0F07"/>
    <w:rsid w:val="00DE1E92"/>
    <w:rsid w:val="00DE240B"/>
    <w:rsid w:val="00DE293B"/>
    <w:rsid w:val="00DE2B0D"/>
    <w:rsid w:val="00DE3502"/>
    <w:rsid w:val="00DE38F8"/>
    <w:rsid w:val="00DE3AF3"/>
    <w:rsid w:val="00DE3C40"/>
    <w:rsid w:val="00DE4C04"/>
    <w:rsid w:val="00DE54D1"/>
    <w:rsid w:val="00DE5C26"/>
    <w:rsid w:val="00DE66BE"/>
    <w:rsid w:val="00DE6A08"/>
    <w:rsid w:val="00DF01DC"/>
    <w:rsid w:val="00DF039B"/>
    <w:rsid w:val="00DF08FE"/>
    <w:rsid w:val="00DF0B7F"/>
    <w:rsid w:val="00DF11C0"/>
    <w:rsid w:val="00DF1456"/>
    <w:rsid w:val="00DF2743"/>
    <w:rsid w:val="00DF34FD"/>
    <w:rsid w:val="00DF3B41"/>
    <w:rsid w:val="00DF42B8"/>
    <w:rsid w:val="00DF42D4"/>
    <w:rsid w:val="00DF4342"/>
    <w:rsid w:val="00DF44BC"/>
    <w:rsid w:val="00DF4954"/>
    <w:rsid w:val="00DF554C"/>
    <w:rsid w:val="00DF5716"/>
    <w:rsid w:val="00DF58BE"/>
    <w:rsid w:val="00DF5A28"/>
    <w:rsid w:val="00DF644A"/>
    <w:rsid w:val="00DF6543"/>
    <w:rsid w:val="00DF69C5"/>
    <w:rsid w:val="00DF6B24"/>
    <w:rsid w:val="00DF7366"/>
    <w:rsid w:val="00DF7548"/>
    <w:rsid w:val="00DF786B"/>
    <w:rsid w:val="00E003C5"/>
    <w:rsid w:val="00E005FF"/>
    <w:rsid w:val="00E014AD"/>
    <w:rsid w:val="00E01B87"/>
    <w:rsid w:val="00E01D82"/>
    <w:rsid w:val="00E0217F"/>
    <w:rsid w:val="00E02C2E"/>
    <w:rsid w:val="00E033CB"/>
    <w:rsid w:val="00E036E4"/>
    <w:rsid w:val="00E038FB"/>
    <w:rsid w:val="00E03D26"/>
    <w:rsid w:val="00E045A7"/>
    <w:rsid w:val="00E046E0"/>
    <w:rsid w:val="00E04B49"/>
    <w:rsid w:val="00E04FF1"/>
    <w:rsid w:val="00E0508E"/>
    <w:rsid w:val="00E05363"/>
    <w:rsid w:val="00E057A9"/>
    <w:rsid w:val="00E061E7"/>
    <w:rsid w:val="00E066E5"/>
    <w:rsid w:val="00E06A2E"/>
    <w:rsid w:val="00E07312"/>
    <w:rsid w:val="00E07E0F"/>
    <w:rsid w:val="00E10519"/>
    <w:rsid w:val="00E107A5"/>
    <w:rsid w:val="00E10B80"/>
    <w:rsid w:val="00E10DCD"/>
    <w:rsid w:val="00E11070"/>
    <w:rsid w:val="00E1139B"/>
    <w:rsid w:val="00E11B3D"/>
    <w:rsid w:val="00E11CCC"/>
    <w:rsid w:val="00E12FF7"/>
    <w:rsid w:val="00E13471"/>
    <w:rsid w:val="00E138CE"/>
    <w:rsid w:val="00E13987"/>
    <w:rsid w:val="00E142A0"/>
    <w:rsid w:val="00E143AB"/>
    <w:rsid w:val="00E147CE"/>
    <w:rsid w:val="00E160CB"/>
    <w:rsid w:val="00E169C7"/>
    <w:rsid w:val="00E16CED"/>
    <w:rsid w:val="00E16ECA"/>
    <w:rsid w:val="00E17073"/>
    <w:rsid w:val="00E17A46"/>
    <w:rsid w:val="00E17C19"/>
    <w:rsid w:val="00E20046"/>
    <w:rsid w:val="00E2067A"/>
    <w:rsid w:val="00E20D94"/>
    <w:rsid w:val="00E20E67"/>
    <w:rsid w:val="00E20FBB"/>
    <w:rsid w:val="00E216B9"/>
    <w:rsid w:val="00E21761"/>
    <w:rsid w:val="00E21BAD"/>
    <w:rsid w:val="00E222F5"/>
    <w:rsid w:val="00E224F6"/>
    <w:rsid w:val="00E228CA"/>
    <w:rsid w:val="00E228DE"/>
    <w:rsid w:val="00E22989"/>
    <w:rsid w:val="00E232E6"/>
    <w:rsid w:val="00E23A5B"/>
    <w:rsid w:val="00E24107"/>
    <w:rsid w:val="00E24193"/>
    <w:rsid w:val="00E244C0"/>
    <w:rsid w:val="00E24B0F"/>
    <w:rsid w:val="00E24F3A"/>
    <w:rsid w:val="00E25339"/>
    <w:rsid w:val="00E25369"/>
    <w:rsid w:val="00E25D00"/>
    <w:rsid w:val="00E26001"/>
    <w:rsid w:val="00E2600B"/>
    <w:rsid w:val="00E26A68"/>
    <w:rsid w:val="00E26C07"/>
    <w:rsid w:val="00E27BB0"/>
    <w:rsid w:val="00E27E11"/>
    <w:rsid w:val="00E30205"/>
    <w:rsid w:val="00E30643"/>
    <w:rsid w:val="00E30B39"/>
    <w:rsid w:val="00E30C1D"/>
    <w:rsid w:val="00E3125D"/>
    <w:rsid w:val="00E31541"/>
    <w:rsid w:val="00E31ABA"/>
    <w:rsid w:val="00E31BE1"/>
    <w:rsid w:val="00E31BF9"/>
    <w:rsid w:val="00E31D7C"/>
    <w:rsid w:val="00E3231C"/>
    <w:rsid w:val="00E32334"/>
    <w:rsid w:val="00E32717"/>
    <w:rsid w:val="00E327A9"/>
    <w:rsid w:val="00E32D84"/>
    <w:rsid w:val="00E34441"/>
    <w:rsid w:val="00E344C1"/>
    <w:rsid w:val="00E34555"/>
    <w:rsid w:val="00E34641"/>
    <w:rsid w:val="00E34A2B"/>
    <w:rsid w:val="00E34A60"/>
    <w:rsid w:val="00E3589F"/>
    <w:rsid w:val="00E364F4"/>
    <w:rsid w:val="00E36697"/>
    <w:rsid w:val="00E367B8"/>
    <w:rsid w:val="00E36AC9"/>
    <w:rsid w:val="00E36CD9"/>
    <w:rsid w:val="00E37560"/>
    <w:rsid w:val="00E37669"/>
    <w:rsid w:val="00E37C30"/>
    <w:rsid w:val="00E37C38"/>
    <w:rsid w:val="00E4020F"/>
    <w:rsid w:val="00E403E5"/>
    <w:rsid w:val="00E4041E"/>
    <w:rsid w:val="00E4112F"/>
    <w:rsid w:val="00E4209D"/>
    <w:rsid w:val="00E42331"/>
    <w:rsid w:val="00E42346"/>
    <w:rsid w:val="00E42484"/>
    <w:rsid w:val="00E426C9"/>
    <w:rsid w:val="00E42767"/>
    <w:rsid w:val="00E4294E"/>
    <w:rsid w:val="00E42B99"/>
    <w:rsid w:val="00E4316C"/>
    <w:rsid w:val="00E433DF"/>
    <w:rsid w:val="00E43471"/>
    <w:rsid w:val="00E43D32"/>
    <w:rsid w:val="00E43E36"/>
    <w:rsid w:val="00E443C9"/>
    <w:rsid w:val="00E444DE"/>
    <w:rsid w:val="00E448C8"/>
    <w:rsid w:val="00E4514D"/>
    <w:rsid w:val="00E45161"/>
    <w:rsid w:val="00E451ED"/>
    <w:rsid w:val="00E453D6"/>
    <w:rsid w:val="00E45716"/>
    <w:rsid w:val="00E4593F"/>
    <w:rsid w:val="00E4599C"/>
    <w:rsid w:val="00E45A60"/>
    <w:rsid w:val="00E45F9E"/>
    <w:rsid w:val="00E46741"/>
    <w:rsid w:val="00E46E0C"/>
    <w:rsid w:val="00E46ECE"/>
    <w:rsid w:val="00E4779E"/>
    <w:rsid w:val="00E47D24"/>
    <w:rsid w:val="00E47FF7"/>
    <w:rsid w:val="00E503C2"/>
    <w:rsid w:val="00E519E4"/>
    <w:rsid w:val="00E51AA1"/>
    <w:rsid w:val="00E51DE8"/>
    <w:rsid w:val="00E52923"/>
    <w:rsid w:val="00E52B59"/>
    <w:rsid w:val="00E5330E"/>
    <w:rsid w:val="00E534BD"/>
    <w:rsid w:val="00E539D0"/>
    <w:rsid w:val="00E53DAB"/>
    <w:rsid w:val="00E53E41"/>
    <w:rsid w:val="00E558D8"/>
    <w:rsid w:val="00E564B9"/>
    <w:rsid w:val="00E56567"/>
    <w:rsid w:val="00E56A0C"/>
    <w:rsid w:val="00E56C73"/>
    <w:rsid w:val="00E57110"/>
    <w:rsid w:val="00E5766A"/>
    <w:rsid w:val="00E57A01"/>
    <w:rsid w:val="00E57C6B"/>
    <w:rsid w:val="00E57D4F"/>
    <w:rsid w:val="00E600F4"/>
    <w:rsid w:val="00E6017D"/>
    <w:rsid w:val="00E607C8"/>
    <w:rsid w:val="00E6081B"/>
    <w:rsid w:val="00E6138A"/>
    <w:rsid w:val="00E61EE3"/>
    <w:rsid w:val="00E61FB6"/>
    <w:rsid w:val="00E62156"/>
    <w:rsid w:val="00E627E9"/>
    <w:rsid w:val="00E62A5C"/>
    <w:rsid w:val="00E62C6F"/>
    <w:rsid w:val="00E62F0B"/>
    <w:rsid w:val="00E63BA5"/>
    <w:rsid w:val="00E63C9D"/>
    <w:rsid w:val="00E6423F"/>
    <w:rsid w:val="00E64C5D"/>
    <w:rsid w:val="00E64D78"/>
    <w:rsid w:val="00E64E5C"/>
    <w:rsid w:val="00E65610"/>
    <w:rsid w:val="00E66497"/>
    <w:rsid w:val="00E66753"/>
    <w:rsid w:val="00E66964"/>
    <w:rsid w:val="00E67071"/>
    <w:rsid w:val="00E670E9"/>
    <w:rsid w:val="00E67368"/>
    <w:rsid w:val="00E674A3"/>
    <w:rsid w:val="00E70371"/>
    <w:rsid w:val="00E70828"/>
    <w:rsid w:val="00E70A20"/>
    <w:rsid w:val="00E712DD"/>
    <w:rsid w:val="00E71370"/>
    <w:rsid w:val="00E7152B"/>
    <w:rsid w:val="00E72065"/>
    <w:rsid w:val="00E7243F"/>
    <w:rsid w:val="00E72A38"/>
    <w:rsid w:val="00E72D13"/>
    <w:rsid w:val="00E72F81"/>
    <w:rsid w:val="00E732B8"/>
    <w:rsid w:val="00E732D7"/>
    <w:rsid w:val="00E73DBB"/>
    <w:rsid w:val="00E744D7"/>
    <w:rsid w:val="00E74578"/>
    <w:rsid w:val="00E75180"/>
    <w:rsid w:val="00E75784"/>
    <w:rsid w:val="00E7600D"/>
    <w:rsid w:val="00E7648A"/>
    <w:rsid w:val="00E76595"/>
    <w:rsid w:val="00E766BA"/>
    <w:rsid w:val="00E76A6E"/>
    <w:rsid w:val="00E7716C"/>
    <w:rsid w:val="00E77C9A"/>
    <w:rsid w:val="00E80538"/>
    <w:rsid w:val="00E80597"/>
    <w:rsid w:val="00E80EA9"/>
    <w:rsid w:val="00E81182"/>
    <w:rsid w:val="00E8148E"/>
    <w:rsid w:val="00E815DD"/>
    <w:rsid w:val="00E81A33"/>
    <w:rsid w:val="00E81B03"/>
    <w:rsid w:val="00E81DAF"/>
    <w:rsid w:val="00E82264"/>
    <w:rsid w:val="00E824C0"/>
    <w:rsid w:val="00E82988"/>
    <w:rsid w:val="00E8367D"/>
    <w:rsid w:val="00E83710"/>
    <w:rsid w:val="00E83807"/>
    <w:rsid w:val="00E839BC"/>
    <w:rsid w:val="00E84CBC"/>
    <w:rsid w:val="00E85996"/>
    <w:rsid w:val="00E85BE4"/>
    <w:rsid w:val="00E85E48"/>
    <w:rsid w:val="00E86381"/>
    <w:rsid w:val="00E866F6"/>
    <w:rsid w:val="00E8683D"/>
    <w:rsid w:val="00E868D2"/>
    <w:rsid w:val="00E869D9"/>
    <w:rsid w:val="00E86A5B"/>
    <w:rsid w:val="00E87C61"/>
    <w:rsid w:val="00E87E2D"/>
    <w:rsid w:val="00E90A96"/>
    <w:rsid w:val="00E920A0"/>
    <w:rsid w:val="00E92348"/>
    <w:rsid w:val="00E934D0"/>
    <w:rsid w:val="00E93D06"/>
    <w:rsid w:val="00E948D2"/>
    <w:rsid w:val="00E9567A"/>
    <w:rsid w:val="00E956CD"/>
    <w:rsid w:val="00E9590F"/>
    <w:rsid w:val="00E9609C"/>
    <w:rsid w:val="00E9669F"/>
    <w:rsid w:val="00E96919"/>
    <w:rsid w:val="00E96F34"/>
    <w:rsid w:val="00E97B60"/>
    <w:rsid w:val="00EA008C"/>
    <w:rsid w:val="00EA0299"/>
    <w:rsid w:val="00EA05E4"/>
    <w:rsid w:val="00EA0CF1"/>
    <w:rsid w:val="00EA13E8"/>
    <w:rsid w:val="00EA15B6"/>
    <w:rsid w:val="00EA1B88"/>
    <w:rsid w:val="00EA2175"/>
    <w:rsid w:val="00EA21A1"/>
    <w:rsid w:val="00EA246D"/>
    <w:rsid w:val="00EA24E5"/>
    <w:rsid w:val="00EA2A55"/>
    <w:rsid w:val="00EA3800"/>
    <w:rsid w:val="00EA3DB6"/>
    <w:rsid w:val="00EA43B4"/>
    <w:rsid w:val="00EA4590"/>
    <w:rsid w:val="00EA4634"/>
    <w:rsid w:val="00EA4679"/>
    <w:rsid w:val="00EA4943"/>
    <w:rsid w:val="00EA49B9"/>
    <w:rsid w:val="00EA4A04"/>
    <w:rsid w:val="00EA4D0E"/>
    <w:rsid w:val="00EA4D3F"/>
    <w:rsid w:val="00EA5EB6"/>
    <w:rsid w:val="00EA6DB7"/>
    <w:rsid w:val="00EA71A6"/>
    <w:rsid w:val="00EA7387"/>
    <w:rsid w:val="00EB008D"/>
    <w:rsid w:val="00EB07AE"/>
    <w:rsid w:val="00EB0807"/>
    <w:rsid w:val="00EB0855"/>
    <w:rsid w:val="00EB0ADF"/>
    <w:rsid w:val="00EB11D5"/>
    <w:rsid w:val="00EB1269"/>
    <w:rsid w:val="00EB1506"/>
    <w:rsid w:val="00EB1880"/>
    <w:rsid w:val="00EB1DCE"/>
    <w:rsid w:val="00EB2568"/>
    <w:rsid w:val="00EB26F1"/>
    <w:rsid w:val="00EB2748"/>
    <w:rsid w:val="00EB2917"/>
    <w:rsid w:val="00EB2CA3"/>
    <w:rsid w:val="00EB3019"/>
    <w:rsid w:val="00EB358A"/>
    <w:rsid w:val="00EB362A"/>
    <w:rsid w:val="00EB367D"/>
    <w:rsid w:val="00EB3716"/>
    <w:rsid w:val="00EB3820"/>
    <w:rsid w:val="00EB47B9"/>
    <w:rsid w:val="00EB49C2"/>
    <w:rsid w:val="00EB4D01"/>
    <w:rsid w:val="00EB5461"/>
    <w:rsid w:val="00EB565E"/>
    <w:rsid w:val="00EB5731"/>
    <w:rsid w:val="00EB5ADE"/>
    <w:rsid w:val="00EB5C22"/>
    <w:rsid w:val="00EB5D1D"/>
    <w:rsid w:val="00EB6F0F"/>
    <w:rsid w:val="00EB70E6"/>
    <w:rsid w:val="00EB762C"/>
    <w:rsid w:val="00EB7857"/>
    <w:rsid w:val="00EB78DD"/>
    <w:rsid w:val="00EC040E"/>
    <w:rsid w:val="00EC0518"/>
    <w:rsid w:val="00EC0C6D"/>
    <w:rsid w:val="00EC1EE2"/>
    <w:rsid w:val="00EC2370"/>
    <w:rsid w:val="00EC26BC"/>
    <w:rsid w:val="00EC2F4A"/>
    <w:rsid w:val="00EC2FDF"/>
    <w:rsid w:val="00EC34F2"/>
    <w:rsid w:val="00EC3D47"/>
    <w:rsid w:val="00EC42EB"/>
    <w:rsid w:val="00EC4D8F"/>
    <w:rsid w:val="00EC53B5"/>
    <w:rsid w:val="00EC5AC2"/>
    <w:rsid w:val="00EC5CFC"/>
    <w:rsid w:val="00EC5E59"/>
    <w:rsid w:val="00EC61A9"/>
    <w:rsid w:val="00EC62F6"/>
    <w:rsid w:val="00EC631D"/>
    <w:rsid w:val="00EC6320"/>
    <w:rsid w:val="00EC6429"/>
    <w:rsid w:val="00EC6EE8"/>
    <w:rsid w:val="00EC6EF3"/>
    <w:rsid w:val="00EC74EC"/>
    <w:rsid w:val="00EC7AE5"/>
    <w:rsid w:val="00EC7F20"/>
    <w:rsid w:val="00ED0032"/>
    <w:rsid w:val="00ED1526"/>
    <w:rsid w:val="00ED269E"/>
    <w:rsid w:val="00ED26CE"/>
    <w:rsid w:val="00ED37A2"/>
    <w:rsid w:val="00ED3EB4"/>
    <w:rsid w:val="00ED4786"/>
    <w:rsid w:val="00ED492C"/>
    <w:rsid w:val="00ED4995"/>
    <w:rsid w:val="00ED5092"/>
    <w:rsid w:val="00ED55B9"/>
    <w:rsid w:val="00ED5E6C"/>
    <w:rsid w:val="00ED6484"/>
    <w:rsid w:val="00ED6F12"/>
    <w:rsid w:val="00ED7D9B"/>
    <w:rsid w:val="00ED7EC4"/>
    <w:rsid w:val="00EE0957"/>
    <w:rsid w:val="00EE0CAF"/>
    <w:rsid w:val="00EE10D8"/>
    <w:rsid w:val="00EE1D32"/>
    <w:rsid w:val="00EE2BB7"/>
    <w:rsid w:val="00EE2E1F"/>
    <w:rsid w:val="00EE337A"/>
    <w:rsid w:val="00EE344F"/>
    <w:rsid w:val="00EE383A"/>
    <w:rsid w:val="00EE3B11"/>
    <w:rsid w:val="00EE41C5"/>
    <w:rsid w:val="00EE41F3"/>
    <w:rsid w:val="00EE5FF5"/>
    <w:rsid w:val="00EE65E2"/>
    <w:rsid w:val="00EE6B5A"/>
    <w:rsid w:val="00EE769D"/>
    <w:rsid w:val="00EE78B5"/>
    <w:rsid w:val="00EE7970"/>
    <w:rsid w:val="00EF0315"/>
    <w:rsid w:val="00EF079F"/>
    <w:rsid w:val="00EF0900"/>
    <w:rsid w:val="00EF0FA5"/>
    <w:rsid w:val="00EF122D"/>
    <w:rsid w:val="00EF2136"/>
    <w:rsid w:val="00EF23BB"/>
    <w:rsid w:val="00EF28E1"/>
    <w:rsid w:val="00EF2DF5"/>
    <w:rsid w:val="00EF2E75"/>
    <w:rsid w:val="00EF302A"/>
    <w:rsid w:val="00EF4388"/>
    <w:rsid w:val="00EF56AA"/>
    <w:rsid w:val="00EF57DD"/>
    <w:rsid w:val="00EF5D86"/>
    <w:rsid w:val="00EF6110"/>
    <w:rsid w:val="00EF70E0"/>
    <w:rsid w:val="00EF799F"/>
    <w:rsid w:val="00F00685"/>
    <w:rsid w:val="00F008B9"/>
    <w:rsid w:val="00F00C3D"/>
    <w:rsid w:val="00F00DEC"/>
    <w:rsid w:val="00F00E1D"/>
    <w:rsid w:val="00F00EB6"/>
    <w:rsid w:val="00F01BB2"/>
    <w:rsid w:val="00F022D8"/>
    <w:rsid w:val="00F024C6"/>
    <w:rsid w:val="00F0274F"/>
    <w:rsid w:val="00F02C87"/>
    <w:rsid w:val="00F047EA"/>
    <w:rsid w:val="00F04B54"/>
    <w:rsid w:val="00F054A9"/>
    <w:rsid w:val="00F054C6"/>
    <w:rsid w:val="00F060FB"/>
    <w:rsid w:val="00F0616E"/>
    <w:rsid w:val="00F06858"/>
    <w:rsid w:val="00F073F1"/>
    <w:rsid w:val="00F076C5"/>
    <w:rsid w:val="00F07E81"/>
    <w:rsid w:val="00F10112"/>
    <w:rsid w:val="00F10510"/>
    <w:rsid w:val="00F106A4"/>
    <w:rsid w:val="00F112E1"/>
    <w:rsid w:val="00F1130C"/>
    <w:rsid w:val="00F11377"/>
    <w:rsid w:val="00F115DB"/>
    <w:rsid w:val="00F11C83"/>
    <w:rsid w:val="00F12057"/>
    <w:rsid w:val="00F12348"/>
    <w:rsid w:val="00F12619"/>
    <w:rsid w:val="00F1295A"/>
    <w:rsid w:val="00F12B18"/>
    <w:rsid w:val="00F12BF0"/>
    <w:rsid w:val="00F12D20"/>
    <w:rsid w:val="00F12DA8"/>
    <w:rsid w:val="00F12E19"/>
    <w:rsid w:val="00F12E1B"/>
    <w:rsid w:val="00F1325C"/>
    <w:rsid w:val="00F13567"/>
    <w:rsid w:val="00F13997"/>
    <w:rsid w:val="00F13F49"/>
    <w:rsid w:val="00F1401A"/>
    <w:rsid w:val="00F1432F"/>
    <w:rsid w:val="00F143FE"/>
    <w:rsid w:val="00F14413"/>
    <w:rsid w:val="00F1490B"/>
    <w:rsid w:val="00F14B7F"/>
    <w:rsid w:val="00F1546D"/>
    <w:rsid w:val="00F15477"/>
    <w:rsid w:val="00F1673E"/>
    <w:rsid w:val="00F169CA"/>
    <w:rsid w:val="00F169D4"/>
    <w:rsid w:val="00F16FBD"/>
    <w:rsid w:val="00F1759A"/>
    <w:rsid w:val="00F176F2"/>
    <w:rsid w:val="00F17AE3"/>
    <w:rsid w:val="00F17D63"/>
    <w:rsid w:val="00F1B1AC"/>
    <w:rsid w:val="00F202A1"/>
    <w:rsid w:val="00F20433"/>
    <w:rsid w:val="00F20579"/>
    <w:rsid w:val="00F209DA"/>
    <w:rsid w:val="00F20D2E"/>
    <w:rsid w:val="00F20DD8"/>
    <w:rsid w:val="00F2113A"/>
    <w:rsid w:val="00F2116B"/>
    <w:rsid w:val="00F21986"/>
    <w:rsid w:val="00F219A9"/>
    <w:rsid w:val="00F21F82"/>
    <w:rsid w:val="00F22B4F"/>
    <w:rsid w:val="00F22BD7"/>
    <w:rsid w:val="00F231D2"/>
    <w:rsid w:val="00F23965"/>
    <w:rsid w:val="00F23B6B"/>
    <w:rsid w:val="00F23E21"/>
    <w:rsid w:val="00F251B8"/>
    <w:rsid w:val="00F253F0"/>
    <w:rsid w:val="00F258FF"/>
    <w:rsid w:val="00F25F19"/>
    <w:rsid w:val="00F26149"/>
    <w:rsid w:val="00F2723F"/>
    <w:rsid w:val="00F272EC"/>
    <w:rsid w:val="00F2762F"/>
    <w:rsid w:val="00F27959"/>
    <w:rsid w:val="00F27B66"/>
    <w:rsid w:val="00F2FA2F"/>
    <w:rsid w:val="00F301B7"/>
    <w:rsid w:val="00F3055E"/>
    <w:rsid w:val="00F30F52"/>
    <w:rsid w:val="00F311A1"/>
    <w:rsid w:val="00F314BB"/>
    <w:rsid w:val="00F31520"/>
    <w:rsid w:val="00F31814"/>
    <w:rsid w:val="00F31A99"/>
    <w:rsid w:val="00F31F7E"/>
    <w:rsid w:val="00F31F9A"/>
    <w:rsid w:val="00F3223B"/>
    <w:rsid w:val="00F329B8"/>
    <w:rsid w:val="00F32A72"/>
    <w:rsid w:val="00F32B9F"/>
    <w:rsid w:val="00F32BAF"/>
    <w:rsid w:val="00F333D9"/>
    <w:rsid w:val="00F33721"/>
    <w:rsid w:val="00F340D9"/>
    <w:rsid w:val="00F34298"/>
    <w:rsid w:val="00F34857"/>
    <w:rsid w:val="00F34F56"/>
    <w:rsid w:val="00F350F2"/>
    <w:rsid w:val="00F3567E"/>
    <w:rsid w:val="00F35725"/>
    <w:rsid w:val="00F358DE"/>
    <w:rsid w:val="00F35DF1"/>
    <w:rsid w:val="00F35EE8"/>
    <w:rsid w:val="00F36538"/>
    <w:rsid w:val="00F36B41"/>
    <w:rsid w:val="00F36E6D"/>
    <w:rsid w:val="00F3700C"/>
    <w:rsid w:val="00F37397"/>
    <w:rsid w:val="00F37B40"/>
    <w:rsid w:val="00F37CCA"/>
    <w:rsid w:val="00F400A9"/>
    <w:rsid w:val="00F40EE8"/>
    <w:rsid w:val="00F413D5"/>
    <w:rsid w:val="00F416CC"/>
    <w:rsid w:val="00F4259D"/>
    <w:rsid w:val="00F42749"/>
    <w:rsid w:val="00F43736"/>
    <w:rsid w:val="00F437E2"/>
    <w:rsid w:val="00F43F93"/>
    <w:rsid w:val="00F441B5"/>
    <w:rsid w:val="00F446C7"/>
    <w:rsid w:val="00F456D7"/>
    <w:rsid w:val="00F45AC2"/>
    <w:rsid w:val="00F46198"/>
    <w:rsid w:val="00F46995"/>
    <w:rsid w:val="00F4709D"/>
    <w:rsid w:val="00F47B66"/>
    <w:rsid w:val="00F47C87"/>
    <w:rsid w:val="00F47D87"/>
    <w:rsid w:val="00F50140"/>
    <w:rsid w:val="00F50659"/>
    <w:rsid w:val="00F50AA3"/>
    <w:rsid w:val="00F51027"/>
    <w:rsid w:val="00F51187"/>
    <w:rsid w:val="00F51245"/>
    <w:rsid w:val="00F512DC"/>
    <w:rsid w:val="00F517E1"/>
    <w:rsid w:val="00F51AE8"/>
    <w:rsid w:val="00F51AED"/>
    <w:rsid w:val="00F521E4"/>
    <w:rsid w:val="00F524E5"/>
    <w:rsid w:val="00F52FA0"/>
    <w:rsid w:val="00F53186"/>
    <w:rsid w:val="00F5342F"/>
    <w:rsid w:val="00F538F6"/>
    <w:rsid w:val="00F53AE2"/>
    <w:rsid w:val="00F53BAD"/>
    <w:rsid w:val="00F546D0"/>
    <w:rsid w:val="00F54BBE"/>
    <w:rsid w:val="00F550A7"/>
    <w:rsid w:val="00F552A6"/>
    <w:rsid w:val="00F55525"/>
    <w:rsid w:val="00F558E8"/>
    <w:rsid w:val="00F565D3"/>
    <w:rsid w:val="00F56AF9"/>
    <w:rsid w:val="00F56FB7"/>
    <w:rsid w:val="00F57921"/>
    <w:rsid w:val="00F57B98"/>
    <w:rsid w:val="00F57C5B"/>
    <w:rsid w:val="00F602B0"/>
    <w:rsid w:val="00F6032A"/>
    <w:rsid w:val="00F607B9"/>
    <w:rsid w:val="00F60DA7"/>
    <w:rsid w:val="00F6167A"/>
    <w:rsid w:val="00F61A81"/>
    <w:rsid w:val="00F620C3"/>
    <w:rsid w:val="00F628A1"/>
    <w:rsid w:val="00F632B6"/>
    <w:rsid w:val="00F6344A"/>
    <w:rsid w:val="00F63622"/>
    <w:rsid w:val="00F640EA"/>
    <w:rsid w:val="00F642C4"/>
    <w:rsid w:val="00F64700"/>
    <w:rsid w:val="00F6476C"/>
    <w:rsid w:val="00F65807"/>
    <w:rsid w:val="00F65A0C"/>
    <w:rsid w:val="00F66127"/>
    <w:rsid w:val="00F66340"/>
    <w:rsid w:val="00F66465"/>
    <w:rsid w:val="00F664E3"/>
    <w:rsid w:val="00F666A4"/>
    <w:rsid w:val="00F66A6C"/>
    <w:rsid w:val="00F67A13"/>
    <w:rsid w:val="00F67CA9"/>
    <w:rsid w:val="00F704CC"/>
    <w:rsid w:val="00F71083"/>
    <w:rsid w:val="00F713F3"/>
    <w:rsid w:val="00F7245C"/>
    <w:rsid w:val="00F72840"/>
    <w:rsid w:val="00F72C21"/>
    <w:rsid w:val="00F73076"/>
    <w:rsid w:val="00F734B1"/>
    <w:rsid w:val="00F734F4"/>
    <w:rsid w:val="00F737D6"/>
    <w:rsid w:val="00F73D59"/>
    <w:rsid w:val="00F73EE8"/>
    <w:rsid w:val="00F73F1D"/>
    <w:rsid w:val="00F7429E"/>
    <w:rsid w:val="00F743BB"/>
    <w:rsid w:val="00F746AF"/>
    <w:rsid w:val="00F75057"/>
    <w:rsid w:val="00F75A9A"/>
    <w:rsid w:val="00F75B09"/>
    <w:rsid w:val="00F75C14"/>
    <w:rsid w:val="00F75D59"/>
    <w:rsid w:val="00F763F5"/>
    <w:rsid w:val="00F765C5"/>
    <w:rsid w:val="00F76E0A"/>
    <w:rsid w:val="00F773A6"/>
    <w:rsid w:val="00F778DD"/>
    <w:rsid w:val="00F77933"/>
    <w:rsid w:val="00F77A5F"/>
    <w:rsid w:val="00F77AA6"/>
    <w:rsid w:val="00F77C13"/>
    <w:rsid w:val="00F800F1"/>
    <w:rsid w:val="00F8010B"/>
    <w:rsid w:val="00F8036A"/>
    <w:rsid w:val="00F806C4"/>
    <w:rsid w:val="00F80D1D"/>
    <w:rsid w:val="00F81903"/>
    <w:rsid w:val="00F81D77"/>
    <w:rsid w:val="00F824C2"/>
    <w:rsid w:val="00F8280B"/>
    <w:rsid w:val="00F82C2E"/>
    <w:rsid w:val="00F83432"/>
    <w:rsid w:val="00F83A6D"/>
    <w:rsid w:val="00F83D80"/>
    <w:rsid w:val="00F847EE"/>
    <w:rsid w:val="00F84F00"/>
    <w:rsid w:val="00F85243"/>
    <w:rsid w:val="00F856DB"/>
    <w:rsid w:val="00F879E8"/>
    <w:rsid w:val="00F87C93"/>
    <w:rsid w:val="00F87DEB"/>
    <w:rsid w:val="00F87F50"/>
    <w:rsid w:val="00F90257"/>
    <w:rsid w:val="00F90616"/>
    <w:rsid w:val="00F90F96"/>
    <w:rsid w:val="00F91634"/>
    <w:rsid w:val="00F91690"/>
    <w:rsid w:val="00F91BB6"/>
    <w:rsid w:val="00F91D67"/>
    <w:rsid w:val="00F9218D"/>
    <w:rsid w:val="00F9286F"/>
    <w:rsid w:val="00F92D0F"/>
    <w:rsid w:val="00F92F37"/>
    <w:rsid w:val="00F92F47"/>
    <w:rsid w:val="00F9327A"/>
    <w:rsid w:val="00F93CF8"/>
    <w:rsid w:val="00F9426E"/>
    <w:rsid w:val="00F9428B"/>
    <w:rsid w:val="00F943F3"/>
    <w:rsid w:val="00F94814"/>
    <w:rsid w:val="00F94AB2"/>
    <w:rsid w:val="00F94D4A"/>
    <w:rsid w:val="00F95147"/>
    <w:rsid w:val="00F955D1"/>
    <w:rsid w:val="00F95C31"/>
    <w:rsid w:val="00F96378"/>
    <w:rsid w:val="00F964A0"/>
    <w:rsid w:val="00F96793"/>
    <w:rsid w:val="00F96804"/>
    <w:rsid w:val="00F96F22"/>
    <w:rsid w:val="00F96F70"/>
    <w:rsid w:val="00F970EF"/>
    <w:rsid w:val="00F9722F"/>
    <w:rsid w:val="00F972AF"/>
    <w:rsid w:val="00F97443"/>
    <w:rsid w:val="00F97836"/>
    <w:rsid w:val="00FA00A3"/>
    <w:rsid w:val="00FA01CF"/>
    <w:rsid w:val="00FA0CCA"/>
    <w:rsid w:val="00FA16EB"/>
    <w:rsid w:val="00FA231D"/>
    <w:rsid w:val="00FA296C"/>
    <w:rsid w:val="00FA2970"/>
    <w:rsid w:val="00FA29B5"/>
    <w:rsid w:val="00FA2A5C"/>
    <w:rsid w:val="00FA3B15"/>
    <w:rsid w:val="00FA42FF"/>
    <w:rsid w:val="00FA4338"/>
    <w:rsid w:val="00FA452A"/>
    <w:rsid w:val="00FA4627"/>
    <w:rsid w:val="00FA4BCA"/>
    <w:rsid w:val="00FA4D07"/>
    <w:rsid w:val="00FA4DDF"/>
    <w:rsid w:val="00FA524F"/>
    <w:rsid w:val="00FA586B"/>
    <w:rsid w:val="00FA58D7"/>
    <w:rsid w:val="00FA5A60"/>
    <w:rsid w:val="00FA5CE0"/>
    <w:rsid w:val="00FA61C1"/>
    <w:rsid w:val="00FA626B"/>
    <w:rsid w:val="00FA627D"/>
    <w:rsid w:val="00FA6936"/>
    <w:rsid w:val="00FA70E0"/>
    <w:rsid w:val="00FA7CD4"/>
    <w:rsid w:val="00FB0286"/>
    <w:rsid w:val="00FB04E5"/>
    <w:rsid w:val="00FB17D1"/>
    <w:rsid w:val="00FB1DF8"/>
    <w:rsid w:val="00FB246D"/>
    <w:rsid w:val="00FB2D87"/>
    <w:rsid w:val="00FB2F37"/>
    <w:rsid w:val="00FB3168"/>
    <w:rsid w:val="00FB392D"/>
    <w:rsid w:val="00FB434A"/>
    <w:rsid w:val="00FB46F3"/>
    <w:rsid w:val="00FB491B"/>
    <w:rsid w:val="00FB4A15"/>
    <w:rsid w:val="00FB4C47"/>
    <w:rsid w:val="00FB5375"/>
    <w:rsid w:val="00FB5951"/>
    <w:rsid w:val="00FB5C45"/>
    <w:rsid w:val="00FB5E06"/>
    <w:rsid w:val="00FB6864"/>
    <w:rsid w:val="00FB6C0A"/>
    <w:rsid w:val="00FB6F05"/>
    <w:rsid w:val="00FB6FC2"/>
    <w:rsid w:val="00FB7AD9"/>
    <w:rsid w:val="00FB7ECB"/>
    <w:rsid w:val="00FC0FD3"/>
    <w:rsid w:val="00FC13E8"/>
    <w:rsid w:val="00FC1580"/>
    <w:rsid w:val="00FC194A"/>
    <w:rsid w:val="00FC3000"/>
    <w:rsid w:val="00FC37F4"/>
    <w:rsid w:val="00FC3A4B"/>
    <w:rsid w:val="00FC4829"/>
    <w:rsid w:val="00FC4876"/>
    <w:rsid w:val="00FC5830"/>
    <w:rsid w:val="00FC5B33"/>
    <w:rsid w:val="00FC6A67"/>
    <w:rsid w:val="00FC6A72"/>
    <w:rsid w:val="00FC6A89"/>
    <w:rsid w:val="00FC6D67"/>
    <w:rsid w:val="00FC7F9C"/>
    <w:rsid w:val="00FD0118"/>
    <w:rsid w:val="00FD04C9"/>
    <w:rsid w:val="00FD0BF9"/>
    <w:rsid w:val="00FD0D19"/>
    <w:rsid w:val="00FD1427"/>
    <w:rsid w:val="00FD178C"/>
    <w:rsid w:val="00FD1968"/>
    <w:rsid w:val="00FD20F4"/>
    <w:rsid w:val="00FD2303"/>
    <w:rsid w:val="00FD26E3"/>
    <w:rsid w:val="00FD26F3"/>
    <w:rsid w:val="00FD3391"/>
    <w:rsid w:val="00FD3404"/>
    <w:rsid w:val="00FD359E"/>
    <w:rsid w:val="00FD40F3"/>
    <w:rsid w:val="00FD4431"/>
    <w:rsid w:val="00FD4491"/>
    <w:rsid w:val="00FD4B14"/>
    <w:rsid w:val="00FD6B55"/>
    <w:rsid w:val="00FD6E2B"/>
    <w:rsid w:val="00FD70B0"/>
    <w:rsid w:val="00FD712F"/>
    <w:rsid w:val="00FD73CA"/>
    <w:rsid w:val="00FD7A41"/>
    <w:rsid w:val="00FD8BC9"/>
    <w:rsid w:val="00FE1641"/>
    <w:rsid w:val="00FE18EF"/>
    <w:rsid w:val="00FE1CFE"/>
    <w:rsid w:val="00FE1E62"/>
    <w:rsid w:val="00FE1E85"/>
    <w:rsid w:val="00FE2EAE"/>
    <w:rsid w:val="00FE326F"/>
    <w:rsid w:val="00FE3435"/>
    <w:rsid w:val="00FE3A35"/>
    <w:rsid w:val="00FE41E0"/>
    <w:rsid w:val="00FE4240"/>
    <w:rsid w:val="00FE4418"/>
    <w:rsid w:val="00FE47F6"/>
    <w:rsid w:val="00FE4A48"/>
    <w:rsid w:val="00FE52DF"/>
    <w:rsid w:val="00FE5656"/>
    <w:rsid w:val="00FE5659"/>
    <w:rsid w:val="00FE594E"/>
    <w:rsid w:val="00FE6DD3"/>
    <w:rsid w:val="00FE6ED8"/>
    <w:rsid w:val="00FE7483"/>
    <w:rsid w:val="00FE7DB3"/>
    <w:rsid w:val="00FF07C2"/>
    <w:rsid w:val="00FF07D7"/>
    <w:rsid w:val="00FF096B"/>
    <w:rsid w:val="00FF105F"/>
    <w:rsid w:val="00FF1328"/>
    <w:rsid w:val="00FF165A"/>
    <w:rsid w:val="00FF1957"/>
    <w:rsid w:val="00FF2124"/>
    <w:rsid w:val="00FF21AF"/>
    <w:rsid w:val="00FF346D"/>
    <w:rsid w:val="00FF3B27"/>
    <w:rsid w:val="00FF4AF3"/>
    <w:rsid w:val="00FF5322"/>
    <w:rsid w:val="00FF58EA"/>
    <w:rsid w:val="00FF5AFE"/>
    <w:rsid w:val="00FF7035"/>
    <w:rsid w:val="00FF77F2"/>
    <w:rsid w:val="010BF4B7"/>
    <w:rsid w:val="0121FF4D"/>
    <w:rsid w:val="013D0DD3"/>
    <w:rsid w:val="0144A353"/>
    <w:rsid w:val="014E23A7"/>
    <w:rsid w:val="015D43C8"/>
    <w:rsid w:val="015F0D37"/>
    <w:rsid w:val="01634768"/>
    <w:rsid w:val="0178BBC0"/>
    <w:rsid w:val="017B4E44"/>
    <w:rsid w:val="017E3812"/>
    <w:rsid w:val="01C1A881"/>
    <w:rsid w:val="01D6066F"/>
    <w:rsid w:val="01EE65CB"/>
    <w:rsid w:val="01F32034"/>
    <w:rsid w:val="020A9D86"/>
    <w:rsid w:val="021333F0"/>
    <w:rsid w:val="021A8F24"/>
    <w:rsid w:val="02414A46"/>
    <w:rsid w:val="0246BE06"/>
    <w:rsid w:val="025ACA27"/>
    <w:rsid w:val="026D3031"/>
    <w:rsid w:val="02D09BFD"/>
    <w:rsid w:val="02E15BEC"/>
    <w:rsid w:val="02F95980"/>
    <w:rsid w:val="02FB9D9D"/>
    <w:rsid w:val="03133EA6"/>
    <w:rsid w:val="032529F1"/>
    <w:rsid w:val="0335506F"/>
    <w:rsid w:val="03875372"/>
    <w:rsid w:val="03BE2A5F"/>
    <w:rsid w:val="03E61626"/>
    <w:rsid w:val="04171BE7"/>
    <w:rsid w:val="0426C298"/>
    <w:rsid w:val="04518B7F"/>
    <w:rsid w:val="0452F9B2"/>
    <w:rsid w:val="04904427"/>
    <w:rsid w:val="04A6FB77"/>
    <w:rsid w:val="04A7C9B9"/>
    <w:rsid w:val="04AB6C2C"/>
    <w:rsid w:val="04BB5417"/>
    <w:rsid w:val="04C0CFE5"/>
    <w:rsid w:val="04C947FA"/>
    <w:rsid w:val="04D2EC5F"/>
    <w:rsid w:val="04EAD883"/>
    <w:rsid w:val="05054F83"/>
    <w:rsid w:val="0518F432"/>
    <w:rsid w:val="0535DBDA"/>
    <w:rsid w:val="0561C6CE"/>
    <w:rsid w:val="0562588C"/>
    <w:rsid w:val="0562E101"/>
    <w:rsid w:val="05771C79"/>
    <w:rsid w:val="057D25B3"/>
    <w:rsid w:val="058B312D"/>
    <w:rsid w:val="0595DFFE"/>
    <w:rsid w:val="05CA5815"/>
    <w:rsid w:val="05E8758B"/>
    <w:rsid w:val="05FFB73F"/>
    <w:rsid w:val="0605A0FA"/>
    <w:rsid w:val="0615F828"/>
    <w:rsid w:val="0627C968"/>
    <w:rsid w:val="06460BC0"/>
    <w:rsid w:val="0654534C"/>
    <w:rsid w:val="0654DC47"/>
    <w:rsid w:val="0655F167"/>
    <w:rsid w:val="06600BAE"/>
    <w:rsid w:val="06ACC0BE"/>
    <w:rsid w:val="06B8C08A"/>
    <w:rsid w:val="06C18D71"/>
    <w:rsid w:val="06C42E0C"/>
    <w:rsid w:val="06E1B521"/>
    <w:rsid w:val="06FE5EAF"/>
    <w:rsid w:val="07175E43"/>
    <w:rsid w:val="074720D6"/>
    <w:rsid w:val="0752D8EE"/>
    <w:rsid w:val="075654CD"/>
    <w:rsid w:val="07640DC0"/>
    <w:rsid w:val="0778A5A6"/>
    <w:rsid w:val="0787447F"/>
    <w:rsid w:val="07896DF2"/>
    <w:rsid w:val="07ACE0CA"/>
    <w:rsid w:val="07E52600"/>
    <w:rsid w:val="07F62BAB"/>
    <w:rsid w:val="080CDE2B"/>
    <w:rsid w:val="0841F5B5"/>
    <w:rsid w:val="0860CE3F"/>
    <w:rsid w:val="089ECF71"/>
    <w:rsid w:val="08A38D76"/>
    <w:rsid w:val="08A4D66A"/>
    <w:rsid w:val="08ECA583"/>
    <w:rsid w:val="090A9ED6"/>
    <w:rsid w:val="09198AC2"/>
    <w:rsid w:val="094798FA"/>
    <w:rsid w:val="0959567B"/>
    <w:rsid w:val="0961A0BF"/>
    <w:rsid w:val="0961A2AD"/>
    <w:rsid w:val="0976C04A"/>
    <w:rsid w:val="098B596A"/>
    <w:rsid w:val="099540B3"/>
    <w:rsid w:val="09CE487F"/>
    <w:rsid w:val="09F550A7"/>
    <w:rsid w:val="0A19418E"/>
    <w:rsid w:val="0A200EC6"/>
    <w:rsid w:val="0A2F3B43"/>
    <w:rsid w:val="0A3A879F"/>
    <w:rsid w:val="0A3E7E3F"/>
    <w:rsid w:val="0A77EC50"/>
    <w:rsid w:val="0A8E2F82"/>
    <w:rsid w:val="0A90EA91"/>
    <w:rsid w:val="0AA2F182"/>
    <w:rsid w:val="0AA332E2"/>
    <w:rsid w:val="0AA88D8C"/>
    <w:rsid w:val="0AE00018"/>
    <w:rsid w:val="0AE70535"/>
    <w:rsid w:val="0AEDFDB8"/>
    <w:rsid w:val="0B008A37"/>
    <w:rsid w:val="0B07DBE7"/>
    <w:rsid w:val="0B08D0BB"/>
    <w:rsid w:val="0B142B63"/>
    <w:rsid w:val="0B194CE0"/>
    <w:rsid w:val="0B33829D"/>
    <w:rsid w:val="0B3F538E"/>
    <w:rsid w:val="0B730D9A"/>
    <w:rsid w:val="0B7CBC76"/>
    <w:rsid w:val="0B85380D"/>
    <w:rsid w:val="0B9E220D"/>
    <w:rsid w:val="0BB857BC"/>
    <w:rsid w:val="0BC20ECD"/>
    <w:rsid w:val="0BCEA447"/>
    <w:rsid w:val="0BF81A6A"/>
    <w:rsid w:val="0C1A581F"/>
    <w:rsid w:val="0C1AFA39"/>
    <w:rsid w:val="0C1BFFC2"/>
    <w:rsid w:val="0C1CC4AB"/>
    <w:rsid w:val="0C239D56"/>
    <w:rsid w:val="0C3CAC3F"/>
    <w:rsid w:val="0C7D115C"/>
    <w:rsid w:val="0C80B084"/>
    <w:rsid w:val="0C95CEF5"/>
    <w:rsid w:val="0C97AC24"/>
    <w:rsid w:val="0C9EDA3B"/>
    <w:rsid w:val="0CB499AB"/>
    <w:rsid w:val="0CD1FB4E"/>
    <w:rsid w:val="0CE8F182"/>
    <w:rsid w:val="0D026E4A"/>
    <w:rsid w:val="0D0746F4"/>
    <w:rsid w:val="0D10F2EE"/>
    <w:rsid w:val="0D193014"/>
    <w:rsid w:val="0D3046AA"/>
    <w:rsid w:val="0D4A2E83"/>
    <w:rsid w:val="0D4CC82B"/>
    <w:rsid w:val="0D4CF33B"/>
    <w:rsid w:val="0D4D2215"/>
    <w:rsid w:val="0D595D77"/>
    <w:rsid w:val="0D646877"/>
    <w:rsid w:val="0D736EFC"/>
    <w:rsid w:val="0D73EA32"/>
    <w:rsid w:val="0D8F2794"/>
    <w:rsid w:val="0D9D4CF1"/>
    <w:rsid w:val="0DA9595F"/>
    <w:rsid w:val="0DB203D3"/>
    <w:rsid w:val="0DB6E35C"/>
    <w:rsid w:val="0DCB2C06"/>
    <w:rsid w:val="0DCB499D"/>
    <w:rsid w:val="0DE038EE"/>
    <w:rsid w:val="0DEDC7D5"/>
    <w:rsid w:val="0DF95356"/>
    <w:rsid w:val="0E21F36E"/>
    <w:rsid w:val="0E2F0DB9"/>
    <w:rsid w:val="0E4953DB"/>
    <w:rsid w:val="0E58A0AD"/>
    <w:rsid w:val="0E5ED52E"/>
    <w:rsid w:val="0E67C2BC"/>
    <w:rsid w:val="0E784838"/>
    <w:rsid w:val="0E79C249"/>
    <w:rsid w:val="0E867F5A"/>
    <w:rsid w:val="0E9BE4AE"/>
    <w:rsid w:val="0EB957AD"/>
    <w:rsid w:val="0EC6BFCB"/>
    <w:rsid w:val="0EDC0A8C"/>
    <w:rsid w:val="0EE98D48"/>
    <w:rsid w:val="0EF04F5F"/>
    <w:rsid w:val="0EF88077"/>
    <w:rsid w:val="0F1BE08A"/>
    <w:rsid w:val="0F1F70CA"/>
    <w:rsid w:val="0F2A7553"/>
    <w:rsid w:val="0F3A0E08"/>
    <w:rsid w:val="0F747545"/>
    <w:rsid w:val="0F78A021"/>
    <w:rsid w:val="0F869D7B"/>
    <w:rsid w:val="0FA1D60C"/>
    <w:rsid w:val="0FB641AF"/>
    <w:rsid w:val="0FC6100E"/>
    <w:rsid w:val="0FD15915"/>
    <w:rsid w:val="0FD734CE"/>
    <w:rsid w:val="0FEF786A"/>
    <w:rsid w:val="0FF25F50"/>
    <w:rsid w:val="101BC3A9"/>
    <w:rsid w:val="10278CA3"/>
    <w:rsid w:val="103A37B4"/>
    <w:rsid w:val="10743BC6"/>
    <w:rsid w:val="107EE495"/>
    <w:rsid w:val="107EF52F"/>
    <w:rsid w:val="109D59CF"/>
    <w:rsid w:val="10A95FD7"/>
    <w:rsid w:val="10C81B84"/>
    <w:rsid w:val="10DC9722"/>
    <w:rsid w:val="10F338FB"/>
    <w:rsid w:val="10FBDE29"/>
    <w:rsid w:val="1102FFD8"/>
    <w:rsid w:val="111E0457"/>
    <w:rsid w:val="112FB084"/>
    <w:rsid w:val="113C801A"/>
    <w:rsid w:val="114C45B1"/>
    <w:rsid w:val="114D6CC7"/>
    <w:rsid w:val="11539DBF"/>
    <w:rsid w:val="117AA611"/>
    <w:rsid w:val="11843B44"/>
    <w:rsid w:val="118806C8"/>
    <w:rsid w:val="118C456D"/>
    <w:rsid w:val="11B117F0"/>
    <w:rsid w:val="11C9A2A1"/>
    <w:rsid w:val="11E1B822"/>
    <w:rsid w:val="11E5D3B7"/>
    <w:rsid w:val="11F14D83"/>
    <w:rsid w:val="1224DC56"/>
    <w:rsid w:val="122E988B"/>
    <w:rsid w:val="12341F3A"/>
    <w:rsid w:val="123E7C04"/>
    <w:rsid w:val="1241C695"/>
    <w:rsid w:val="12446408"/>
    <w:rsid w:val="12511068"/>
    <w:rsid w:val="1251CA8A"/>
    <w:rsid w:val="127E8471"/>
    <w:rsid w:val="12A80773"/>
    <w:rsid w:val="13067E46"/>
    <w:rsid w:val="1318FA26"/>
    <w:rsid w:val="1326CDDA"/>
    <w:rsid w:val="1329CDE3"/>
    <w:rsid w:val="1360B4C0"/>
    <w:rsid w:val="13754BCC"/>
    <w:rsid w:val="137A66D1"/>
    <w:rsid w:val="1388BA1E"/>
    <w:rsid w:val="138E57D6"/>
    <w:rsid w:val="1400F945"/>
    <w:rsid w:val="140130A3"/>
    <w:rsid w:val="140DDC86"/>
    <w:rsid w:val="14319971"/>
    <w:rsid w:val="1448A17D"/>
    <w:rsid w:val="1495B0B1"/>
    <w:rsid w:val="14976221"/>
    <w:rsid w:val="14A9E1E4"/>
    <w:rsid w:val="14C3AAB2"/>
    <w:rsid w:val="14CB791D"/>
    <w:rsid w:val="14DBA3DE"/>
    <w:rsid w:val="14F994BB"/>
    <w:rsid w:val="15281241"/>
    <w:rsid w:val="15580F78"/>
    <w:rsid w:val="155D1728"/>
    <w:rsid w:val="1561DDF7"/>
    <w:rsid w:val="156928D5"/>
    <w:rsid w:val="1588C07D"/>
    <w:rsid w:val="158E04BD"/>
    <w:rsid w:val="15B1BE21"/>
    <w:rsid w:val="16427AF5"/>
    <w:rsid w:val="1647830D"/>
    <w:rsid w:val="1666CB0F"/>
    <w:rsid w:val="16834AAE"/>
    <w:rsid w:val="168C61F5"/>
    <w:rsid w:val="16908768"/>
    <w:rsid w:val="169DD451"/>
    <w:rsid w:val="16C34B25"/>
    <w:rsid w:val="16C534E6"/>
    <w:rsid w:val="16CAE71F"/>
    <w:rsid w:val="16ECCBA1"/>
    <w:rsid w:val="16ED610A"/>
    <w:rsid w:val="17133099"/>
    <w:rsid w:val="1722EF2A"/>
    <w:rsid w:val="173D6D68"/>
    <w:rsid w:val="176072D1"/>
    <w:rsid w:val="1779900C"/>
    <w:rsid w:val="17BF2754"/>
    <w:rsid w:val="17D2193B"/>
    <w:rsid w:val="17F6FFF6"/>
    <w:rsid w:val="180953F4"/>
    <w:rsid w:val="181DFAFD"/>
    <w:rsid w:val="1821919E"/>
    <w:rsid w:val="184A288C"/>
    <w:rsid w:val="185661F5"/>
    <w:rsid w:val="18633F03"/>
    <w:rsid w:val="186CB847"/>
    <w:rsid w:val="1878BB8A"/>
    <w:rsid w:val="189073B3"/>
    <w:rsid w:val="18B850C2"/>
    <w:rsid w:val="18BC8CA2"/>
    <w:rsid w:val="18C208CD"/>
    <w:rsid w:val="18E562C0"/>
    <w:rsid w:val="18EC3C68"/>
    <w:rsid w:val="18F0CBE3"/>
    <w:rsid w:val="18F58205"/>
    <w:rsid w:val="19034D07"/>
    <w:rsid w:val="1903755F"/>
    <w:rsid w:val="190D4381"/>
    <w:rsid w:val="190DE1DF"/>
    <w:rsid w:val="191DF76D"/>
    <w:rsid w:val="1928ACC9"/>
    <w:rsid w:val="19422BFC"/>
    <w:rsid w:val="194B59B4"/>
    <w:rsid w:val="19648EEF"/>
    <w:rsid w:val="196ED443"/>
    <w:rsid w:val="1974DEBE"/>
    <w:rsid w:val="1986AC1A"/>
    <w:rsid w:val="199686D8"/>
    <w:rsid w:val="199748BD"/>
    <w:rsid w:val="199D1EC8"/>
    <w:rsid w:val="19A9D467"/>
    <w:rsid w:val="19B0AA83"/>
    <w:rsid w:val="19C23EEB"/>
    <w:rsid w:val="19E06A8D"/>
    <w:rsid w:val="1A0505D9"/>
    <w:rsid w:val="1A2F338E"/>
    <w:rsid w:val="1A48060E"/>
    <w:rsid w:val="1A48F600"/>
    <w:rsid w:val="1A4D7843"/>
    <w:rsid w:val="1A4F3D3B"/>
    <w:rsid w:val="1A691A16"/>
    <w:rsid w:val="1A73C8D3"/>
    <w:rsid w:val="1A89927E"/>
    <w:rsid w:val="1AA60595"/>
    <w:rsid w:val="1AEACD5D"/>
    <w:rsid w:val="1B04CC0B"/>
    <w:rsid w:val="1B143AC6"/>
    <w:rsid w:val="1B4EFA4E"/>
    <w:rsid w:val="1B5574EA"/>
    <w:rsid w:val="1B88EAD3"/>
    <w:rsid w:val="1B95A44E"/>
    <w:rsid w:val="1BA7556F"/>
    <w:rsid w:val="1BB61E77"/>
    <w:rsid w:val="1BBBAE61"/>
    <w:rsid w:val="1BD81E03"/>
    <w:rsid w:val="1BE0F6C3"/>
    <w:rsid w:val="1BED2BBF"/>
    <w:rsid w:val="1BF41729"/>
    <w:rsid w:val="1BFA1495"/>
    <w:rsid w:val="1C33C4FB"/>
    <w:rsid w:val="1C381FAD"/>
    <w:rsid w:val="1C4CE6C0"/>
    <w:rsid w:val="1C4EBF7D"/>
    <w:rsid w:val="1C64D306"/>
    <w:rsid w:val="1C66001F"/>
    <w:rsid w:val="1C6E5FEE"/>
    <w:rsid w:val="1C7728FA"/>
    <w:rsid w:val="1C825517"/>
    <w:rsid w:val="1C835886"/>
    <w:rsid w:val="1C91EA65"/>
    <w:rsid w:val="1C98EC48"/>
    <w:rsid w:val="1CB23651"/>
    <w:rsid w:val="1CB3DA95"/>
    <w:rsid w:val="1CB3E7FA"/>
    <w:rsid w:val="1CCBF160"/>
    <w:rsid w:val="1CD26D96"/>
    <w:rsid w:val="1CD9F7BE"/>
    <w:rsid w:val="1CDD76B0"/>
    <w:rsid w:val="1CE7C51D"/>
    <w:rsid w:val="1CE8CD03"/>
    <w:rsid w:val="1CF46867"/>
    <w:rsid w:val="1D037684"/>
    <w:rsid w:val="1D047D63"/>
    <w:rsid w:val="1D071666"/>
    <w:rsid w:val="1D0768E3"/>
    <w:rsid w:val="1D1CCB87"/>
    <w:rsid w:val="1D402673"/>
    <w:rsid w:val="1D5D39CC"/>
    <w:rsid w:val="1D7F7779"/>
    <w:rsid w:val="1D7FD2F8"/>
    <w:rsid w:val="1D9521A4"/>
    <w:rsid w:val="1D99C012"/>
    <w:rsid w:val="1DB6A5CA"/>
    <w:rsid w:val="1E3AB3FD"/>
    <w:rsid w:val="1E490E32"/>
    <w:rsid w:val="1E4CCB5D"/>
    <w:rsid w:val="1E56D72C"/>
    <w:rsid w:val="1E5E1362"/>
    <w:rsid w:val="1E61784D"/>
    <w:rsid w:val="1E8F70B7"/>
    <w:rsid w:val="1EA120D8"/>
    <w:rsid w:val="1EB0421C"/>
    <w:rsid w:val="1ED4ADDB"/>
    <w:rsid w:val="1F27EE70"/>
    <w:rsid w:val="1F2B4DC2"/>
    <w:rsid w:val="1F7C7036"/>
    <w:rsid w:val="1F7DB94F"/>
    <w:rsid w:val="1FCAAC9E"/>
    <w:rsid w:val="1FD91DB0"/>
    <w:rsid w:val="1FE46D6B"/>
    <w:rsid w:val="1FF42413"/>
    <w:rsid w:val="1FF86C97"/>
    <w:rsid w:val="1FFB1448"/>
    <w:rsid w:val="1FFCD2C0"/>
    <w:rsid w:val="201EEF72"/>
    <w:rsid w:val="20268AA0"/>
    <w:rsid w:val="204C100E"/>
    <w:rsid w:val="205926F1"/>
    <w:rsid w:val="208C6485"/>
    <w:rsid w:val="209EA7CA"/>
    <w:rsid w:val="20BC6DA9"/>
    <w:rsid w:val="20C94F88"/>
    <w:rsid w:val="20C9CE95"/>
    <w:rsid w:val="20CE7FF8"/>
    <w:rsid w:val="20D27E7B"/>
    <w:rsid w:val="20E22BCE"/>
    <w:rsid w:val="20EB42F1"/>
    <w:rsid w:val="20ED5B35"/>
    <w:rsid w:val="20FA383E"/>
    <w:rsid w:val="20FD9795"/>
    <w:rsid w:val="21026E1F"/>
    <w:rsid w:val="2112DAC3"/>
    <w:rsid w:val="212AA425"/>
    <w:rsid w:val="212AB13A"/>
    <w:rsid w:val="21373194"/>
    <w:rsid w:val="21436204"/>
    <w:rsid w:val="2154C043"/>
    <w:rsid w:val="2167DE02"/>
    <w:rsid w:val="216F7312"/>
    <w:rsid w:val="21B33D77"/>
    <w:rsid w:val="21B85968"/>
    <w:rsid w:val="21BA11A6"/>
    <w:rsid w:val="21C341EB"/>
    <w:rsid w:val="21C6E388"/>
    <w:rsid w:val="21D0FDE9"/>
    <w:rsid w:val="21D29737"/>
    <w:rsid w:val="2220F58A"/>
    <w:rsid w:val="222AA133"/>
    <w:rsid w:val="2231E2F2"/>
    <w:rsid w:val="223AD0E5"/>
    <w:rsid w:val="224A3483"/>
    <w:rsid w:val="225857DD"/>
    <w:rsid w:val="22830B4F"/>
    <w:rsid w:val="22963AF0"/>
    <w:rsid w:val="229BB674"/>
    <w:rsid w:val="22A0B25F"/>
    <w:rsid w:val="22A1577A"/>
    <w:rsid w:val="22B3CA87"/>
    <w:rsid w:val="22D7BFC5"/>
    <w:rsid w:val="22E13CB6"/>
    <w:rsid w:val="22EDCE2E"/>
    <w:rsid w:val="22F4E418"/>
    <w:rsid w:val="2303F060"/>
    <w:rsid w:val="231845FF"/>
    <w:rsid w:val="2322A7FE"/>
    <w:rsid w:val="233230E3"/>
    <w:rsid w:val="23325EE1"/>
    <w:rsid w:val="23438694"/>
    <w:rsid w:val="234688A6"/>
    <w:rsid w:val="234EF559"/>
    <w:rsid w:val="2373EEDB"/>
    <w:rsid w:val="23790431"/>
    <w:rsid w:val="23839B48"/>
    <w:rsid w:val="238884D6"/>
    <w:rsid w:val="238B256D"/>
    <w:rsid w:val="2393C04D"/>
    <w:rsid w:val="239802D2"/>
    <w:rsid w:val="23B4D4B4"/>
    <w:rsid w:val="23BB0BC3"/>
    <w:rsid w:val="23C4E03D"/>
    <w:rsid w:val="23D01E06"/>
    <w:rsid w:val="23E264D0"/>
    <w:rsid w:val="24019998"/>
    <w:rsid w:val="240D40D2"/>
    <w:rsid w:val="24236046"/>
    <w:rsid w:val="2452D527"/>
    <w:rsid w:val="2497C659"/>
    <w:rsid w:val="24E9A379"/>
    <w:rsid w:val="2508C96C"/>
    <w:rsid w:val="2523DB49"/>
    <w:rsid w:val="253F7EF6"/>
    <w:rsid w:val="2556EF91"/>
    <w:rsid w:val="257497EC"/>
    <w:rsid w:val="2575F678"/>
    <w:rsid w:val="257FCAA2"/>
    <w:rsid w:val="25845C47"/>
    <w:rsid w:val="2584BF4B"/>
    <w:rsid w:val="25981728"/>
    <w:rsid w:val="25ADDFE6"/>
    <w:rsid w:val="25B3FAAE"/>
    <w:rsid w:val="25CBB3FB"/>
    <w:rsid w:val="25D5A0C7"/>
    <w:rsid w:val="25E4FF3D"/>
    <w:rsid w:val="25E83D07"/>
    <w:rsid w:val="25ECEE4D"/>
    <w:rsid w:val="25FFAB2B"/>
    <w:rsid w:val="260303E2"/>
    <w:rsid w:val="260E65B4"/>
    <w:rsid w:val="26457939"/>
    <w:rsid w:val="2653336B"/>
    <w:rsid w:val="267B3F15"/>
    <w:rsid w:val="269501E0"/>
    <w:rsid w:val="26A80914"/>
    <w:rsid w:val="26B32AC6"/>
    <w:rsid w:val="26DC9295"/>
    <w:rsid w:val="26E81B6A"/>
    <w:rsid w:val="26E8A7B9"/>
    <w:rsid w:val="26ED0D33"/>
    <w:rsid w:val="272795F8"/>
    <w:rsid w:val="27323E57"/>
    <w:rsid w:val="2733FE29"/>
    <w:rsid w:val="27398CB1"/>
    <w:rsid w:val="2762405C"/>
    <w:rsid w:val="27862127"/>
    <w:rsid w:val="2790E4FC"/>
    <w:rsid w:val="27ABE792"/>
    <w:rsid w:val="27D9F333"/>
    <w:rsid w:val="280BE280"/>
    <w:rsid w:val="2835BF26"/>
    <w:rsid w:val="283BAF80"/>
    <w:rsid w:val="283CE494"/>
    <w:rsid w:val="283E198E"/>
    <w:rsid w:val="2851696E"/>
    <w:rsid w:val="285689B4"/>
    <w:rsid w:val="285E5610"/>
    <w:rsid w:val="288273A1"/>
    <w:rsid w:val="2886108A"/>
    <w:rsid w:val="2892A801"/>
    <w:rsid w:val="28CF310A"/>
    <w:rsid w:val="28FF0942"/>
    <w:rsid w:val="29132CA6"/>
    <w:rsid w:val="2923BD55"/>
    <w:rsid w:val="2926CA80"/>
    <w:rsid w:val="292DD56D"/>
    <w:rsid w:val="29328293"/>
    <w:rsid w:val="293A043E"/>
    <w:rsid w:val="293DCEED"/>
    <w:rsid w:val="29443821"/>
    <w:rsid w:val="29527D85"/>
    <w:rsid w:val="29874A93"/>
    <w:rsid w:val="29889436"/>
    <w:rsid w:val="298D046D"/>
    <w:rsid w:val="299CF3B7"/>
    <w:rsid w:val="29C299B0"/>
    <w:rsid w:val="29C911FF"/>
    <w:rsid w:val="29CCEEFC"/>
    <w:rsid w:val="29CF3EAD"/>
    <w:rsid w:val="29E23788"/>
    <w:rsid w:val="29E4B829"/>
    <w:rsid w:val="29EAC24B"/>
    <w:rsid w:val="29EDF88B"/>
    <w:rsid w:val="29FBEF77"/>
    <w:rsid w:val="29FCBA63"/>
    <w:rsid w:val="2A0E94E0"/>
    <w:rsid w:val="2A136676"/>
    <w:rsid w:val="2A32365E"/>
    <w:rsid w:val="2A32A7D1"/>
    <w:rsid w:val="2A32BEBF"/>
    <w:rsid w:val="2A46614F"/>
    <w:rsid w:val="2A48324D"/>
    <w:rsid w:val="2A51B297"/>
    <w:rsid w:val="2A563637"/>
    <w:rsid w:val="2A571E09"/>
    <w:rsid w:val="2A7176EF"/>
    <w:rsid w:val="2A7EB07B"/>
    <w:rsid w:val="2A9922A3"/>
    <w:rsid w:val="2ABB588E"/>
    <w:rsid w:val="2AC69E49"/>
    <w:rsid w:val="2AF12E3B"/>
    <w:rsid w:val="2B119CC5"/>
    <w:rsid w:val="2B127517"/>
    <w:rsid w:val="2B15A5CD"/>
    <w:rsid w:val="2B25AC29"/>
    <w:rsid w:val="2B261A25"/>
    <w:rsid w:val="2B44EDB7"/>
    <w:rsid w:val="2B5025AC"/>
    <w:rsid w:val="2B586265"/>
    <w:rsid w:val="2B5E6F11"/>
    <w:rsid w:val="2B6676B2"/>
    <w:rsid w:val="2B66BBB4"/>
    <w:rsid w:val="2B6C2E06"/>
    <w:rsid w:val="2B8A8A77"/>
    <w:rsid w:val="2B91CC08"/>
    <w:rsid w:val="2B959D0D"/>
    <w:rsid w:val="2B9C7030"/>
    <w:rsid w:val="2BBED028"/>
    <w:rsid w:val="2BC20FBD"/>
    <w:rsid w:val="2BC8E5FD"/>
    <w:rsid w:val="2BCCF9FF"/>
    <w:rsid w:val="2BE48B92"/>
    <w:rsid w:val="2C13268D"/>
    <w:rsid w:val="2C289E20"/>
    <w:rsid w:val="2C291F63"/>
    <w:rsid w:val="2C297778"/>
    <w:rsid w:val="2C2B952D"/>
    <w:rsid w:val="2C361D76"/>
    <w:rsid w:val="2C3F9A13"/>
    <w:rsid w:val="2C4274BF"/>
    <w:rsid w:val="2C42CDB5"/>
    <w:rsid w:val="2C660000"/>
    <w:rsid w:val="2CB10282"/>
    <w:rsid w:val="2CB768EC"/>
    <w:rsid w:val="2CC5B7D3"/>
    <w:rsid w:val="2CC8FFE8"/>
    <w:rsid w:val="2CE50CE7"/>
    <w:rsid w:val="2D098226"/>
    <w:rsid w:val="2D17BD98"/>
    <w:rsid w:val="2D3A9E73"/>
    <w:rsid w:val="2D3C7DB2"/>
    <w:rsid w:val="2D489D31"/>
    <w:rsid w:val="2D61BCC0"/>
    <w:rsid w:val="2DB8C3D6"/>
    <w:rsid w:val="2E019973"/>
    <w:rsid w:val="2E1B1DAA"/>
    <w:rsid w:val="2E3594F0"/>
    <w:rsid w:val="2E36F277"/>
    <w:rsid w:val="2E4FF6EC"/>
    <w:rsid w:val="2E86DE23"/>
    <w:rsid w:val="2E88A43B"/>
    <w:rsid w:val="2E9DDB39"/>
    <w:rsid w:val="2E9E007A"/>
    <w:rsid w:val="2EA05236"/>
    <w:rsid w:val="2EA83184"/>
    <w:rsid w:val="2ECF8B93"/>
    <w:rsid w:val="2ED0FC0D"/>
    <w:rsid w:val="2EDA84F0"/>
    <w:rsid w:val="2EDD32B0"/>
    <w:rsid w:val="2EF7B5E7"/>
    <w:rsid w:val="2EFF5EEE"/>
    <w:rsid w:val="2EFF851B"/>
    <w:rsid w:val="2F514E77"/>
    <w:rsid w:val="2F5495C5"/>
    <w:rsid w:val="2F576F03"/>
    <w:rsid w:val="2F60AA2A"/>
    <w:rsid w:val="2F84E8E5"/>
    <w:rsid w:val="2FA24840"/>
    <w:rsid w:val="2FB3FC3B"/>
    <w:rsid w:val="2FC03D0C"/>
    <w:rsid w:val="2FD7FB16"/>
    <w:rsid w:val="3017E084"/>
    <w:rsid w:val="306406ED"/>
    <w:rsid w:val="3069FDF9"/>
    <w:rsid w:val="30844712"/>
    <w:rsid w:val="30B049E3"/>
    <w:rsid w:val="30C936F6"/>
    <w:rsid w:val="30E874E4"/>
    <w:rsid w:val="31152829"/>
    <w:rsid w:val="311E8127"/>
    <w:rsid w:val="312BE460"/>
    <w:rsid w:val="315A4018"/>
    <w:rsid w:val="31617416"/>
    <w:rsid w:val="316AC710"/>
    <w:rsid w:val="31718F4C"/>
    <w:rsid w:val="3172DA62"/>
    <w:rsid w:val="31796558"/>
    <w:rsid w:val="317AAFA2"/>
    <w:rsid w:val="318B1FDF"/>
    <w:rsid w:val="3191A670"/>
    <w:rsid w:val="3194C5A6"/>
    <w:rsid w:val="319F81CE"/>
    <w:rsid w:val="31AE777E"/>
    <w:rsid w:val="31B9990E"/>
    <w:rsid w:val="31CE7E2F"/>
    <w:rsid w:val="31E1A140"/>
    <w:rsid w:val="32055FA5"/>
    <w:rsid w:val="321279FB"/>
    <w:rsid w:val="3218E7FE"/>
    <w:rsid w:val="3223DCEA"/>
    <w:rsid w:val="323758F2"/>
    <w:rsid w:val="323E5725"/>
    <w:rsid w:val="325196BA"/>
    <w:rsid w:val="325BEBC1"/>
    <w:rsid w:val="32650502"/>
    <w:rsid w:val="326BE302"/>
    <w:rsid w:val="32715BB0"/>
    <w:rsid w:val="32791B5E"/>
    <w:rsid w:val="327CC3F7"/>
    <w:rsid w:val="327D63F6"/>
    <w:rsid w:val="32ADEE4E"/>
    <w:rsid w:val="32BC4CAF"/>
    <w:rsid w:val="32CDDADB"/>
    <w:rsid w:val="32D89998"/>
    <w:rsid w:val="32F66559"/>
    <w:rsid w:val="32FCECE4"/>
    <w:rsid w:val="32FF5FE8"/>
    <w:rsid w:val="33450721"/>
    <w:rsid w:val="33699FFE"/>
    <w:rsid w:val="3379B740"/>
    <w:rsid w:val="337C47E6"/>
    <w:rsid w:val="339A287A"/>
    <w:rsid w:val="33A24C65"/>
    <w:rsid w:val="33C9F63F"/>
    <w:rsid w:val="33CE446B"/>
    <w:rsid w:val="33E99107"/>
    <w:rsid w:val="33F6F971"/>
    <w:rsid w:val="33FEEE34"/>
    <w:rsid w:val="3421CB3D"/>
    <w:rsid w:val="34270597"/>
    <w:rsid w:val="34291E04"/>
    <w:rsid w:val="342EF4F1"/>
    <w:rsid w:val="34476113"/>
    <w:rsid w:val="344A25F3"/>
    <w:rsid w:val="345D606A"/>
    <w:rsid w:val="34610251"/>
    <w:rsid w:val="346120E5"/>
    <w:rsid w:val="3468DE5B"/>
    <w:rsid w:val="347E3235"/>
    <w:rsid w:val="34871722"/>
    <w:rsid w:val="3488DB6F"/>
    <w:rsid w:val="34E1EBA7"/>
    <w:rsid w:val="34FC486B"/>
    <w:rsid w:val="350F5384"/>
    <w:rsid w:val="3512F5A4"/>
    <w:rsid w:val="351CA406"/>
    <w:rsid w:val="352176F3"/>
    <w:rsid w:val="35284A0B"/>
    <w:rsid w:val="352F8D5A"/>
    <w:rsid w:val="355B72AD"/>
    <w:rsid w:val="35761F9A"/>
    <w:rsid w:val="3578B663"/>
    <w:rsid w:val="357E0FFD"/>
    <w:rsid w:val="359863E8"/>
    <w:rsid w:val="359C87AD"/>
    <w:rsid w:val="35A6CE85"/>
    <w:rsid w:val="35BF7AEB"/>
    <w:rsid w:val="35D581DB"/>
    <w:rsid w:val="35DC199E"/>
    <w:rsid w:val="35DFE352"/>
    <w:rsid w:val="364CDFD5"/>
    <w:rsid w:val="365B7CA8"/>
    <w:rsid w:val="36679BB9"/>
    <w:rsid w:val="36822CEB"/>
    <w:rsid w:val="368B2F32"/>
    <w:rsid w:val="369106F9"/>
    <w:rsid w:val="36AF1B68"/>
    <w:rsid w:val="36B1BD85"/>
    <w:rsid w:val="36C6E11F"/>
    <w:rsid w:val="36CF99BC"/>
    <w:rsid w:val="36DC9DCD"/>
    <w:rsid w:val="37158375"/>
    <w:rsid w:val="3716F964"/>
    <w:rsid w:val="372FB5FA"/>
    <w:rsid w:val="373B6593"/>
    <w:rsid w:val="3742C957"/>
    <w:rsid w:val="37662D9E"/>
    <w:rsid w:val="376CEC8E"/>
    <w:rsid w:val="376E9DBF"/>
    <w:rsid w:val="378309C8"/>
    <w:rsid w:val="37895532"/>
    <w:rsid w:val="379076D3"/>
    <w:rsid w:val="379532C6"/>
    <w:rsid w:val="37AD8B52"/>
    <w:rsid w:val="37B0DC9C"/>
    <w:rsid w:val="37B10A31"/>
    <w:rsid w:val="37C1D7E5"/>
    <w:rsid w:val="37EF4C1C"/>
    <w:rsid w:val="37F10CC4"/>
    <w:rsid w:val="37F99B9A"/>
    <w:rsid w:val="384E75D7"/>
    <w:rsid w:val="38501B6B"/>
    <w:rsid w:val="38660FC0"/>
    <w:rsid w:val="388BB345"/>
    <w:rsid w:val="3896E9A1"/>
    <w:rsid w:val="38A903E4"/>
    <w:rsid w:val="38B5F633"/>
    <w:rsid w:val="38B8A870"/>
    <w:rsid w:val="38B91AB6"/>
    <w:rsid w:val="38C8BB1C"/>
    <w:rsid w:val="38C9A61A"/>
    <w:rsid w:val="38C9F443"/>
    <w:rsid w:val="38E31C19"/>
    <w:rsid w:val="38E9B27B"/>
    <w:rsid w:val="38EB4313"/>
    <w:rsid w:val="38EF0F13"/>
    <w:rsid w:val="3902625E"/>
    <w:rsid w:val="39032CC4"/>
    <w:rsid w:val="390B5584"/>
    <w:rsid w:val="39117D6A"/>
    <w:rsid w:val="391647DD"/>
    <w:rsid w:val="3932B4FF"/>
    <w:rsid w:val="3955A633"/>
    <w:rsid w:val="3960C63D"/>
    <w:rsid w:val="39680435"/>
    <w:rsid w:val="3989222D"/>
    <w:rsid w:val="39A796D1"/>
    <w:rsid w:val="39BB1D6D"/>
    <w:rsid w:val="39CF7A13"/>
    <w:rsid w:val="39DBB54B"/>
    <w:rsid w:val="39EF1B53"/>
    <w:rsid w:val="39F4875E"/>
    <w:rsid w:val="3A23991B"/>
    <w:rsid w:val="3A360636"/>
    <w:rsid w:val="3A4A263B"/>
    <w:rsid w:val="3A4A774A"/>
    <w:rsid w:val="3A4B43B5"/>
    <w:rsid w:val="3A51BCB3"/>
    <w:rsid w:val="3A5FB6E8"/>
    <w:rsid w:val="3A720B3C"/>
    <w:rsid w:val="3A73B477"/>
    <w:rsid w:val="3A813997"/>
    <w:rsid w:val="3A8FBF59"/>
    <w:rsid w:val="3AC8443B"/>
    <w:rsid w:val="3AD7E058"/>
    <w:rsid w:val="3AD8BD09"/>
    <w:rsid w:val="3ADDC833"/>
    <w:rsid w:val="3AE709A1"/>
    <w:rsid w:val="3AF37E96"/>
    <w:rsid w:val="3AF3E47A"/>
    <w:rsid w:val="3AFC00BA"/>
    <w:rsid w:val="3B161554"/>
    <w:rsid w:val="3B1CBD4A"/>
    <w:rsid w:val="3B3C794C"/>
    <w:rsid w:val="3B3D3D97"/>
    <w:rsid w:val="3B4342DB"/>
    <w:rsid w:val="3B480FE0"/>
    <w:rsid w:val="3B4B82C4"/>
    <w:rsid w:val="3B4BE1AB"/>
    <w:rsid w:val="3B534F66"/>
    <w:rsid w:val="3B65FF8E"/>
    <w:rsid w:val="3B740360"/>
    <w:rsid w:val="3B94E06B"/>
    <w:rsid w:val="3B9F1D9D"/>
    <w:rsid w:val="3BB7F588"/>
    <w:rsid w:val="3BC86558"/>
    <w:rsid w:val="3BFB24FC"/>
    <w:rsid w:val="3C074374"/>
    <w:rsid w:val="3C275C46"/>
    <w:rsid w:val="3C382702"/>
    <w:rsid w:val="3C43C160"/>
    <w:rsid w:val="3C44ACD0"/>
    <w:rsid w:val="3C48C73A"/>
    <w:rsid w:val="3C580A91"/>
    <w:rsid w:val="3C5D1A54"/>
    <w:rsid w:val="3C8449CC"/>
    <w:rsid w:val="3CA87E61"/>
    <w:rsid w:val="3CAEF2B1"/>
    <w:rsid w:val="3CB34B89"/>
    <w:rsid w:val="3CBDAE14"/>
    <w:rsid w:val="3CD7FB3C"/>
    <w:rsid w:val="3CE6B660"/>
    <w:rsid w:val="3CEDDB05"/>
    <w:rsid w:val="3CF830F8"/>
    <w:rsid w:val="3CF9035F"/>
    <w:rsid w:val="3CFCDFEA"/>
    <w:rsid w:val="3D139FE0"/>
    <w:rsid w:val="3D20257A"/>
    <w:rsid w:val="3D24F88D"/>
    <w:rsid w:val="3D2C1C2C"/>
    <w:rsid w:val="3D30D81A"/>
    <w:rsid w:val="3D361DA6"/>
    <w:rsid w:val="3D3EDDB0"/>
    <w:rsid w:val="3D431149"/>
    <w:rsid w:val="3D45C62D"/>
    <w:rsid w:val="3D58DB11"/>
    <w:rsid w:val="3D7DDB17"/>
    <w:rsid w:val="3D7DE62D"/>
    <w:rsid w:val="3D83779E"/>
    <w:rsid w:val="3D8F0865"/>
    <w:rsid w:val="3D9D94C2"/>
    <w:rsid w:val="3D9DA3DD"/>
    <w:rsid w:val="3DC6CEA4"/>
    <w:rsid w:val="3E034805"/>
    <w:rsid w:val="3E0A024F"/>
    <w:rsid w:val="3E42A95B"/>
    <w:rsid w:val="3E4939B5"/>
    <w:rsid w:val="3E540B8D"/>
    <w:rsid w:val="3E64CEB1"/>
    <w:rsid w:val="3E6A695B"/>
    <w:rsid w:val="3E6C16AE"/>
    <w:rsid w:val="3E870AE2"/>
    <w:rsid w:val="3E89E041"/>
    <w:rsid w:val="3E8EA542"/>
    <w:rsid w:val="3EBD8A15"/>
    <w:rsid w:val="3EE14771"/>
    <w:rsid w:val="3EE58C58"/>
    <w:rsid w:val="3EE6E08B"/>
    <w:rsid w:val="3EEA018F"/>
    <w:rsid w:val="3EF66FD5"/>
    <w:rsid w:val="3EFE7D76"/>
    <w:rsid w:val="3F0332C1"/>
    <w:rsid w:val="3F0EE682"/>
    <w:rsid w:val="3F243700"/>
    <w:rsid w:val="3F36324C"/>
    <w:rsid w:val="3F3BBFCC"/>
    <w:rsid w:val="3F5103AA"/>
    <w:rsid w:val="3F74445A"/>
    <w:rsid w:val="3F94E805"/>
    <w:rsid w:val="3F9B359D"/>
    <w:rsid w:val="3F9E3EDD"/>
    <w:rsid w:val="3FA83D03"/>
    <w:rsid w:val="3FD50591"/>
    <w:rsid w:val="3FD9F841"/>
    <w:rsid w:val="3FDD4225"/>
    <w:rsid w:val="4000BCB9"/>
    <w:rsid w:val="4005D56C"/>
    <w:rsid w:val="4005FB48"/>
    <w:rsid w:val="40174D0F"/>
    <w:rsid w:val="4018CFDD"/>
    <w:rsid w:val="40503923"/>
    <w:rsid w:val="40762F26"/>
    <w:rsid w:val="407B9D9A"/>
    <w:rsid w:val="409BC69E"/>
    <w:rsid w:val="40ADE049"/>
    <w:rsid w:val="40BE161D"/>
    <w:rsid w:val="40FA9CD8"/>
    <w:rsid w:val="410DDC0E"/>
    <w:rsid w:val="4111C097"/>
    <w:rsid w:val="411AFE86"/>
    <w:rsid w:val="4129D6CD"/>
    <w:rsid w:val="4139D7C4"/>
    <w:rsid w:val="413FD5E9"/>
    <w:rsid w:val="4142BE52"/>
    <w:rsid w:val="4148507C"/>
    <w:rsid w:val="4148786E"/>
    <w:rsid w:val="414E8DE3"/>
    <w:rsid w:val="415580F2"/>
    <w:rsid w:val="416A2638"/>
    <w:rsid w:val="41876DAE"/>
    <w:rsid w:val="41D3407A"/>
    <w:rsid w:val="41E0AD12"/>
    <w:rsid w:val="41FB0F51"/>
    <w:rsid w:val="420F3D61"/>
    <w:rsid w:val="420F879F"/>
    <w:rsid w:val="422EFAC0"/>
    <w:rsid w:val="422F4846"/>
    <w:rsid w:val="423357B7"/>
    <w:rsid w:val="4237F32E"/>
    <w:rsid w:val="42577F63"/>
    <w:rsid w:val="425A11C3"/>
    <w:rsid w:val="4267E3ED"/>
    <w:rsid w:val="427BFF6E"/>
    <w:rsid w:val="42865902"/>
    <w:rsid w:val="428ED30C"/>
    <w:rsid w:val="4297E2E4"/>
    <w:rsid w:val="42CA2D4A"/>
    <w:rsid w:val="431DED12"/>
    <w:rsid w:val="432180E6"/>
    <w:rsid w:val="4347DFED"/>
    <w:rsid w:val="435D60D4"/>
    <w:rsid w:val="436CE28F"/>
    <w:rsid w:val="4384E3D3"/>
    <w:rsid w:val="43B9A1C2"/>
    <w:rsid w:val="43D7F077"/>
    <w:rsid w:val="43F3C8AD"/>
    <w:rsid w:val="440246F2"/>
    <w:rsid w:val="440D3824"/>
    <w:rsid w:val="44194187"/>
    <w:rsid w:val="4420EDB4"/>
    <w:rsid w:val="44224EA3"/>
    <w:rsid w:val="442FA466"/>
    <w:rsid w:val="4436679D"/>
    <w:rsid w:val="4448AAD5"/>
    <w:rsid w:val="44581C6C"/>
    <w:rsid w:val="448F82F6"/>
    <w:rsid w:val="4493EE16"/>
    <w:rsid w:val="44952ECB"/>
    <w:rsid w:val="449A45D2"/>
    <w:rsid w:val="44B00512"/>
    <w:rsid w:val="44B05328"/>
    <w:rsid w:val="44BCED69"/>
    <w:rsid w:val="44C2B2D6"/>
    <w:rsid w:val="44DA7AF9"/>
    <w:rsid w:val="44E231AE"/>
    <w:rsid w:val="44ECEAF9"/>
    <w:rsid w:val="44FED23B"/>
    <w:rsid w:val="450583D8"/>
    <w:rsid w:val="45199687"/>
    <w:rsid w:val="4525ED83"/>
    <w:rsid w:val="452B01BB"/>
    <w:rsid w:val="452E590B"/>
    <w:rsid w:val="45559088"/>
    <w:rsid w:val="4555CBBD"/>
    <w:rsid w:val="4582900D"/>
    <w:rsid w:val="45AA518F"/>
    <w:rsid w:val="45B5B3C0"/>
    <w:rsid w:val="45D60CAA"/>
    <w:rsid w:val="45EA3D6C"/>
    <w:rsid w:val="4621B142"/>
    <w:rsid w:val="463D1DE2"/>
    <w:rsid w:val="4674232C"/>
    <w:rsid w:val="4674600A"/>
    <w:rsid w:val="467A7A8F"/>
    <w:rsid w:val="468EC17D"/>
    <w:rsid w:val="4698DAFF"/>
    <w:rsid w:val="470F54A2"/>
    <w:rsid w:val="47196C73"/>
    <w:rsid w:val="473DD081"/>
    <w:rsid w:val="4752A49D"/>
    <w:rsid w:val="47539A50"/>
    <w:rsid w:val="476678BE"/>
    <w:rsid w:val="4768D3CF"/>
    <w:rsid w:val="476E7A2A"/>
    <w:rsid w:val="477B9E4C"/>
    <w:rsid w:val="4786E41B"/>
    <w:rsid w:val="478794AE"/>
    <w:rsid w:val="47963020"/>
    <w:rsid w:val="47BB865B"/>
    <w:rsid w:val="47D349C5"/>
    <w:rsid w:val="47D97E9F"/>
    <w:rsid w:val="47E45ECA"/>
    <w:rsid w:val="47E6E930"/>
    <w:rsid w:val="47ECCDD8"/>
    <w:rsid w:val="4805C8FC"/>
    <w:rsid w:val="48091AEA"/>
    <w:rsid w:val="48148DD2"/>
    <w:rsid w:val="4818F2B5"/>
    <w:rsid w:val="481B507C"/>
    <w:rsid w:val="4825C5E1"/>
    <w:rsid w:val="4838154D"/>
    <w:rsid w:val="48617A68"/>
    <w:rsid w:val="4866B800"/>
    <w:rsid w:val="4899FDE5"/>
    <w:rsid w:val="489A7D06"/>
    <w:rsid w:val="489FB928"/>
    <w:rsid w:val="48A5B998"/>
    <w:rsid w:val="48B9EBAA"/>
    <w:rsid w:val="48C8843A"/>
    <w:rsid w:val="48E580B1"/>
    <w:rsid w:val="48F91C4A"/>
    <w:rsid w:val="48FFA43E"/>
    <w:rsid w:val="491FC829"/>
    <w:rsid w:val="492C1BBA"/>
    <w:rsid w:val="492D2444"/>
    <w:rsid w:val="493AD681"/>
    <w:rsid w:val="49604FC4"/>
    <w:rsid w:val="4998F652"/>
    <w:rsid w:val="49A3D1D9"/>
    <w:rsid w:val="49AABEBF"/>
    <w:rsid w:val="49BF317F"/>
    <w:rsid w:val="49DB767E"/>
    <w:rsid w:val="49DC7DE6"/>
    <w:rsid w:val="4A0AD77D"/>
    <w:rsid w:val="4A0BDBE8"/>
    <w:rsid w:val="4A1248BA"/>
    <w:rsid w:val="4A12C3A8"/>
    <w:rsid w:val="4A226F87"/>
    <w:rsid w:val="4A35EB5D"/>
    <w:rsid w:val="4A3C3998"/>
    <w:rsid w:val="4A4D43C2"/>
    <w:rsid w:val="4A6FCD80"/>
    <w:rsid w:val="4A7323F1"/>
    <w:rsid w:val="4A8945F7"/>
    <w:rsid w:val="4AA3566A"/>
    <w:rsid w:val="4AA42F8D"/>
    <w:rsid w:val="4ABA10AB"/>
    <w:rsid w:val="4ACBF9AA"/>
    <w:rsid w:val="4AFDC17A"/>
    <w:rsid w:val="4B1473F1"/>
    <w:rsid w:val="4B21D702"/>
    <w:rsid w:val="4B43EC7B"/>
    <w:rsid w:val="4B4B226B"/>
    <w:rsid w:val="4B4B47D5"/>
    <w:rsid w:val="4B602155"/>
    <w:rsid w:val="4B905182"/>
    <w:rsid w:val="4B9DEECB"/>
    <w:rsid w:val="4BAA1DE7"/>
    <w:rsid w:val="4BC57C00"/>
    <w:rsid w:val="4C058BD4"/>
    <w:rsid w:val="4C094C0A"/>
    <w:rsid w:val="4C15C920"/>
    <w:rsid w:val="4C26910B"/>
    <w:rsid w:val="4C29A65A"/>
    <w:rsid w:val="4C33BED6"/>
    <w:rsid w:val="4C3D1438"/>
    <w:rsid w:val="4C50A3DD"/>
    <w:rsid w:val="4C733A6B"/>
    <w:rsid w:val="4C7FE4EB"/>
    <w:rsid w:val="4C9A9984"/>
    <w:rsid w:val="4C9B83D0"/>
    <w:rsid w:val="4CC103F8"/>
    <w:rsid w:val="4CC1B7FF"/>
    <w:rsid w:val="4CC4C157"/>
    <w:rsid w:val="4CD74819"/>
    <w:rsid w:val="4CEFC3FD"/>
    <w:rsid w:val="4CF54849"/>
    <w:rsid w:val="4CFA8D5E"/>
    <w:rsid w:val="4D0E6B18"/>
    <w:rsid w:val="4D0ED920"/>
    <w:rsid w:val="4D461AED"/>
    <w:rsid w:val="4D4A100E"/>
    <w:rsid w:val="4D4F8CCE"/>
    <w:rsid w:val="4D5B2EC8"/>
    <w:rsid w:val="4D6F1D86"/>
    <w:rsid w:val="4D821554"/>
    <w:rsid w:val="4D8ED8AC"/>
    <w:rsid w:val="4DB2DCE9"/>
    <w:rsid w:val="4DB6CEA4"/>
    <w:rsid w:val="4DB9A9D6"/>
    <w:rsid w:val="4DBC9E07"/>
    <w:rsid w:val="4DCB29CD"/>
    <w:rsid w:val="4DF1FB84"/>
    <w:rsid w:val="4DF4DE1E"/>
    <w:rsid w:val="4DF69CA7"/>
    <w:rsid w:val="4E2E49EE"/>
    <w:rsid w:val="4E374569"/>
    <w:rsid w:val="4E643511"/>
    <w:rsid w:val="4E6D7588"/>
    <w:rsid w:val="4EA4C461"/>
    <w:rsid w:val="4EB5074A"/>
    <w:rsid w:val="4EBDFDA5"/>
    <w:rsid w:val="4EDCA2F0"/>
    <w:rsid w:val="4EDCAED1"/>
    <w:rsid w:val="4EEBBAAB"/>
    <w:rsid w:val="4F001026"/>
    <w:rsid w:val="4F2E340F"/>
    <w:rsid w:val="4F2EF529"/>
    <w:rsid w:val="4F33333A"/>
    <w:rsid w:val="4F436F12"/>
    <w:rsid w:val="4F575FB4"/>
    <w:rsid w:val="4F5E858C"/>
    <w:rsid w:val="4F6B2B7E"/>
    <w:rsid w:val="4F73C9DF"/>
    <w:rsid w:val="4F81481F"/>
    <w:rsid w:val="4F9161FF"/>
    <w:rsid w:val="4FAD851E"/>
    <w:rsid w:val="4FADE34C"/>
    <w:rsid w:val="4FB06E2E"/>
    <w:rsid w:val="4FB7186E"/>
    <w:rsid w:val="4FC006E4"/>
    <w:rsid w:val="4FD8BB09"/>
    <w:rsid w:val="4FDD0CE7"/>
    <w:rsid w:val="4FE888E5"/>
    <w:rsid w:val="4FEEE3EF"/>
    <w:rsid w:val="4FF22C1C"/>
    <w:rsid w:val="50384218"/>
    <w:rsid w:val="50523953"/>
    <w:rsid w:val="505529FB"/>
    <w:rsid w:val="50561562"/>
    <w:rsid w:val="5056A592"/>
    <w:rsid w:val="50AE099E"/>
    <w:rsid w:val="50B9D27E"/>
    <w:rsid w:val="50CB156A"/>
    <w:rsid w:val="50CB74B6"/>
    <w:rsid w:val="51246B11"/>
    <w:rsid w:val="5126E7BE"/>
    <w:rsid w:val="513C4AAB"/>
    <w:rsid w:val="514D9697"/>
    <w:rsid w:val="51530EBE"/>
    <w:rsid w:val="51538694"/>
    <w:rsid w:val="515DADD3"/>
    <w:rsid w:val="516AFCF8"/>
    <w:rsid w:val="51789DF5"/>
    <w:rsid w:val="51A3D552"/>
    <w:rsid w:val="51BDB884"/>
    <w:rsid w:val="51C3884E"/>
    <w:rsid w:val="51DA6957"/>
    <w:rsid w:val="51E563A5"/>
    <w:rsid w:val="5200CBA5"/>
    <w:rsid w:val="520D465B"/>
    <w:rsid w:val="520D768D"/>
    <w:rsid w:val="5244B7A4"/>
    <w:rsid w:val="52727CEA"/>
    <w:rsid w:val="52883F4D"/>
    <w:rsid w:val="52A3F945"/>
    <w:rsid w:val="52AA7BE2"/>
    <w:rsid w:val="52AE7D2B"/>
    <w:rsid w:val="52D195E4"/>
    <w:rsid w:val="52DD2F2E"/>
    <w:rsid w:val="52F16CE4"/>
    <w:rsid w:val="52F537C8"/>
    <w:rsid w:val="52F5BCC3"/>
    <w:rsid w:val="530386A8"/>
    <w:rsid w:val="530BABDD"/>
    <w:rsid w:val="530F6C4D"/>
    <w:rsid w:val="533CE083"/>
    <w:rsid w:val="533DE559"/>
    <w:rsid w:val="5345D319"/>
    <w:rsid w:val="53516F2D"/>
    <w:rsid w:val="53522BFF"/>
    <w:rsid w:val="53756406"/>
    <w:rsid w:val="53796508"/>
    <w:rsid w:val="5385E5A2"/>
    <w:rsid w:val="5393D11F"/>
    <w:rsid w:val="53978E54"/>
    <w:rsid w:val="53A6604A"/>
    <w:rsid w:val="53D669F8"/>
    <w:rsid w:val="53D76F2B"/>
    <w:rsid w:val="53EB2B06"/>
    <w:rsid w:val="53FB9EE3"/>
    <w:rsid w:val="5415D4B1"/>
    <w:rsid w:val="541C2CC0"/>
    <w:rsid w:val="542F570F"/>
    <w:rsid w:val="545BAF60"/>
    <w:rsid w:val="545C0BD3"/>
    <w:rsid w:val="54750A1B"/>
    <w:rsid w:val="5481AE9C"/>
    <w:rsid w:val="548930C7"/>
    <w:rsid w:val="54A221FD"/>
    <w:rsid w:val="54A78070"/>
    <w:rsid w:val="54AE45E8"/>
    <w:rsid w:val="54CF77F4"/>
    <w:rsid w:val="54D78113"/>
    <w:rsid w:val="54D8F4A7"/>
    <w:rsid w:val="54DFF70E"/>
    <w:rsid w:val="54EDEC75"/>
    <w:rsid w:val="54F44A19"/>
    <w:rsid w:val="54FBB996"/>
    <w:rsid w:val="55035D89"/>
    <w:rsid w:val="5511F9C0"/>
    <w:rsid w:val="5523B4B4"/>
    <w:rsid w:val="5527C536"/>
    <w:rsid w:val="552EADFB"/>
    <w:rsid w:val="5544C046"/>
    <w:rsid w:val="55550CD4"/>
    <w:rsid w:val="558052B2"/>
    <w:rsid w:val="55D6B1DA"/>
    <w:rsid w:val="5605BE4E"/>
    <w:rsid w:val="5606C923"/>
    <w:rsid w:val="560C85AF"/>
    <w:rsid w:val="5628148D"/>
    <w:rsid w:val="56479D53"/>
    <w:rsid w:val="56533CF8"/>
    <w:rsid w:val="56548EC1"/>
    <w:rsid w:val="5678CFBB"/>
    <w:rsid w:val="569CE595"/>
    <w:rsid w:val="569E469F"/>
    <w:rsid w:val="56B3BF97"/>
    <w:rsid w:val="56D74FAD"/>
    <w:rsid w:val="56DE1A4B"/>
    <w:rsid w:val="56FE7454"/>
    <w:rsid w:val="570D4408"/>
    <w:rsid w:val="5711AA07"/>
    <w:rsid w:val="57155D3E"/>
    <w:rsid w:val="5735A0D4"/>
    <w:rsid w:val="573788B4"/>
    <w:rsid w:val="5743A628"/>
    <w:rsid w:val="5745EB7E"/>
    <w:rsid w:val="5776B8E6"/>
    <w:rsid w:val="578807BB"/>
    <w:rsid w:val="57CD6D47"/>
    <w:rsid w:val="57E51634"/>
    <w:rsid w:val="57F6737A"/>
    <w:rsid w:val="581828EA"/>
    <w:rsid w:val="58228460"/>
    <w:rsid w:val="58362BEF"/>
    <w:rsid w:val="585314C6"/>
    <w:rsid w:val="5853CBEE"/>
    <w:rsid w:val="58825FA4"/>
    <w:rsid w:val="589A4F5D"/>
    <w:rsid w:val="589A735B"/>
    <w:rsid w:val="589EECF6"/>
    <w:rsid w:val="58A19231"/>
    <w:rsid w:val="58C36BCC"/>
    <w:rsid w:val="58C6C3C7"/>
    <w:rsid w:val="58DEEEC1"/>
    <w:rsid w:val="58EBBBBA"/>
    <w:rsid w:val="58F30B9D"/>
    <w:rsid w:val="58F84436"/>
    <w:rsid w:val="58F9F5FA"/>
    <w:rsid w:val="5901CEF4"/>
    <w:rsid w:val="590E1360"/>
    <w:rsid w:val="591132E3"/>
    <w:rsid w:val="592B5936"/>
    <w:rsid w:val="59793FA5"/>
    <w:rsid w:val="59802A59"/>
    <w:rsid w:val="598B80CE"/>
    <w:rsid w:val="5992B3A5"/>
    <w:rsid w:val="59A29C40"/>
    <w:rsid w:val="59C44D75"/>
    <w:rsid w:val="59D11D8C"/>
    <w:rsid w:val="59DA7B00"/>
    <w:rsid w:val="59FC7853"/>
    <w:rsid w:val="5A097503"/>
    <w:rsid w:val="5A1294EA"/>
    <w:rsid w:val="5A14F315"/>
    <w:rsid w:val="5A8483E5"/>
    <w:rsid w:val="5A95AACB"/>
    <w:rsid w:val="5A98B35A"/>
    <w:rsid w:val="5AAA4262"/>
    <w:rsid w:val="5ACAE8B8"/>
    <w:rsid w:val="5AE50D0E"/>
    <w:rsid w:val="5B2D3E0E"/>
    <w:rsid w:val="5B3E7753"/>
    <w:rsid w:val="5B477698"/>
    <w:rsid w:val="5B4E17BA"/>
    <w:rsid w:val="5B5C864E"/>
    <w:rsid w:val="5B9D4A38"/>
    <w:rsid w:val="5BA3494A"/>
    <w:rsid w:val="5BAA38BF"/>
    <w:rsid w:val="5BB43000"/>
    <w:rsid w:val="5BB84D4B"/>
    <w:rsid w:val="5BB87AE9"/>
    <w:rsid w:val="5BC781E9"/>
    <w:rsid w:val="5BCAFF85"/>
    <w:rsid w:val="5BE1A42A"/>
    <w:rsid w:val="5BF84296"/>
    <w:rsid w:val="5BFBCC66"/>
    <w:rsid w:val="5C0938FE"/>
    <w:rsid w:val="5C18F274"/>
    <w:rsid w:val="5C324411"/>
    <w:rsid w:val="5C351D5A"/>
    <w:rsid w:val="5C524E8C"/>
    <w:rsid w:val="5C5C2617"/>
    <w:rsid w:val="5C6BB673"/>
    <w:rsid w:val="5C8354A5"/>
    <w:rsid w:val="5C86E2C7"/>
    <w:rsid w:val="5C898EF3"/>
    <w:rsid w:val="5CA7F3E4"/>
    <w:rsid w:val="5CABD016"/>
    <w:rsid w:val="5CABF29E"/>
    <w:rsid w:val="5CC823D3"/>
    <w:rsid w:val="5CC89533"/>
    <w:rsid w:val="5CD1752F"/>
    <w:rsid w:val="5CFA1612"/>
    <w:rsid w:val="5D0F3B7A"/>
    <w:rsid w:val="5D1A3506"/>
    <w:rsid w:val="5D20EBFE"/>
    <w:rsid w:val="5D4F1AA1"/>
    <w:rsid w:val="5D5919A3"/>
    <w:rsid w:val="5D60ACE3"/>
    <w:rsid w:val="5D623FF1"/>
    <w:rsid w:val="5D6A68EF"/>
    <w:rsid w:val="5D7650DA"/>
    <w:rsid w:val="5D790894"/>
    <w:rsid w:val="5D9538B0"/>
    <w:rsid w:val="5DB955E1"/>
    <w:rsid w:val="5DC993FE"/>
    <w:rsid w:val="5DD7B47F"/>
    <w:rsid w:val="5DEA8A28"/>
    <w:rsid w:val="5DF56357"/>
    <w:rsid w:val="5DF8BB7D"/>
    <w:rsid w:val="5E0F01D6"/>
    <w:rsid w:val="5E23B00E"/>
    <w:rsid w:val="5E342405"/>
    <w:rsid w:val="5E540812"/>
    <w:rsid w:val="5E80EF50"/>
    <w:rsid w:val="5E86C699"/>
    <w:rsid w:val="5EABC9C3"/>
    <w:rsid w:val="5EB88DB5"/>
    <w:rsid w:val="5ED8DDC6"/>
    <w:rsid w:val="5EE097C0"/>
    <w:rsid w:val="5EEFDC0C"/>
    <w:rsid w:val="5F023C21"/>
    <w:rsid w:val="5F12D1C0"/>
    <w:rsid w:val="5F16725E"/>
    <w:rsid w:val="5F227E23"/>
    <w:rsid w:val="5F3E4AF2"/>
    <w:rsid w:val="5F417D23"/>
    <w:rsid w:val="5F577981"/>
    <w:rsid w:val="5F6D88D9"/>
    <w:rsid w:val="5F80910D"/>
    <w:rsid w:val="5FA0AF85"/>
    <w:rsid w:val="5FC7B2C5"/>
    <w:rsid w:val="5FCCBD55"/>
    <w:rsid w:val="5FDDAB79"/>
    <w:rsid w:val="5FF3B4B6"/>
    <w:rsid w:val="5FFCC9C0"/>
    <w:rsid w:val="603416F4"/>
    <w:rsid w:val="6043011B"/>
    <w:rsid w:val="604ABB8B"/>
    <w:rsid w:val="605A8849"/>
    <w:rsid w:val="60831A63"/>
    <w:rsid w:val="6083A7E2"/>
    <w:rsid w:val="608E5AE2"/>
    <w:rsid w:val="6091E9F5"/>
    <w:rsid w:val="60934615"/>
    <w:rsid w:val="60937DB2"/>
    <w:rsid w:val="6093F986"/>
    <w:rsid w:val="60A1F9C0"/>
    <w:rsid w:val="60A3FFFA"/>
    <w:rsid w:val="60A5719B"/>
    <w:rsid w:val="60CA90F4"/>
    <w:rsid w:val="60E1940F"/>
    <w:rsid w:val="611BC9E6"/>
    <w:rsid w:val="613D5399"/>
    <w:rsid w:val="6168154E"/>
    <w:rsid w:val="61714A01"/>
    <w:rsid w:val="61A61BA4"/>
    <w:rsid w:val="61ADACD7"/>
    <w:rsid w:val="61B33639"/>
    <w:rsid w:val="61C5780D"/>
    <w:rsid w:val="61C62A75"/>
    <w:rsid w:val="61CC2F5B"/>
    <w:rsid w:val="61D23838"/>
    <w:rsid w:val="61E291A6"/>
    <w:rsid w:val="61EE2513"/>
    <w:rsid w:val="61F95314"/>
    <w:rsid w:val="620AA55B"/>
    <w:rsid w:val="621A0894"/>
    <w:rsid w:val="6231BF9B"/>
    <w:rsid w:val="6235377F"/>
    <w:rsid w:val="623C8B4F"/>
    <w:rsid w:val="624C3340"/>
    <w:rsid w:val="624F0D20"/>
    <w:rsid w:val="62756193"/>
    <w:rsid w:val="627ECCE3"/>
    <w:rsid w:val="62814CC4"/>
    <w:rsid w:val="628AAAB2"/>
    <w:rsid w:val="62938FBC"/>
    <w:rsid w:val="62AAD2C2"/>
    <w:rsid w:val="62AC3B25"/>
    <w:rsid w:val="62B21D27"/>
    <w:rsid w:val="62B49BFF"/>
    <w:rsid w:val="62C1617E"/>
    <w:rsid w:val="62D66714"/>
    <w:rsid w:val="62E42240"/>
    <w:rsid w:val="62EA9FA6"/>
    <w:rsid w:val="62EC9008"/>
    <w:rsid w:val="62EF324C"/>
    <w:rsid w:val="62FEF5B3"/>
    <w:rsid w:val="631E1D0B"/>
    <w:rsid w:val="63234974"/>
    <w:rsid w:val="63277D6E"/>
    <w:rsid w:val="632CCD4A"/>
    <w:rsid w:val="632FED5E"/>
    <w:rsid w:val="63418468"/>
    <w:rsid w:val="636232B5"/>
    <w:rsid w:val="63658634"/>
    <w:rsid w:val="6386B1AF"/>
    <w:rsid w:val="6388FA7D"/>
    <w:rsid w:val="638EFEAF"/>
    <w:rsid w:val="639310B1"/>
    <w:rsid w:val="63A40D7F"/>
    <w:rsid w:val="63AA645D"/>
    <w:rsid w:val="63B51913"/>
    <w:rsid w:val="63B8EF38"/>
    <w:rsid w:val="63CFBF41"/>
    <w:rsid w:val="63D084C4"/>
    <w:rsid w:val="63D21324"/>
    <w:rsid w:val="63D9D711"/>
    <w:rsid w:val="63DD54FB"/>
    <w:rsid w:val="63E6C77F"/>
    <w:rsid w:val="643A2487"/>
    <w:rsid w:val="643B6B4E"/>
    <w:rsid w:val="6455CFF6"/>
    <w:rsid w:val="64936316"/>
    <w:rsid w:val="649C6847"/>
    <w:rsid w:val="64BBA0C2"/>
    <w:rsid w:val="64DB4F17"/>
    <w:rsid w:val="650339D1"/>
    <w:rsid w:val="65044FEC"/>
    <w:rsid w:val="6504811A"/>
    <w:rsid w:val="650F053B"/>
    <w:rsid w:val="652EC7C6"/>
    <w:rsid w:val="6545D9F0"/>
    <w:rsid w:val="6559D5B5"/>
    <w:rsid w:val="6565CD86"/>
    <w:rsid w:val="656F8203"/>
    <w:rsid w:val="65740BF4"/>
    <w:rsid w:val="65744560"/>
    <w:rsid w:val="65782894"/>
    <w:rsid w:val="6578F6F4"/>
    <w:rsid w:val="657F54B1"/>
    <w:rsid w:val="6586661B"/>
    <w:rsid w:val="6593E389"/>
    <w:rsid w:val="65956F81"/>
    <w:rsid w:val="659F3CEF"/>
    <w:rsid w:val="65A345DC"/>
    <w:rsid w:val="65A7A975"/>
    <w:rsid w:val="65B0071E"/>
    <w:rsid w:val="65FB79CA"/>
    <w:rsid w:val="66093FB1"/>
    <w:rsid w:val="661969CD"/>
    <w:rsid w:val="661B6944"/>
    <w:rsid w:val="662DCA09"/>
    <w:rsid w:val="6630121E"/>
    <w:rsid w:val="66349248"/>
    <w:rsid w:val="66416371"/>
    <w:rsid w:val="664A9A51"/>
    <w:rsid w:val="665E72CD"/>
    <w:rsid w:val="6688313E"/>
    <w:rsid w:val="66C135B7"/>
    <w:rsid w:val="66D838A3"/>
    <w:rsid w:val="66E14BEF"/>
    <w:rsid w:val="66E87197"/>
    <w:rsid w:val="66F315CD"/>
    <w:rsid w:val="66FADF33"/>
    <w:rsid w:val="6707E84B"/>
    <w:rsid w:val="672CF884"/>
    <w:rsid w:val="673E5B02"/>
    <w:rsid w:val="673F0FFE"/>
    <w:rsid w:val="6768F7E0"/>
    <w:rsid w:val="6780DB7C"/>
    <w:rsid w:val="679800FC"/>
    <w:rsid w:val="679E667E"/>
    <w:rsid w:val="67B72461"/>
    <w:rsid w:val="67B9FE34"/>
    <w:rsid w:val="67C0D958"/>
    <w:rsid w:val="67C3AD93"/>
    <w:rsid w:val="682919A6"/>
    <w:rsid w:val="682DE0BC"/>
    <w:rsid w:val="6837FC11"/>
    <w:rsid w:val="68446B89"/>
    <w:rsid w:val="684B4F9C"/>
    <w:rsid w:val="686997A4"/>
    <w:rsid w:val="687B6D9E"/>
    <w:rsid w:val="688478B4"/>
    <w:rsid w:val="68ABF5A4"/>
    <w:rsid w:val="68B0843B"/>
    <w:rsid w:val="68C3BE5F"/>
    <w:rsid w:val="68DC0C4C"/>
    <w:rsid w:val="68E2275E"/>
    <w:rsid w:val="68F34503"/>
    <w:rsid w:val="691141CD"/>
    <w:rsid w:val="6914AAE2"/>
    <w:rsid w:val="691829EA"/>
    <w:rsid w:val="692FB6B5"/>
    <w:rsid w:val="693F633A"/>
    <w:rsid w:val="696E2F6F"/>
    <w:rsid w:val="698B3C17"/>
    <w:rsid w:val="69A8CB06"/>
    <w:rsid w:val="69B1FAD8"/>
    <w:rsid w:val="69CACE14"/>
    <w:rsid w:val="69DD21B6"/>
    <w:rsid w:val="69EFB22A"/>
    <w:rsid w:val="69F2EE3B"/>
    <w:rsid w:val="6A2342B4"/>
    <w:rsid w:val="6A2F4915"/>
    <w:rsid w:val="6A436E6A"/>
    <w:rsid w:val="6A551AF0"/>
    <w:rsid w:val="6A865512"/>
    <w:rsid w:val="6A937DBB"/>
    <w:rsid w:val="6A9ACC06"/>
    <w:rsid w:val="6AA5CEEC"/>
    <w:rsid w:val="6AACAE25"/>
    <w:rsid w:val="6ABF5CC2"/>
    <w:rsid w:val="6AE39A1C"/>
    <w:rsid w:val="6AF335A2"/>
    <w:rsid w:val="6B0DCAA1"/>
    <w:rsid w:val="6B3FFC03"/>
    <w:rsid w:val="6B436EDA"/>
    <w:rsid w:val="6B8619B1"/>
    <w:rsid w:val="6B91CC3F"/>
    <w:rsid w:val="6B976164"/>
    <w:rsid w:val="6B97C802"/>
    <w:rsid w:val="6BBEFA09"/>
    <w:rsid w:val="6BC632B8"/>
    <w:rsid w:val="6BF5354B"/>
    <w:rsid w:val="6BF800A6"/>
    <w:rsid w:val="6BFFFA69"/>
    <w:rsid w:val="6C056326"/>
    <w:rsid w:val="6C55CD48"/>
    <w:rsid w:val="6C86E1E1"/>
    <w:rsid w:val="6C957BA2"/>
    <w:rsid w:val="6CB9D7D2"/>
    <w:rsid w:val="6CBC7DC6"/>
    <w:rsid w:val="6CE807D1"/>
    <w:rsid w:val="6CF3D0C1"/>
    <w:rsid w:val="6D1169AC"/>
    <w:rsid w:val="6D4C3B98"/>
    <w:rsid w:val="6D9594D9"/>
    <w:rsid w:val="6DB18678"/>
    <w:rsid w:val="6DB92006"/>
    <w:rsid w:val="6DD4F453"/>
    <w:rsid w:val="6E172C59"/>
    <w:rsid w:val="6E22A725"/>
    <w:rsid w:val="6E2F9951"/>
    <w:rsid w:val="6E308168"/>
    <w:rsid w:val="6EAF8C79"/>
    <w:rsid w:val="6EC3AD57"/>
    <w:rsid w:val="6ECB1414"/>
    <w:rsid w:val="6ECDD3AB"/>
    <w:rsid w:val="6EE184EA"/>
    <w:rsid w:val="6EE84E2C"/>
    <w:rsid w:val="6EF0FEF3"/>
    <w:rsid w:val="6EFD5096"/>
    <w:rsid w:val="6F2C7F71"/>
    <w:rsid w:val="6F3DD30C"/>
    <w:rsid w:val="6F503869"/>
    <w:rsid w:val="6F5D0FD1"/>
    <w:rsid w:val="6F5E1CDB"/>
    <w:rsid w:val="6F733338"/>
    <w:rsid w:val="6F906789"/>
    <w:rsid w:val="6F9471E4"/>
    <w:rsid w:val="6F9B996B"/>
    <w:rsid w:val="6FA62B89"/>
    <w:rsid w:val="6FB057D8"/>
    <w:rsid w:val="6FB40C4B"/>
    <w:rsid w:val="6FB66E44"/>
    <w:rsid w:val="6FF14DDC"/>
    <w:rsid w:val="6FFC7BCD"/>
    <w:rsid w:val="702EE685"/>
    <w:rsid w:val="708D9BD6"/>
    <w:rsid w:val="70917035"/>
    <w:rsid w:val="70E403F7"/>
    <w:rsid w:val="70F117CF"/>
    <w:rsid w:val="70FF3742"/>
    <w:rsid w:val="7100CC5C"/>
    <w:rsid w:val="7103B0F2"/>
    <w:rsid w:val="710EF8E0"/>
    <w:rsid w:val="7143D91E"/>
    <w:rsid w:val="714B4C78"/>
    <w:rsid w:val="716AF611"/>
    <w:rsid w:val="717CB147"/>
    <w:rsid w:val="7181AFBE"/>
    <w:rsid w:val="718B3C5E"/>
    <w:rsid w:val="71A8DCD6"/>
    <w:rsid w:val="71E5274F"/>
    <w:rsid w:val="72043020"/>
    <w:rsid w:val="7236CB46"/>
    <w:rsid w:val="724B9328"/>
    <w:rsid w:val="724BAEC6"/>
    <w:rsid w:val="7251B442"/>
    <w:rsid w:val="727B03A7"/>
    <w:rsid w:val="7287FEC4"/>
    <w:rsid w:val="72AEE162"/>
    <w:rsid w:val="72D77E85"/>
    <w:rsid w:val="72DFFBE4"/>
    <w:rsid w:val="72FF11E0"/>
    <w:rsid w:val="730B088A"/>
    <w:rsid w:val="7326E90A"/>
    <w:rsid w:val="73546C72"/>
    <w:rsid w:val="7364AB51"/>
    <w:rsid w:val="73688412"/>
    <w:rsid w:val="737F6117"/>
    <w:rsid w:val="739080E6"/>
    <w:rsid w:val="73B3FEAD"/>
    <w:rsid w:val="73BADDE2"/>
    <w:rsid w:val="73BE1300"/>
    <w:rsid w:val="73CFF319"/>
    <w:rsid w:val="73D3D808"/>
    <w:rsid w:val="73DDEB2F"/>
    <w:rsid w:val="73FE48D5"/>
    <w:rsid w:val="73FFF00B"/>
    <w:rsid w:val="740FA533"/>
    <w:rsid w:val="74338AE5"/>
    <w:rsid w:val="743F988F"/>
    <w:rsid w:val="745600CD"/>
    <w:rsid w:val="747D806F"/>
    <w:rsid w:val="747E51DD"/>
    <w:rsid w:val="7480B8F6"/>
    <w:rsid w:val="74889C93"/>
    <w:rsid w:val="748C33EC"/>
    <w:rsid w:val="748C91B0"/>
    <w:rsid w:val="7493ADEE"/>
    <w:rsid w:val="749D8218"/>
    <w:rsid w:val="74A7A1E1"/>
    <w:rsid w:val="74C14017"/>
    <w:rsid w:val="74CF3C5D"/>
    <w:rsid w:val="74CFA5B4"/>
    <w:rsid w:val="74DF4BAE"/>
    <w:rsid w:val="74E75C64"/>
    <w:rsid w:val="74EA6BDE"/>
    <w:rsid w:val="750CBFBC"/>
    <w:rsid w:val="75100044"/>
    <w:rsid w:val="75168832"/>
    <w:rsid w:val="754FF8EC"/>
    <w:rsid w:val="755B3D8D"/>
    <w:rsid w:val="755C814E"/>
    <w:rsid w:val="7560F888"/>
    <w:rsid w:val="7569C824"/>
    <w:rsid w:val="756D0314"/>
    <w:rsid w:val="75771A26"/>
    <w:rsid w:val="757801D0"/>
    <w:rsid w:val="758CEFFA"/>
    <w:rsid w:val="759E8045"/>
    <w:rsid w:val="75B4536C"/>
    <w:rsid w:val="75C1B028"/>
    <w:rsid w:val="75D2A6CD"/>
    <w:rsid w:val="760F083B"/>
    <w:rsid w:val="7627EA0E"/>
    <w:rsid w:val="766A006F"/>
    <w:rsid w:val="766CDA8E"/>
    <w:rsid w:val="76760C21"/>
    <w:rsid w:val="7679858E"/>
    <w:rsid w:val="768107FA"/>
    <w:rsid w:val="7690FA5A"/>
    <w:rsid w:val="76929BD9"/>
    <w:rsid w:val="7695C9ED"/>
    <w:rsid w:val="76A448B6"/>
    <w:rsid w:val="76B827F8"/>
    <w:rsid w:val="76C09042"/>
    <w:rsid w:val="76C0D211"/>
    <w:rsid w:val="76C2D30C"/>
    <w:rsid w:val="76C38943"/>
    <w:rsid w:val="76E3F571"/>
    <w:rsid w:val="76E96650"/>
    <w:rsid w:val="76EC97B1"/>
    <w:rsid w:val="76F80B83"/>
    <w:rsid w:val="76F9F723"/>
    <w:rsid w:val="770C39C7"/>
    <w:rsid w:val="770DE14D"/>
    <w:rsid w:val="7786BD0A"/>
    <w:rsid w:val="77BDF5B7"/>
    <w:rsid w:val="77C787E0"/>
    <w:rsid w:val="77E0C27F"/>
    <w:rsid w:val="780AF31F"/>
    <w:rsid w:val="780D3CB9"/>
    <w:rsid w:val="780D9F01"/>
    <w:rsid w:val="781F96BE"/>
    <w:rsid w:val="7839192A"/>
    <w:rsid w:val="783B610F"/>
    <w:rsid w:val="784CF688"/>
    <w:rsid w:val="785407E6"/>
    <w:rsid w:val="7855B1EC"/>
    <w:rsid w:val="78595D02"/>
    <w:rsid w:val="7859736A"/>
    <w:rsid w:val="785B3613"/>
    <w:rsid w:val="7875B080"/>
    <w:rsid w:val="787F8273"/>
    <w:rsid w:val="78925312"/>
    <w:rsid w:val="78A4B909"/>
    <w:rsid w:val="78A620CF"/>
    <w:rsid w:val="78B3BFAC"/>
    <w:rsid w:val="78EC8D94"/>
    <w:rsid w:val="78F6BEDB"/>
    <w:rsid w:val="78F76B0A"/>
    <w:rsid w:val="78FBE948"/>
    <w:rsid w:val="79160FB0"/>
    <w:rsid w:val="791E63F1"/>
    <w:rsid w:val="792F2ABD"/>
    <w:rsid w:val="7946D5C1"/>
    <w:rsid w:val="79513282"/>
    <w:rsid w:val="7961382D"/>
    <w:rsid w:val="798EF03F"/>
    <w:rsid w:val="79A7E2D5"/>
    <w:rsid w:val="79ACA0DA"/>
    <w:rsid w:val="79B14A84"/>
    <w:rsid w:val="79CF151A"/>
    <w:rsid w:val="79D139C1"/>
    <w:rsid w:val="79DBFCBA"/>
    <w:rsid w:val="79F02E01"/>
    <w:rsid w:val="79F1EB9A"/>
    <w:rsid w:val="79F36FE4"/>
    <w:rsid w:val="79F487B2"/>
    <w:rsid w:val="7A099878"/>
    <w:rsid w:val="7A09D457"/>
    <w:rsid w:val="7A0E56E5"/>
    <w:rsid w:val="7A6AEA30"/>
    <w:rsid w:val="7A7C4083"/>
    <w:rsid w:val="7A9760DB"/>
    <w:rsid w:val="7AA7879D"/>
    <w:rsid w:val="7ABB8F35"/>
    <w:rsid w:val="7AD2161F"/>
    <w:rsid w:val="7AE1236D"/>
    <w:rsid w:val="7AE5985D"/>
    <w:rsid w:val="7AF2719A"/>
    <w:rsid w:val="7AFBD606"/>
    <w:rsid w:val="7B06FDB9"/>
    <w:rsid w:val="7B14465E"/>
    <w:rsid w:val="7B24F503"/>
    <w:rsid w:val="7B33E34A"/>
    <w:rsid w:val="7B3721B6"/>
    <w:rsid w:val="7B459B76"/>
    <w:rsid w:val="7B5AE829"/>
    <w:rsid w:val="7B605F6F"/>
    <w:rsid w:val="7B65C3B2"/>
    <w:rsid w:val="7B846E21"/>
    <w:rsid w:val="7B8BEDFF"/>
    <w:rsid w:val="7BD5B470"/>
    <w:rsid w:val="7BDD92B1"/>
    <w:rsid w:val="7BE10FA4"/>
    <w:rsid w:val="7C0EE064"/>
    <w:rsid w:val="7C3D28E5"/>
    <w:rsid w:val="7C6D99C1"/>
    <w:rsid w:val="7C84F9E9"/>
    <w:rsid w:val="7C88918A"/>
    <w:rsid w:val="7C902D31"/>
    <w:rsid w:val="7C992BED"/>
    <w:rsid w:val="7C9F951A"/>
    <w:rsid w:val="7CA4B5B7"/>
    <w:rsid w:val="7CA4BFD6"/>
    <w:rsid w:val="7CAE9407"/>
    <w:rsid w:val="7CFBA60F"/>
    <w:rsid w:val="7D32F862"/>
    <w:rsid w:val="7D6F812D"/>
    <w:rsid w:val="7D74C936"/>
    <w:rsid w:val="7D7B5B92"/>
    <w:rsid w:val="7D7DBF88"/>
    <w:rsid w:val="7DB786BD"/>
    <w:rsid w:val="7DC3128B"/>
    <w:rsid w:val="7DCAB38C"/>
    <w:rsid w:val="7DEF5CBF"/>
    <w:rsid w:val="7DFE41C8"/>
    <w:rsid w:val="7E3409AC"/>
    <w:rsid w:val="7E363F60"/>
    <w:rsid w:val="7E3EFFEB"/>
    <w:rsid w:val="7E477033"/>
    <w:rsid w:val="7E489DB2"/>
    <w:rsid w:val="7E73CADF"/>
    <w:rsid w:val="7E7EDA8D"/>
    <w:rsid w:val="7E8613F2"/>
    <w:rsid w:val="7E8D365E"/>
    <w:rsid w:val="7E975291"/>
    <w:rsid w:val="7EAB38AC"/>
    <w:rsid w:val="7EB497DD"/>
    <w:rsid w:val="7EDCF79A"/>
    <w:rsid w:val="7EF22329"/>
    <w:rsid w:val="7EF7E664"/>
    <w:rsid w:val="7EFBC84C"/>
    <w:rsid w:val="7F0A0722"/>
    <w:rsid w:val="7F0C81CB"/>
    <w:rsid w:val="7F0CE65D"/>
    <w:rsid w:val="7F180C43"/>
    <w:rsid w:val="7F4B8C12"/>
    <w:rsid w:val="7F4F0F7E"/>
    <w:rsid w:val="7F551782"/>
    <w:rsid w:val="7F692C15"/>
    <w:rsid w:val="7F9CEED4"/>
    <w:rsid w:val="7FA2266D"/>
    <w:rsid w:val="7FA33D28"/>
    <w:rsid w:val="7FED375D"/>
    <w:rsid w:val="7FF7DD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Ref"/>
    <w:basedOn w:val="DefaultParagraphFont"/>
    <w:link w:val="BVIfnrCar1CarCarCarCar"/>
    <w:uiPriority w:val="99"/>
    <w:unhideWhenUsed/>
    <w:qFormat/>
    <w:rsid w:val="003B41C5"/>
    <w:rPr>
      <w:vertAlign w:val="superscript"/>
    </w:rPr>
  </w:style>
  <w:style w:type="paragraph" w:styleId="FootnoteText">
    <w:name w:val="footnote text"/>
    <w:aliases w:val="Car Car,Footnote Text Char Char Char Char Char,Footnote Text Char Char Char Char,Footnote reference,FA Fu,Footnote Text Char Char Char,Footnote Text Cha,FA Fußnotentext,FA Fu?notentext,5_G, Car1, Car1 Car2,ft,FA Fuﬂnotentext,FA Fu?notente"/>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Car Car Char,Footnote Text Char Char Char Char Char Char,Footnote Text Char Char Char Char Char1,Footnote reference Char,FA Fu Char,Footnote Text Char Char Char Char1,Footnote Text Cha Char,FA Fußnotentext Char,FA Fu?notentex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semiHidden/>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E83710"/>
    <w:pPr>
      <w:numPr>
        <w:numId w:val="15"/>
      </w:numPr>
      <w:spacing w:after="240"/>
      <w:contextualSpacing w:val="0"/>
      <w:jc w:val="both"/>
    </w:pPr>
    <w:rPr>
      <w:color w:val="000000"/>
      <w:sz w:val="20"/>
      <w:lang w:val="es-419"/>
    </w:rPr>
  </w:style>
  <w:style w:type="character" w:customStyle="1" w:styleId="IAPrrafoChar">
    <w:name w:val="IA Párrafo Char"/>
    <w:basedOn w:val="DefaultParagraphFont"/>
    <w:link w:val="IAPrrafo"/>
    <w:rsid w:val="00E83710"/>
    <w:rPr>
      <w:rFonts w:ascii="Cambria" w:hAnsi="Cambria"/>
      <w:color w:val="000000"/>
      <w:sz w:val="20"/>
      <w:lang w:val="es-419"/>
    </w:rPr>
  </w:style>
  <w:style w:type="paragraph" w:customStyle="1" w:styleId="TOCCaptulo">
    <w:name w:val="TOC_Capítulo"/>
    <w:basedOn w:val="Normal"/>
    <w:link w:val="TOCCaptuloChar"/>
    <w:rsid w:val="008F6F4A"/>
    <w:pPr>
      <w:spacing w:after="240"/>
    </w:pPr>
    <w:rPr>
      <w:b/>
      <w:color w:val="0070C0"/>
      <w:sz w:val="32"/>
    </w:rPr>
  </w:style>
  <w:style w:type="character" w:customStyle="1" w:styleId="TOCCaptuloChar">
    <w:name w:val="TOC_Capítulo Char"/>
    <w:basedOn w:val="DefaultParagraphFont"/>
    <w:link w:val="TOCCaptulo"/>
    <w:rsid w:val="008F6F4A"/>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64C83"/>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864C83"/>
    <w:pPr>
      <w:suppressAutoHyphens w:val="0"/>
      <w:spacing w:before="200" w:after="160" w:line="240" w:lineRule="exact"/>
    </w:pPr>
    <w:rPr>
      <w:rFonts w:asciiTheme="minorHAnsi" w:hAnsiTheme="minorHAnsi"/>
      <w:vertAlign w:val="superscript"/>
    </w:rPr>
  </w:style>
  <w:style w:type="character" w:customStyle="1" w:styleId="ui-provider">
    <w:name w:val="ui-provider"/>
    <w:basedOn w:val="DefaultParagraphFont"/>
    <w:rsid w:val="00F6476C"/>
  </w:style>
  <w:style w:type="paragraph" w:styleId="Revision">
    <w:name w:val="Revision"/>
    <w:hidden/>
    <w:uiPriority w:val="99"/>
    <w:semiHidden/>
    <w:rsid w:val="005077FA"/>
    <w:pPr>
      <w:spacing w:after="0" w:line="240" w:lineRule="auto"/>
    </w:pPr>
    <w:rPr>
      <w:rFonts w:ascii="Cambria" w:hAnsi="Cambria"/>
    </w:rPr>
  </w:style>
  <w:style w:type="paragraph" w:customStyle="1" w:styleId="Refdenotaalpie">
    <w:name w:val="Ref. de nota al pie."/>
    <w:aliases w:val="Footnote symbol,Footnote,f1,referencia nota al pi..."/>
    <w:basedOn w:val="Normal"/>
    <w:uiPriority w:val="99"/>
    <w:rsid w:val="00982949"/>
    <w:pPr>
      <w:suppressAutoHyphens w:val="0"/>
      <w:spacing w:before="200" w:after="160" w:line="240" w:lineRule="exact"/>
    </w:pPr>
    <w:rPr>
      <w:rFonts w:asciiTheme="minorHAnsi" w:hAnsiTheme="minorHAnsi"/>
      <w:sz w:val="24"/>
      <w:szCs w:val="24"/>
      <w:vertAlign w:val="superscript"/>
    </w:rPr>
  </w:style>
  <w:style w:type="paragraph" w:customStyle="1" w:styleId="Textocomentario1">
    <w:name w:val="Texto comentario1"/>
    <w:basedOn w:val="Normal"/>
    <w:next w:val="CommentText"/>
    <w:uiPriority w:val="99"/>
    <w:rsid w:val="00243061"/>
    <w:rPr>
      <w:sz w:val="20"/>
      <w:szCs w:val="20"/>
    </w:rPr>
  </w:style>
  <w:style w:type="paragraph" w:customStyle="1" w:styleId="Normal1">
    <w:name w:val="Normal1"/>
    <w:rsid w:val="00315CD9"/>
    <w:pPr>
      <w:pBdr>
        <w:top w:val="none" w:sz="0" w:space="31" w:color="FFFFFF"/>
        <w:left w:val="none" w:sz="0" w:space="31" w:color="FFFFFF"/>
        <w:bottom w:val="none" w:sz="0" w:space="31" w:color="FFFFFF"/>
        <w:right w:val="none" w:sz="0" w:space="31" w:color="FFFFFF"/>
        <w:between w:val="nil"/>
      </w:pBdr>
      <w:spacing w:after="0" w:line="240" w:lineRule="auto"/>
    </w:pPr>
    <w:rPr>
      <w:rFonts w:ascii="Times New Roman" w:eastAsia="Times New Roman" w:hAnsi="Times New Roman" w:cs="Times New Roman"/>
      <w:color w:val="000000"/>
      <w:sz w:val="24"/>
      <w:szCs w:val="24"/>
      <w:lang w:val="es-AR" w:eastAsia="es-AR"/>
    </w:rPr>
  </w:style>
  <w:style w:type="paragraph" w:customStyle="1" w:styleId="Default">
    <w:name w:val="Default"/>
    <w:rsid w:val="00737D0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table" w:styleId="TableGridLight">
    <w:name w:val="Grid Table Light"/>
    <w:basedOn w:val="TableNormal"/>
    <w:uiPriority w:val="40"/>
    <w:rsid w:val="003240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rpo">
    <w:name w:val="Corpo"/>
    <w:rsid w:val="00F1137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enhum">
    <w:name w:val="Nenhum"/>
    <w:rsid w:val="00F11377"/>
  </w:style>
  <w:style w:type="character" w:customStyle="1" w:styleId="Hyperlink2">
    <w:name w:val="Hyperlink.2"/>
    <w:basedOn w:val="Nenhum"/>
    <w:rsid w:val="00AA12BC"/>
    <w:rPr>
      <w:rFonts w:ascii="Cambria" w:eastAsia="Cambria" w:hAnsi="Cambria" w:cs="Cambria"/>
      <w:color w:val="000000"/>
      <w:sz w:val="22"/>
      <w:szCs w:val="22"/>
      <w:u w:val="single" w:color="000000"/>
      <w:lang w:val="es-ES_tradnl"/>
    </w:rPr>
  </w:style>
  <w:style w:type="character" w:customStyle="1" w:styleId="eop">
    <w:name w:val="eop"/>
    <w:basedOn w:val="DefaultParagraphFont"/>
    <w:rsid w:val="00A57A6B"/>
  </w:style>
  <w:style w:type="paragraph" w:customStyle="1" w:styleId="paragraph">
    <w:name w:val="paragraph"/>
    <w:basedOn w:val="Normal"/>
    <w:rsid w:val="00A57A6B"/>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superscript">
    <w:name w:val="superscript"/>
    <w:basedOn w:val="DefaultParagraphFont"/>
    <w:rsid w:val="00A5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734">
      <w:bodyDiv w:val="1"/>
      <w:marLeft w:val="0"/>
      <w:marRight w:val="0"/>
      <w:marTop w:val="0"/>
      <w:marBottom w:val="0"/>
      <w:divBdr>
        <w:top w:val="none" w:sz="0" w:space="0" w:color="auto"/>
        <w:left w:val="none" w:sz="0" w:space="0" w:color="auto"/>
        <w:bottom w:val="none" w:sz="0" w:space="0" w:color="auto"/>
        <w:right w:val="none" w:sz="0" w:space="0" w:color="auto"/>
      </w:divBdr>
    </w:div>
    <w:div w:id="68693164">
      <w:bodyDiv w:val="1"/>
      <w:marLeft w:val="0"/>
      <w:marRight w:val="0"/>
      <w:marTop w:val="0"/>
      <w:marBottom w:val="0"/>
      <w:divBdr>
        <w:top w:val="none" w:sz="0" w:space="0" w:color="auto"/>
        <w:left w:val="none" w:sz="0" w:space="0" w:color="auto"/>
        <w:bottom w:val="none" w:sz="0" w:space="0" w:color="auto"/>
        <w:right w:val="none" w:sz="0" w:space="0" w:color="auto"/>
      </w:divBdr>
    </w:div>
    <w:div w:id="77561396">
      <w:bodyDiv w:val="1"/>
      <w:marLeft w:val="0"/>
      <w:marRight w:val="0"/>
      <w:marTop w:val="0"/>
      <w:marBottom w:val="0"/>
      <w:divBdr>
        <w:top w:val="none" w:sz="0" w:space="0" w:color="auto"/>
        <w:left w:val="none" w:sz="0" w:space="0" w:color="auto"/>
        <w:bottom w:val="none" w:sz="0" w:space="0" w:color="auto"/>
        <w:right w:val="none" w:sz="0" w:space="0" w:color="auto"/>
      </w:divBdr>
    </w:div>
    <w:div w:id="101071423">
      <w:bodyDiv w:val="1"/>
      <w:marLeft w:val="0"/>
      <w:marRight w:val="0"/>
      <w:marTop w:val="0"/>
      <w:marBottom w:val="0"/>
      <w:divBdr>
        <w:top w:val="none" w:sz="0" w:space="0" w:color="auto"/>
        <w:left w:val="none" w:sz="0" w:space="0" w:color="auto"/>
        <w:bottom w:val="none" w:sz="0" w:space="0" w:color="auto"/>
        <w:right w:val="none" w:sz="0" w:space="0" w:color="auto"/>
      </w:divBdr>
    </w:div>
    <w:div w:id="131140633">
      <w:bodyDiv w:val="1"/>
      <w:marLeft w:val="0"/>
      <w:marRight w:val="0"/>
      <w:marTop w:val="0"/>
      <w:marBottom w:val="0"/>
      <w:divBdr>
        <w:top w:val="none" w:sz="0" w:space="0" w:color="auto"/>
        <w:left w:val="none" w:sz="0" w:space="0" w:color="auto"/>
        <w:bottom w:val="none" w:sz="0" w:space="0" w:color="auto"/>
        <w:right w:val="none" w:sz="0" w:space="0" w:color="auto"/>
      </w:divBdr>
    </w:div>
    <w:div w:id="141697880">
      <w:bodyDiv w:val="1"/>
      <w:marLeft w:val="0"/>
      <w:marRight w:val="0"/>
      <w:marTop w:val="0"/>
      <w:marBottom w:val="0"/>
      <w:divBdr>
        <w:top w:val="none" w:sz="0" w:space="0" w:color="auto"/>
        <w:left w:val="none" w:sz="0" w:space="0" w:color="auto"/>
        <w:bottom w:val="none" w:sz="0" w:space="0" w:color="auto"/>
        <w:right w:val="none" w:sz="0" w:space="0" w:color="auto"/>
      </w:divBdr>
    </w:div>
    <w:div w:id="164323708">
      <w:bodyDiv w:val="1"/>
      <w:marLeft w:val="0"/>
      <w:marRight w:val="0"/>
      <w:marTop w:val="0"/>
      <w:marBottom w:val="0"/>
      <w:divBdr>
        <w:top w:val="none" w:sz="0" w:space="0" w:color="auto"/>
        <w:left w:val="none" w:sz="0" w:space="0" w:color="auto"/>
        <w:bottom w:val="none" w:sz="0" w:space="0" w:color="auto"/>
        <w:right w:val="none" w:sz="0" w:space="0" w:color="auto"/>
      </w:divBdr>
    </w:div>
    <w:div w:id="182984397">
      <w:bodyDiv w:val="1"/>
      <w:marLeft w:val="0"/>
      <w:marRight w:val="0"/>
      <w:marTop w:val="0"/>
      <w:marBottom w:val="0"/>
      <w:divBdr>
        <w:top w:val="none" w:sz="0" w:space="0" w:color="auto"/>
        <w:left w:val="none" w:sz="0" w:space="0" w:color="auto"/>
        <w:bottom w:val="none" w:sz="0" w:space="0" w:color="auto"/>
        <w:right w:val="none" w:sz="0" w:space="0" w:color="auto"/>
      </w:divBdr>
    </w:div>
    <w:div w:id="195192897">
      <w:bodyDiv w:val="1"/>
      <w:marLeft w:val="0"/>
      <w:marRight w:val="0"/>
      <w:marTop w:val="0"/>
      <w:marBottom w:val="0"/>
      <w:divBdr>
        <w:top w:val="none" w:sz="0" w:space="0" w:color="auto"/>
        <w:left w:val="none" w:sz="0" w:space="0" w:color="auto"/>
        <w:bottom w:val="none" w:sz="0" w:space="0" w:color="auto"/>
        <w:right w:val="none" w:sz="0" w:space="0" w:color="auto"/>
      </w:divBdr>
    </w:div>
    <w:div w:id="220097537">
      <w:bodyDiv w:val="1"/>
      <w:marLeft w:val="0"/>
      <w:marRight w:val="0"/>
      <w:marTop w:val="0"/>
      <w:marBottom w:val="0"/>
      <w:divBdr>
        <w:top w:val="none" w:sz="0" w:space="0" w:color="auto"/>
        <w:left w:val="none" w:sz="0" w:space="0" w:color="auto"/>
        <w:bottom w:val="none" w:sz="0" w:space="0" w:color="auto"/>
        <w:right w:val="none" w:sz="0" w:space="0" w:color="auto"/>
      </w:divBdr>
    </w:div>
    <w:div w:id="334503521">
      <w:bodyDiv w:val="1"/>
      <w:marLeft w:val="0"/>
      <w:marRight w:val="0"/>
      <w:marTop w:val="0"/>
      <w:marBottom w:val="0"/>
      <w:divBdr>
        <w:top w:val="none" w:sz="0" w:space="0" w:color="auto"/>
        <w:left w:val="none" w:sz="0" w:space="0" w:color="auto"/>
        <w:bottom w:val="none" w:sz="0" w:space="0" w:color="auto"/>
        <w:right w:val="none" w:sz="0" w:space="0" w:color="auto"/>
      </w:divBdr>
    </w:div>
    <w:div w:id="343365200">
      <w:bodyDiv w:val="1"/>
      <w:marLeft w:val="0"/>
      <w:marRight w:val="0"/>
      <w:marTop w:val="0"/>
      <w:marBottom w:val="0"/>
      <w:divBdr>
        <w:top w:val="none" w:sz="0" w:space="0" w:color="auto"/>
        <w:left w:val="none" w:sz="0" w:space="0" w:color="auto"/>
        <w:bottom w:val="none" w:sz="0" w:space="0" w:color="auto"/>
        <w:right w:val="none" w:sz="0" w:space="0" w:color="auto"/>
      </w:divBdr>
    </w:div>
    <w:div w:id="396167547">
      <w:bodyDiv w:val="1"/>
      <w:marLeft w:val="0"/>
      <w:marRight w:val="0"/>
      <w:marTop w:val="0"/>
      <w:marBottom w:val="0"/>
      <w:divBdr>
        <w:top w:val="none" w:sz="0" w:space="0" w:color="auto"/>
        <w:left w:val="none" w:sz="0" w:space="0" w:color="auto"/>
        <w:bottom w:val="none" w:sz="0" w:space="0" w:color="auto"/>
        <w:right w:val="none" w:sz="0" w:space="0" w:color="auto"/>
      </w:divBdr>
    </w:div>
    <w:div w:id="510267699">
      <w:bodyDiv w:val="1"/>
      <w:marLeft w:val="0"/>
      <w:marRight w:val="0"/>
      <w:marTop w:val="0"/>
      <w:marBottom w:val="0"/>
      <w:divBdr>
        <w:top w:val="none" w:sz="0" w:space="0" w:color="auto"/>
        <w:left w:val="none" w:sz="0" w:space="0" w:color="auto"/>
        <w:bottom w:val="none" w:sz="0" w:space="0" w:color="auto"/>
        <w:right w:val="none" w:sz="0" w:space="0" w:color="auto"/>
      </w:divBdr>
    </w:div>
    <w:div w:id="618487361">
      <w:bodyDiv w:val="1"/>
      <w:marLeft w:val="0"/>
      <w:marRight w:val="0"/>
      <w:marTop w:val="0"/>
      <w:marBottom w:val="0"/>
      <w:divBdr>
        <w:top w:val="none" w:sz="0" w:space="0" w:color="auto"/>
        <w:left w:val="none" w:sz="0" w:space="0" w:color="auto"/>
        <w:bottom w:val="none" w:sz="0" w:space="0" w:color="auto"/>
        <w:right w:val="none" w:sz="0" w:space="0" w:color="auto"/>
      </w:divBdr>
      <w:divsChild>
        <w:div w:id="247662419">
          <w:marLeft w:val="0"/>
          <w:marRight w:val="0"/>
          <w:marTop w:val="0"/>
          <w:marBottom w:val="0"/>
          <w:divBdr>
            <w:top w:val="none" w:sz="0" w:space="0" w:color="auto"/>
            <w:left w:val="none" w:sz="0" w:space="0" w:color="auto"/>
            <w:bottom w:val="none" w:sz="0" w:space="0" w:color="auto"/>
            <w:right w:val="none" w:sz="0" w:space="0" w:color="auto"/>
          </w:divBdr>
        </w:div>
      </w:divsChild>
    </w:div>
    <w:div w:id="633680070">
      <w:bodyDiv w:val="1"/>
      <w:marLeft w:val="0"/>
      <w:marRight w:val="0"/>
      <w:marTop w:val="0"/>
      <w:marBottom w:val="0"/>
      <w:divBdr>
        <w:top w:val="none" w:sz="0" w:space="0" w:color="auto"/>
        <w:left w:val="none" w:sz="0" w:space="0" w:color="auto"/>
        <w:bottom w:val="none" w:sz="0" w:space="0" w:color="auto"/>
        <w:right w:val="none" w:sz="0" w:space="0" w:color="auto"/>
      </w:divBdr>
    </w:div>
    <w:div w:id="709182340">
      <w:bodyDiv w:val="1"/>
      <w:marLeft w:val="0"/>
      <w:marRight w:val="0"/>
      <w:marTop w:val="0"/>
      <w:marBottom w:val="0"/>
      <w:divBdr>
        <w:top w:val="none" w:sz="0" w:space="0" w:color="auto"/>
        <w:left w:val="none" w:sz="0" w:space="0" w:color="auto"/>
        <w:bottom w:val="none" w:sz="0" w:space="0" w:color="auto"/>
        <w:right w:val="none" w:sz="0" w:space="0" w:color="auto"/>
      </w:divBdr>
    </w:div>
    <w:div w:id="736703209">
      <w:bodyDiv w:val="1"/>
      <w:marLeft w:val="0"/>
      <w:marRight w:val="0"/>
      <w:marTop w:val="0"/>
      <w:marBottom w:val="0"/>
      <w:divBdr>
        <w:top w:val="none" w:sz="0" w:space="0" w:color="auto"/>
        <w:left w:val="none" w:sz="0" w:space="0" w:color="auto"/>
        <w:bottom w:val="none" w:sz="0" w:space="0" w:color="auto"/>
        <w:right w:val="none" w:sz="0" w:space="0" w:color="auto"/>
      </w:divBdr>
    </w:div>
    <w:div w:id="871117364">
      <w:bodyDiv w:val="1"/>
      <w:marLeft w:val="0"/>
      <w:marRight w:val="0"/>
      <w:marTop w:val="0"/>
      <w:marBottom w:val="0"/>
      <w:divBdr>
        <w:top w:val="none" w:sz="0" w:space="0" w:color="auto"/>
        <w:left w:val="none" w:sz="0" w:space="0" w:color="auto"/>
        <w:bottom w:val="none" w:sz="0" w:space="0" w:color="auto"/>
        <w:right w:val="none" w:sz="0" w:space="0" w:color="auto"/>
      </w:divBdr>
    </w:div>
    <w:div w:id="899289125">
      <w:bodyDiv w:val="1"/>
      <w:marLeft w:val="0"/>
      <w:marRight w:val="0"/>
      <w:marTop w:val="0"/>
      <w:marBottom w:val="0"/>
      <w:divBdr>
        <w:top w:val="none" w:sz="0" w:space="0" w:color="auto"/>
        <w:left w:val="none" w:sz="0" w:space="0" w:color="auto"/>
        <w:bottom w:val="none" w:sz="0" w:space="0" w:color="auto"/>
        <w:right w:val="none" w:sz="0" w:space="0" w:color="auto"/>
      </w:divBdr>
    </w:div>
    <w:div w:id="949356049">
      <w:bodyDiv w:val="1"/>
      <w:marLeft w:val="0"/>
      <w:marRight w:val="0"/>
      <w:marTop w:val="0"/>
      <w:marBottom w:val="0"/>
      <w:divBdr>
        <w:top w:val="none" w:sz="0" w:space="0" w:color="auto"/>
        <w:left w:val="none" w:sz="0" w:space="0" w:color="auto"/>
        <w:bottom w:val="none" w:sz="0" w:space="0" w:color="auto"/>
        <w:right w:val="none" w:sz="0" w:space="0" w:color="auto"/>
      </w:divBdr>
    </w:div>
    <w:div w:id="953051495">
      <w:bodyDiv w:val="1"/>
      <w:marLeft w:val="0"/>
      <w:marRight w:val="0"/>
      <w:marTop w:val="0"/>
      <w:marBottom w:val="0"/>
      <w:divBdr>
        <w:top w:val="none" w:sz="0" w:space="0" w:color="auto"/>
        <w:left w:val="none" w:sz="0" w:space="0" w:color="auto"/>
        <w:bottom w:val="none" w:sz="0" w:space="0" w:color="auto"/>
        <w:right w:val="none" w:sz="0" w:space="0" w:color="auto"/>
      </w:divBdr>
    </w:div>
    <w:div w:id="1058673473">
      <w:bodyDiv w:val="1"/>
      <w:marLeft w:val="0"/>
      <w:marRight w:val="0"/>
      <w:marTop w:val="0"/>
      <w:marBottom w:val="0"/>
      <w:divBdr>
        <w:top w:val="none" w:sz="0" w:space="0" w:color="auto"/>
        <w:left w:val="none" w:sz="0" w:space="0" w:color="auto"/>
        <w:bottom w:val="none" w:sz="0" w:space="0" w:color="auto"/>
        <w:right w:val="none" w:sz="0" w:space="0" w:color="auto"/>
      </w:divBdr>
    </w:div>
    <w:div w:id="1160272191">
      <w:bodyDiv w:val="1"/>
      <w:marLeft w:val="0"/>
      <w:marRight w:val="0"/>
      <w:marTop w:val="0"/>
      <w:marBottom w:val="0"/>
      <w:divBdr>
        <w:top w:val="none" w:sz="0" w:space="0" w:color="auto"/>
        <w:left w:val="none" w:sz="0" w:space="0" w:color="auto"/>
        <w:bottom w:val="none" w:sz="0" w:space="0" w:color="auto"/>
        <w:right w:val="none" w:sz="0" w:space="0" w:color="auto"/>
      </w:divBdr>
    </w:div>
    <w:div w:id="1205866007">
      <w:bodyDiv w:val="1"/>
      <w:marLeft w:val="0"/>
      <w:marRight w:val="0"/>
      <w:marTop w:val="0"/>
      <w:marBottom w:val="0"/>
      <w:divBdr>
        <w:top w:val="none" w:sz="0" w:space="0" w:color="auto"/>
        <w:left w:val="none" w:sz="0" w:space="0" w:color="auto"/>
        <w:bottom w:val="none" w:sz="0" w:space="0" w:color="auto"/>
        <w:right w:val="none" w:sz="0" w:space="0" w:color="auto"/>
      </w:divBdr>
    </w:div>
    <w:div w:id="1216695336">
      <w:bodyDiv w:val="1"/>
      <w:marLeft w:val="0"/>
      <w:marRight w:val="0"/>
      <w:marTop w:val="0"/>
      <w:marBottom w:val="0"/>
      <w:divBdr>
        <w:top w:val="none" w:sz="0" w:space="0" w:color="auto"/>
        <w:left w:val="none" w:sz="0" w:space="0" w:color="auto"/>
        <w:bottom w:val="none" w:sz="0" w:space="0" w:color="auto"/>
        <w:right w:val="none" w:sz="0" w:space="0" w:color="auto"/>
      </w:divBdr>
    </w:div>
    <w:div w:id="1320964185">
      <w:bodyDiv w:val="1"/>
      <w:marLeft w:val="0"/>
      <w:marRight w:val="0"/>
      <w:marTop w:val="0"/>
      <w:marBottom w:val="0"/>
      <w:divBdr>
        <w:top w:val="none" w:sz="0" w:space="0" w:color="auto"/>
        <w:left w:val="none" w:sz="0" w:space="0" w:color="auto"/>
        <w:bottom w:val="none" w:sz="0" w:space="0" w:color="auto"/>
        <w:right w:val="none" w:sz="0" w:space="0" w:color="auto"/>
      </w:divBdr>
    </w:div>
    <w:div w:id="1343968798">
      <w:bodyDiv w:val="1"/>
      <w:marLeft w:val="0"/>
      <w:marRight w:val="0"/>
      <w:marTop w:val="0"/>
      <w:marBottom w:val="0"/>
      <w:divBdr>
        <w:top w:val="none" w:sz="0" w:space="0" w:color="auto"/>
        <w:left w:val="none" w:sz="0" w:space="0" w:color="auto"/>
        <w:bottom w:val="none" w:sz="0" w:space="0" w:color="auto"/>
        <w:right w:val="none" w:sz="0" w:space="0" w:color="auto"/>
      </w:divBdr>
    </w:div>
    <w:div w:id="1350793104">
      <w:bodyDiv w:val="1"/>
      <w:marLeft w:val="0"/>
      <w:marRight w:val="0"/>
      <w:marTop w:val="0"/>
      <w:marBottom w:val="0"/>
      <w:divBdr>
        <w:top w:val="none" w:sz="0" w:space="0" w:color="auto"/>
        <w:left w:val="none" w:sz="0" w:space="0" w:color="auto"/>
        <w:bottom w:val="none" w:sz="0" w:space="0" w:color="auto"/>
        <w:right w:val="none" w:sz="0" w:space="0" w:color="auto"/>
      </w:divBdr>
    </w:div>
    <w:div w:id="1381591688">
      <w:bodyDiv w:val="1"/>
      <w:marLeft w:val="0"/>
      <w:marRight w:val="0"/>
      <w:marTop w:val="0"/>
      <w:marBottom w:val="0"/>
      <w:divBdr>
        <w:top w:val="none" w:sz="0" w:space="0" w:color="auto"/>
        <w:left w:val="none" w:sz="0" w:space="0" w:color="auto"/>
        <w:bottom w:val="none" w:sz="0" w:space="0" w:color="auto"/>
        <w:right w:val="none" w:sz="0" w:space="0" w:color="auto"/>
      </w:divBdr>
    </w:div>
    <w:div w:id="1410153862">
      <w:bodyDiv w:val="1"/>
      <w:marLeft w:val="0"/>
      <w:marRight w:val="0"/>
      <w:marTop w:val="0"/>
      <w:marBottom w:val="0"/>
      <w:divBdr>
        <w:top w:val="none" w:sz="0" w:space="0" w:color="auto"/>
        <w:left w:val="none" w:sz="0" w:space="0" w:color="auto"/>
        <w:bottom w:val="none" w:sz="0" w:space="0" w:color="auto"/>
        <w:right w:val="none" w:sz="0" w:space="0" w:color="auto"/>
      </w:divBdr>
    </w:div>
    <w:div w:id="1545361149">
      <w:bodyDiv w:val="1"/>
      <w:marLeft w:val="0"/>
      <w:marRight w:val="0"/>
      <w:marTop w:val="0"/>
      <w:marBottom w:val="0"/>
      <w:divBdr>
        <w:top w:val="none" w:sz="0" w:space="0" w:color="auto"/>
        <w:left w:val="none" w:sz="0" w:space="0" w:color="auto"/>
        <w:bottom w:val="none" w:sz="0" w:space="0" w:color="auto"/>
        <w:right w:val="none" w:sz="0" w:space="0" w:color="auto"/>
      </w:divBdr>
      <w:divsChild>
        <w:div w:id="687945190">
          <w:marLeft w:val="0"/>
          <w:marRight w:val="0"/>
          <w:marTop w:val="0"/>
          <w:marBottom w:val="0"/>
          <w:divBdr>
            <w:top w:val="none" w:sz="0" w:space="0" w:color="auto"/>
            <w:left w:val="none" w:sz="0" w:space="0" w:color="auto"/>
            <w:bottom w:val="none" w:sz="0" w:space="0" w:color="auto"/>
            <w:right w:val="none" w:sz="0" w:space="0" w:color="auto"/>
          </w:divBdr>
        </w:div>
      </w:divsChild>
    </w:div>
    <w:div w:id="1598438888">
      <w:bodyDiv w:val="1"/>
      <w:marLeft w:val="0"/>
      <w:marRight w:val="0"/>
      <w:marTop w:val="0"/>
      <w:marBottom w:val="0"/>
      <w:divBdr>
        <w:top w:val="none" w:sz="0" w:space="0" w:color="auto"/>
        <w:left w:val="none" w:sz="0" w:space="0" w:color="auto"/>
        <w:bottom w:val="none" w:sz="0" w:space="0" w:color="auto"/>
        <w:right w:val="none" w:sz="0" w:space="0" w:color="auto"/>
      </w:divBdr>
    </w:div>
    <w:div w:id="1668365836">
      <w:bodyDiv w:val="1"/>
      <w:marLeft w:val="0"/>
      <w:marRight w:val="0"/>
      <w:marTop w:val="0"/>
      <w:marBottom w:val="0"/>
      <w:divBdr>
        <w:top w:val="none" w:sz="0" w:space="0" w:color="auto"/>
        <w:left w:val="none" w:sz="0" w:space="0" w:color="auto"/>
        <w:bottom w:val="none" w:sz="0" w:space="0" w:color="auto"/>
        <w:right w:val="none" w:sz="0" w:space="0" w:color="auto"/>
      </w:divBdr>
    </w:div>
    <w:div w:id="1718554338">
      <w:bodyDiv w:val="1"/>
      <w:marLeft w:val="0"/>
      <w:marRight w:val="0"/>
      <w:marTop w:val="0"/>
      <w:marBottom w:val="0"/>
      <w:divBdr>
        <w:top w:val="none" w:sz="0" w:space="0" w:color="auto"/>
        <w:left w:val="none" w:sz="0" w:space="0" w:color="auto"/>
        <w:bottom w:val="none" w:sz="0" w:space="0" w:color="auto"/>
        <w:right w:val="none" w:sz="0" w:space="0" w:color="auto"/>
      </w:divBdr>
    </w:div>
    <w:div w:id="1782645471">
      <w:bodyDiv w:val="1"/>
      <w:marLeft w:val="0"/>
      <w:marRight w:val="0"/>
      <w:marTop w:val="0"/>
      <w:marBottom w:val="0"/>
      <w:divBdr>
        <w:top w:val="none" w:sz="0" w:space="0" w:color="auto"/>
        <w:left w:val="none" w:sz="0" w:space="0" w:color="auto"/>
        <w:bottom w:val="none" w:sz="0" w:space="0" w:color="auto"/>
        <w:right w:val="none" w:sz="0" w:space="0" w:color="auto"/>
      </w:divBdr>
    </w:div>
    <w:div w:id="1783064861">
      <w:bodyDiv w:val="1"/>
      <w:marLeft w:val="0"/>
      <w:marRight w:val="0"/>
      <w:marTop w:val="0"/>
      <w:marBottom w:val="0"/>
      <w:divBdr>
        <w:top w:val="none" w:sz="0" w:space="0" w:color="auto"/>
        <w:left w:val="none" w:sz="0" w:space="0" w:color="auto"/>
        <w:bottom w:val="none" w:sz="0" w:space="0" w:color="auto"/>
        <w:right w:val="none" w:sz="0" w:space="0" w:color="auto"/>
      </w:divBdr>
    </w:div>
    <w:div w:id="1788814038">
      <w:bodyDiv w:val="1"/>
      <w:marLeft w:val="0"/>
      <w:marRight w:val="0"/>
      <w:marTop w:val="0"/>
      <w:marBottom w:val="0"/>
      <w:divBdr>
        <w:top w:val="none" w:sz="0" w:space="0" w:color="auto"/>
        <w:left w:val="none" w:sz="0" w:space="0" w:color="auto"/>
        <w:bottom w:val="none" w:sz="0" w:space="0" w:color="auto"/>
        <w:right w:val="none" w:sz="0" w:space="0" w:color="auto"/>
      </w:divBdr>
    </w:div>
    <w:div w:id="1948268379">
      <w:bodyDiv w:val="1"/>
      <w:marLeft w:val="0"/>
      <w:marRight w:val="0"/>
      <w:marTop w:val="0"/>
      <w:marBottom w:val="0"/>
      <w:divBdr>
        <w:top w:val="none" w:sz="0" w:space="0" w:color="auto"/>
        <w:left w:val="none" w:sz="0" w:space="0" w:color="auto"/>
        <w:bottom w:val="none" w:sz="0" w:space="0" w:color="auto"/>
        <w:right w:val="none" w:sz="0" w:space="0" w:color="auto"/>
      </w:divBdr>
    </w:div>
    <w:div w:id="2004891440">
      <w:bodyDiv w:val="1"/>
      <w:marLeft w:val="0"/>
      <w:marRight w:val="0"/>
      <w:marTop w:val="0"/>
      <w:marBottom w:val="0"/>
      <w:divBdr>
        <w:top w:val="none" w:sz="0" w:space="0" w:color="auto"/>
        <w:left w:val="none" w:sz="0" w:space="0" w:color="auto"/>
        <w:bottom w:val="none" w:sz="0" w:space="0" w:color="auto"/>
        <w:right w:val="none" w:sz="0" w:space="0" w:color="auto"/>
      </w:divBdr>
    </w:div>
    <w:div w:id="20547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x.com/RSF_esp/status/1869429461822882301" TargetMode="External"/><Relationship Id="rId3" Type="http://schemas.openxmlformats.org/officeDocument/2006/relationships/hyperlink" Target="https://www.infobae.com/peru/2024/04/23/altercado-en-cusco-ministra-de-comercio-exterior-se-molesta-arrebata-microfono-a-reportero-y-lo-lanza-al-piso/" TargetMode="External"/><Relationship Id="rId7" Type="http://schemas.openxmlformats.org/officeDocument/2006/relationships/hyperlink" Target="https://x.com/ANP_periodistas/status/1816145884926574939" TargetMode="External"/><Relationship Id="rId2" Type="http://schemas.openxmlformats.org/officeDocument/2006/relationships/hyperlink" Target="https://www.infobae.com/peru/2024/06/02/ministro-de-salud-confirma-decision-de-dina-boluarte-de-alejarse-de-la-prensa-para-evitar-supuesto-acoso-politico/" TargetMode="External"/><Relationship Id="rId1" Type="http://schemas.openxmlformats.org/officeDocument/2006/relationships/hyperlink" Target="https://www.infobae.com/peru/2024/09/10/cuotas-de-poder-impunidad-y-silencio-el-fuerte-mensaje-de-exdefensores-contra-la-labor-e-intereses-de-josue-gutierrez/" TargetMode="External"/><Relationship Id="rId6" Type="http://schemas.openxmlformats.org/officeDocument/2006/relationships/hyperlink" Target="https://x.com/IPYS/status/1816162008661708932?t=a1-w5mPwsZr0deMwjumkwQ&amp;s=08" TargetMode="External"/><Relationship Id="rId11" Type="http://schemas.openxmlformats.org/officeDocument/2006/relationships/hyperlink" Target="https://www.oas.org/es/cidh/defensores/docs/pdf/defensores2011.pdf" TargetMode="External"/><Relationship Id="rId5" Type="http://schemas.openxmlformats.org/officeDocument/2006/relationships/hyperlink" Target="https://x.com/ANP_periodistas/status/1798045674451394710" TargetMode="External"/><Relationship Id="rId10" Type="http://schemas.openxmlformats.org/officeDocument/2006/relationships/hyperlink" Target="https://larepublica.pe/politica/2024/10/15/dina-boluarte-cumple-100-dias-sin-hablar-con-la-prensa-en-medio-de-desaprobacion-y-crisis-de-seguridad-ciudadana-terrorismo-de-imagen-1381100" TargetMode="External"/><Relationship Id="rId4" Type="http://schemas.openxmlformats.org/officeDocument/2006/relationships/hyperlink" Target="https://x.com/IPYS/status/1798075359726022916?t=SaUcxZk3m_pfacSioc4htQ&amp;s=19" TargetMode="External"/><Relationship Id="rId9" Type="http://schemas.openxmlformats.org/officeDocument/2006/relationships/hyperlink" Target="https://www.swissinfo.ch/spa/gremio-de-periodistas-de-per%c3%ba-rechaza-discurso-%22estigmatizador%22-a-la-prensa-de-boluarte/7464607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11F6B-AEC8-4FB3-95BD-C9594FDE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30054</Words>
  <Characters>171314</Characters>
  <Application>Microsoft Office Word</Application>
  <DocSecurity>0</DocSecurity>
  <Lines>1427</Lines>
  <Paragraphs>401</Paragraphs>
  <ScaleCrop>false</ScaleCrop>
  <Company/>
  <LinksUpToDate>false</LinksUpToDate>
  <CharactersWithSpaces>200967</CharactersWithSpaces>
  <SharedDoc>false</SharedDoc>
  <HLinks>
    <vt:vector size="738" baseType="variant">
      <vt:variant>
        <vt:i4>3407934</vt:i4>
      </vt:variant>
      <vt:variant>
        <vt:i4>366</vt:i4>
      </vt:variant>
      <vt:variant>
        <vt:i4>0</vt:i4>
      </vt:variant>
      <vt:variant>
        <vt:i4>5</vt:i4>
      </vt:variant>
      <vt:variant>
        <vt:lpwstr>https://www.oas.org/es/cidh/informes/pdfs/2024/Directrices-generales-seguimiento-2daEdicion.pdf</vt:lpwstr>
      </vt:variant>
      <vt:variant>
        <vt:lpwstr/>
      </vt:variant>
      <vt:variant>
        <vt:i4>7667827</vt:i4>
      </vt:variant>
      <vt:variant>
        <vt:i4>363</vt:i4>
      </vt:variant>
      <vt:variant>
        <vt:i4>0</vt:i4>
      </vt:variant>
      <vt:variant>
        <vt:i4>5</vt:i4>
      </vt:variant>
      <vt:variant>
        <vt:lpwstr>https://www.oas.org/es/cidh/defensores/docs/pdf/defensores2011.pdf</vt:lpwstr>
      </vt:variant>
      <vt:variant>
        <vt:lpwstr/>
      </vt:variant>
      <vt:variant>
        <vt:i4>2818087</vt:i4>
      </vt:variant>
      <vt:variant>
        <vt:i4>360</vt:i4>
      </vt:variant>
      <vt:variant>
        <vt:i4>0</vt:i4>
      </vt:variant>
      <vt:variant>
        <vt:i4>5</vt:i4>
      </vt:variant>
      <vt:variant>
        <vt:lpwstr>https://www.infobae.com/peru/2024/05/31/seguridad-de-dina-boluarte-encierra-a-periodistas-en-pleno-simulacro-multipeligro-y-restringe-su-labor/</vt:lpwstr>
      </vt:variant>
      <vt:variant>
        <vt:lpwstr/>
      </vt:variant>
      <vt:variant>
        <vt:i4>4325455</vt:i4>
      </vt:variant>
      <vt:variant>
        <vt:i4>357</vt:i4>
      </vt:variant>
      <vt:variant>
        <vt:i4>0</vt:i4>
      </vt:variant>
      <vt:variant>
        <vt:i4>5</vt:i4>
      </vt:variant>
      <vt:variant>
        <vt:lpwstr>https://ipys.org/alertas/per%C3%BA-personal-y-seguridad-de-dina-boluarte-encierran-periodistas-en-sala-de-espera-para</vt:lpwstr>
      </vt:variant>
      <vt:variant>
        <vt:lpwstr/>
      </vt:variant>
      <vt:variant>
        <vt:i4>3801140</vt:i4>
      </vt:variant>
      <vt:variant>
        <vt:i4>354</vt:i4>
      </vt:variant>
      <vt:variant>
        <vt:i4>0</vt:i4>
      </vt:variant>
      <vt:variant>
        <vt:i4>5</vt:i4>
      </vt:variant>
      <vt:variant>
        <vt:lpwstr>https://www.defensoria.gob.pe/defensor-del-pueblo-reitera-importancia-del-respeto-irrestricto-a-la-libertad-de-prensa/</vt:lpwstr>
      </vt:variant>
      <vt:variant>
        <vt:lpwstr/>
      </vt:variant>
      <vt:variant>
        <vt:i4>2949182</vt:i4>
      </vt:variant>
      <vt:variant>
        <vt:i4>351</vt:i4>
      </vt:variant>
      <vt:variant>
        <vt:i4>0</vt:i4>
      </vt:variant>
      <vt:variant>
        <vt:i4>5</vt:i4>
      </vt:variant>
      <vt:variant>
        <vt:lpwstr>https://ipys.org/alertas/tc-ordena-la-presidencia-de-la-rep%C3%BAblica-responder-recomendaciones-de-la-defensor%C3%ADa-del</vt:lpwstr>
      </vt:variant>
      <vt:variant>
        <vt:lpwstr/>
      </vt:variant>
      <vt:variant>
        <vt:i4>4063266</vt:i4>
      </vt:variant>
      <vt:variant>
        <vt:i4>348</vt:i4>
      </vt:variant>
      <vt:variant>
        <vt:i4>0</vt:i4>
      </vt:variant>
      <vt:variant>
        <vt:i4>5</vt:i4>
      </vt:variant>
      <vt:variant>
        <vt:lpwstr>https://elcomercio.pe/politica/dina-boluarte-cumple-100-dias-sin-declarar-a-la-prensa-en-medio-de-investigaciones-y-baja-desaprobacion-noticia/</vt:lpwstr>
      </vt:variant>
      <vt:variant>
        <vt:lpwstr/>
      </vt:variant>
      <vt:variant>
        <vt:i4>6225951</vt:i4>
      </vt:variant>
      <vt:variant>
        <vt:i4>345</vt:i4>
      </vt:variant>
      <vt:variant>
        <vt:i4>0</vt:i4>
      </vt:variant>
      <vt:variant>
        <vt:i4>5</vt:i4>
      </vt:variant>
      <vt:variant>
        <vt:lpwstr>https://larepublica.pe/politica/2024/10/15/dina-boluarte-cumple-100-dias-sin-hablar-con-la-prensa-en-medio-de-desaprobacion-y-crisis-de-seguridad-ciudadana-terrorismo-de-imagen-1381100</vt:lpwstr>
      </vt:variant>
      <vt:variant>
        <vt:lpwstr/>
      </vt:variant>
      <vt:variant>
        <vt:i4>3997812</vt:i4>
      </vt:variant>
      <vt:variant>
        <vt:i4>342</vt:i4>
      </vt:variant>
      <vt:variant>
        <vt:i4>0</vt:i4>
      </vt:variant>
      <vt:variant>
        <vt:i4>5</vt:i4>
      </vt:variant>
      <vt:variant>
        <vt:lpwstr>https://www.swissinfo.ch/spa/gremio-de-periodistas-de-per%c3%ba-rechaza-discurso-%22estigmatizador%22-a-la-prensa-de-boluarte/74646073</vt:lpwstr>
      </vt:variant>
      <vt:variant>
        <vt:lpwstr/>
      </vt:variant>
      <vt:variant>
        <vt:i4>7340097</vt:i4>
      </vt:variant>
      <vt:variant>
        <vt:i4>339</vt:i4>
      </vt:variant>
      <vt:variant>
        <vt:i4>0</vt:i4>
      </vt:variant>
      <vt:variant>
        <vt:i4>5</vt:i4>
      </vt:variant>
      <vt:variant>
        <vt:lpwstr>https://x.com/RSF_esp/status/1869429461822882301</vt:lpwstr>
      </vt:variant>
      <vt:variant>
        <vt:lpwstr/>
      </vt:variant>
      <vt:variant>
        <vt:i4>7077978</vt:i4>
      </vt:variant>
      <vt:variant>
        <vt:i4>336</vt:i4>
      </vt:variant>
      <vt:variant>
        <vt:i4>0</vt:i4>
      </vt:variant>
      <vt:variant>
        <vt:i4>5</vt:i4>
      </vt:variant>
      <vt:variant>
        <vt:lpwstr>https://x.com/ANP_periodistas/status/1816145884926574939</vt:lpwstr>
      </vt:variant>
      <vt:variant>
        <vt:lpwstr/>
      </vt:variant>
      <vt:variant>
        <vt:i4>2359403</vt:i4>
      </vt:variant>
      <vt:variant>
        <vt:i4>333</vt:i4>
      </vt:variant>
      <vt:variant>
        <vt:i4>0</vt:i4>
      </vt:variant>
      <vt:variant>
        <vt:i4>5</vt:i4>
      </vt:variant>
      <vt:variant>
        <vt:lpwstr>https://x.com/IPYS/status/1816162008661708932?t=a1-w5mPwsZr0deMwjumkwQ&amp;s=08</vt:lpwstr>
      </vt:variant>
      <vt:variant>
        <vt:lpwstr/>
      </vt:variant>
      <vt:variant>
        <vt:i4>6881366</vt:i4>
      </vt:variant>
      <vt:variant>
        <vt:i4>330</vt:i4>
      </vt:variant>
      <vt:variant>
        <vt:i4>0</vt:i4>
      </vt:variant>
      <vt:variant>
        <vt:i4>5</vt:i4>
      </vt:variant>
      <vt:variant>
        <vt:lpwstr>https://x.com/ANP_periodistas/status/1798045674451394710</vt:lpwstr>
      </vt:variant>
      <vt:variant>
        <vt:lpwstr/>
      </vt:variant>
      <vt:variant>
        <vt:i4>4522020</vt:i4>
      </vt:variant>
      <vt:variant>
        <vt:i4>327</vt:i4>
      </vt:variant>
      <vt:variant>
        <vt:i4>0</vt:i4>
      </vt:variant>
      <vt:variant>
        <vt:i4>5</vt:i4>
      </vt:variant>
      <vt:variant>
        <vt:lpwstr>https://x.com/IPYS/status/1798075359726022916?t=SaUcxZk3m_pfacSioc4htQ&amp;s=19</vt:lpwstr>
      </vt:variant>
      <vt:variant>
        <vt:lpwstr/>
      </vt:variant>
      <vt:variant>
        <vt:i4>3670053</vt:i4>
      </vt:variant>
      <vt:variant>
        <vt:i4>324</vt:i4>
      </vt:variant>
      <vt:variant>
        <vt:i4>0</vt:i4>
      </vt:variant>
      <vt:variant>
        <vt:i4>5</vt:i4>
      </vt:variant>
      <vt:variant>
        <vt:lpwstr>https://www.infobae.com/peru/2024/04/23/altercado-en-cusco-ministra-de-comercio-exterior-se-molesta-arrebata-microfono-a-reportero-y-lo-lanza-al-piso/</vt:lpwstr>
      </vt:variant>
      <vt:variant>
        <vt:lpwstr/>
      </vt:variant>
      <vt:variant>
        <vt:i4>7995505</vt:i4>
      </vt:variant>
      <vt:variant>
        <vt:i4>321</vt:i4>
      </vt:variant>
      <vt:variant>
        <vt:i4>0</vt:i4>
      </vt:variant>
      <vt:variant>
        <vt:i4>5</vt:i4>
      </vt:variant>
      <vt:variant>
        <vt:lpwstr>https://www.infobae.com/peru/2024/06/02/ministro-de-salud-confirma-decision-de-dina-boluarte-de-alejarse-de-la-prensa-para-evitar-supuesto-acoso-politico/</vt:lpwstr>
      </vt:variant>
      <vt:variant>
        <vt:lpwstr/>
      </vt:variant>
      <vt:variant>
        <vt:i4>2556029</vt:i4>
      </vt:variant>
      <vt:variant>
        <vt:i4>318</vt:i4>
      </vt:variant>
      <vt:variant>
        <vt:i4>0</vt:i4>
      </vt:variant>
      <vt:variant>
        <vt:i4>5</vt:i4>
      </vt:variant>
      <vt:variant>
        <vt:lpwstr>https://www.oas.org/es/cidh/expresion/informes/DerechoInformacionSeguridadNacional.pdf</vt:lpwstr>
      </vt:variant>
      <vt:variant>
        <vt:lpwstr/>
      </vt:variant>
      <vt:variant>
        <vt:i4>4063271</vt:i4>
      </vt:variant>
      <vt:variant>
        <vt:i4>315</vt:i4>
      </vt:variant>
      <vt:variant>
        <vt:i4>0</vt:i4>
      </vt:variant>
      <vt:variant>
        <vt:i4>5</vt:i4>
      </vt:variant>
      <vt:variant>
        <vt:lpwstr>https://ipys.org/alertas/per%C3%BA-congresista-presenta-proyecto-de-ley-para-impedir-que-familiares-de-periodistas</vt:lpwstr>
      </vt:variant>
      <vt:variant>
        <vt:lpwstr/>
      </vt:variant>
      <vt:variant>
        <vt:i4>3342389</vt:i4>
      </vt:variant>
      <vt:variant>
        <vt:i4>312</vt:i4>
      </vt:variant>
      <vt:variant>
        <vt:i4>0</vt:i4>
      </vt:variant>
      <vt:variant>
        <vt:i4>5</vt:i4>
      </vt:variant>
      <vt:variant>
        <vt:lpwstr>https://www.expreso.com.pe/politica/accion-popular-busca-someter-a-la-prensa-creacion-de-colegio-de-comunicadores-restringiria-ejercicio-de-la-profesion-luis-cordero-jon-tay-jorge-flores-ancachi-darwin-espinoza-noticia/1086099/</vt:lpwstr>
      </vt:variant>
      <vt:variant>
        <vt:lpwstr/>
      </vt:variant>
      <vt:variant>
        <vt:i4>3145791</vt:i4>
      </vt:variant>
      <vt:variant>
        <vt:i4>309</vt:i4>
      </vt:variant>
      <vt:variant>
        <vt:i4>0</vt:i4>
      </vt:variant>
      <vt:variant>
        <vt:i4>5</vt:i4>
      </vt:variant>
      <vt:variant>
        <vt:lpwstr>https://ipys.org/alertas/per%C3%BA-congresista-presenta-proyecto-para-crear-colegio-de-comunicadores-que-exige-colegiatura</vt:lpwstr>
      </vt:variant>
      <vt:variant>
        <vt:lpwstr/>
      </vt:variant>
      <vt:variant>
        <vt:i4>4194392</vt:i4>
      </vt:variant>
      <vt:variant>
        <vt:i4>306</vt:i4>
      </vt:variant>
      <vt:variant>
        <vt:i4>0</vt:i4>
      </vt:variant>
      <vt:variant>
        <vt:i4>5</vt:i4>
      </vt:variant>
      <vt:variant>
        <vt:lpwstr>https://anp.org.pe/anp-sobre-protocolo-express-para-proteccion-de-periodistas-no-nos-protege/</vt:lpwstr>
      </vt:variant>
      <vt:variant>
        <vt:lpwstr/>
      </vt:variant>
      <vt:variant>
        <vt:i4>7602275</vt:i4>
      </vt:variant>
      <vt:variant>
        <vt:i4>303</vt:i4>
      </vt:variant>
      <vt:variant>
        <vt:i4>0</vt:i4>
      </vt:variant>
      <vt:variant>
        <vt:i4>5</vt:i4>
      </vt:variant>
      <vt:variant>
        <vt:lpwstr>https://cdn.www.gob.pe/uploads/document/file/4202609/ANEXO 0277-2023-IN-3.pdf?v=1677624068</vt:lpwstr>
      </vt:variant>
      <vt:variant>
        <vt:lpwstr/>
      </vt:variant>
      <vt:variant>
        <vt:i4>7143469</vt:i4>
      </vt:variant>
      <vt:variant>
        <vt:i4>300</vt:i4>
      </vt:variant>
      <vt:variant>
        <vt:i4>0</vt:i4>
      </vt:variant>
      <vt:variant>
        <vt:i4>5</vt:i4>
      </vt:variant>
      <vt:variant>
        <vt:lpwstr>https://fiplatina.press/pdfs/peru-termometro-de-libertad-de-prensa-enero-mayo-2024.pdf</vt:lpwstr>
      </vt:variant>
      <vt:variant>
        <vt:lpwstr/>
      </vt:variant>
      <vt:variant>
        <vt:i4>393228</vt:i4>
      </vt:variant>
      <vt:variant>
        <vt:i4>297</vt:i4>
      </vt:variant>
      <vt:variant>
        <vt:i4>0</vt:i4>
      </vt:variant>
      <vt:variant>
        <vt:i4>5</vt:i4>
      </vt:variant>
      <vt:variant>
        <vt:lpwstr>https://img.lpderecho.pe/wp-content/uploads/2023/05/Casacion-1464-2021-Apurimac-LPDerecho.pdf</vt:lpwstr>
      </vt:variant>
      <vt:variant>
        <vt:lpwstr/>
      </vt:variant>
      <vt:variant>
        <vt:i4>5374046</vt:i4>
      </vt:variant>
      <vt:variant>
        <vt:i4>294</vt:i4>
      </vt:variant>
      <vt:variant>
        <vt:i4>0</vt:i4>
      </vt:variant>
      <vt:variant>
        <vt:i4>5</vt:i4>
      </vt:variant>
      <vt:variant>
        <vt:lpwstr>https://img.lpderecho.pe/wp-content/uploads/2023/12/DL-1589-LPDerecho.pdf</vt:lpwstr>
      </vt:variant>
      <vt:variant>
        <vt:lpwstr/>
      </vt:variant>
      <vt:variant>
        <vt:i4>262235</vt:i4>
      </vt:variant>
      <vt:variant>
        <vt:i4>291</vt:i4>
      </vt:variant>
      <vt:variant>
        <vt:i4>0</vt:i4>
      </vt:variant>
      <vt:variant>
        <vt:i4>5</vt:i4>
      </vt:variant>
      <vt:variant>
        <vt:lpwstr>https://www.oas.org/es/cidh/expresion/publicaciones/ProtestayDerechosHumanos.pdf</vt:lpwstr>
      </vt:variant>
      <vt:variant>
        <vt:lpwstr/>
      </vt:variant>
      <vt:variant>
        <vt:i4>7471163</vt:i4>
      </vt:variant>
      <vt:variant>
        <vt:i4>288</vt:i4>
      </vt:variant>
      <vt:variant>
        <vt:i4>0</vt:i4>
      </vt:variant>
      <vt:variant>
        <vt:i4>5</vt:i4>
      </vt:variant>
      <vt:variant>
        <vt:lpwstr>https://www.gob.pe/institucion/pcm/normas-legales/6195712-100-2024-pcm</vt:lpwstr>
      </vt:variant>
      <vt:variant>
        <vt:lpwstr/>
      </vt:variant>
      <vt:variant>
        <vt:i4>3866655</vt:i4>
      </vt:variant>
      <vt:variant>
        <vt:i4>285</vt:i4>
      </vt:variant>
      <vt:variant>
        <vt:i4>0</vt:i4>
      </vt:variant>
      <vt:variant>
        <vt:i4>5</vt:i4>
      </vt:variant>
      <vt:variant>
        <vt:lpwstr>https://www.policia.gob.pe/pnp/archivos/portal/doc/24958doc_R.C.G-PNP-418-2022-CG-PNP-EMG-aprobando-directiva.pdf</vt:lpwstr>
      </vt:variant>
      <vt:variant>
        <vt:lpwstr/>
      </vt:variant>
      <vt:variant>
        <vt:i4>7995489</vt:i4>
      </vt:variant>
      <vt:variant>
        <vt:i4>282</vt:i4>
      </vt:variant>
      <vt:variant>
        <vt:i4>0</vt:i4>
      </vt:variant>
      <vt:variant>
        <vt:i4>5</vt:i4>
      </vt:variant>
      <vt:variant>
        <vt:lpwstr>https://tc.gob.pe/jurisprudencia/2005/04677-2004-AA.pdf</vt:lpwstr>
      </vt:variant>
      <vt:variant>
        <vt:lpwstr/>
      </vt:variant>
      <vt:variant>
        <vt:i4>262235</vt:i4>
      </vt:variant>
      <vt:variant>
        <vt:i4>279</vt:i4>
      </vt:variant>
      <vt:variant>
        <vt:i4>0</vt:i4>
      </vt:variant>
      <vt:variant>
        <vt:i4>5</vt:i4>
      </vt:variant>
      <vt:variant>
        <vt:lpwstr>https://www.oas.org/es/cidh/expresion/publicaciones/ProtestayDerechosHumanos.pdf</vt:lpwstr>
      </vt:variant>
      <vt:variant>
        <vt:lpwstr/>
      </vt:variant>
      <vt:variant>
        <vt:i4>6946913</vt:i4>
      </vt:variant>
      <vt:variant>
        <vt:i4>276</vt:i4>
      </vt:variant>
      <vt:variant>
        <vt:i4>0</vt:i4>
      </vt:variant>
      <vt:variant>
        <vt:i4>5</vt:i4>
      </vt:variant>
      <vt:variant>
        <vt:lpwstr>https://www.exitosanoticias.pe/politica/fernando-rospigliosi-critica-paro-nacional-transportistas-busca-crear-mas-inestabilidad-n137482</vt:lpwstr>
      </vt:variant>
      <vt:variant>
        <vt:lpwstr/>
      </vt:variant>
      <vt:variant>
        <vt:i4>327697</vt:i4>
      </vt:variant>
      <vt:variant>
        <vt:i4>273</vt:i4>
      </vt:variant>
      <vt:variant>
        <vt:i4>0</vt:i4>
      </vt:variant>
      <vt:variant>
        <vt:i4>5</vt:i4>
      </vt:variant>
      <vt:variant>
        <vt:lpwstr>https://www.infobae.com/peru/2024/10/30/vocero-de-dina-boluarte-llamo-traidores-de-la-patria-a-quienes-convoquen-a-protestas-durante-la-cumbre-apec/</vt:lpwstr>
      </vt:variant>
      <vt:variant>
        <vt:lpwstr/>
      </vt:variant>
      <vt:variant>
        <vt:i4>3604578</vt:i4>
      </vt:variant>
      <vt:variant>
        <vt:i4>270</vt:i4>
      </vt:variant>
      <vt:variant>
        <vt:i4>0</vt:i4>
      </vt:variant>
      <vt:variant>
        <vt:i4>5</vt:i4>
      </vt:variant>
      <vt:variant>
        <vt:lpwstr>https://rpp.pe/politica/actualidad/gustavo-adrianzen-cuestiona-convocatoria-de-paro-nacional-indefinido-de-un-sector-de-transportistas-pcm-noticia-1591954</vt:lpwstr>
      </vt:variant>
      <vt:variant>
        <vt:lpwstr/>
      </vt:variant>
      <vt:variant>
        <vt:i4>917579</vt:i4>
      </vt:variant>
      <vt:variant>
        <vt:i4>267</vt:i4>
      </vt:variant>
      <vt:variant>
        <vt:i4>0</vt:i4>
      </vt:variant>
      <vt:variant>
        <vt:i4>5</vt:i4>
      </vt:variant>
      <vt:variant>
        <vt:lpwstr>https://www.gob.pe/institucion/cultura/normas-legales/5399215-013-2021-mc</vt:lpwstr>
      </vt:variant>
      <vt:variant>
        <vt:lpwstr/>
      </vt:variant>
      <vt:variant>
        <vt:i4>71</vt:i4>
      </vt:variant>
      <vt:variant>
        <vt:i4>264</vt:i4>
      </vt:variant>
      <vt:variant>
        <vt:i4>0</vt:i4>
      </vt:variant>
      <vt:variant>
        <vt:i4>5</vt:i4>
      </vt:variant>
      <vt:variant>
        <vt:lpwstr>https://www.oas.org/es/cidh/informes/pdfs/proteccion-personas-defensoras.pdf</vt:lpwstr>
      </vt:variant>
      <vt:variant>
        <vt:lpwstr/>
      </vt:variant>
      <vt:variant>
        <vt:i4>6357051</vt:i4>
      </vt:variant>
      <vt:variant>
        <vt:i4>261</vt:i4>
      </vt:variant>
      <vt:variant>
        <vt:i4>0</vt:i4>
      </vt:variant>
      <vt:variant>
        <vt:i4>5</vt:i4>
      </vt:variant>
      <vt:variant>
        <vt:lpwstr>https://wb2server.congreso.gob.pe/spley-portal-service/archivo/MTkzNDEw/pdf</vt:lpwstr>
      </vt:variant>
      <vt:variant>
        <vt:lpwstr/>
      </vt:variant>
      <vt:variant>
        <vt:i4>2097200</vt:i4>
      </vt:variant>
      <vt:variant>
        <vt:i4>258</vt:i4>
      </vt:variant>
      <vt:variant>
        <vt:i4>0</vt:i4>
      </vt:variant>
      <vt:variant>
        <vt:i4>5</vt:i4>
      </vt:variant>
      <vt:variant>
        <vt:lpwstr>https://www.hrw.org/es/world-report/2024/country-chapters/peru</vt:lpwstr>
      </vt:variant>
      <vt:variant>
        <vt:lpwstr/>
      </vt:variant>
      <vt:variant>
        <vt:i4>5636162</vt:i4>
      </vt:variant>
      <vt:variant>
        <vt:i4>255</vt:i4>
      </vt:variant>
      <vt:variant>
        <vt:i4>0</vt:i4>
      </vt:variant>
      <vt:variant>
        <vt:i4>5</vt:i4>
      </vt:variant>
      <vt:variant>
        <vt:lpwstr>https://elcomercio.pe/politica/actualidad/asociacion-nacional-de-periodistas-rechaza-expresiones-de-dina-boluarte-sobre-el-terrorismo-de-imagen-anp-ultimas-noticia/</vt:lpwstr>
      </vt:variant>
      <vt:variant>
        <vt:lpwstr/>
      </vt:variant>
      <vt:variant>
        <vt:i4>327701</vt:i4>
      </vt:variant>
      <vt:variant>
        <vt:i4>252</vt:i4>
      </vt:variant>
      <vt:variant>
        <vt:i4>0</vt:i4>
      </vt:variant>
      <vt:variant>
        <vt:i4>5</vt:i4>
      </vt:variant>
      <vt:variant>
        <vt:lpwstr>https://www.nytimes.com/es/2023/02/02/espanol/peru-protestas-gervasi.html</vt:lpwstr>
      </vt:variant>
      <vt:variant>
        <vt:lpwstr/>
      </vt:variant>
      <vt:variant>
        <vt:i4>1572894</vt:i4>
      </vt:variant>
      <vt:variant>
        <vt:i4>249</vt:i4>
      </vt:variant>
      <vt:variant>
        <vt:i4>0</vt:i4>
      </vt:variant>
      <vt:variant>
        <vt:i4>5</vt:i4>
      </vt:variant>
      <vt:variant>
        <vt:lpwstr>https://www.gob.pe/institucion/mpfn/normas-legales/2867771-439-2022-mp-fn</vt:lpwstr>
      </vt:variant>
      <vt:variant>
        <vt:lpwstr/>
      </vt:variant>
      <vt:variant>
        <vt:i4>2752558</vt:i4>
      </vt:variant>
      <vt:variant>
        <vt:i4>246</vt:i4>
      </vt:variant>
      <vt:variant>
        <vt:i4>0</vt:i4>
      </vt:variant>
      <vt:variant>
        <vt:i4>5</vt:i4>
      </vt:variant>
      <vt:variant>
        <vt:lpwstr>https://busquedas.elperuano.pe/dispositivo/NL/1946184-4</vt:lpwstr>
      </vt:variant>
      <vt:variant>
        <vt:lpwstr/>
      </vt:variant>
      <vt:variant>
        <vt:i4>4849720</vt:i4>
      </vt:variant>
      <vt:variant>
        <vt:i4>243</vt:i4>
      </vt:variant>
      <vt:variant>
        <vt:i4>0</vt:i4>
      </vt:variant>
      <vt:variant>
        <vt:i4>5</vt:i4>
      </vt:variant>
      <vt:variant>
        <vt:lpwstr>https://portal.jne.gob.pe/portal_documentos/files/informacionlegal/Constitucin y Leyes1/LEY DE ELECCIONES REGIONALES .pdf</vt:lpwstr>
      </vt:variant>
      <vt:variant>
        <vt:lpwstr/>
      </vt:variant>
      <vt:variant>
        <vt:i4>2621541</vt:i4>
      </vt:variant>
      <vt:variant>
        <vt:i4>240</vt:i4>
      </vt:variant>
      <vt:variant>
        <vt:i4>0</vt:i4>
      </vt:variant>
      <vt:variant>
        <vt:i4>5</vt:i4>
      </vt:variant>
      <vt:variant>
        <vt:lpwstr>https://www.oas.org/es/cidh/prensa/comunicados/2016/117.asp</vt:lpwstr>
      </vt:variant>
      <vt:variant>
        <vt:lpwstr/>
      </vt:variant>
      <vt:variant>
        <vt:i4>7929906</vt:i4>
      </vt:variant>
      <vt:variant>
        <vt:i4>237</vt:i4>
      </vt:variant>
      <vt:variant>
        <vt:i4>0</vt:i4>
      </vt:variant>
      <vt:variant>
        <vt:i4>5</vt:i4>
      </vt:variant>
      <vt:variant>
        <vt:lpwstr>https://img.lpderecho.pe/wp-content/uploads/2024/05/Ley-32028-LPDerecho.pdf</vt:lpwstr>
      </vt:variant>
      <vt:variant>
        <vt:lpwstr/>
      </vt:variant>
      <vt:variant>
        <vt:i4>2293856</vt:i4>
      </vt:variant>
      <vt:variant>
        <vt:i4>234</vt:i4>
      </vt:variant>
      <vt:variant>
        <vt:i4>0</vt:i4>
      </vt:variant>
      <vt:variant>
        <vt:i4>5</vt:i4>
      </vt:variant>
      <vt:variant>
        <vt:lpwstr>https://www.infobae.com/peru/2024/09/10/cuotas-de-poder-impunidad-y-silencio-el-fuerte-mensaje-de-exdefensores-contra-la-labor-e-intereses-de-josue-gutierrez/</vt:lpwstr>
      </vt:variant>
      <vt:variant>
        <vt:lpwstr/>
      </vt:variant>
      <vt:variant>
        <vt:i4>7929906</vt:i4>
      </vt:variant>
      <vt:variant>
        <vt:i4>231</vt:i4>
      </vt:variant>
      <vt:variant>
        <vt:i4>0</vt:i4>
      </vt:variant>
      <vt:variant>
        <vt:i4>5</vt:i4>
      </vt:variant>
      <vt:variant>
        <vt:lpwstr>https://img.lpderecho.pe/wp-content/uploads/2024/05/Ley-32028-LPDerecho.pdf</vt:lpwstr>
      </vt:variant>
      <vt:variant>
        <vt:lpwstr/>
      </vt:variant>
      <vt:variant>
        <vt:i4>1376347</vt:i4>
      </vt:variant>
      <vt:variant>
        <vt:i4>228</vt:i4>
      </vt:variant>
      <vt:variant>
        <vt:i4>0</vt:i4>
      </vt:variant>
      <vt:variant>
        <vt:i4>5</vt:i4>
      </vt:variant>
      <vt:variant>
        <vt:lpwstr>https://www.oas.org/es/CIDH/jsForm/?File=/es/cidh/prensa/comunicados/2024/206.asp&amp;utm_content=country-per&amp;utm_term=class-mon</vt:lpwstr>
      </vt:variant>
      <vt:variant>
        <vt:lpwstr/>
      </vt:variant>
      <vt:variant>
        <vt:i4>8060977</vt:i4>
      </vt:variant>
      <vt:variant>
        <vt:i4>225</vt:i4>
      </vt:variant>
      <vt:variant>
        <vt:i4>0</vt:i4>
      </vt:variant>
      <vt:variant>
        <vt:i4>5</vt:i4>
      </vt:variant>
      <vt:variant>
        <vt:lpwstr>https://img.lpderecho.pe/wp-content/uploads/2024/08/Ley-32107-LPDerecho.pdf</vt:lpwstr>
      </vt:variant>
      <vt:variant>
        <vt:lpwstr/>
      </vt:variant>
      <vt:variant>
        <vt:i4>2687013</vt:i4>
      </vt:variant>
      <vt:variant>
        <vt:i4>222</vt:i4>
      </vt:variant>
      <vt:variant>
        <vt:i4>0</vt:i4>
      </vt:variant>
      <vt:variant>
        <vt:i4>5</vt:i4>
      </vt:variant>
      <vt:variant>
        <vt:lpwstr>https://busquedas.elperuano.pe/dispositivo/NL/2181041-1</vt:lpwstr>
      </vt:variant>
      <vt:variant>
        <vt:lpwstr/>
      </vt:variant>
      <vt:variant>
        <vt:i4>7077943</vt:i4>
      </vt:variant>
      <vt:variant>
        <vt:i4>219</vt:i4>
      </vt:variant>
      <vt:variant>
        <vt:i4>0</vt:i4>
      </vt:variant>
      <vt:variant>
        <vt:i4>5</vt:i4>
      </vt:variant>
      <vt:variant>
        <vt:lpwstr>https://img.lpderecho.pe/wp-content/uploads/2024/03/Ley-31990-modifica-el-Codigo-Procesal-Penal-Proceso-especial-por-colaboracion-eficaz-LPDERECHO.pdf</vt:lpwstr>
      </vt:variant>
      <vt:variant>
        <vt:lpwstr/>
      </vt:variant>
      <vt:variant>
        <vt:i4>2359413</vt:i4>
      </vt:variant>
      <vt:variant>
        <vt:i4>216</vt:i4>
      </vt:variant>
      <vt:variant>
        <vt:i4>0</vt:i4>
      </vt:variant>
      <vt:variant>
        <vt:i4>5</vt:i4>
      </vt:variant>
      <vt:variant>
        <vt:lpwstr>https://img.lpderecho.pe/wp-content/uploads/2024/10/Ley-32130-entrega-la-conduccion-del-delito-a-la-policia-en-investigacion-preliminar-LP-DERECHO.pdf</vt:lpwstr>
      </vt:variant>
      <vt:variant>
        <vt:lpwstr/>
      </vt:variant>
      <vt:variant>
        <vt:i4>8060990</vt:i4>
      </vt:variant>
      <vt:variant>
        <vt:i4>213</vt:i4>
      </vt:variant>
      <vt:variant>
        <vt:i4>0</vt:i4>
      </vt:variant>
      <vt:variant>
        <vt:i4>5</vt:i4>
      </vt:variant>
      <vt:variant>
        <vt:lpwstr>https://img.lpderecho.pe/wp-content/uploads/2024/08/Ley-32108-LPDerecho.pdf</vt:lpwstr>
      </vt:variant>
      <vt:variant>
        <vt:lpwstr/>
      </vt:variant>
      <vt:variant>
        <vt:i4>7471166</vt:i4>
      </vt:variant>
      <vt:variant>
        <vt:i4>210</vt:i4>
      </vt:variant>
      <vt:variant>
        <vt:i4>0</vt:i4>
      </vt:variant>
      <vt:variant>
        <vt:i4>5</vt:i4>
      </vt:variant>
      <vt:variant>
        <vt:lpwstr>https://img.lpderecho.pe/wp-content/uploads/2024/12/Ley-32182-LPDerecho.pdf</vt:lpwstr>
      </vt:variant>
      <vt:variant>
        <vt:lpwstr/>
      </vt:variant>
      <vt:variant>
        <vt:i4>7864442</vt:i4>
      </vt:variant>
      <vt:variant>
        <vt:i4>207</vt:i4>
      </vt:variant>
      <vt:variant>
        <vt:i4>0</vt:i4>
      </vt:variant>
      <vt:variant>
        <vt:i4>5</vt:i4>
      </vt:variant>
      <vt:variant>
        <vt:lpwstr>https://comunicaciones.congreso.gob.pe/noticias/aprueban-reforma-constitucional-para-fortalecer-la-neutralidad-e-imparcialidad-en-el-sistema-electoral/</vt:lpwstr>
      </vt:variant>
      <vt:variant>
        <vt:lpwstr/>
      </vt:variant>
      <vt:variant>
        <vt:i4>8323132</vt:i4>
      </vt:variant>
      <vt:variant>
        <vt:i4>204</vt:i4>
      </vt:variant>
      <vt:variant>
        <vt:i4>0</vt:i4>
      </vt:variant>
      <vt:variant>
        <vt:i4>5</vt:i4>
      </vt:variant>
      <vt:variant>
        <vt:lpwstr>https://img.lpderecho.pe/wp-content/uploads/2024/11/Ley-32153-LPDerecho.pdf</vt:lpwstr>
      </vt:variant>
      <vt:variant>
        <vt:lpwstr/>
      </vt:variant>
      <vt:variant>
        <vt:i4>458765</vt:i4>
      </vt:variant>
      <vt:variant>
        <vt:i4>201</vt:i4>
      </vt:variant>
      <vt:variant>
        <vt:i4>0</vt:i4>
      </vt:variant>
      <vt:variant>
        <vt:i4>5</vt:i4>
      </vt:variant>
      <vt:variant>
        <vt:lpwstr>https://www.oas.org/es/cidh/docs/anual/2022/capitulos/8-IA2022_Cap_4B_NI_ES.pdf</vt:lpwstr>
      </vt:variant>
      <vt:variant>
        <vt:lpwstr/>
      </vt:variant>
      <vt:variant>
        <vt:i4>7077967</vt:i4>
      </vt:variant>
      <vt:variant>
        <vt:i4>198</vt:i4>
      </vt:variant>
      <vt:variant>
        <vt:i4>0</vt:i4>
      </vt:variant>
      <vt:variant>
        <vt:i4>5</vt:i4>
      </vt:variant>
      <vt:variant>
        <vt:lpwstr>https://www.oas.org/es/cidh/informes/pdfs/2023/Compendio_Institucionalidad_Democratica_DDHH.pdf</vt:lpwstr>
      </vt:variant>
      <vt:variant>
        <vt:lpwstr/>
      </vt:variant>
      <vt:variant>
        <vt:i4>7077967</vt:i4>
      </vt:variant>
      <vt:variant>
        <vt:i4>195</vt:i4>
      </vt:variant>
      <vt:variant>
        <vt:i4>0</vt:i4>
      </vt:variant>
      <vt:variant>
        <vt:i4>5</vt:i4>
      </vt:variant>
      <vt:variant>
        <vt:lpwstr>https://www.oas.org/es/cidh/informes/pdfs/2023/Compendio_Institucionalidad_Democratica_DDHH.pdf</vt:lpwstr>
      </vt:variant>
      <vt:variant>
        <vt:lpwstr/>
      </vt:variant>
      <vt:variant>
        <vt:i4>6291548</vt:i4>
      </vt:variant>
      <vt:variant>
        <vt:i4>192</vt:i4>
      </vt:variant>
      <vt:variant>
        <vt:i4>0</vt:i4>
      </vt:variant>
      <vt:variant>
        <vt:i4>5</vt:i4>
      </vt:variant>
      <vt:variant>
        <vt:lpwstr>https://www.oas.org/es/CIDH/jsForm/?File=/es/cidh/prensa/comunicados/2023/129.asp&amp;utm_content=country-per</vt:lpwstr>
      </vt:variant>
      <vt:variant>
        <vt:lpwstr/>
      </vt:variant>
      <vt:variant>
        <vt:i4>1507416</vt:i4>
      </vt:variant>
      <vt:variant>
        <vt:i4>189</vt:i4>
      </vt:variant>
      <vt:variant>
        <vt:i4>0</vt:i4>
      </vt:variant>
      <vt:variant>
        <vt:i4>5</vt:i4>
      </vt:variant>
      <vt:variant>
        <vt:lpwstr>https://www.oas.org/es/CIDH/jsForm/?File=/es/cidh/prensa/comunicados/2023/222.asp&amp;utm_content=country-per&amp;utm_term=class-mon</vt:lpwstr>
      </vt:variant>
      <vt:variant>
        <vt:lpwstr/>
      </vt:variant>
      <vt:variant>
        <vt:i4>1441886</vt:i4>
      </vt:variant>
      <vt:variant>
        <vt:i4>186</vt:i4>
      </vt:variant>
      <vt:variant>
        <vt:i4>0</vt:i4>
      </vt:variant>
      <vt:variant>
        <vt:i4>5</vt:i4>
      </vt:variant>
      <vt:variant>
        <vt:lpwstr>https://www.oas.org/es/CIDH/jsForm/?File=/es/cidh/prensa/comunicados/2024/130.asp&amp;utm_content=country-per&amp;utm_term=class-mon</vt:lpwstr>
      </vt:variant>
      <vt:variant>
        <vt:lpwstr/>
      </vt:variant>
      <vt:variant>
        <vt:i4>2949167</vt:i4>
      </vt:variant>
      <vt:variant>
        <vt:i4>183</vt:i4>
      </vt:variant>
      <vt:variant>
        <vt:i4>0</vt:i4>
      </vt:variant>
      <vt:variant>
        <vt:i4>5</vt:i4>
      </vt:variant>
      <vt:variant>
        <vt:lpwstr>https://busquedas.elperuano.pe/dispositivo/NL/2352315-3</vt:lpwstr>
      </vt:variant>
      <vt:variant>
        <vt:lpwstr/>
      </vt:variant>
      <vt:variant>
        <vt:i4>6946903</vt:i4>
      </vt:variant>
      <vt:variant>
        <vt:i4>180</vt:i4>
      </vt:variant>
      <vt:variant>
        <vt:i4>0</vt:i4>
      </vt:variant>
      <vt:variant>
        <vt:i4>5</vt:i4>
      </vt:variant>
      <vt:variant>
        <vt:lpwstr>https://www.oas.org/es/CIDH/jsForm/?File=/es/cidh/prensa/comunicados/2023/281.asp&amp;utm_content=country-per</vt:lpwstr>
      </vt:variant>
      <vt:variant>
        <vt:lpwstr/>
      </vt:variant>
      <vt:variant>
        <vt:i4>4718666</vt:i4>
      </vt:variant>
      <vt:variant>
        <vt:i4>177</vt:i4>
      </vt:variant>
      <vt:variant>
        <vt:i4>0</vt:i4>
      </vt:variant>
      <vt:variant>
        <vt:i4>5</vt:i4>
      </vt:variant>
      <vt:variant>
        <vt:lpwstr>https://www.lapatria.pe/elperuano/610-19/resolucion-ministerial-n-0179-2024-jus/</vt:lpwstr>
      </vt:variant>
      <vt:variant>
        <vt:lpwstr/>
      </vt:variant>
      <vt:variant>
        <vt:i4>655440</vt:i4>
      </vt:variant>
      <vt:variant>
        <vt:i4>174</vt:i4>
      </vt:variant>
      <vt:variant>
        <vt:i4>0</vt:i4>
      </vt:variant>
      <vt:variant>
        <vt:i4>5</vt:i4>
      </vt:variant>
      <vt:variant>
        <vt:lpwstr>https://www.gob.pe/institucion/minjus/normas-legales/2021726-012-2021-jus</vt:lpwstr>
      </vt:variant>
      <vt:variant>
        <vt:lpwstr/>
      </vt:variant>
      <vt:variant>
        <vt:i4>4128804</vt:i4>
      </vt:variant>
      <vt:variant>
        <vt:i4>171</vt:i4>
      </vt:variant>
      <vt:variant>
        <vt:i4>0</vt:i4>
      </vt:variant>
      <vt:variant>
        <vt:i4>5</vt:i4>
      </vt:variant>
      <vt:variant>
        <vt:lpwstr>https://www.gob.pe/institucion/consejo-de-justicia/normas-legales/355915-30942</vt:lpwstr>
      </vt:variant>
      <vt:variant>
        <vt:lpwstr/>
      </vt:variant>
      <vt:variant>
        <vt:i4>786500</vt:i4>
      </vt:variant>
      <vt:variant>
        <vt:i4>168</vt:i4>
      </vt:variant>
      <vt:variant>
        <vt:i4>0</vt:i4>
      </vt:variant>
      <vt:variant>
        <vt:i4>5</vt:i4>
      </vt:variant>
      <vt:variant>
        <vt:lpwstr>https://comunicaciones.congreso.gob.pe/noticias/solicitan-especialistas-y-mayor-equipamiento-para-el-instituto-de-medicina-legal-y-ciencias-forenses/</vt:lpwstr>
      </vt:variant>
      <vt:variant>
        <vt:lpwstr/>
      </vt:variant>
      <vt:variant>
        <vt:i4>1900632</vt:i4>
      </vt:variant>
      <vt:variant>
        <vt:i4>165</vt:i4>
      </vt:variant>
      <vt:variant>
        <vt:i4>0</vt:i4>
      </vt:variant>
      <vt:variant>
        <vt:i4>5</vt:i4>
      </vt:variant>
      <vt:variant>
        <vt:lpwstr>https://www.gob.pe/institucion/mef/normas-legales/4286871-109-2023-ef</vt:lpwstr>
      </vt:variant>
      <vt:variant>
        <vt:lpwstr/>
      </vt:variant>
      <vt:variant>
        <vt:i4>2752555</vt:i4>
      </vt:variant>
      <vt:variant>
        <vt:i4>162</vt:i4>
      </vt:variant>
      <vt:variant>
        <vt:i4>0</vt:i4>
      </vt:variant>
      <vt:variant>
        <vt:i4>5</vt:i4>
      </vt:variant>
      <vt:variant>
        <vt:lpwstr>https://busquedas.elperuano.pe/dispositivo/NL/2247625-1</vt:lpwstr>
      </vt:variant>
      <vt:variant>
        <vt:lpwstr/>
      </vt:variant>
      <vt:variant>
        <vt:i4>1900632</vt:i4>
      </vt:variant>
      <vt:variant>
        <vt:i4>159</vt:i4>
      </vt:variant>
      <vt:variant>
        <vt:i4>0</vt:i4>
      </vt:variant>
      <vt:variant>
        <vt:i4>5</vt:i4>
      </vt:variant>
      <vt:variant>
        <vt:lpwstr>https://www.gob.pe/institucion/mef/normas-legales/4286871-109-2023-ef</vt:lpwstr>
      </vt:variant>
      <vt:variant>
        <vt:lpwstr/>
      </vt:variant>
      <vt:variant>
        <vt:i4>7471165</vt:i4>
      </vt:variant>
      <vt:variant>
        <vt:i4>156</vt:i4>
      </vt:variant>
      <vt:variant>
        <vt:i4>0</vt:i4>
      </vt:variant>
      <vt:variant>
        <vt:i4>5</vt:i4>
      </vt:variant>
      <vt:variant>
        <vt:lpwstr>https://img.lpderecho.pe/wp-content/uploads/2024/12/Ley-32181-LPDerecho.pdf</vt:lpwstr>
      </vt:variant>
      <vt:variant>
        <vt:lpwstr/>
      </vt:variant>
      <vt:variant>
        <vt:i4>2097190</vt:i4>
      </vt:variant>
      <vt:variant>
        <vt:i4>153</vt:i4>
      </vt:variant>
      <vt:variant>
        <vt:i4>0</vt:i4>
      </vt:variant>
      <vt:variant>
        <vt:i4>5</vt:i4>
      </vt:variant>
      <vt:variant>
        <vt:lpwstr>https://busquedas.elperuano.pe/dispositivo/NL/2198645-1</vt:lpwstr>
      </vt:variant>
      <vt:variant>
        <vt:lpwstr/>
      </vt:variant>
      <vt:variant>
        <vt:i4>3211306</vt:i4>
      </vt:variant>
      <vt:variant>
        <vt:i4>150</vt:i4>
      </vt:variant>
      <vt:variant>
        <vt:i4>0</vt:i4>
      </vt:variant>
      <vt:variant>
        <vt:i4>5</vt:i4>
      </vt:variant>
      <vt:variant>
        <vt:lpwstr>https://www.oas.org/es/cidh/docs/pdfS/SEGURIDAD CIUDADANA 2009 ESP.pdf</vt:lpwstr>
      </vt:variant>
      <vt:variant>
        <vt:lpwstr/>
      </vt:variant>
      <vt:variant>
        <vt:i4>1179733</vt:i4>
      </vt:variant>
      <vt:variant>
        <vt:i4>147</vt:i4>
      </vt:variant>
      <vt:variant>
        <vt:i4>0</vt:i4>
      </vt:variant>
      <vt:variant>
        <vt:i4>5</vt:i4>
      </vt:variant>
      <vt:variant>
        <vt:lpwstr>https://comunicaciones.congreso.gob.pe/noticias/aprueban-dictamen-que-declara-imputabilidad-de-adolescentes-de-16-y-17-anos-para-delitos-graves/</vt:lpwstr>
      </vt:variant>
      <vt:variant>
        <vt:lpwstr/>
      </vt:variant>
      <vt:variant>
        <vt:i4>3866655</vt:i4>
      </vt:variant>
      <vt:variant>
        <vt:i4>144</vt:i4>
      </vt:variant>
      <vt:variant>
        <vt:i4>0</vt:i4>
      </vt:variant>
      <vt:variant>
        <vt:i4>5</vt:i4>
      </vt:variant>
      <vt:variant>
        <vt:lpwstr>https://www.policia.gob.pe/pnp/archivos/portal/doc/24958doc_R.C.G-PNP-418-2022-CG-PNP-EMG-aprobando-directiva.pdf</vt:lpwstr>
      </vt:variant>
      <vt:variant>
        <vt:lpwstr/>
      </vt:variant>
      <vt:variant>
        <vt:i4>1441876</vt:i4>
      </vt:variant>
      <vt:variant>
        <vt:i4>141</vt:i4>
      </vt:variant>
      <vt:variant>
        <vt:i4>0</vt:i4>
      </vt:variant>
      <vt:variant>
        <vt:i4>5</vt:i4>
      </vt:variant>
      <vt:variant>
        <vt:lpwstr>https://www.gob.pe/institucion/mimp/normas-legales/3878172-002-2023-mimp</vt:lpwstr>
      </vt:variant>
      <vt:variant>
        <vt:lpwstr/>
      </vt:variant>
      <vt:variant>
        <vt:i4>2752559</vt:i4>
      </vt:variant>
      <vt:variant>
        <vt:i4>138</vt:i4>
      </vt:variant>
      <vt:variant>
        <vt:i4>0</vt:i4>
      </vt:variant>
      <vt:variant>
        <vt:i4>5</vt:i4>
      </vt:variant>
      <vt:variant>
        <vt:lpwstr>https://busquedas.elperuano.pe/dispositivo/NL/2036818-1</vt:lpwstr>
      </vt:variant>
      <vt:variant>
        <vt:lpwstr/>
      </vt:variant>
      <vt:variant>
        <vt:i4>6094853</vt:i4>
      </vt:variant>
      <vt:variant>
        <vt:i4>135</vt:i4>
      </vt:variant>
      <vt:variant>
        <vt:i4>0</vt:i4>
      </vt:variant>
      <vt:variant>
        <vt:i4>5</vt:i4>
      </vt:variant>
      <vt:variant>
        <vt:lpwstr>https://bdpi.cultura.gob.pe/</vt:lpwstr>
      </vt:variant>
      <vt:variant>
        <vt:lpwstr/>
      </vt:variant>
      <vt:variant>
        <vt:i4>4784196</vt:i4>
      </vt:variant>
      <vt:variant>
        <vt:i4>132</vt:i4>
      </vt:variant>
      <vt:variant>
        <vt:i4>0</vt:i4>
      </vt:variant>
      <vt:variant>
        <vt:i4>5</vt:i4>
      </vt:variant>
      <vt:variant>
        <vt:lpwstr>https://www.gob.pe/institucion/cultura/normas-legales/289561-ds-n-009-2019-mc</vt:lpwstr>
      </vt:variant>
      <vt:variant>
        <vt:lpwstr/>
      </vt:variant>
      <vt:variant>
        <vt:i4>1179655</vt:i4>
      </vt:variant>
      <vt:variant>
        <vt:i4>129</vt:i4>
      </vt:variant>
      <vt:variant>
        <vt:i4>0</vt:i4>
      </vt:variant>
      <vt:variant>
        <vt:i4>5</vt:i4>
      </vt:variant>
      <vt:variant>
        <vt:lpwstr>https://www.gob.pe/institucion/cultura/normas-legales/209587-124-2015-mc</vt:lpwstr>
      </vt:variant>
      <vt:variant>
        <vt:lpwstr/>
      </vt:variant>
      <vt:variant>
        <vt:i4>1310723</vt:i4>
      </vt:variant>
      <vt:variant>
        <vt:i4>126</vt:i4>
      </vt:variant>
      <vt:variant>
        <vt:i4>0</vt:i4>
      </vt:variant>
      <vt:variant>
        <vt:i4>5</vt:i4>
      </vt:variant>
      <vt:variant>
        <vt:lpwstr>https://www.gob.pe/institucion/cultura/normas-legales/206210-003-2015-mc</vt:lpwstr>
      </vt:variant>
      <vt:variant>
        <vt:lpwstr/>
      </vt:variant>
      <vt:variant>
        <vt:i4>3473465</vt:i4>
      </vt:variant>
      <vt:variant>
        <vt:i4>123</vt:i4>
      </vt:variant>
      <vt:variant>
        <vt:i4>0</vt:i4>
      </vt:variant>
      <vt:variant>
        <vt:i4>5</vt:i4>
      </vt:variant>
      <vt:variant>
        <vt:lpwstr>https://biblioteca.corteidh.or.cr/adjunto/38989</vt:lpwstr>
      </vt:variant>
      <vt:variant>
        <vt:lpwstr/>
      </vt:variant>
      <vt:variant>
        <vt:i4>5439526</vt:i4>
      </vt:variant>
      <vt:variant>
        <vt:i4>120</vt:i4>
      </vt:variant>
      <vt:variant>
        <vt:i4>0</vt:i4>
      </vt:variant>
      <vt:variant>
        <vt:i4>5</vt:i4>
      </vt:variant>
      <vt:variant>
        <vt:lpwstr>https://www.oas.org/es/cidh/informes/pdfs/2023/Informe_Seguimiento_GIEI-Bolivia_ES.pdf</vt:lpwstr>
      </vt:variant>
      <vt:variant>
        <vt:lpwstr/>
      </vt:variant>
      <vt:variant>
        <vt:i4>6619245</vt:i4>
      </vt:variant>
      <vt:variant>
        <vt:i4>117</vt:i4>
      </vt:variant>
      <vt:variant>
        <vt:i4>0</vt:i4>
      </vt:variant>
      <vt:variant>
        <vt:i4>5</vt:i4>
      </vt:variant>
      <vt:variant>
        <vt:lpwstr>https://www.oas.org/es/cidh/informes/pdfs/CompendioJusticiaTransicional-es.pdf</vt:lpwstr>
      </vt:variant>
      <vt:variant>
        <vt:lpwstr/>
      </vt:variant>
      <vt:variant>
        <vt:i4>6619245</vt:i4>
      </vt:variant>
      <vt:variant>
        <vt:i4>114</vt:i4>
      </vt:variant>
      <vt:variant>
        <vt:i4>0</vt:i4>
      </vt:variant>
      <vt:variant>
        <vt:i4>5</vt:i4>
      </vt:variant>
      <vt:variant>
        <vt:lpwstr>https://www.oas.org/es/cidh/informes/pdfs/CompendioJusticiaTransicional-es.pdf</vt:lpwstr>
      </vt:variant>
      <vt:variant>
        <vt:lpwstr/>
      </vt:variant>
      <vt:variant>
        <vt:i4>6619245</vt:i4>
      </vt:variant>
      <vt:variant>
        <vt:i4>111</vt:i4>
      </vt:variant>
      <vt:variant>
        <vt:i4>0</vt:i4>
      </vt:variant>
      <vt:variant>
        <vt:i4>5</vt:i4>
      </vt:variant>
      <vt:variant>
        <vt:lpwstr>https://www.oas.org/es/cidh/informes/pdfs/CompendioJusticiaTransicional-es.pdf</vt:lpwstr>
      </vt:variant>
      <vt:variant>
        <vt:lpwstr/>
      </vt:variant>
      <vt:variant>
        <vt:i4>4718642</vt:i4>
      </vt:variant>
      <vt:variant>
        <vt:i4>108</vt:i4>
      </vt:variant>
      <vt:variant>
        <vt:i4>0</vt:i4>
      </vt:variant>
      <vt:variant>
        <vt:i4>5</vt:i4>
      </vt:variant>
      <vt:variant>
        <vt:lpwstr>https://busquedas.elperuano.pe/dispositivo/NL/2153889-1?fbclid=IwAR2XSZfX397eWBvRnXgrBSIcbyEKvfc0ulpDgT0OC9EYymzZek1EQ_UflDk</vt:lpwstr>
      </vt:variant>
      <vt:variant>
        <vt:lpwstr/>
      </vt:variant>
      <vt:variant>
        <vt:i4>131147</vt:i4>
      </vt:variant>
      <vt:variant>
        <vt:i4>105</vt:i4>
      </vt:variant>
      <vt:variant>
        <vt:i4>0</vt:i4>
      </vt:variant>
      <vt:variant>
        <vt:i4>5</vt:i4>
      </vt:variant>
      <vt:variant>
        <vt:lpwstr>https://www.gob.pe/institucion/mindef/normas-legales/4279877-027-2023-de</vt:lpwstr>
      </vt:variant>
      <vt:variant>
        <vt:lpwstr/>
      </vt:variant>
      <vt:variant>
        <vt:i4>2883616</vt:i4>
      </vt:variant>
      <vt:variant>
        <vt:i4>102</vt:i4>
      </vt:variant>
      <vt:variant>
        <vt:i4>0</vt:i4>
      </vt:variant>
      <vt:variant>
        <vt:i4>5</vt:i4>
      </vt:variant>
      <vt:variant>
        <vt:lpwstr>https://busquedas.elperuano.pe/dispositivo/NL/2139699-2</vt:lpwstr>
      </vt:variant>
      <vt:variant>
        <vt:lpwstr/>
      </vt:variant>
      <vt:variant>
        <vt:i4>262235</vt:i4>
      </vt:variant>
      <vt:variant>
        <vt:i4>99</vt:i4>
      </vt:variant>
      <vt:variant>
        <vt:i4>0</vt:i4>
      </vt:variant>
      <vt:variant>
        <vt:i4>5</vt:i4>
      </vt:variant>
      <vt:variant>
        <vt:lpwstr>https://www.oas.org/es/cidh/expresion/publicaciones/ProtestayDerechosHumanos.pdf</vt:lpwstr>
      </vt:variant>
      <vt:variant>
        <vt:lpwstr/>
      </vt:variant>
      <vt:variant>
        <vt:i4>2818110</vt:i4>
      </vt:variant>
      <vt:variant>
        <vt:i4>96</vt:i4>
      </vt:variant>
      <vt:variant>
        <vt:i4>0</vt:i4>
      </vt:variant>
      <vt:variant>
        <vt:i4>5</vt:i4>
      </vt:variant>
      <vt:variant>
        <vt:lpwstr>https://www.corteidh.or.cr/docs/casos/articulos/seriec_150_esp.pdf</vt:lpwstr>
      </vt:variant>
      <vt:variant>
        <vt:lpwstr/>
      </vt:variant>
      <vt:variant>
        <vt:i4>7733311</vt:i4>
      </vt:variant>
      <vt:variant>
        <vt:i4>93</vt:i4>
      </vt:variant>
      <vt:variant>
        <vt:i4>0</vt:i4>
      </vt:variant>
      <vt:variant>
        <vt:i4>5</vt:i4>
      </vt:variant>
      <vt:variant>
        <vt:lpwstr>https://www.ohchr.org/es/instruments-mechanisms/instruments/basic-principles-use-force-and-firearms-law-enforcement</vt:lpwstr>
      </vt:variant>
      <vt:variant>
        <vt:lpwstr/>
      </vt:variant>
      <vt:variant>
        <vt:i4>2424881</vt:i4>
      </vt:variant>
      <vt:variant>
        <vt:i4>90</vt:i4>
      </vt:variant>
      <vt:variant>
        <vt:i4>0</vt:i4>
      </vt:variant>
      <vt:variant>
        <vt:i4>5</vt:i4>
      </vt:variant>
      <vt:variant>
        <vt:lpwstr>https://www.ohchr.org/es/instruments-mechanisms/instruments/code-conduct-law-enforcement-officials</vt:lpwstr>
      </vt:variant>
      <vt:variant>
        <vt:lpwstr/>
      </vt:variant>
      <vt:variant>
        <vt:i4>1638400</vt:i4>
      </vt:variant>
      <vt:variant>
        <vt:i4>87</vt:i4>
      </vt:variant>
      <vt:variant>
        <vt:i4>0</vt:i4>
      </vt:variant>
      <vt:variant>
        <vt:i4>5</vt:i4>
      </vt:variant>
      <vt:variant>
        <vt:lpwstr>https://www.oas.org/es/cidh/informes/pdfs/2023/informe-situacionddhh-peru.pdf</vt:lpwstr>
      </vt:variant>
      <vt:variant>
        <vt:lpwstr/>
      </vt:variant>
      <vt:variant>
        <vt:i4>2621487</vt:i4>
      </vt:variant>
      <vt:variant>
        <vt:i4>84</vt:i4>
      </vt:variant>
      <vt:variant>
        <vt:i4>0</vt:i4>
      </vt:variant>
      <vt:variant>
        <vt:i4>5</vt:i4>
      </vt:variant>
      <vt:variant>
        <vt:lpwstr>https://busquedas.elperuano.pe/dispositivo/NL/2246611-5</vt:lpwstr>
      </vt:variant>
      <vt:variant>
        <vt:lpwstr/>
      </vt:variant>
      <vt:variant>
        <vt:i4>2752625</vt:i4>
      </vt:variant>
      <vt:variant>
        <vt:i4>81</vt:i4>
      </vt:variant>
      <vt:variant>
        <vt:i4>0</vt:i4>
      </vt:variant>
      <vt:variant>
        <vt:i4>5</vt:i4>
      </vt:variant>
      <vt:variant>
        <vt:lpwstr>https://img.lpderecho.pe/wp-content/uploads/2023/12/Decreto-Legislativo-1605-LPDerecho.pdf</vt:lpwstr>
      </vt:variant>
      <vt:variant>
        <vt:lpwstr/>
      </vt:variant>
      <vt:variant>
        <vt:i4>2621487</vt:i4>
      </vt:variant>
      <vt:variant>
        <vt:i4>78</vt:i4>
      </vt:variant>
      <vt:variant>
        <vt:i4>0</vt:i4>
      </vt:variant>
      <vt:variant>
        <vt:i4>5</vt:i4>
      </vt:variant>
      <vt:variant>
        <vt:lpwstr>https://busquedas.elperuano.pe/dispositivo/NL/2246611-3</vt:lpwstr>
      </vt:variant>
      <vt:variant>
        <vt:lpwstr/>
      </vt:variant>
      <vt:variant>
        <vt:i4>2162730</vt:i4>
      </vt:variant>
      <vt:variant>
        <vt:i4>75</vt:i4>
      </vt:variant>
      <vt:variant>
        <vt:i4>0</vt:i4>
      </vt:variant>
      <vt:variant>
        <vt:i4>5</vt:i4>
      </vt:variant>
      <vt:variant>
        <vt:lpwstr>https://busquedas.elperuano.pe/dispositivo/NL/2218364-1</vt:lpwstr>
      </vt:variant>
      <vt:variant>
        <vt:lpwstr/>
      </vt:variant>
      <vt:variant>
        <vt:i4>589888</vt:i4>
      </vt:variant>
      <vt:variant>
        <vt:i4>72</vt:i4>
      </vt:variant>
      <vt:variant>
        <vt:i4>0</vt:i4>
      </vt:variant>
      <vt:variant>
        <vt:i4>5</vt:i4>
      </vt:variant>
      <vt:variant>
        <vt:lpwstr>https://www.gob.pe/institucion/mindef/normas-legales/4413116-032-2023-de</vt:lpwstr>
      </vt:variant>
      <vt:variant>
        <vt:lpwstr/>
      </vt:variant>
      <vt:variant>
        <vt:i4>1179741</vt:i4>
      </vt:variant>
      <vt:variant>
        <vt:i4>69</vt:i4>
      </vt:variant>
      <vt:variant>
        <vt:i4>0</vt:i4>
      </vt:variant>
      <vt:variant>
        <vt:i4>5</vt:i4>
      </vt:variant>
      <vt:variant>
        <vt:lpwstr>https://www.oas.org/es/CIDH/jsForm/?File=/es/cidh/prensa/comunicados/2023/174.asp&amp;utm_content=country-per&amp;utm_term=class-mon</vt:lpwstr>
      </vt:variant>
      <vt:variant>
        <vt:lpwstr/>
      </vt:variant>
      <vt:variant>
        <vt:i4>262235</vt:i4>
      </vt:variant>
      <vt:variant>
        <vt:i4>66</vt:i4>
      </vt:variant>
      <vt:variant>
        <vt:i4>0</vt:i4>
      </vt:variant>
      <vt:variant>
        <vt:i4>5</vt:i4>
      </vt:variant>
      <vt:variant>
        <vt:lpwstr>https://www.oas.org/es/cidh/expresion/publicaciones/ProtestayDerechosHumanos.pdf</vt:lpwstr>
      </vt:variant>
      <vt:variant>
        <vt:lpwstr/>
      </vt:variant>
      <vt:variant>
        <vt:i4>7471165</vt:i4>
      </vt:variant>
      <vt:variant>
        <vt:i4>63</vt:i4>
      </vt:variant>
      <vt:variant>
        <vt:i4>0</vt:i4>
      </vt:variant>
      <vt:variant>
        <vt:i4>5</vt:i4>
      </vt:variant>
      <vt:variant>
        <vt:lpwstr>https://img.lpderecho.pe/wp-content/uploads/2024/12/Ley-32181-LPDerecho.pdf</vt:lpwstr>
      </vt:variant>
      <vt:variant>
        <vt:lpwstr/>
      </vt:variant>
      <vt:variant>
        <vt:i4>3145840</vt:i4>
      </vt:variant>
      <vt:variant>
        <vt:i4>60</vt:i4>
      </vt:variant>
      <vt:variant>
        <vt:i4>0</vt:i4>
      </vt:variant>
      <vt:variant>
        <vt:i4>5</vt:i4>
      </vt:variant>
      <vt:variant>
        <vt:lpwstr>https://www.gob.pe/institucion/mindef/normas-legales/6072585-01098-2024-de</vt:lpwstr>
      </vt:variant>
      <vt:variant>
        <vt:lpwstr/>
      </vt:variant>
      <vt:variant>
        <vt:i4>655376</vt:i4>
      </vt:variant>
      <vt:variant>
        <vt:i4>57</vt:i4>
      </vt:variant>
      <vt:variant>
        <vt:i4>0</vt:i4>
      </vt:variant>
      <vt:variant>
        <vt:i4>5</vt:i4>
      </vt:variant>
      <vt:variant>
        <vt:lpwstr>https://www.gob.pe/institucion/mindef/normas-legales/2732215-0066-2022-de</vt:lpwstr>
      </vt:variant>
      <vt:variant>
        <vt:lpwstr/>
      </vt:variant>
      <vt:variant>
        <vt:i4>589849</vt:i4>
      </vt:variant>
      <vt:variant>
        <vt:i4>54</vt:i4>
      </vt:variant>
      <vt:variant>
        <vt:i4>0</vt:i4>
      </vt:variant>
      <vt:variant>
        <vt:i4>5</vt:i4>
      </vt:variant>
      <vt:variant>
        <vt:lpwstr>https://www.gob.pe/institucion/mindef/normas-legales/2732195-0067-2022-de</vt:lpwstr>
      </vt:variant>
      <vt:variant>
        <vt:lpwstr/>
      </vt:variant>
      <vt:variant>
        <vt:i4>6225944</vt:i4>
      </vt:variant>
      <vt:variant>
        <vt:i4>51</vt:i4>
      </vt:variant>
      <vt:variant>
        <vt:i4>0</vt:i4>
      </vt:variant>
      <vt:variant>
        <vt:i4>5</vt:i4>
      </vt:variant>
      <vt:variant>
        <vt:lpwstr>https://www2.congreso.gob.pe/sicr/cendocbib/con2_uibd.nsf/4E2FCC17050A1136052577910065602D/$FILE/DECR_LEGISLATIVO_PR_1095.pdf</vt:lpwstr>
      </vt:variant>
      <vt:variant>
        <vt:lpwstr/>
      </vt:variant>
      <vt:variant>
        <vt:i4>4194391</vt:i4>
      </vt:variant>
      <vt:variant>
        <vt:i4>48</vt:i4>
      </vt:variant>
      <vt:variant>
        <vt:i4>0</vt:i4>
      </vt:variant>
      <vt:variant>
        <vt:i4>5</vt:i4>
      </vt:variant>
      <vt:variant>
        <vt:lpwstr>https://www.policia.gob.pe/Contenido/doc/dirincri/NormasEspecialidad/NormasLegalesDIRANDRO/Decreto Legislativo N%C2%B0 1186 Uso de la Fuerza.pdf</vt:lpwstr>
      </vt:variant>
      <vt:variant>
        <vt:lpwstr/>
      </vt:variant>
      <vt:variant>
        <vt:i4>7667762</vt:i4>
      </vt:variant>
      <vt:variant>
        <vt:i4>45</vt:i4>
      </vt:variant>
      <vt:variant>
        <vt:i4>0</vt:i4>
      </vt:variant>
      <vt:variant>
        <vt:i4>5</vt:i4>
      </vt:variant>
      <vt:variant>
        <vt:lpwstr>https://www.oas.org/es/cidh/informes/pdfs/politicaspublicasddhh.pdf</vt:lpwstr>
      </vt:variant>
      <vt:variant>
        <vt:lpwstr/>
      </vt:variant>
      <vt:variant>
        <vt:i4>65536</vt:i4>
      </vt:variant>
      <vt:variant>
        <vt:i4>42</vt:i4>
      </vt:variant>
      <vt:variant>
        <vt:i4>0</vt:i4>
      </vt:variant>
      <vt:variant>
        <vt:i4>5</vt:i4>
      </vt:variant>
      <vt:variant>
        <vt:lpwstr>https://www.oas.org/es/cidh/informes/pdfs/compendio-igualdadnodiscriminacion.pdf</vt:lpwstr>
      </vt:variant>
      <vt:variant>
        <vt:lpwstr/>
      </vt:variant>
      <vt:variant>
        <vt:i4>917579</vt:i4>
      </vt:variant>
      <vt:variant>
        <vt:i4>39</vt:i4>
      </vt:variant>
      <vt:variant>
        <vt:i4>0</vt:i4>
      </vt:variant>
      <vt:variant>
        <vt:i4>5</vt:i4>
      </vt:variant>
      <vt:variant>
        <vt:lpwstr>https://www.gob.pe/institucion/cultura/normas-legales/5399215-013-2021-mc</vt:lpwstr>
      </vt:variant>
      <vt:variant>
        <vt:lpwstr/>
      </vt:variant>
      <vt:variant>
        <vt:i4>4653084</vt:i4>
      </vt:variant>
      <vt:variant>
        <vt:i4>36</vt:i4>
      </vt:variant>
      <vt:variant>
        <vt:i4>0</vt:i4>
      </vt:variant>
      <vt:variant>
        <vt:i4>5</vt:i4>
      </vt:variant>
      <vt:variant>
        <vt:lpwstr>https://transparencia.cultura.gob.pe/sites/default/files/transparencia/2023/05/resoluciones-ministeriales/rm000187-2023-mc-anexo.pdf</vt:lpwstr>
      </vt:variant>
      <vt:variant>
        <vt:lpwstr/>
      </vt:variant>
      <vt:variant>
        <vt:i4>1179701</vt:i4>
      </vt:variant>
      <vt:variant>
        <vt:i4>33</vt:i4>
      </vt:variant>
      <vt:variant>
        <vt:i4>0</vt:i4>
      </vt:variant>
      <vt:variant>
        <vt:i4>5</vt:i4>
      </vt:variant>
      <vt:variant>
        <vt:lpwstr>https://normlex.ilo.org/dyn/nrmlx_es/f?p=NORMLEXPUB:12100:0::NO::P12100_INSTRUMENT_ID:312314</vt:lpwstr>
      </vt:variant>
      <vt:variant>
        <vt:lpwstr/>
      </vt:variant>
      <vt:variant>
        <vt:i4>8061027</vt:i4>
      </vt:variant>
      <vt:variant>
        <vt:i4>30</vt:i4>
      </vt:variant>
      <vt:variant>
        <vt:i4>0</vt:i4>
      </vt:variant>
      <vt:variant>
        <vt:i4>5</vt:i4>
      </vt:variant>
      <vt:variant>
        <vt:lpwstr>https://tc.gob.pe/jurisprudencia/2024/00151-2021-AA.pdf</vt:lpwstr>
      </vt:variant>
      <vt:variant>
        <vt:lpwstr/>
      </vt:variant>
      <vt:variant>
        <vt:i4>7733301</vt:i4>
      </vt:variant>
      <vt:variant>
        <vt:i4>27</vt:i4>
      </vt:variant>
      <vt:variant>
        <vt:i4>0</vt:i4>
      </vt:variant>
      <vt:variant>
        <vt:i4>5</vt:i4>
      </vt:variant>
      <vt:variant>
        <vt:lpwstr>https://www.gob.pe/institucion/minam/normas-legales/5818014-005-2024-minam</vt:lpwstr>
      </vt:variant>
      <vt:variant>
        <vt:lpwstr/>
      </vt:variant>
      <vt:variant>
        <vt:i4>589912</vt:i4>
      </vt:variant>
      <vt:variant>
        <vt:i4>24</vt:i4>
      </vt:variant>
      <vt:variant>
        <vt:i4>0</vt:i4>
      </vt:variant>
      <vt:variant>
        <vt:i4>5</vt:i4>
      </vt:variant>
      <vt:variant>
        <vt:lpwstr>https://news.un.org/es/story/2024/01/1527437</vt:lpwstr>
      </vt:variant>
      <vt:variant>
        <vt:lpwstr/>
      </vt:variant>
      <vt:variant>
        <vt:i4>5111876</vt:i4>
      </vt:variant>
      <vt:variant>
        <vt:i4>21</vt:i4>
      </vt:variant>
      <vt:variant>
        <vt:i4>0</vt:i4>
      </vt:variant>
      <vt:variant>
        <vt:i4>5</vt:i4>
      </vt:variant>
      <vt:variant>
        <vt:lpwstr>https://sinia.minam.gob.pe/sites/default/files/archivos/public/docs/Ley-31973.pdf</vt:lpwstr>
      </vt:variant>
      <vt:variant>
        <vt:lpwstr/>
      </vt:variant>
      <vt:variant>
        <vt:i4>7667762</vt:i4>
      </vt:variant>
      <vt:variant>
        <vt:i4>18</vt:i4>
      </vt:variant>
      <vt:variant>
        <vt:i4>0</vt:i4>
      </vt:variant>
      <vt:variant>
        <vt:i4>5</vt:i4>
      </vt:variant>
      <vt:variant>
        <vt:lpwstr>https://www.oas.org/es/cidh/informes/pdfs/politicaspublicasddhh.pdf</vt:lpwstr>
      </vt:variant>
      <vt:variant>
        <vt:lpwstr/>
      </vt:variant>
      <vt:variant>
        <vt:i4>7667762</vt:i4>
      </vt:variant>
      <vt:variant>
        <vt:i4>15</vt:i4>
      </vt:variant>
      <vt:variant>
        <vt:i4>0</vt:i4>
      </vt:variant>
      <vt:variant>
        <vt:i4>5</vt:i4>
      </vt:variant>
      <vt:variant>
        <vt:lpwstr>https://www.oas.org/es/cidh/informes/pdfs/politicaspublicasddhh.pdf</vt:lpwstr>
      </vt:variant>
      <vt:variant>
        <vt:lpwstr/>
      </vt:variant>
      <vt:variant>
        <vt:i4>3407934</vt:i4>
      </vt:variant>
      <vt:variant>
        <vt:i4>12</vt:i4>
      </vt:variant>
      <vt:variant>
        <vt:i4>0</vt:i4>
      </vt:variant>
      <vt:variant>
        <vt:i4>5</vt:i4>
      </vt:variant>
      <vt:variant>
        <vt:lpwstr>https://www.oas.org/es/cidh/informes/pdfs/2024/Directrices-generales-seguimiento-2daEdicion.pdf</vt:lpwstr>
      </vt:variant>
      <vt:variant>
        <vt:lpwstr/>
      </vt:variant>
      <vt:variant>
        <vt:i4>851994</vt:i4>
      </vt:variant>
      <vt:variant>
        <vt:i4>9</vt:i4>
      </vt:variant>
      <vt:variant>
        <vt:i4>0</vt:i4>
      </vt:variant>
      <vt:variant>
        <vt:i4>5</vt:i4>
      </vt:variant>
      <vt:variant>
        <vt:lpwstr>https://www.oas.org/ext/es/derechos-humanos/simore/Recomendaciones?V=1&amp;search3322=+&amp;pagesize=12&amp;filter-Mechanism1=56&amp;filter-Reach=31</vt:lpwstr>
      </vt:variant>
      <vt:variant>
        <vt:lpwstr/>
      </vt:variant>
      <vt:variant>
        <vt:i4>851994</vt:i4>
      </vt:variant>
      <vt:variant>
        <vt:i4>6</vt:i4>
      </vt:variant>
      <vt:variant>
        <vt:i4>0</vt:i4>
      </vt:variant>
      <vt:variant>
        <vt:i4>5</vt:i4>
      </vt:variant>
      <vt:variant>
        <vt:lpwstr>https://www.oas.org/ext/es/derechos-humanos/simore/Recomendaciones?V=1&amp;search3322=+&amp;pagesize=12&amp;filter-Mechanism1=56&amp;filter-Reach=31</vt:lpwstr>
      </vt:variant>
      <vt:variant>
        <vt:lpwstr/>
      </vt:variant>
      <vt:variant>
        <vt:i4>1638400</vt:i4>
      </vt:variant>
      <vt:variant>
        <vt:i4>3</vt:i4>
      </vt:variant>
      <vt:variant>
        <vt:i4>0</vt:i4>
      </vt:variant>
      <vt:variant>
        <vt:i4>5</vt:i4>
      </vt:variant>
      <vt:variant>
        <vt:lpwstr>https://www.oas.org/es/cidh/informes/pdfs/2023/informe-situacionddhh-peru.pdf</vt:lpwstr>
      </vt:variant>
      <vt:variant>
        <vt:lpwstr/>
      </vt:variant>
      <vt:variant>
        <vt:i4>1638400</vt:i4>
      </vt:variant>
      <vt:variant>
        <vt:i4>0</vt:i4>
      </vt:variant>
      <vt:variant>
        <vt:i4>0</vt:i4>
      </vt:variant>
      <vt:variant>
        <vt:i4>5</vt:i4>
      </vt:variant>
      <vt:variant>
        <vt:lpwstr>https://www.oas.org/es/cidh/informes/pdfs/2023/informe-situacionddhh-peru.pdf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Capítulo V: Perú</dc:subject>
  <dc:creator/>
  <cp:keywords/>
  <dc:description/>
  <cp:lastModifiedBy/>
  <cp:revision>1</cp:revision>
  <dcterms:created xsi:type="dcterms:W3CDTF">2025-04-16T20:24:00Z</dcterms:created>
  <dcterms:modified xsi:type="dcterms:W3CDTF">2025-04-29T18:38:00Z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5</vt:lpwstr>
  </property>
  <property fmtid="{D5CDD505-2E9C-101B-9397-08002B2CF9AE}" pid="4" name="Country">
    <vt:lpwstr>PER</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