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Questionário de consulta pública sobre liberdade de expressão e discursos não protegidos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200" w:line="240" w:lineRule="auto"/>
        <w:ind w:right="200"/>
        <w:jc w:val="both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A Relatoria Especial para a Liberdade de Expressão da Comissão Interamericana de Direitos Humanos (CIDH) está preparando um relatório temático que busca analisar a interação entre liberdade de expressão, igualdade e não discriminação de grupos historicamente marginalizados no debate público, entendidos por tais aqueles grupos identificados pela CIDH e que, por sua vez, possuem  experiências inter-relacionadas, como as pessoas LGBTI+, mulheres, afrodescendentes, povos indígenas, pessoas em situação de mobilidade, pessoas com deficiência, idosos, entre outros. Esta análise tem como objetivo avançar os parâmetros relativos ao conteúdo e ao alcance do artigo 13.5 da Convenção Americana sobre Direitos Humanos, por meio de um estudo jurídico consistente com o corpus iuris interamericano. O estudo visa a refletir sobre questões jurídicas relevantes, como a definição de discurso de ódio e as consequentes obrigações internacionais dos Estados em relação ao seu tratamento.</w:t>
      </w:r>
    </w:p>
    <w:p w:rsidR="00000000" w:rsidDel="00000000" w:rsidP="00000000" w:rsidRDefault="00000000" w:rsidRPr="00000000" w14:paraId="00000003">
      <w:pPr>
        <w:spacing w:after="200" w:before="200" w:line="240" w:lineRule="auto"/>
        <w:ind w:right="200"/>
        <w:jc w:val="both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Este relatório faz parte do Programa da RELE sobre a liberdade de expressão e a luta contra a discriminação e a exclusão. Neste sentido, a RELE realiza este estudo com o entendimento de que a liberdade de expressão e os direitos à igualdade e à não discriminação se reforçam mutuamente e que os esclarecimentos sobre suas interações normativas no sistema interamericano terão impacto na promoção de um debate público mais inclusivo. </w:t>
      </w:r>
    </w:p>
    <w:p w:rsidR="00000000" w:rsidDel="00000000" w:rsidP="00000000" w:rsidRDefault="00000000" w:rsidRPr="00000000" w14:paraId="00000004">
      <w:pPr>
        <w:spacing w:after="200" w:before="200" w:line="240" w:lineRule="auto"/>
        <w:ind w:right="200"/>
        <w:jc w:val="both"/>
        <w:rPr>
          <w:rFonts w:ascii="Verdana" w:cs="Verdana" w:eastAsia="Verdana" w:hAnsi="Verdana"/>
          <w:b w:val="1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Nesse contexto, a Relatoria Especial convida organizações da sociedade civil, organizações internacionais, pessoas defensoras dos direitos humanos, organizações acadêmicas, instituições e demais partes interessadas a apresentarem por escrito informações que considerem relevantes para o objetivo do estudo. Na mesma linha, a RELE convida-os a manifestar o seu interesse em participar numa consulta pública virtual que terá lugar em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1 de julho de 2024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, durante a qual as organizações e os indivíduos registados e confirmados terão também a oportunidade de apresentar contributos oralmente.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Alcance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 do termo "violência ou qualquer outra ação ilegal similar" no numeral 5 do artigo 13 da CADH, em sua versão em espanhole e em inglês. O termo violência pode ser interpretado de forma a abranger hostilidade e/ou a discriminação?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Âmbito de aplicação de outros termos-chave do numeral 5 do artigo 13, tais como ódio, apologia, incitação, grupos de pessoas (na versão da CADH em espanhol), bem como critérios para a sua determinação.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Critérios a utilizar para interpretar o numeral 5 do artigo 13 da CADH, tendo em conta as diferenças de termos e de conteúdo entre as versões inglesa, espanhola, portuguesa e francesa da CADH.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Critérios para a harmonização do corpus iuris interamericano com base na relação entre a CADH e a 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Convenção Interamericana Contra Toda Forma de Discriminação e Intolerância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 e a C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Convenção Interamericana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 contra o 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Racismo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, a Discriminação Racial e Formas C</w:t>
      </w: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orrelatas de Intolerância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, bem como outros tratados regionais anti-discriminação adotados posteriormente à CADH.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A abordagem mais adequada da polissemia do termo "discurso de ódio" à luz do numeral 5 do artigo 13 da CADH.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O numeral 5 do artigo 13 impõe a obrigação de criminalizar o discurso não protegido? A proibição através de outras esferas - como a civil ou administrativa - é suficiente?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Relevância e aplicabilidade dos critérios do Plano de Ação de Rabat das Nações Unidas no âmbito do numeral 5 do artigo 13 da CADH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É necessário identificar que a(s) vítima(s) se enquadra(m) numa das "categorias suspeitas" - quer explicitamente definidas no numeral do artigo 13 da CADH, como a raça ou a religião, quer noutra categoria, como as pessoas LGBTI - para que o discurso seja considerado não protegido pelo n.º 5 do artigo 13?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Implicações da existência de eventuais outros discursos não protegidos, de acordo com outros instrumentos internacionais, para o âmbito de aplicação do numeral 5 do do artigo 13. Nesse sentido, tal como a pornografia infantil ou a incitação ao genocídio foram identificados como discursos não protegidos pelo relatório Marco Jurídico Interamericano sobre Direito à Liberdade de Expressão em 2009, há outros discursos que devem ser considerados não protegidos atualmente, para além do explicitamente estabelecido no numeral 5 do artigo 13.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Implicações das disposições do artigo 29 da CADH para a interpretação de outros direitos, incluindo a proibição da supressão do gozo de direitos (artigo 29(1)) no contexto de discurso de ódio, de discurso estigmatizante e de discursos que procuram desumanizar e minar os direitos humanos.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Deverão as expressões de funcionários públicos, quando promovem a intolerância, a discriminação ou a desinformação, ser consideradas não protegidas mesmo que não estejam necessariamente abrangidas pelo numeral 5 do artigo 13. Deverá ser taplicado um critério diferente nestes casos?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Os deveres especiais a que estão sujeitas as pessoas que exercem função pública no momento em que se pronunciam publicamente devem também aplicar-se a outras categorias de pessoas - como candidatos, dirigentes de partidos políticos, jornalistas, pessoas privadas com grande influência no debate público, etc.?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Critérios para abordar o discurso não protegido na Internet e o papel dos atores privados no marco jurídico interamericano.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Implicações do artigo 13(5), da CADH relativamente ao discurso não protegido em linha e às obrigações dos Estados nesse contexto.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Experiências nacionais no tratamento de discursos estigmatizantes e de ódio, incluindo desafios e boas práticas.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Experiência comparada a partir de outros sistemas de direitos humanos, se for aplicável; 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Propostas e boas práticas existentes para prevenir e combater os discursos estigmatizantes e de ódio de uma forma coerente com a CADH, incluindo na Internet.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Contribuições relativas a grupos historicamente discriminados específicos e às abordagens específicas devem ser abordadas pelo art. 13(5) em relação a estes grupos.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Outras questões relevantes identificadas pelas partes interessadas.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2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As contribuições podem abordar parcial ou totalmente as questões levantadas. Além disso, podem ser anexados outros materiais de apoio, tais como relatórios, estudos acadêmicos e outros materiais de referência já preparados e/ou publicados relevantes para o tema.A Relatoria Especial agradece as contribuições recebidas para a preparação do relatório.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200" w:firstLine="0"/>
        <w:jc w:val="both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Instruções de envio de contribuições por escrito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line="240" w:lineRule="auto"/>
        <w:ind w:left="720" w:hanging="360"/>
        <w:jc w:val="both"/>
        <w:rPr>
          <w:rFonts w:ascii="Verdana" w:cs="Verdana" w:eastAsia="Verdana" w:hAnsi="Verdana"/>
          <w:color w:val="333333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Prazo para apresentação de contribuições escritas: 8 de julho de 2024 (hora de Washington, D.C.)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line="240" w:lineRule="auto"/>
        <w:ind w:left="720" w:hanging="360"/>
        <w:jc w:val="both"/>
        <w:rPr>
          <w:rFonts w:ascii="Verdana" w:cs="Verdana" w:eastAsia="Verdana" w:hAnsi="Verdana"/>
          <w:color w:val="333333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Endereço de email: CIDHexpresion@oas.org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line="240" w:lineRule="auto"/>
        <w:ind w:left="720" w:hanging="360"/>
        <w:jc w:val="both"/>
        <w:rPr>
          <w:rFonts w:ascii="Verdana" w:cs="Verdana" w:eastAsia="Verdana" w:hAnsi="Verdana"/>
          <w:color w:val="333333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Assunto do email: "Submissão de contribuições escritas - liberdade de expressão e discurso desprotegido".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line="240" w:lineRule="auto"/>
        <w:ind w:left="720" w:hanging="360"/>
        <w:jc w:val="both"/>
        <w:rPr>
          <w:rFonts w:ascii="Verdana" w:cs="Verdana" w:eastAsia="Verdana" w:hAnsi="Verdana"/>
          <w:color w:val="333333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Limite de palavras: 3.000 palavras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line="240" w:lineRule="auto"/>
        <w:ind w:left="720" w:hanging="360"/>
        <w:jc w:val="both"/>
        <w:rPr>
          <w:rFonts w:ascii="Verdana" w:cs="Verdana" w:eastAsia="Verdana" w:hAnsi="Verdana"/>
          <w:color w:val="333333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Formatos de arquivo: Word, PDF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40" w:line="240" w:lineRule="auto"/>
        <w:ind w:left="720" w:hanging="360"/>
        <w:jc w:val="both"/>
        <w:rPr>
          <w:rFonts w:ascii="Verdana" w:cs="Verdana" w:eastAsia="Verdana" w:hAnsi="Verdana"/>
          <w:color w:val="333333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Línguas aceitas: inglês, espanhol, francês ou português.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Instruções de registo para a consulta pública online a realizar-se em 1 de julho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Para além de receber contribuições escritas para a elaboração do relatório, a Relatoria Especial facilitará uma consulta pública virtual em 1 de julho de 2024, na qual as organizações e os indivíduos registrados e confirmados terão a oportunidade de apresentar informações oralmente. Se desejar participar, deve apresentar um pedido de registo de acordo com as seguintes instruções: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240" w:line="240" w:lineRule="auto"/>
        <w:ind w:left="720" w:hanging="360"/>
        <w:jc w:val="both"/>
        <w:rPr>
          <w:rFonts w:ascii="Verdana" w:cs="Verdana" w:eastAsia="Verdana" w:hAnsi="Verdana"/>
          <w:color w:val="333333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Prazo para candidatar-se para participar na consulta pública virtual: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21 de junho de 2024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 (hora de Washington, D.C.)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Verdana" w:cs="Verdana" w:eastAsia="Verdana" w:hAnsi="Verdana"/>
          <w:color w:val="333333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Endereço de correio eletrónico: CIDHexpresion@oas.org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Verdana" w:cs="Verdana" w:eastAsia="Verdana" w:hAnsi="Verdana"/>
          <w:color w:val="333333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Linha de assunto do correio eletrónico: "Pedido de registo para a consulta pública de 1 de julho".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Verdana" w:cs="Verdana" w:eastAsia="Verdana" w:hAnsi="Verdana"/>
          <w:color w:val="333333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O email deve conter as seguintes informações: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after="0" w:afterAutospacing="0" w:line="240" w:lineRule="auto"/>
        <w:ind w:left="1440" w:hanging="360"/>
        <w:jc w:val="both"/>
        <w:rPr>
          <w:rFonts w:ascii="Verdana" w:cs="Verdana" w:eastAsia="Verdana" w:hAnsi="Verdana"/>
          <w:color w:val="333333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Nome da organização ou da pessoa interessada que deseja participar na audiência.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after="0" w:afterAutospacing="0" w:line="240" w:lineRule="auto"/>
        <w:ind w:left="1440" w:hanging="360"/>
        <w:jc w:val="both"/>
        <w:rPr>
          <w:rFonts w:ascii="Verdana" w:cs="Verdana" w:eastAsia="Verdana" w:hAnsi="Verdana"/>
          <w:color w:val="333333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Breve descrição do trabalho da organização ou da pessoa interessada.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after="0" w:afterAutospacing="0" w:line="240" w:lineRule="auto"/>
        <w:ind w:left="1440" w:hanging="360"/>
        <w:jc w:val="both"/>
        <w:rPr>
          <w:rFonts w:ascii="Verdana" w:cs="Verdana" w:eastAsia="Verdana" w:hAnsi="Verdana"/>
          <w:color w:val="333333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Breve parágrafo que descreva as questões jurídicas específicas sobre as quais pretende apresentar observações na consulta pública e o idioma utilizado. A consulta, mediante acordo prévio, permitirá intervenções em espanhol, inglês, francês ou português.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after="240" w:line="240" w:lineRule="auto"/>
        <w:ind w:left="1440" w:hanging="360"/>
        <w:jc w:val="both"/>
        <w:rPr>
          <w:rFonts w:ascii="Verdana" w:cs="Verdana" w:eastAsia="Verdana" w:hAnsi="Verdana"/>
          <w:color w:val="333333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No caso de uma organização, esta deverá indicar, se já estiver determinada, qual a pessoa específica que intervirá na audiência.</w:t>
      </w:r>
    </w:p>
    <w:p w:rsidR="00000000" w:rsidDel="00000000" w:rsidP="00000000" w:rsidRDefault="00000000" w:rsidRPr="00000000" w14:paraId="0000002B">
      <w:pPr>
        <w:spacing w:after="200" w:before="200" w:line="240" w:lineRule="auto"/>
        <w:ind w:right="200"/>
        <w:jc w:val="both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Devido ao elevado número de pedidos previstos, a Relatoria Especial atribuirá os espaços disponíveis de modo a assegurar a pluralidade de perspectivas e a diversidade geográfica e linguística, bem como áreas particulares de especialização. As organizações e as pessoas interessadas em participar na consulta pública virtual são encorajadas a apresentar igualmente contribuições escritas, em conformidade com as instruções constantes da seção anterior. A RELE informará oportunamente às organizações da sociedade civil e às pessoas interessadas que participaram no processo de registo e foram selecionadas sobre a atribuição de espaços, o tempo de intervenção e a ordem de trabalhos da consulta.</w:t>
      </w:r>
    </w:p>
    <w:p w:rsidR="00000000" w:rsidDel="00000000" w:rsidP="00000000" w:rsidRDefault="00000000" w:rsidRPr="00000000" w14:paraId="0000002C">
      <w:pPr>
        <w:spacing w:after="200" w:before="200" w:line="240" w:lineRule="auto"/>
        <w:ind w:right="200"/>
        <w:jc w:val="both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A Relatoria Especial agradece desde já as valiosos contribuições das organizações da sociedade civil, das organizações internacionais, das pessoas defensoras dos direitos humanos, das Academia e das organizações acadêmicas e das partes interessadas em geral.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200" w:firstLine="0"/>
        <w:jc w:val="both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Verdan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1299210</wp:posOffset>
          </wp:positionH>
          <wp:positionV relativeFrom="margin">
            <wp:posOffset>-638807</wp:posOffset>
          </wp:positionV>
          <wp:extent cx="1499616" cy="576072"/>
          <wp:effectExtent b="0" l="0" r="0" t="0"/>
          <wp:wrapSquare wrapText="bothSides" distB="0" distT="0" distL="114300" distR="114300"/>
          <wp:docPr descr="A blue and green logo&#10;&#10;Description automatically generated" id="850714222" name="image2.jpg"/>
          <a:graphic>
            <a:graphicData uri="http://schemas.openxmlformats.org/drawingml/2006/picture">
              <pic:pic>
                <pic:nvPicPr>
                  <pic:cNvPr descr="A blue and green logo&#10;&#10;Description automatically generated" id="0" name="image2.jpg"/>
                  <pic:cNvPicPr preferRelativeResize="0"/>
                </pic:nvPicPr>
                <pic:blipFill>
                  <a:blip r:embed="rId1"/>
                  <a:srcRect b="30025" l="0" r="0" t="31570"/>
                  <a:stretch>
                    <a:fillRect/>
                  </a:stretch>
                </pic:blipFill>
                <pic:spPr>
                  <a:xfrm>
                    <a:off x="0" y="0"/>
                    <a:ext cx="1499616" cy="57607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2743200</wp:posOffset>
          </wp:positionH>
          <wp:positionV relativeFrom="paragraph">
            <wp:posOffset>-131856</wp:posOffset>
          </wp:positionV>
          <wp:extent cx="2121408" cy="411480"/>
          <wp:effectExtent b="0" l="0" r="0" t="0"/>
          <wp:wrapSquare wrapText="bothSides" distB="0" distT="0" distL="114300" distR="114300"/>
          <wp:docPr descr="C:\Users\mfontana\Documents\Eva Fontana\GRAFICA CIDH\cartas\logos\cidh-es.jpg" id="850714223" name="image1.jpg"/>
          <a:graphic>
            <a:graphicData uri="http://schemas.openxmlformats.org/drawingml/2006/picture">
              <pic:pic>
                <pic:nvPicPr>
                  <pic:cNvPr descr="C:\Users\mfontana\Documents\Eva Fontana\GRAFICA CIDH\cartas\logos\cidh-es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1408" cy="4114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mbria" w:cs="Cambria" w:eastAsia="Cambria" w:hAnsi="Cambria"/>
      <w:b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Cambria" w:cs="Cambria" w:eastAsia="Cambria" w:hAnsi="Cambria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mbria" w:cs="Cambria" w:eastAsia="Cambria" w:hAnsi="Cambria"/>
      <w:b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Cambria" w:cs="Cambria" w:eastAsia="Cambria" w:hAnsi="Cambria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mbria" w:cs="Cambria" w:eastAsia="Cambria" w:hAnsi="Cambria"/>
      <w:b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Cambria" w:cs="Cambria" w:eastAsia="Cambria" w:hAnsi="Cambria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030CE"/>
    <w:pPr>
      <w:spacing w:line="276" w:lineRule="auto"/>
    </w:pPr>
    <w:rPr>
      <w:rFonts w:ascii="Arial" w:cs="Arial" w:eastAsia="Arial" w:hAnsi="Arial"/>
      <w:kern w:val="0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045412"/>
    <w:pPr>
      <w:keepNext w:val="1"/>
      <w:keepLines w:val="1"/>
      <w:suppressAutoHyphens w:val="1"/>
      <w:outlineLvl w:val="0"/>
    </w:pPr>
    <w:rPr>
      <w:rFonts w:ascii="Cambria" w:hAnsi="Cambria" w:cstheme="majorBidi" w:eastAsiaTheme="majorEastAsia"/>
      <w:b w:val="1"/>
      <w:color w:val="000000" w:themeColor="text1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C67C0A"/>
    <w:pPr>
      <w:keepNext w:val="1"/>
      <w:keepLines w:val="1"/>
      <w:spacing w:after="120" w:before="360"/>
      <w:outlineLvl w:val="1"/>
    </w:pPr>
    <w:rPr>
      <w:rFonts w:ascii="Cambria" w:hAnsi="Cambria"/>
      <w:b w:val="1"/>
      <w:sz w:val="20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qFormat w:val="1"/>
    <w:rsid w:val="00422185"/>
    <w:rPr>
      <w:rFonts w:ascii="Cambria" w:hAnsi="Cambria"/>
      <w:color w:val="1155cc"/>
      <w:sz w:val="16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045412"/>
    <w:rPr>
      <w:rFonts w:ascii="Cambria" w:hAnsi="Cambria" w:cstheme="majorBidi" w:eastAsiaTheme="majorEastAsia"/>
      <w:b w:val="1"/>
      <w:color w:val="000000" w:themeColor="text1"/>
      <w:sz w:val="2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67C0A"/>
    <w:rPr>
      <w:rFonts w:ascii="Cambria" w:hAnsi="Cambria"/>
      <w:b w:val="1"/>
      <w:sz w:val="20"/>
      <w:szCs w:val="32"/>
    </w:rPr>
  </w:style>
  <w:style w:type="paragraph" w:styleId="Header">
    <w:name w:val="header"/>
    <w:basedOn w:val="Normal"/>
    <w:link w:val="HeaderChar"/>
    <w:uiPriority w:val="99"/>
    <w:unhideWhenUsed w:val="1"/>
    <w:rsid w:val="0051666D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666D"/>
    <w:rPr>
      <w:rFonts w:ascii="Arial" w:cs="Arial" w:eastAsia="Arial" w:hAnsi="Arial"/>
      <w:kern w:val="0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 w:val="1"/>
    <w:rsid w:val="0051666D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666D"/>
    <w:rPr>
      <w:rFonts w:ascii="Arial" w:cs="Arial" w:eastAsia="Arial" w:hAnsi="Arial"/>
      <w:kern w:val="0"/>
      <w:sz w:val="22"/>
      <w:szCs w:val="22"/>
      <w:lang w:val="en"/>
    </w:rPr>
  </w:style>
  <w:style w:type="paragraph" w:styleId="NormalWeb">
    <w:name w:val="Normal (Web)"/>
    <w:basedOn w:val="Normal"/>
    <w:uiPriority w:val="99"/>
    <w:unhideWhenUsed w:val="1"/>
    <w:rsid w:val="00E61F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D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gUKY6Iy0bOWo39mZQt7fKQryDA==">CgMxLjA4AHIhMTVlTkpTMEVwR0lxWTdlNWxqUGMwbWlxbXJ1UnJSZjdk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2024-05-15T14:40:00Z</dcterms:created>
</cp:coreProperties>
</file>