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7B73" w14:textId="77777777" w:rsidR="004753C3" w:rsidRPr="00EF400F" w:rsidRDefault="004753C3">
      <w:pPr>
        <w:jc w:val="both"/>
        <w:rPr>
          <w:rFonts w:asciiTheme="minorHAnsi" w:hAnsiTheme="minorHAnsi"/>
          <w:b/>
          <w:sz w:val="20"/>
          <w:szCs w:val="20"/>
        </w:rPr>
      </w:pPr>
    </w:p>
    <w:p w14:paraId="620FC7C3" w14:textId="77777777" w:rsidR="007F3F3B" w:rsidRPr="009D16B9" w:rsidRDefault="00000000">
      <w:pPr>
        <w:jc w:val="center"/>
        <w:rPr>
          <w:rFonts w:asciiTheme="minorHAnsi" w:hAnsiTheme="minorHAnsi"/>
          <w:b/>
          <w:sz w:val="20"/>
          <w:szCs w:val="20"/>
          <w:lang w:val="en-US"/>
        </w:rPr>
      </w:pPr>
      <w:r w:rsidRPr="009D16B9">
        <w:rPr>
          <w:rFonts w:asciiTheme="minorHAnsi" w:hAnsiTheme="minorHAnsi"/>
          <w:b/>
          <w:sz w:val="20"/>
          <w:szCs w:val="20"/>
          <w:lang w:val="en-US"/>
        </w:rPr>
        <w:t>QUESTIONNAIRE CONSULTATION ON STRATEGIC LAWSUITS AGAINST PUBLIC PARTICIPATION IN THE AMERICAS</w:t>
      </w:r>
    </w:p>
    <w:p w14:paraId="126F6DA4" w14:textId="77777777" w:rsidR="005F158A" w:rsidRPr="009D16B9" w:rsidRDefault="005F158A">
      <w:pPr>
        <w:jc w:val="both"/>
        <w:rPr>
          <w:rFonts w:asciiTheme="minorHAnsi" w:hAnsiTheme="minorHAnsi"/>
          <w:sz w:val="20"/>
          <w:szCs w:val="20"/>
          <w:lang w:val="en-US"/>
        </w:rPr>
      </w:pPr>
    </w:p>
    <w:p w14:paraId="57CDF256" w14:textId="77777777" w:rsidR="007F3F3B" w:rsidRPr="009D16B9" w:rsidRDefault="00000000">
      <w:pPr>
        <w:jc w:val="both"/>
        <w:rPr>
          <w:rFonts w:asciiTheme="minorHAnsi" w:hAnsiTheme="minorHAnsi"/>
          <w:sz w:val="20"/>
          <w:szCs w:val="20"/>
          <w:lang w:val="en-US"/>
        </w:rPr>
      </w:pPr>
      <w:r w:rsidRPr="009D16B9">
        <w:rPr>
          <w:rFonts w:asciiTheme="minorHAnsi" w:hAnsiTheme="minorHAnsi"/>
          <w:sz w:val="20"/>
          <w:szCs w:val="20"/>
          <w:lang w:val="en-US"/>
        </w:rPr>
        <w:t>The Office of the Special Rapporteur for Freedom of Expression of the Inter-American Commission on Human Rights (IACHR) is preparing a report on strategic lawsuits against public participation (SLAPPs) and the standards applicable to address this phenomenon.</w:t>
      </w:r>
    </w:p>
    <w:p w14:paraId="12D6AB35" w14:textId="77777777" w:rsidR="005F158A" w:rsidRPr="009D16B9" w:rsidRDefault="005F158A">
      <w:pPr>
        <w:jc w:val="both"/>
        <w:rPr>
          <w:rFonts w:asciiTheme="minorHAnsi" w:hAnsiTheme="minorHAnsi"/>
          <w:sz w:val="20"/>
          <w:szCs w:val="20"/>
          <w:lang w:val="en-US"/>
        </w:rPr>
      </w:pPr>
    </w:p>
    <w:p w14:paraId="5072BB30" w14:textId="77777777" w:rsidR="007F3F3B" w:rsidRPr="009D16B9" w:rsidRDefault="00000000">
      <w:pPr>
        <w:jc w:val="both"/>
        <w:rPr>
          <w:rFonts w:asciiTheme="minorHAnsi" w:hAnsiTheme="minorHAnsi"/>
          <w:sz w:val="20"/>
          <w:szCs w:val="20"/>
          <w:lang w:val="en-US"/>
        </w:rPr>
      </w:pPr>
      <w:r w:rsidRPr="009D16B9">
        <w:rPr>
          <w:rFonts w:asciiTheme="minorHAnsi" w:hAnsiTheme="minorHAnsi"/>
          <w:sz w:val="20"/>
          <w:szCs w:val="20"/>
          <w:lang w:val="en-US"/>
        </w:rPr>
        <w:t xml:space="preserve">The purpose of this report is to offer a diagnosis of the problem in the Americas, to compile the standards of international human rights law applicable to the issue, and to compile good practices to counteract the phenomenon. </w:t>
      </w:r>
      <w:r w:rsidR="005321D8" w:rsidRPr="009D16B9">
        <w:rPr>
          <w:rFonts w:asciiTheme="minorHAnsi" w:hAnsiTheme="minorHAnsi"/>
          <w:sz w:val="20"/>
          <w:szCs w:val="20"/>
          <w:lang w:val="en-US"/>
        </w:rPr>
        <w:t xml:space="preserve">The relevance of </w:t>
      </w:r>
      <w:r w:rsidRPr="009D16B9">
        <w:rPr>
          <w:rFonts w:asciiTheme="minorHAnsi" w:hAnsiTheme="minorHAnsi"/>
          <w:sz w:val="20"/>
          <w:szCs w:val="20"/>
          <w:lang w:val="en-US"/>
        </w:rPr>
        <w:t xml:space="preserve">this report is </w:t>
      </w:r>
      <w:r w:rsidR="005321D8" w:rsidRPr="009D16B9">
        <w:rPr>
          <w:rFonts w:asciiTheme="minorHAnsi" w:hAnsiTheme="minorHAnsi"/>
          <w:sz w:val="20"/>
          <w:szCs w:val="20"/>
          <w:lang w:val="en-US"/>
        </w:rPr>
        <w:t xml:space="preserve">based on </w:t>
      </w:r>
      <w:r w:rsidRPr="009D16B9">
        <w:rPr>
          <w:rFonts w:asciiTheme="minorHAnsi" w:hAnsiTheme="minorHAnsi"/>
          <w:sz w:val="20"/>
          <w:szCs w:val="20"/>
          <w:lang w:val="en-US"/>
        </w:rPr>
        <w:t>the concern for the growing abusive use of judicial mechanisms to silence expressions of public interest</w:t>
      </w:r>
      <w:r w:rsidR="00E52022" w:rsidRPr="009D16B9">
        <w:rPr>
          <w:rFonts w:asciiTheme="minorHAnsi" w:hAnsiTheme="minorHAnsi"/>
          <w:sz w:val="20"/>
          <w:szCs w:val="20"/>
          <w:lang w:val="en-US"/>
        </w:rPr>
        <w:t xml:space="preserve">. In addition, it seeks to </w:t>
      </w:r>
      <w:r w:rsidRPr="009D16B9">
        <w:rPr>
          <w:rFonts w:asciiTheme="minorHAnsi" w:hAnsiTheme="minorHAnsi"/>
          <w:sz w:val="20"/>
          <w:szCs w:val="20"/>
          <w:lang w:val="en-US"/>
        </w:rPr>
        <w:t xml:space="preserve">address the request made by a group of </w:t>
      </w:r>
      <w:r w:rsidR="00E52022" w:rsidRPr="009D16B9">
        <w:rPr>
          <w:rFonts w:asciiTheme="minorHAnsi" w:hAnsiTheme="minorHAnsi"/>
          <w:sz w:val="20"/>
          <w:szCs w:val="20"/>
          <w:lang w:val="en-US"/>
        </w:rPr>
        <w:t xml:space="preserve">local </w:t>
      </w:r>
      <w:r w:rsidRPr="009D16B9">
        <w:rPr>
          <w:rFonts w:asciiTheme="minorHAnsi" w:hAnsiTheme="minorHAnsi"/>
          <w:sz w:val="20"/>
          <w:szCs w:val="20"/>
          <w:lang w:val="en-US"/>
        </w:rPr>
        <w:t>and international organizations</w:t>
      </w:r>
      <w:r w:rsidRPr="00EF400F">
        <w:rPr>
          <w:rFonts w:asciiTheme="minorHAnsi" w:hAnsiTheme="minorHAnsi"/>
          <w:sz w:val="20"/>
          <w:szCs w:val="20"/>
          <w:vertAlign w:val="superscript"/>
        </w:rPr>
        <w:footnoteReference w:id="1"/>
      </w:r>
      <w:r w:rsidR="00E52022" w:rsidRPr="009D16B9">
        <w:rPr>
          <w:rFonts w:asciiTheme="minorHAnsi" w:hAnsiTheme="minorHAnsi"/>
          <w:sz w:val="20"/>
          <w:szCs w:val="20"/>
          <w:lang w:val="en-US"/>
        </w:rPr>
        <w:t xml:space="preserve"> during </w:t>
      </w:r>
      <w:r w:rsidRPr="009D16B9">
        <w:rPr>
          <w:rFonts w:asciiTheme="minorHAnsi" w:hAnsiTheme="minorHAnsi"/>
          <w:sz w:val="20"/>
          <w:szCs w:val="20"/>
          <w:lang w:val="en-US"/>
        </w:rPr>
        <w:t xml:space="preserve">the thematic hearing "Judicialization of matters of public interest against persons exercising freedom of expression (SLAPPs) in the region", held on July 12, 2023 in the framework of the 187th period of sessions </w:t>
      </w:r>
      <w:r w:rsidR="00E52022" w:rsidRPr="009D16B9">
        <w:rPr>
          <w:rFonts w:asciiTheme="minorHAnsi" w:hAnsiTheme="minorHAnsi"/>
          <w:sz w:val="20"/>
          <w:szCs w:val="20"/>
          <w:lang w:val="en-US"/>
        </w:rPr>
        <w:t xml:space="preserve">of the IACHR. There, civil society organizations highlighted the importance for RELE to prepare </w:t>
      </w:r>
      <w:r w:rsidRPr="009D16B9">
        <w:rPr>
          <w:rFonts w:asciiTheme="minorHAnsi" w:hAnsiTheme="minorHAnsi"/>
          <w:sz w:val="20"/>
          <w:szCs w:val="20"/>
          <w:lang w:val="en-US"/>
        </w:rPr>
        <w:t xml:space="preserve">a thematic report on the dimension and impact of SLAPPs </w:t>
      </w:r>
      <w:r w:rsidR="002F1C2D" w:rsidRPr="009D16B9">
        <w:rPr>
          <w:rFonts w:asciiTheme="minorHAnsi" w:hAnsiTheme="minorHAnsi"/>
          <w:sz w:val="20"/>
          <w:szCs w:val="20"/>
          <w:lang w:val="en-US"/>
        </w:rPr>
        <w:t xml:space="preserve">on freedom of expression, </w:t>
      </w:r>
      <w:r w:rsidRPr="009D16B9">
        <w:rPr>
          <w:rFonts w:asciiTheme="minorHAnsi" w:hAnsiTheme="minorHAnsi"/>
          <w:sz w:val="20"/>
          <w:szCs w:val="20"/>
          <w:lang w:val="en-US"/>
        </w:rPr>
        <w:t xml:space="preserve">in light of the American Convention </w:t>
      </w:r>
      <w:r w:rsidR="002F1C2D" w:rsidRPr="009D16B9">
        <w:rPr>
          <w:rFonts w:asciiTheme="minorHAnsi" w:hAnsiTheme="minorHAnsi"/>
          <w:sz w:val="20"/>
          <w:szCs w:val="20"/>
          <w:lang w:val="en-US"/>
        </w:rPr>
        <w:t>and the standards of the Inter-American human rights system</w:t>
      </w:r>
      <w:r w:rsidRPr="009D16B9">
        <w:rPr>
          <w:rFonts w:asciiTheme="minorHAnsi" w:hAnsiTheme="minorHAnsi"/>
          <w:sz w:val="20"/>
          <w:szCs w:val="20"/>
          <w:lang w:val="en-US"/>
        </w:rPr>
        <w:t xml:space="preserve">. </w:t>
      </w:r>
      <w:r w:rsidRPr="00EF400F">
        <w:rPr>
          <w:rFonts w:asciiTheme="minorHAnsi" w:hAnsiTheme="minorHAnsi"/>
          <w:sz w:val="20"/>
          <w:szCs w:val="20"/>
          <w:vertAlign w:val="superscript"/>
        </w:rPr>
        <w:footnoteReference w:id="2"/>
      </w:r>
    </w:p>
    <w:p w14:paraId="5C83FD59" w14:textId="77777777" w:rsidR="005F158A" w:rsidRPr="009D16B9" w:rsidRDefault="005F158A">
      <w:pPr>
        <w:jc w:val="both"/>
        <w:rPr>
          <w:rFonts w:asciiTheme="minorHAnsi" w:hAnsiTheme="minorHAnsi"/>
          <w:sz w:val="20"/>
          <w:szCs w:val="20"/>
          <w:lang w:val="en-US"/>
        </w:rPr>
      </w:pPr>
    </w:p>
    <w:p w14:paraId="4E9B2229" w14:textId="77777777" w:rsidR="007F3F3B" w:rsidRPr="009D16B9" w:rsidRDefault="00000000">
      <w:pPr>
        <w:jc w:val="both"/>
        <w:rPr>
          <w:rFonts w:asciiTheme="minorHAnsi" w:hAnsiTheme="minorHAnsi"/>
          <w:sz w:val="20"/>
          <w:szCs w:val="20"/>
          <w:lang w:val="en-US"/>
        </w:rPr>
      </w:pPr>
      <w:r w:rsidRPr="009D16B9">
        <w:rPr>
          <w:rFonts w:asciiTheme="minorHAnsi" w:hAnsiTheme="minorHAnsi"/>
          <w:sz w:val="20"/>
          <w:szCs w:val="20"/>
          <w:lang w:val="en-US"/>
        </w:rPr>
        <w:t xml:space="preserve">In this context, the </w:t>
      </w:r>
      <w:r w:rsidR="002F1C2D" w:rsidRPr="009D16B9">
        <w:rPr>
          <w:rFonts w:asciiTheme="minorHAnsi" w:hAnsiTheme="minorHAnsi"/>
          <w:sz w:val="20"/>
          <w:szCs w:val="20"/>
          <w:lang w:val="en-US"/>
        </w:rPr>
        <w:t xml:space="preserve">Office of the Special Rapporteur </w:t>
      </w:r>
      <w:r w:rsidRPr="009D16B9">
        <w:rPr>
          <w:rFonts w:asciiTheme="minorHAnsi" w:hAnsiTheme="minorHAnsi"/>
          <w:sz w:val="20"/>
          <w:szCs w:val="20"/>
          <w:lang w:val="en-US"/>
        </w:rPr>
        <w:t xml:space="preserve">invites States, civil society organizations, human rights defenders, academic </w:t>
      </w:r>
      <w:r w:rsidR="002F1C2D" w:rsidRPr="009D16B9">
        <w:rPr>
          <w:rFonts w:asciiTheme="minorHAnsi" w:hAnsiTheme="minorHAnsi"/>
          <w:sz w:val="20"/>
          <w:szCs w:val="20"/>
          <w:lang w:val="en-US"/>
        </w:rPr>
        <w:t xml:space="preserve">institutions </w:t>
      </w:r>
      <w:r w:rsidRPr="009D16B9">
        <w:rPr>
          <w:rFonts w:asciiTheme="minorHAnsi" w:hAnsiTheme="minorHAnsi"/>
          <w:sz w:val="20"/>
          <w:szCs w:val="20"/>
          <w:lang w:val="en-US"/>
        </w:rPr>
        <w:t xml:space="preserve">and </w:t>
      </w:r>
      <w:r w:rsidR="002F1C2D" w:rsidRPr="009D16B9">
        <w:rPr>
          <w:rFonts w:asciiTheme="minorHAnsi" w:hAnsiTheme="minorHAnsi"/>
          <w:sz w:val="20"/>
          <w:szCs w:val="20"/>
          <w:lang w:val="en-US"/>
        </w:rPr>
        <w:t xml:space="preserve">any </w:t>
      </w:r>
      <w:r w:rsidRPr="009D16B9">
        <w:rPr>
          <w:rFonts w:asciiTheme="minorHAnsi" w:hAnsiTheme="minorHAnsi"/>
          <w:sz w:val="20"/>
          <w:szCs w:val="20"/>
          <w:lang w:val="en-US"/>
        </w:rPr>
        <w:t xml:space="preserve">interested person </w:t>
      </w:r>
      <w:r w:rsidR="002F1C2D" w:rsidRPr="009D16B9">
        <w:rPr>
          <w:rFonts w:asciiTheme="minorHAnsi" w:hAnsiTheme="minorHAnsi"/>
          <w:sz w:val="20"/>
          <w:szCs w:val="20"/>
          <w:lang w:val="en-US"/>
        </w:rPr>
        <w:t xml:space="preserve">to </w:t>
      </w:r>
      <w:r w:rsidRPr="009D16B9">
        <w:rPr>
          <w:rFonts w:asciiTheme="minorHAnsi" w:hAnsiTheme="minorHAnsi"/>
          <w:sz w:val="20"/>
          <w:szCs w:val="20"/>
          <w:lang w:val="en-US"/>
        </w:rPr>
        <w:t>submit information on the following topics:</w:t>
      </w:r>
    </w:p>
    <w:p w14:paraId="307A6F23" w14:textId="77777777" w:rsidR="005F158A" w:rsidRPr="009D16B9" w:rsidRDefault="005F158A">
      <w:pPr>
        <w:jc w:val="both"/>
        <w:rPr>
          <w:rFonts w:asciiTheme="minorHAnsi" w:hAnsiTheme="minorHAnsi"/>
          <w:sz w:val="20"/>
          <w:szCs w:val="20"/>
          <w:lang w:val="en-US"/>
        </w:rPr>
      </w:pPr>
    </w:p>
    <w:p w14:paraId="64066F4C" w14:textId="77777777" w:rsidR="007F3F3B" w:rsidRPr="009D16B9" w:rsidRDefault="00000000">
      <w:pPr>
        <w:jc w:val="both"/>
        <w:rPr>
          <w:rFonts w:asciiTheme="minorHAnsi" w:hAnsiTheme="minorHAnsi"/>
          <w:b/>
          <w:sz w:val="20"/>
          <w:szCs w:val="20"/>
          <w:lang w:val="en-US"/>
        </w:rPr>
      </w:pPr>
      <w:r w:rsidRPr="009D16B9">
        <w:rPr>
          <w:rFonts w:asciiTheme="minorHAnsi" w:hAnsiTheme="minorHAnsi"/>
          <w:b/>
          <w:sz w:val="20"/>
          <w:szCs w:val="20"/>
          <w:lang w:val="en-US"/>
        </w:rPr>
        <w:t xml:space="preserve">In relation to the identification of strategic lawsuits against public participation: </w:t>
      </w:r>
    </w:p>
    <w:p w14:paraId="65E8B1CA" w14:textId="77777777" w:rsidR="005F158A" w:rsidRPr="009D16B9" w:rsidRDefault="005F158A">
      <w:pPr>
        <w:jc w:val="both"/>
        <w:rPr>
          <w:rFonts w:asciiTheme="minorHAnsi" w:hAnsiTheme="minorHAnsi"/>
          <w:b/>
          <w:sz w:val="20"/>
          <w:szCs w:val="20"/>
          <w:lang w:val="en-US"/>
        </w:rPr>
      </w:pPr>
    </w:p>
    <w:p w14:paraId="2AF983E7" w14:textId="77777777" w:rsidR="007F3F3B" w:rsidRPr="009D16B9" w:rsidRDefault="00000000">
      <w:pPr>
        <w:numPr>
          <w:ilvl w:val="0"/>
          <w:numId w:val="4"/>
        </w:numPr>
        <w:jc w:val="both"/>
        <w:rPr>
          <w:rFonts w:asciiTheme="minorHAnsi" w:hAnsiTheme="minorHAnsi"/>
          <w:sz w:val="20"/>
          <w:szCs w:val="20"/>
          <w:lang w:val="en-US"/>
        </w:rPr>
      </w:pPr>
      <w:r w:rsidRPr="009D16B9">
        <w:rPr>
          <w:rFonts w:asciiTheme="minorHAnsi" w:hAnsiTheme="minorHAnsi"/>
          <w:sz w:val="20"/>
          <w:szCs w:val="20"/>
          <w:lang w:val="en-US"/>
        </w:rPr>
        <w:t>What criteria do you consider should be applied to qualify a judicial process as a strategic lawsuit against public participation?</w:t>
      </w:r>
    </w:p>
    <w:p w14:paraId="4145EF83" w14:textId="77777777" w:rsidR="007F3F3B" w:rsidRPr="009D16B9" w:rsidRDefault="00000000">
      <w:pPr>
        <w:numPr>
          <w:ilvl w:val="0"/>
          <w:numId w:val="4"/>
        </w:numPr>
        <w:jc w:val="both"/>
        <w:rPr>
          <w:rFonts w:asciiTheme="minorHAnsi" w:hAnsiTheme="minorHAnsi"/>
          <w:sz w:val="20"/>
          <w:szCs w:val="20"/>
          <w:lang w:val="en-US"/>
        </w:rPr>
      </w:pPr>
      <w:r w:rsidRPr="009D16B9">
        <w:rPr>
          <w:rFonts w:asciiTheme="minorHAnsi" w:hAnsiTheme="minorHAnsi"/>
          <w:sz w:val="20"/>
          <w:szCs w:val="20"/>
          <w:lang w:val="en-US"/>
        </w:rPr>
        <w:t>Is there jurisprudence or regulations in your country establishing criteria to identify this type of lawsuits? What factors do these decisions or regulations establish for such identification?</w:t>
      </w:r>
    </w:p>
    <w:p w14:paraId="33025014" w14:textId="77777777" w:rsidR="007F3F3B" w:rsidRPr="009D16B9" w:rsidRDefault="00000000">
      <w:pPr>
        <w:numPr>
          <w:ilvl w:val="0"/>
          <w:numId w:val="4"/>
        </w:numPr>
        <w:jc w:val="both"/>
        <w:rPr>
          <w:rFonts w:asciiTheme="minorHAnsi" w:hAnsiTheme="minorHAnsi"/>
          <w:sz w:val="20"/>
          <w:szCs w:val="20"/>
          <w:lang w:val="en-US"/>
        </w:rPr>
      </w:pPr>
      <w:r w:rsidRPr="009D16B9">
        <w:rPr>
          <w:rFonts w:asciiTheme="minorHAnsi" w:hAnsiTheme="minorHAnsi"/>
          <w:sz w:val="20"/>
          <w:szCs w:val="20"/>
          <w:lang w:val="en-US"/>
        </w:rPr>
        <w:t>What would be the differentiating factors between this type of lawsuits and other phenomena of judicialization or criminalization of expression?</w:t>
      </w:r>
    </w:p>
    <w:p w14:paraId="7AC6E0C9" w14:textId="77777777" w:rsidR="007F3F3B" w:rsidRPr="009D16B9" w:rsidRDefault="00000000">
      <w:pPr>
        <w:numPr>
          <w:ilvl w:val="0"/>
          <w:numId w:val="4"/>
        </w:numPr>
        <w:jc w:val="both"/>
        <w:rPr>
          <w:rFonts w:asciiTheme="minorHAnsi" w:hAnsiTheme="minorHAnsi"/>
          <w:sz w:val="20"/>
          <w:szCs w:val="20"/>
          <w:lang w:val="en-US"/>
        </w:rPr>
      </w:pPr>
      <w:r w:rsidRPr="009D16B9">
        <w:rPr>
          <w:rFonts w:asciiTheme="minorHAnsi" w:hAnsiTheme="minorHAnsi"/>
          <w:sz w:val="20"/>
          <w:szCs w:val="20"/>
          <w:lang w:val="en-US"/>
        </w:rPr>
        <w:t>Does your country have forum shopping practices, i.e. the filing of lawsuits aimed at silencing speech in jurisdictions more favorable to the plaintiff/complainant? Are there any rules or jurisprudence in your country to prevent this phenomenon?</w:t>
      </w:r>
    </w:p>
    <w:p w14:paraId="3AAA70D6" w14:textId="77777777" w:rsidR="005F158A" w:rsidRPr="009D16B9" w:rsidRDefault="005F158A">
      <w:pPr>
        <w:jc w:val="both"/>
        <w:rPr>
          <w:rFonts w:asciiTheme="minorHAnsi" w:hAnsiTheme="minorHAnsi"/>
          <w:b/>
          <w:sz w:val="20"/>
          <w:szCs w:val="20"/>
          <w:lang w:val="en-US"/>
        </w:rPr>
      </w:pPr>
    </w:p>
    <w:p w14:paraId="37B79849" w14:textId="77777777" w:rsidR="007F3F3B" w:rsidRPr="009D16B9" w:rsidRDefault="00000000">
      <w:pPr>
        <w:jc w:val="both"/>
        <w:rPr>
          <w:rFonts w:asciiTheme="minorHAnsi" w:hAnsiTheme="minorHAnsi"/>
          <w:b/>
          <w:sz w:val="20"/>
          <w:szCs w:val="20"/>
          <w:lang w:val="en-US"/>
        </w:rPr>
      </w:pPr>
      <w:r w:rsidRPr="009D16B9">
        <w:rPr>
          <w:rFonts w:asciiTheme="minorHAnsi" w:hAnsiTheme="minorHAnsi"/>
          <w:b/>
          <w:sz w:val="20"/>
          <w:szCs w:val="20"/>
          <w:lang w:val="en-US"/>
        </w:rPr>
        <w:t xml:space="preserve">Regarding the impacts of strategic lawsuits against public participation: </w:t>
      </w:r>
    </w:p>
    <w:p w14:paraId="1959FA7E" w14:textId="77777777" w:rsidR="005F158A" w:rsidRPr="009D16B9" w:rsidRDefault="005F158A">
      <w:pPr>
        <w:jc w:val="both"/>
        <w:rPr>
          <w:rFonts w:asciiTheme="minorHAnsi" w:hAnsiTheme="minorHAnsi"/>
          <w:b/>
          <w:sz w:val="20"/>
          <w:szCs w:val="20"/>
          <w:lang w:val="en-US"/>
        </w:rPr>
      </w:pPr>
    </w:p>
    <w:p w14:paraId="2BEB82AD" w14:textId="77777777" w:rsidR="007F3F3B" w:rsidRDefault="00000000">
      <w:pPr>
        <w:numPr>
          <w:ilvl w:val="0"/>
          <w:numId w:val="1"/>
        </w:numPr>
        <w:jc w:val="both"/>
        <w:rPr>
          <w:rFonts w:asciiTheme="minorHAnsi" w:hAnsiTheme="minorHAnsi"/>
          <w:sz w:val="20"/>
          <w:szCs w:val="20"/>
        </w:rPr>
      </w:pPr>
      <w:r w:rsidRPr="009D16B9">
        <w:rPr>
          <w:rFonts w:asciiTheme="minorHAnsi" w:hAnsiTheme="minorHAnsi"/>
          <w:sz w:val="20"/>
          <w:szCs w:val="20"/>
          <w:lang w:val="en-US"/>
        </w:rPr>
        <w:t xml:space="preserve">Which human rights are primarily </w:t>
      </w:r>
      <w:r w:rsidR="002F1C2D" w:rsidRPr="009D16B9">
        <w:rPr>
          <w:rFonts w:asciiTheme="minorHAnsi" w:hAnsiTheme="minorHAnsi"/>
          <w:sz w:val="20"/>
          <w:szCs w:val="20"/>
          <w:lang w:val="en-US"/>
        </w:rPr>
        <w:t xml:space="preserve">affected </w:t>
      </w:r>
      <w:r w:rsidRPr="009D16B9">
        <w:rPr>
          <w:rFonts w:asciiTheme="minorHAnsi" w:hAnsiTheme="minorHAnsi"/>
          <w:sz w:val="20"/>
          <w:szCs w:val="20"/>
          <w:lang w:val="en-US"/>
        </w:rPr>
        <w:t xml:space="preserve">by the use of strategic litigation against public participation? </w:t>
      </w:r>
      <w:proofErr w:type="spellStart"/>
      <w:r w:rsidRPr="00EF400F">
        <w:rPr>
          <w:rFonts w:asciiTheme="minorHAnsi" w:hAnsiTheme="minorHAnsi"/>
          <w:sz w:val="20"/>
          <w:szCs w:val="20"/>
        </w:rPr>
        <w:t>Why</w:t>
      </w:r>
      <w:proofErr w:type="spellEnd"/>
      <w:r w:rsidRPr="00EF400F">
        <w:rPr>
          <w:rFonts w:asciiTheme="minorHAnsi" w:hAnsiTheme="minorHAnsi"/>
          <w:sz w:val="20"/>
          <w:szCs w:val="20"/>
        </w:rPr>
        <w:t>?</w:t>
      </w:r>
    </w:p>
    <w:p w14:paraId="0500E498" w14:textId="77777777" w:rsidR="007F3F3B" w:rsidRPr="009D16B9" w:rsidRDefault="00000000">
      <w:pPr>
        <w:numPr>
          <w:ilvl w:val="0"/>
          <w:numId w:val="1"/>
        </w:numPr>
        <w:jc w:val="both"/>
        <w:rPr>
          <w:rFonts w:asciiTheme="minorHAnsi" w:hAnsiTheme="minorHAnsi"/>
          <w:sz w:val="20"/>
          <w:szCs w:val="20"/>
          <w:lang w:val="en-US"/>
        </w:rPr>
      </w:pPr>
      <w:r w:rsidRPr="009D16B9">
        <w:rPr>
          <w:rFonts w:asciiTheme="minorHAnsi" w:hAnsiTheme="minorHAnsi"/>
          <w:sz w:val="20"/>
          <w:szCs w:val="20"/>
          <w:lang w:val="en-US"/>
        </w:rPr>
        <w:t xml:space="preserve">What activities or persons are usually the most affected by this </w:t>
      </w:r>
      <w:r w:rsidR="002F1C2D" w:rsidRPr="009D16B9">
        <w:rPr>
          <w:rFonts w:asciiTheme="minorHAnsi" w:hAnsiTheme="minorHAnsi"/>
          <w:sz w:val="20"/>
          <w:szCs w:val="20"/>
          <w:lang w:val="en-US"/>
        </w:rPr>
        <w:t xml:space="preserve">type of lawsuits </w:t>
      </w:r>
      <w:r w:rsidRPr="009D16B9">
        <w:rPr>
          <w:rFonts w:asciiTheme="minorHAnsi" w:hAnsiTheme="minorHAnsi"/>
          <w:sz w:val="20"/>
          <w:szCs w:val="20"/>
          <w:lang w:val="en-US"/>
        </w:rPr>
        <w:t>in your country?</w:t>
      </w:r>
    </w:p>
    <w:p w14:paraId="0E4E421C" w14:textId="77777777" w:rsidR="007F3F3B" w:rsidRPr="009D16B9" w:rsidRDefault="00000000">
      <w:pPr>
        <w:numPr>
          <w:ilvl w:val="0"/>
          <w:numId w:val="1"/>
        </w:numPr>
        <w:jc w:val="both"/>
        <w:rPr>
          <w:rFonts w:asciiTheme="minorHAnsi" w:hAnsiTheme="minorHAnsi"/>
          <w:sz w:val="20"/>
          <w:szCs w:val="20"/>
          <w:lang w:val="en-US"/>
        </w:rPr>
      </w:pPr>
      <w:r w:rsidRPr="009D16B9">
        <w:rPr>
          <w:rFonts w:asciiTheme="minorHAnsi" w:hAnsiTheme="minorHAnsi"/>
          <w:sz w:val="20"/>
          <w:szCs w:val="20"/>
          <w:lang w:val="en-US"/>
        </w:rPr>
        <w:t xml:space="preserve">If available, please share figures on this phenomenon in your country, with source and link if possible. </w:t>
      </w:r>
    </w:p>
    <w:p w14:paraId="6B4AEA0F" w14:textId="77777777" w:rsidR="005F158A" w:rsidRPr="009D16B9" w:rsidRDefault="005F158A">
      <w:pPr>
        <w:jc w:val="both"/>
        <w:rPr>
          <w:rFonts w:asciiTheme="minorHAnsi" w:hAnsiTheme="minorHAnsi"/>
          <w:sz w:val="20"/>
          <w:szCs w:val="20"/>
          <w:lang w:val="en-US"/>
        </w:rPr>
      </w:pPr>
    </w:p>
    <w:p w14:paraId="34024300" w14:textId="77777777" w:rsidR="007F3F3B" w:rsidRDefault="00000000">
      <w:pPr>
        <w:jc w:val="both"/>
        <w:rPr>
          <w:rFonts w:asciiTheme="minorHAnsi" w:hAnsiTheme="minorHAnsi"/>
          <w:b/>
          <w:sz w:val="20"/>
          <w:szCs w:val="20"/>
        </w:rPr>
      </w:pPr>
      <w:proofErr w:type="spellStart"/>
      <w:r w:rsidRPr="00EF400F">
        <w:rPr>
          <w:rFonts w:asciiTheme="minorHAnsi" w:hAnsiTheme="minorHAnsi"/>
          <w:b/>
          <w:sz w:val="20"/>
          <w:szCs w:val="20"/>
        </w:rPr>
        <w:t>Regulatory</w:t>
      </w:r>
      <w:proofErr w:type="spellEnd"/>
      <w:r w:rsidRPr="00EF400F">
        <w:rPr>
          <w:rFonts w:asciiTheme="minorHAnsi" w:hAnsiTheme="minorHAnsi"/>
          <w:b/>
          <w:sz w:val="20"/>
          <w:szCs w:val="20"/>
        </w:rPr>
        <w:t xml:space="preserve"> </w:t>
      </w:r>
      <w:proofErr w:type="spellStart"/>
      <w:r w:rsidRPr="00EF400F">
        <w:rPr>
          <w:rFonts w:asciiTheme="minorHAnsi" w:hAnsiTheme="minorHAnsi"/>
          <w:b/>
          <w:sz w:val="20"/>
          <w:szCs w:val="20"/>
        </w:rPr>
        <w:t>frameworks</w:t>
      </w:r>
      <w:proofErr w:type="spellEnd"/>
      <w:r w:rsidRPr="00EF400F">
        <w:rPr>
          <w:rFonts w:asciiTheme="minorHAnsi" w:hAnsiTheme="minorHAnsi"/>
          <w:b/>
          <w:sz w:val="20"/>
          <w:szCs w:val="20"/>
        </w:rPr>
        <w:t xml:space="preserve">, </w:t>
      </w:r>
      <w:proofErr w:type="spellStart"/>
      <w:r w:rsidRPr="00EF400F">
        <w:rPr>
          <w:rFonts w:asciiTheme="minorHAnsi" w:hAnsiTheme="minorHAnsi"/>
          <w:b/>
          <w:sz w:val="20"/>
          <w:szCs w:val="20"/>
        </w:rPr>
        <w:t>public</w:t>
      </w:r>
      <w:proofErr w:type="spellEnd"/>
      <w:r w:rsidRPr="00EF400F">
        <w:rPr>
          <w:rFonts w:asciiTheme="minorHAnsi" w:hAnsiTheme="minorHAnsi"/>
          <w:b/>
          <w:sz w:val="20"/>
          <w:szCs w:val="20"/>
        </w:rPr>
        <w:t xml:space="preserve"> </w:t>
      </w:r>
      <w:proofErr w:type="spellStart"/>
      <w:r w:rsidRPr="00EF400F">
        <w:rPr>
          <w:rFonts w:asciiTheme="minorHAnsi" w:hAnsiTheme="minorHAnsi"/>
          <w:b/>
          <w:sz w:val="20"/>
          <w:szCs w:val="20"/>
        </w:rPr>
        <w:t>policies</w:t>
      </w:r>
      <w:proofErr w:type="spellEnd"/>
      <w:r w:rsidRPr="00EF400F">
        <w:rPr>
          <w:rFonts w:asciiTheme="minorHAnsi" w:hAnsiTheme="minorHAnsi"/>
          <w:b/>
          <w:sz w:val="20"/>
          <w:szCs w:val="20"/>
        </w:rPr>
        <w:t>, jurisprudence</w:t>
      </w:r>
    </w:p>
    <w:p w14:paraId="55D13316" w14:textId="77777777" w:rsidR="005F158A" w:rsidRPr="00EF400F" w:rsidRDefault="005F158A">
      <w:pPr>
        <w:jc w:val="both"/>
        <w:rPr>
          <w:rFonts w:asciiTheme="minorHAnsi" w:hAnsiTheme="minorHAnsi"/>
          <w:b/>
          <w:sz w:val="20"/>
          <w:szCs w:val="20"/>
        </w:rPr>
      </w:pPr>
    </w:p>
    <w:p w14:paraId="55A1B5E6" w14:textId="77777777" w:rsidR="007F3F3B" w:rsidRPr="009D16B9" w:rsidRDefault="00000000">
      <w:pPr>
        <w:numPr>
          <w:ilvl w:val="0"/>
          <w:numId w:val="2"/>
        </w:numPr>
        <w:jc w:val="both"/>
        <w:rPr>
          <w:rFonts w:asciiTheme="minorHAnsi" w:hAnsiTheme="minorHAnsi"/>
          <w:sz w:val="20"/>
          <w:szCs w:val="20"/>
          <w:lang w:val="en-US"/>
        </w:rPr>
      </w:pPr>
      <w:r w:rsidRPr="009D16B9">
        <w:rPr>
          <w:rFonts w:asciiTheme="minorHAnsi" w:hAnsiTheme="minorHAnsi"/>
          <w:sz w:val="20"/>
          <w:szCs w:val="20"/>
          <w:lang w:val="en-US"/>
        </w:rPr>
        <w:t>Is there any case law in your country on the limits applicable to the right of access to justice?</w:t>
      </w:r>
    </w:p>
    <w:p w14:paraId="37CC0967" w14:textId="77777777" w:rsidR="007F3F3B" w:rsidRPr="009D16B9" w:rsidRDefault="00000000">
      <w:pPr>
        <w:numPr>
          <w:ilvl w:val="0"/>
          <w:numId w:val="2"/>
        </w:numPr>
        <w:jc w:val="both"/>
        <w:rPr>
          <w:rFonts w:asciiTheme="minorHAnsi" w:hAnsiTheme="minorHAnsi"/>
          <w:sz w:val="20"/>
          <w:szCs w:val="20"/>
          <w:lang w:val="en-US"/>
        </w:rPr>
      </w:pPr>
      <w:r w:rsidRPr="009D16B9">
        <w:rPr>
          <w:rFonts w:asciiTheme="minorHAnsi" w:hAnsiTheme="minorHAnsi"/>
          <w:sz w:val="20"/>
          <w:szCs w:val="20"/>
          <w:lang w:val="en-US"/>
        </w:rPr>
        <w:lastRenderedPageBreak/>
        <w:t>Is there jurisprudence or regulations in your country related to the abuse of the right to litigate or similar figures? What are the criteria used to configure such abuse and what are the consequences in case it is configured?</w:t>
      </w:r>
    </w:p>
    <w:p w14:paraId="29918DE2" w14:textId="77777777" w:rsidR="007F3F3B" w:rsidRPr="009D16B9" w:rsidRDefault="00000000">
      <w:pPr>
        <w:numPr>
          <w:ilvl w:val="0"/>
          <w:numId w:val="2"/>
        </w:numPr>
        <w:jc w:val="both"/>
        <w:rPr>
          <w:rFonts w:asciiTheme="minorHAnsi" w:hAnsiTheme="minorHAnsi"/>
          <w:sz w:val="20"/>
          <w:szCs w:val="20"/>
          <w:lang w:val="en-US"/>
        </w:rPr>
      </w:pPr>
      <w:r w:rsidRPr="009D16B9">
        <w:rPr>
          <w:rFonts w:asciiTheme="minorHAnsi" w:hAnsiTheme="minorHAnsi"/>
          <w:sz w:val="20"/>
          <w:szCs w:val="20"/>
          <w:lang w:val="en-US"/>
        </w:rPr>
        <w:t>Is there jurisprudence or regulations in your country that are facilitating, encouraging or creating a heightened risk of strategic lawsuits against public participation?</w:t>
      </w:r>
    </w:p>
    <w:p w14:paraId="4FFCEC4B" w14:textId="77777777" w:rsidR="007F3F3B" w:rsidRPr="009D16B9" w:rsidRDefault="00000000">
      <w:pPr>
        <w:numPr>
          <w:ilvl w:val="0"/>
          <w:numId w:val="2"/>
        </w:numPr>
        <w:jc w:val="both"/>
        <w:rPr>
          <w:rFonts w:asciiTheme="minorHAnsi" w:hAnsiTheme="minorHAnsi"/>
          <w:sz w:val="20"/>
          <w:szCs w:val="20"/>
          <w:lang w:val="en-US"/>
        </w:rPr>
      </w:pPr>
      <w:r w:rsidRPr="009D16B9">
        <w:rPr>
          <w:rFonts w:asciiTheme="minorHAnsi" w:hAnsiTheme="minorHAnsi"/>
          <w:sz w:val="20"/>
          <w:szCs w:val="20"/>
          <w:lang w:val="en-US"/>
        </w:rPr>
        <w:t>Is there any case law in your country in which the control of conventionality or constitutionality is applied in order to respond to a strategic lawsuit against public participation?</w:t>
      </w:r>
    </w:p>
    <w:p w14:paraId="3501E73E" w14:textId="77777777" w:rsidR="007F3F3B" w:rsidRPr="009D16B9" w:rsidRDefault="00000000">
      <w:pPr>
        <w:numPr>
          <w:ilvl w:val="0"/>
          <w:numId w:val="2"/>
        </w:numPr>
        <w:jc w:val="both"/>
        <w:rPr>
          <w:rFonts w:asciiTheme="minorHAnsi" w:hAnsiTheme="minorHAnsi"/>
          <w:sz w:val="20"/>
          <w:szCs w:val="20"/>
          <w:lang w:val="en-US"/>
        </w:rPr>
      </w:pPr>
      <w:r w:rsidRPr="009D16B9">
        <w:rPr>
          <w:rFonts w:asciiTheme="minorHAnsi" w:hAnsiTheme="minorHAnsi"/>
          <w:sz w:val="20"/>
          <w:szCs w:val="20"/>
          <w:lang w:val="en-US"/>
        </w:rPr>
        <w:t>Are there any regulations in your country that allow for the early termination or dismissal of complaints or lawsuits on the grounds of frivolousness, lack of merit or unlawful purpose?</w:t>
      </w:r>
    </w:p>
    <w:p w14:paraId="251101E1" w14:textId="77777777" w:rsidR="007F3F3B" w:rsidRPr="009D16B9" w:rsidRDefault="00000000">
      <w:pPr>
        <w:numPr>
          <w:ilvl w:val="0"/>
          <w:numId w:val="2"/>
        </w:numPr>
        <w:jc w:val="both"/>
        <w:rPr>
          <w:rFonts w:asciiTheme="minorHAnsi" w:hAnsiTheme="minorHAnsi"/>
          <w:sz w:val="20"/>
          <w:szCs w:val="20"/>
          <w:lang w:val="en-US"/>
        </w:rPr>
      </w:pPr>
      <w:r w:rsidRPr="009D16B9">
        <w:rPr>
          <w:rFonts w:asciiTheme="minorHAnsi" w:hAnsiTheme="minorHAnsi"/>
          <w:sz w:val="20"/>
          <w:szCs w:val="20"/>
          <w:lang w:val="en-US"/>
        </w:rPr>
        <w:t>Are there public policies for training or educating judicial officials on freedom of expression in your country? Do they include the study of issues related to the impact of strategic lawsuits against public participation on human rights?</w:t>
      </w:r>
    </w:p>
    <w:p w14:paraId="1881CBBD" w14:textId="77777777" w:rsidR="005F158A" w:rsidRPr="009D16B9" w:rsidRDefault="00AD73D7">
      <w:pPr>
        <w:jc w:val="both"/>
        <w:rPr>
          <w:rFonts w:asciiTheme="minorHAnsi" w:hAnsiTheme="minorHAnsi"/>
          <w:sz w:val="20"/>
          <w:szCs w:val="20"/>
          <w:lang w:val="en-US"/>
        </w:rPr>
      </w:pPr>
      <w:r w:rsidRPr="009D16B9">
        <w:rPr>
          <w:rFonts w:asciiTheme="minorHAnsi" w:hAnsiTheme="minorHAnsi"/>
          <w:sz w:val="20"/>
          <w:szCs w:val="20"/>
          <w:lang w:val="en-US"/>
        </w:rPr>
        <w:t xml:space="preserve"> </w:t>
      </w:r>
    </w:p>
    <w:p w14:paraId="4671D193" w14:textId="77777777" w:rsidR="007F3F3B" w:rsidRDefault="00000000">
      <w:pPr>
        <w:jc w:val="both"/>
        <w:rPr>
          <w:rFonts w:asciiTheme="minorHAnsi" w:hAnsiTheme="minorHAnsi"/>
          <w:b/>
          <w:sz w:val="20"/>
          <w:szCs w:val="20"/>
        </w:rPr>
      </w:pPr>
      <w:proofErr w:type="spellStart"/>
      <w:r w:rsidRPr="00EF400F">
        <w:rPr>
          <w:rFonts w:asciiTheme="minorHAnsi" w:hAnsiTheme="minorHAnsi"/>
          <w:b/>
          <w:sz w:val="20"/>
          <w:szCs w:val="20"/>
        </w:rPr>
        <w:t>Recommendations</w:t>
      </w:r>
      <w:proofErr w:type="spellEnd"/>
    </w:p>
    <w:p w14:paraId="1781CBEC" w14:textId="77777777" w:rsidR="005F158A" w:rsidRPr="00EF400F" w:rsidRDefault="005F158A">
      <w:pPr>
        <w:jc w:val="both"/>
        <w:rPr>
          <w:rFonts w:asciiTheme="minorHAnsi" w:hAnsiTheme="minorHAnsi"/>
          <w:b/>
          <w:sz w:val="20"/>
          <w:szCs w:val="20"/>
        </w:rPr>
      </w:pPr>
    </w:p>
    <w:p w14:paraId="6978D634" w14:textId="181D5D51" w:rsidR="007F3F3B" w:rsidRPr="009D16B9" w:rsidRDefault="00000000">
      <w:pPr>
        <w:numPr>
          <w:ilvl w:val="0"/>
          <w:numId w:val="3"/>
        </w:numPr>
        <w:jc w:val="both"/>
        <w:rPr>
          <w:rFonts w:asciiTheme="minorHAnsi" w:hAnsiTheme="minorHAnsi"/>
          <w:sz w:val="20"/>
          <w:szCs w:val="20"/>
          <w:lang w:val="en-US"/>
        </w:rPr>
      </w:pPr>
      <w:r w:rsidRPr="009D16B9">
        <w:rPr>
          <w:rFonts w:asciiTheme="minorHAnsi" w:hAnsiTheme="minorHAnsi"/>
          <w:sz w:val="20"/>
          <w:szCs w:val="20"/>
          <w:lang w:val="en-US"/>
        </w:rPr>
        <w:t xml:space="preserve">What concrete actions should States take to prevent strategic lawsuits against public </w:t>
      </w:r>
      <w:r w:rsidR="00E408F9">
        <w:rPr>
          <w:rFonts w:asciiTheme="minorHAnsi" w:hAnsiTheme="minorHAnsi"/>
          <w:sz w:val="20"/>
          <w:szCs w:val="20"/>
          <w:lang w:val="en-US"/>
        </w:rPr>
        <w:t>participation</w:t>
      </w:r>
      <w:r w:rsidRPr="009D16B9">
        <w:rPr>
          <w:rFonts w:asciiTheme="minorHAnsi" w:hAnsiTheme="minorHAnsi"/>
          <w:sz w:val="20"/>
          <w:szCs w:val="20"/>
          <w:lang w:val="en-US"/>
        </w:rPr>
        <w:t>?</w:t>
      </w:r>
    </w:p>
    <w:p w14:paraId="5BBE6EF1" w14:textId="029B7E22" w:rsidR="007F3F3B" w:rsidRPr="009D16B9" w:rsidRDefault="00000000">
      <w:pPr>
        <w:numPr>
          <w:ilvl w:val="0"/>
          <w:numId w:val="3"/>
        </w:numPr>
        <w:jc w:val="both"/>
        <w:rPr>
          <w:rFonts w:asciiTheme="minorHAnsi" w:hAnsiTheme="minorHAnsi"/>
          <w:sz w:val="20"/>
          <w:szCs w:val="20"/>
          <w:lang w:val="en-US"/>
        </w:rPr>
      </w:pPr>
      <w:r w:rsidRPr="009D16B9">
        <w:rPr>
          <w:rFonts w:asciiTheme="minorHAnsi" w:hAnsiTheme="minorHAnsi"/>
          <w:sz w:val="20"/>
          <w:szCs w:val="20"/>
          <w:lang w:val="en-US"/>
        </w:rPr>
        <w:t xml:space="preserve">What concrete actions should States take to counteract strategic lawsuits against public </w:t>
      </w:r>
      <w:r w:rsidR="00E408F9">
        <w:rPr>
          <w:rFonts w:asciiTheme="minorHAnsi" w:hAnsiTheme="minorHAnsi"/>
          <w:sz w:val="20"/>
          <w:szCs w:val="20"/>
          <w:lang w:val="en-US"/>
        </w:rPr>
        <w:t>participation</w:t>
      </w:r>
      <w:r w:rsidRPr="009D16B9">
        <w:rPr>
          <w:rFonts w:asciiTheme="minorHAnsi" w:hAnsiTheme="minorHAnsi"/>
          <w:sz w:val="20"/>
          <w:szCs w:val="20"/>
          <w:lang w:val="en-US"/>
        </w:rPr>
        <w:t xml:space="preserve"> when they arise?</w:t>
      </w:r>
    </w:p>
    <w:p w14:paraId="33B2FC87" w14:textId="77777777" w:rsidR="007F3F3B" w:rsidRPr="009D16B9" w:rsidRDefault="00000000">
      <w:pPr>
        <w:numPr>
          <w:ilvl w:val="0"/>
          <w:numId w:val="3"/>
        </w:numPr>
        <w:jc w:val="both"/>
        <w:rPr>
          <w:rFonts w:asciiTheme="minorHAnsi" w:hAnsiTheme="minorHAnsi"/>
          <w:sz w:val="20"/>
          <w:szCs w:val="20"/>
          <w:lang w:val="en-US"/>
        </w:rPr>
      </w:pPr>
      <w:r w:rsidRPr="009D16B9">
        <w:rPr>
          <w:rFonts w:asciiTheme="minorHAnsi" w:hAnsiTheme="minorHAnsi"/>
          <w:sz w:val="20"/>
          <w:szCs w:val="20"/>
          <w:lang w:val="en-US"/>
        </w:rPr>
        <w:t>What concrete actions should bar associations, corporations, associations, law firms, or other regulatory or associative bodies of the legal profession take to counteract these phenomena?</w:t>
      </w:r>
    </w:p>
    <w:p w14:paraId="748E8CE0" w14:textId="77777777" w:rsidR="007F3F3B" w:rsidRPr="009D16B9" w:rsidRDefault="00000000">
      <w:pPr>
        <w:numPr>
          <w:ilvl w:val="0"/>
          <w:numId w:val="3"/>
        </w:numPr>
        <w:jc w:val="both"/>
        <w:rPr>
          <w:rFonts w:asciiTheme="minorHAnsi" w:hAnsiTheme="minorHAnsi"/>
          <w:sz w:val="20"/>
          <w:szCs w:val="20"/>
          <w:lang w:val="en-US"/>
        </w:rPr>
      </w:pPr>
      <w:r w:rsidRPr="009D16B9">
        <w:rPr>
          <w:rFonts w:asciiTheme="minorHAnsi" w:hAnsiTheme="minorHAnsi"/>
          <w:sz w:val="20"/>
          <w:szCs w:val="20"/>
          <w:lang w:val="en-US"/>
        </w:rPr>
        <w:t>What support mechanisms should the media and civil society establish to assist individuals or entities affected by this phenomenon?</w:t>
      </w:r>
    </w:p>
    <w:p w14:paraId="1BBF524E" w14:textId="77777777" w:rsidR="007F3F3B" w:rsidRPr="009D16B9" w:rsidRDefault="00000000">
      <w:pPr>
        <w:numPr>
          <w:ilvl w:val="0"/>
          <w:numId w:val="3"/>
        </w:numPr>
        <w:jc w:val="both"/>
        <w:rPr>
          <w:rFonts w:asciiTheme="minorHAnsi" w:hAnsiTheme="minorHAnsi"/>
          <w:sz w:val="20"/>
          <w:szCs w:val="20"/>
          <w:lang w:val="en-US"/>
        </w:rPr>
      </w:pPr>
      <w:r w:rsidRPr="009D16B9">
        <w:rPr>
          <w:rFonts w:asciiTheme="minorHAnsi" w:hAnsiTheme="minorHAnsi"/>
          <w:sz w:val="20"/>
          <w:szCs w:val="20"/>
          <w:lang w:val="en-US"/>
        </w:rPr>
        <w:t>What specific measures should the media and civil society take to address or mitigate the negative human rights impacts of strategic lawsuits against public participation?</w:t>
      </w:r>
    </w:p>
    <w:p w14:paraId="15C54797" w14:textId="77777777" w:rsidR="007F3F3B" w:rsidRPr="009D16B9" w:rsidRDefault="00000000">
      <w:pPr>
        <w:numPr>
          <w:ilvl w:val="0"/>
          <w:numId w:val="3"/>
        </w:numPr>
        <w:jc w:val="both"/>
        <w:rPr>
          <w:rFonts w:asciiTheme="minorHAnsi" w:hAnsiTheme="minorHAnsi"/>
          <w:sz w:val="20"/>
          <w:szCs w:val="20"/>
          <w:lang w:val="en-US"/>
        </w:rPr>
      </w:pPr>
      <w:r w:rsidRPr="009D16B9">
        <w:rPr>
          <w:rFonts w:asciiTheme="minorHAnsi" w:hAnsiTheme="minorHAnsi"/>
          <w:sz w:val="20"/>
          <w:szCs w:val="20"/>
          <w:lang w:val="en-US"/>
        </w:rPr>
        <w:t>What concrete actions can be taken in the judicial sector to prevent and sanction this type of lawsuits?</w:t>
      </w:r>
    </w:p>
    <w:p w14:paraId="4C5829BF" w14:textId="77777777" w:rsidR="005F158A" w:rsidRPr="009D16B9" w:rsidRDefault="005F158A">
      <w:pPr>
        <w:jc w:val="both"/>
        <w:rPr>
          <w:rFonts w:asciiTheme="minorHAnsi" w:hAnsiTheme="minorHAnsi"/>
          <w:sz w:val="20"/>
          <w:szCs w:val="20"/>
          <w:lang w:val="en-US"/>
        </w:rPr>
      </w:pPr>
    </w:p>
    <w:p w14:paraId="6D465F92" w14:textId="2C5AD4F3" w:rsidR="007F3F3B" w:rsidRPr="009D16B9" w:rsidRDefault="00000000">
      <w:pPr>
        <w:shd w:val="clear" w:color="auto" w:fill="FFFFFF"/>
        <w:spacing w:before="200" w:after="200"/>
        <w:ind w:right="140"/>
        <w:jc w:val="both"/>
        <w:rPr>
          <w:rFonts w:asciiTheme="minorHAnsi" w:hAnsiTheme="minorHAnsi"/>
          <w:sz w:val="20"/>
          <w:szCs w:val="20"/>
          <w:lang w:val="en-US"/>
        </w:rPr>
      </w:pPr>
      <w:r w:rsidRPr="009D16B9">
        <w:rPr>
          <w:rFonts w:asciiTheme="minorHAnsi" w:hAnsiTheme="minorHAnsi"/>
          <w:sz w:val="20"/>
          <w:szCs w:val="20"/>
          <w:lang w:val="en-US"/>
        </w:rPr>
        <w:t>The questionnaire may be answered partially or completely, depending on the information available; research, reports, guides and other documents relevant to the topic may be submitted. The information should be concise, objective, with verifiable sources and up-to-date, and may include figures and statistics related to the topic.</w:t>
      </w:r>
      <w:r w:rsidR="009D16B9" w:rsidRPr="009D16B9">
        <w:rPr>
          <w:rFonts w:asciiTheme="minorHAnsi" w:hAnsiTheme="minorHAnsi"/>
          <w:sz w:val="20"/>
          <w:szCs w:val="20"/>
          <w:lang w:val="en-US"/>
        </w:rPr>
        <w:t xml:space="preserve"> The information may be submitted in Spanish, English, and/or Portuguese.</w:t>
      </w:r>
    </w:p>
    <w:p w14:paraId="3FCD666A" w14:textId="2B73BD7D" w:rsidR="007F3F3B" w:rsidRPr="009D16B9" w:rsidRDefault="00000000">
      <w:pPr>
        <w:shd w:val="clear" w:color="auto" w:fill="FFFFFF"/>
        <w:spacing w:before="200" w:after="200"/>
        <w:ind w:right="140"/>
        <w:jc w:val="both"/>
        <w:rPr>
          <w:rFonts w:asciiTheme="minorHAnsi" w:hAnsiTheme="minorHAnsi"/>
          <w:color w:val="333333"/>
          <w:sz w:val="20"/>
          <w:szCs w:val="20"/>
          <w:lang w:val="en-US"/>
        </w:rPr>
      </w:pPr>
      <w:r w:rsidRPr="009D16B9">
        <w:rPr>
          <w:rFonts w:asciiTheme="minorHAnsi" w:hAnsiTheme="minorHAnsi"/>
          <w:sz w:val="20"/>
          <w:szCs w:val="20"/>
          <w:lang w:val="en-US"/>
        </w:rPr>
        <w:t xml:space="preserve">The IACHR will receive from today until </w:t>
      </w:r>
      <w:r w:rsidR="00EF400F" w:rsidRPr="009D16B9">
        <w:rPr>
          <w:rFonts w:asciiTheme="minorHAnsi" w:hAnsiTheme="minorHAnsi"/>
          <w:b/>
          <w:bCs/>
          <w:sz w:val="20"/>
          <w:szCs w:val="20"/>
          <w:lang w:val="en-US"/>
        </w:rPr>
        <w:t>November 8</w:t>
      </w:r>
      <w:r w:rsidRPr="009D16B9">
        <w:rPr>
          <w:rFonts w:asciiTheme="minorHAnsi" w:hAnsiTheme="minorHAnsi"/>
          <w:b/>
          <w:bCs/>
          <w:sz w:val="20"/>
          <w:szCs w:val="20"/>
          <w:lang w:val="en-US"/>
        </w:rPr>
        <w:t xml:space="preserve">, 2024 </w:t>
      </w:r>
      <w:r w:rsidRPr="009D16B9">
        <w:rPr>
          <w:rFonts w:asciiTheme="minorHAnsi" w:hAnsiTheme="minorHAnsi"/>
          <w:sz w:val="20"/>
          <w:szCs w:val="20"/>
          <w:lang w:val="en-US"/>
        </w:rPr>
        <w:t xml:space="preserve">the information sent to the e-mail </w:t>
      </w:r>
      <w:hyperlink r:id="rId8" w:history="1">
        <w:r w:rsidR="009D16B9" w:rsidRPr="009D16B9">
          <w:rPr>
            <w:rStyle w:val="Hyperlink"/>
            <w:rFonts w:asciiTheme="minorHAnsi" w:hAnsiTheme="minorHAnsi"/>
            <w:sz w:val="20"/>
            <w:szCs w:val="20"/>
            <w:lang w:val="en-US"/>
          </w:rPr>
          <w:t>CIDHexpresion@oas.org</w:t>
        </w:r>
      </w:hyperlink>
      <w:r w:rsidR="00EF400F" w:rsidRPr="009D16B9">
        <w:rPr>
          <w:rFonts w:asciiTheme="minorHAnsi" w:hAnsiTheme="minorHAnsi"/>
          <w:sz w:val="20"/>
          <w:szCs w:val="20"/>
          <w:lang w:val="en-US"/>
        </w:rPr>
        <w:t>.</w:t>
      </w:r>
    </w:p>
    <w:p w14:paraId="0F560663" w14:textId="77777777" w:rsidR="007F3F3B" w:rsidRPr="009D16B9" w:rsidRDefault="00000000">
      <w:pPr>
        <w:shd w:val="clear" w:color="auto" w:fill="FFFFFF"/>
        <w:spacing w:before="200" w:after="200"/>
        <w:ind w:right="140"/>
        <w:jc w:val="both"/>
        <w:rPr>
          <w:rFonts w:asciiTheme="minorHAnsi" w:hAnsiTheme="minorHAnsi"/>
          <w:sz w:val="20"/>
          <w:szCs w:val="20"/>
          <w:lang w:val="en-US"/>
        </w:rPr>
      </w:pPr>
      <w:r w:rsidRPr="009D16B9">
        <w:rPr>
          <w:rFonts w:asciiTheme="minorHAnsi" w:hAnsiTheme="minorHAnsi"/>
          <w:sz w:val="20"/>
          <w:szCs w:val="20"/>
          <w:lang w:val="en-US"/>
        </w:rPr>
        <w:t>The Office of the Special Rapporteur for Freedom of Expression is an office created by the Inter-American Commission on Human Rights (IACHR) to encourage the hemispheric defense of the right to freedom of thought and expression, considering its fundamental role in the consolidation and development of the democratic system.</w:t>
      </w:r>
    </w:p>
    <w:p w14:paraId="723FB6B0" w14:textId="77777777" w:rsidR="005F158A" w:rsidRPr="009D16B9" w:rsidRDefault="005F158A">
      <w:pPr>
        <w:jc w:val="both"/>
        <w:rPr>
          <w:rFonts w:asciiTheme="minorHAnsi" w:hAnsiTheme="minorHAnsi"/>
          <w:sz w:val="20"/>
          <w:szCs w:val="20"/>
          <w:lang w:val="en-US"/>
        </w:rPr>
      </w:pPr>
    </w:p>
    <w:p w14:paraId="11507D05" w14:textId="77777777" w:rsidR="005F158A" w:rsidRPr="009D16B9" w:rsidRDefault="005F158A">
      <w:pPr>
        <w:rPr>
          <w:rFonts w:asciiTheme="minorHAnsi" w:hAnsiTheme="minorHAnsi"/>
          <w:sz w:val="20"/>
          <w:szCs w:val="20"/>
          <w:lang w:val="en-US"/>
        </w:rPr>
      </w:pPr>
    </w:p>
    <w:p w14:paraId="57D8DEB0" w14:textId="77777777" w:rsidR="005F158A" w:rsidRPr="009D16B9" w:rsidRDefault="00AD73D7">
      <w:pPr>
        <w:rPr>
          <w:rFonts w:asciiTheme="minorHAnsi" w:hAnsiTheme="minorHAnsi"/>
          <w:sz w:val="20"/>
          <w:szCs w:val="20"/>
          <w:lang w:val="en-US"/>
        </w:rPr>
      </w:pPr>
      <w:r w:rsidRPr="009D16B9">
        <w:rPr>
          <w:rFonts w:asciiTheme="minorHAnsi" w:hAnsiTheme="minorHAnsi"/>
          <w:sz w:val="20"/>
          <w:szCs w:val="20"/>
          <w:lang w:val="en-US"/>
        </w:rPr>
        <w:t xml:space="preserve"> </w:t>
      </w:r>
    </w:p>
    <w:p w14:paraId="35E3F6C8" w14:textId="77777777" w:rsidR="005F158A" w:rsidRPr="009D16B9" w:rsidRDefault="005F158A">
      <w:pPr>
        <w:rPr>
          <w:rFonts w:asciiTheme="minorHAnsi" w:hAnsiTheme="minorHAnsi"/>
          <w:sz w:val="20"/>
          <w:szCs w:val="20"/>
          <w:lang w:val="en-US"/>
        </w:rPr>
      </w:pPr>
    </w:p>
    <w:sectPr w:rsidR="005F158A" w:rsidRPr="009D16B9">
      <w:headerReference w:type="first" r:id="rId9"/>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F4C48" w14:textId="77777777" w:rsidR="00A50DAD" w:rsidRDefault="00A50DAD">
      <w:pPr>
        <w:spacing w:line="240" w:lineRule="auto"/>
      </w:pPr>
      <w:r>
        <w:separator/>
      </w:r>
    </w:p>
  </w:endnote>
  <w:endnote w:type="continuationSeparator" w:id="0">
    <w:p w14:paraId="14D38E15" w14:textId="77777777" w:rsidR="00A50DAD" w:rsidRDefault="00A50D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5D831" w14:textId="77777777" w:rsidR="00A50DAD" w:rsidRDefault="00A50DAD">
      <w:pPr>
        <w:spacing w:line="240" w:lineRule="auto"/>
      </w:pPr>
      <w:r>
        <w:separator/>
      </w:r>
    </w:p>
  </w:footnote>
  <w:footnote w:type="continuationSeparator" w:id="0">
    <w:p w14:paraId="5E21E11F" w14:textId="77777777" w:rsidR="00A50DAD" w:rsidRDefault="00A50DAD">
      <w:pPr>
        <w:spacing w:line="240" w:lineRule="auto"/>
      </w:pPr>
      <w:r>
        <w:continuationSeparator/>
      </w:r>
    </w:p>
  </w:footnote>
  <w:footnote w:id="1">
    <w:p w14:paraId="6E0DF82F" w14:textId="77777777" w:rsidR="007F3F3B" w:rsidRPr="009D16B9" w:rsidRDefault="00000000">
      <w:pPr>
        <w:spacing w:line="240" w:lineRule="auto"/>
        <w:jc w:val="both"/>
        <w:rPr>
          <w:rFonts w:ascii="Cambria" w:eastAsia="Cambria" w:hAnsi="Cambria" w:cs="Cambria"/>
          <w:sz w:val="16"/>
          <w:szCs w:val="16"/>
        </w:rPr>
      </w:pPr>
      <w:r w:rsidRPr="00EF400F">
        <w:rPr>
          <w:rFonts w:ascii="Cambria" w:hAnsi="Cambria"/>
          <w:sz w:val="16"/>
          <w:szCs w:val="16"/>
          <w:vertAlign w:val="superscript"/>
        </w:rPr>
        <w:footnoteRef/>
      </w:r>
      <w:r w:rsidRPr="00EF400F">
        <w:rPr>
          <w:rFonts w:ascii="Cambria" w:eastAsia="Cambria" w:hAnsi="Cambria" w:cs="Cambria"/>
          <w:sz w:val="16"/>
          <w:szCs w:val="16"/>
        </w:rPr>
        <w:t xml:space="preserve"> Article 19, Fundación para la Libertad de Prensa (FLIP), El Veinte, Foro de Periodismo Argentino (FOPEA), Instituto de Prensa y Sociedad, Peru, (IPyS Peru), Columbia Global Freedom of Expression (GFoE), Associação Brasileira de Jornalismo Investigativo (Abraji), Instituto DEMOS.</w:t>
      </w:r>
    </w:p>
  </w:footnote>
  <w:footnote w:id="2">
    <w:p w14:paraId="28F70A67" w14:textId="77777777" w:rsidR="007F3F3B" w:rsidRPr="009D16B9" w:rsidRDefault="00000000">
      <w:pPr>
        <w:spacing w:line="240" w:lineRule="auto"/>
        <w:jc w:val="both"/>
        <w:rPr>
          <w:rFonts w:ascii="Cambria" w:eastAsia="Cambria" w:hAnsi="Cambria" w:cs="Cambria"/>
          <w:sz w:val="16"/>
          <w:szCs w:val="16"/>
          <w:lang w:val="en-US"/>
        </w:rPr>
      </w:pPr>
      <w:r w:rsidRPr="009D16B9">
        <w:rPr>
          <w:rFonts w:ascii="Cambria" w:hAnsi="Cambria"/>
          <w:sz w:val="16"/>
          <w:szCs w:val="16"/>
          <w:vertAlign w:val="superscript"/>
        </w:rPr>
        <w:footnoteRef/>
      </w:r>
      <w:r w:rsidRPr="009D16B9">
        <w:rPr>
          <w:rFonts w:ascii="Cambria" w:eastAsia="Cambria" w:hAnsi="Cambria" w:cs="Cambria"/>
          <w:sz w:val="16"/>
          <w:szCs w:val="16"/>
          <w:lang w:val="en-US"/>
        </w:rPr>
        <w:t xml:space="preserve"> IACHR</w:t>
      </w:r>
      <w:r w:rsidR="00EF400F" w:rsidRPr="009D16B9">
        <w:rPr>
          <w:rFonts w:ascii="Cambria" w:eastAsia="Cambria" w:hAnsi="Cambria" w:cs="Cambria"/>
          <w:sz w:val="16"/>
          <w:szCs w:val="16"/>
          <w:lang w:val="en-US"/>
        </w:rPr>
        <w:t xml:space="preserve">, </w:t>
      </w:r>
      <w:r>
        <w:fldChar w:fldCharType="begin"/>
      </w:r>
      <w:r w:rsidRPr="00E408F9">
        <w:rPr>
          <w:lang w:val="en-US"/>
        </w:rPr>
        <w:instrText>HYPERLINK "https://www.youtube.com/watch?v=75PQj1TOSH0&amp;t=7s" \h</w:instrText>
      </w:r>
      <w:r>
        <w:fldChar w:fldCharType="separate"/>
      </w:r>
      <w:r w:rsidR="005F158A" w:rsidRPr="009D16B9">
        <w:rPr>
          <w:rFonts w:ascii="Cambria" w:eastAsia="Cambria" w:hAnsi="Cambria" w:cs="Cambria"/>
          <w:sz w:val="16"/>
          <w:szCs w:val="16"/>
          <w:lang w:val="en-US"/>
        </w:rPr>
        <w:t>187th session, Judicialization of matters of public interest against persons exercising freedom of expression</w:t>
      </w:r>
      <w:r>
        <w:rPr>
          <w:rFonts w:ascii="Cambria" w:eastAsia="Cambria" w:hAnsi="Cambria" w:cs="Cambria"/>
          <w:sz w:val="16"/>
          <w:szCs w:val="16"/>
          <w:lang w:val="en-US"/>
        </w:rPr>
        <w:fldChar w:fldCharType="end"/>
      </w:r>
      <w:r w:rsidRPr="009D16B9">
        <w:rPr>
          <w:rFonts w:ascii="Cambria" w:eastAsia="Cambria" w:hAnsi="Cambria" w:cs="Cambria"/>
          <w:sz w:val="16"/>
          <w:szCs w:val="16"/>
          <w:lang w:val="en-US"/>
        </w:rPr>
        <w:t>, July 13,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4757F" w14:textId="77777777" w:rsidR="005F158A" w:rsidRDefault="00AD73D7" w:rsidP="00EF400F">
    <w:pPr>
      <w:jc w:val="center"/>
    </w:pPr>
    <w:r>
      <w:rPr>
        <w:noProof/>
      </w:rPr>
      <w:drawing>
        <wp:inline distT="114300" distB="114300" distL="114300" distR="114300" wp14:anchorId="1B5CAA11" wp14:editId="4CF50001">
          <wp:extent cx="4370664" cy="70467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76707" cy="72177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1A6"/>
    <w:multiLevelType w:val="multilevel"/>
    <w:tmpl w:val="C2EC66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F253213"/>
    <w:multiLevelType w:val="multilevel"/>
    <w:tmpl w:val="6BFE7E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D9D466B"/>
    <w:multiLevelType w:val="multilevel"/>
    <w:tmpl w:val="9476D8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F191C9C"/>
    <w:multiLevelType w:val="multilevel"/>
    <w:tmpl w:val="6680CC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67966949">
    <w:abstractNumId w:val="1"/>
  </w:num>
  <w:num w:numId="2" w16cid:durableId="1751611272">
    <w:abstractNumId w:val="2"/>
  </w:num>
  <w:num w:numId="3" w16cid:durableId="149910529">
    <w:abstractNumId w:val="3"/>
  </w:num>
  <w:num w:numId="4" w16cid:durableId="773524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58A"/>
    <w:rsid w:val="000035F8"/>
    <w:rsid w:val="000B2135"/>
    <w:rsid w:val="000F05B5"/>
    <w:rsid w:val="001D47DA"/>
    <w:rsid w:val="002A27FB"/>
    <w:rsid w:val="002F1C2D"/>
    <w:rsid w:val="004753C3"/>
    <w:rsid w:val="0048449D"/>
    <w:rsid w:val="005321D8"/>
    <w:rsid w:val="005F158A"/>
    <w:rsid w:val="006C3496"/>
    <w:rsid w:val="007F3F3B"/>
    <w:rsid w:val="009B6AE7"/>
    <w:rsid w:val="009C6BAE"/>
    <w:rsid w:val="009D16B9"/>
    <w:rsid w:val="00A50DAD"/>
    <w:rsid w:val="00AD73D7"/>
    <w:rsid w:val="00E408F9"/>
    <w:rsid w:val="00E52022"/>
    <w:rsid w:val="00EF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CA8F"/>
  <w15:docId w15:val="{0775346D-B9EA-E647-B779-FBF42766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4753C3"/>
    <w:rPr>
      <w:sz w:val="16"/>
      <w:szCs w:val="16"/>
    </w:rPr>
  </w:style>
  <w:style w:type="paragraph" w:styleId="CommentText">
    <w:name w:val="annotation text"/>
    <w:basedOn w:val="Normal"/>
    <w:link w:val="CommentTextChar"/>
    <w:uiPriority w:val="99"/>
    <w:semiHidden/>
    <w:unhideWhenUsed/>
    <w:rsid w:val="004753C3"/>
    <w:pPr>
      <w:spacing w:line="240" w:lineRule="auto"/>
    </w:pPr>
    <w:rPr>
      <w:sz w:val="20"/>
      <w:szCs w:val="20"/>
    </w:rPr>
  </w:style>
  <w:style w:type="character" w:customStyle="1" w:styleId="CommentTextChar">
    <w:name w:val="Comment Text Char"/>
    <w:basedOn w:val="DefaultParagraphFont"/>
    <w:link w:val="CommentText"/>
    <w:uiPriority w:val="99"/>
    <w:semiHidden/>
    <w:rsid w:val="004753C3"/>
    <w:rPr>
      <w:sz w:val="20"/>
      <w:szCs w:val="20"/>
    </w:rPr>
  </w:style>
  <w:style w:type="paragraph" w:styleId="CommentSubject">
    <w:name w:val="annotation subject"/>
    <w:basedOn w:val="CommentText"/>
    <w:next w:val="CommentText"/>
    <w:link w:val="CommentSubjectChar"/>
    <w:uiPriority w:val="99"/>
    <w:semiHidden/>
    <w:unhideWhenUsed/>
    <w:rsid w:val="004753C3"/>
    <w:rPr>
      <w:b/>
      <w:bCs/>
    </w:rPr>
  </w:style>
  <w:style w:type="character" w:customStyle="1" w:styleId="CommentSubjectChar">
    <w:name w:val="Comment Subject Char"/>
    <w:basedOn w:val="CommentTextChar"/>
    <w:link w:val="CommentSubject"/>
    <w:uiPriority w:val="99"/>
    <w:semiHidden/>
    <w:rsid w:val="004753C3"/>
    <w:rPr>
      <w:b/>
      <w:bCs/>
      <w:sz w:val="20"/>
      <w:szCs w:val="20"/>
    </w:rPr>
  </w:style>
  <w:style w:type="paragraph" w:styleId="Revision">
    <w:name w:val="Revision"/>
    <w:hidden/>
    <w:uiPriority w:val="99"/>
    <w:semiHidden/>
    <w:rsid w:val="004753C3"/>
    <w:pPr>
      <w:spacing w:line="240" w:lineRule="auto"/>
    </w:pPr>
  </w:style>
  <w:style w:type="paragraph" w:styleId="Header">
    <w:name w:val="header"/>
    <w:basedOn w:val="Normal"/>
    <w:link w:val="HeaderChar"/>
    <w:uiPriority w:val="99"/>
    <w:unhideWhenUsed/>
    <w:rsid w:val="00EF400F"/>
    <w:pPr>
      <w:tabs>
        <w:tab w:val="center" w:pos="4680"/>
        <w:tab w:val="right" w:pos="9360"/>
      </w:tabs>
      <w:spacing w:line="240" w:lineRule="auto"/>
    </w:pPr>
  </w:style>
  <w:style w:type="character" w:customStyle="1" w:styleId="HeaderChar">
    <w:name w:val="Header Char"/>
    <w:basedOn w:val="DefaultParagraphFont"/>
    <w:link w:val="Header"/>
    <w:uiPriority w:val="99"/>
    <w:rsid w:val="00EF400F"/>
  </w:style>
  <w:style w:type="paragraph" w:styleId="Footer">
    <w:name w:val="footer"/>
    <w:basedOn w:val="Normal"/>
    <w:link w:val="FooterChar"/>
    <w:uiPriority w:val="99"/>
    <w:unhideWhenUsed/>
    <w:rsid w:val="00EF400F"/>
    <w:pPr>
      <w:tabs>
        <w:tab w:val="center" w:pos="4680"/>
        <w:tab w:val="right" w:pos="9360"/>
      </w:tabs>
      <w:spacing w:line="240" w:lineRule="auto"/>
    </w:pPr>
  </w:style>
  <w:style w:type="character" w:customStyle="1" w:styleId="FooterChar">
    <w:name w:val="Footer Char"/>
    <w:basedOn w:val="DefaultParagraphFont"/>
    <w:link w:val="Footer"/>
    <w:uiPriority w:val="99"/>
    <w:rsid w:val="00EF400F"/>
  </w:style>
  <w:style w:type="character" w:styleId="Hyperlink">
    <w:name w:val="Hyperlink"/>
    <w:basedOn w:val="DefaultParagraphFont"/>
    <w:uiPriority w:val="99"/>
    <w:unhideWhenUsed/>
    <w:rsid w:val="00EF400F"/>
    <w:rPr>
      <w:color w:val="0000FF" w:themeColor="hyperlink"/>
      <w:u w:val="single"/>
    </w:rPr>
  </w:style>
  <w:style w:type="character" w:styleId="UnresolvedMention">
    <w:name w:val="Unresolved Mention"/>
    <w:basedOn w:val="DefaultParagraphFont"/>
    <w:uiPriority w:val="99"/>
    <w:semiHidden/>
    <w:unhideWhenUsed/>
    <w:rsid w:val="00EF4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IDHexpresion@oa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B59CB-BAA3-9046-81E1-52E385EA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docId:FA19A953EE4A0F85EFB9C8B10B45B791</cp:keywords>
  <cp:lastModifiedBy>Paula Roko</cp:lastModifiedBy>
  <cp:revision>6</cp:revision>
  <dcterms:created xsi:type="dcterms:W3CDTF">2024-09-19T15:08:00Z</dcterms:created>
  <dcterms:modified xsi:type="dcterms:W3CDTF">2024-10-01T18:36:00Z</dcterms:modified>
</cp:coreProperties>
</file>