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A038" w14:textId="77777777" w:rsidR="004753C3" w:rsidRPr="00EF400F" w:rsidRDefault="004753C3">
      <w:pPr>
        <w:jc w:val="both"/>
        <w:rPr>
          <w:rFonts w:asciiTheme="minorHAnsi" w:hAnsiTheme="minorHAnsi"/>
          <w:b/>
          <w:sz w:val="20"/>
          <w:szCs w:val="20"/>
        </w:rPr>
      </w:pPr>
    </w:p>
    <w:p w14:paraId="0CE005D9" w14:textId="54AC584F" w:rsidR="005F158A" w:rsidRPr="00EF400F" w:rsidRDefault="00AD73D7" w:rsidP="00EF400F">
      <w:pPr>
        <w:jc w:val="center"/>
        <w:rPr>
          <w:rFonts w:asciiTheme="minorHAnsi" w:hAnsiTheme="minorHAnsi"/>
          <w:b/>
          <w:sz w:val="20"/>
          <w:szCs w:val="20"/>
        </w:rPr>
      </w:pPr>
      <w:r w:rsidRPr="00EF400F">
        <w:rPr>
          <w:rFonts w:asciiTheme="minorHAnsi" w:hAnsiTheme="minorHAnsi"/>
          <w:b/>
          <w:sz w:val="20"/>
          <w:szCs w:val="20"/>
        </w:rPr>
        <w:t>CUESTIONARIO CONSULTA SOBRE PLEITOS ESTRATÉGICOS CONTRA LA PARTICIPACIÓN PÚBLICA EN LAS AMÉRICAS</w:t>
      </w:r>
    </w:p>
    <w:p w14:paraId="094D04BE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6ABB9542" w14:textId="0B31E675" w:rsidR="005F158A" w:rsidRPr="00EF400F" w:rsidRDefault="00AD73D7">
      <w:p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La Relatoría Especial para la Libertad de Expresión de la Comisión Interamericana de Derechos Humanos (CIDH) está elaborando un informe sobre los pleitos estratégicos contra la participación pública (</w:t>
      </w:r>
      <w:proofErr w:type="spellStart"/>
      <w:r w:rsidRPr="00EF400F">
        <w:rPr>
          <w:rFonts w:asciiTheme="minorHAnsi" w:hAnsiTheme="minorHAnsi"/>
          <w:sz w:val="20"/>
          <w:szCs w:val="20"/>
        </w:rPr>
        <w:t>SLAPPs</w:t>
      </w:r>
      <w:proofErr w:type="spellEnd"/>
      <w:r w:rsidR="00EF400F">
        <w:rPr>
          <w:rFonts w:asciiTheme="minorHAnsi" w:hAnsiTheme="minorHAnsi"/>
          <w:sz w:val="20"/>
          <w:szCs w:val="20"/>
        </w:rPr>
        <w:t>,</w:t>
      </w:r>
      <w:r w:rsidRPr="00EF400F">
        <w:rPr>
          <w:rFonts w:asciiTheme="minorHAnsi" w:hAnsiTheme="minorHAnsi"/>
          <w:sz w:val="20"/>
          <w:szCs w:val="20"/>
        </w:rPr>
        <w:t xml:space="preserve"> por su sigla en inglés) y los estándares aplicables para enfrentar ese fenómeno.</w:t>
      </w:r>
    </w:p>
    <w:p w14:paraId="3959F392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4AE205C6" w14:textId="22FEA3B9" w:rsidR="005F158A" w:rsidRPr="00EF400F" w:rsidRDefault="00AD73D7">
      <w:p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El objetivo de este informe es ofrecer un diagnóstico sobre la problemática en las Américas, recoger los estándares de derecho internacional de los derechos humanos aplicables a la temática, </w:t>
      </w:r>
      <w:r w:rsidR="0001476D">
        <w:rPr>
          <w:rFonts w:asciiTheme="minorHAnsi" w:hAnsiTheme="minorHAnsi"/>
          <w:sz w:val="20"/>
          <w:szCs w:val="20"/>
        </w:rPr>
        <w:t xml:space="preserve">e identificar </w:t>
      </w:r>
      <w:r w:rsidRPr="00EF400F">
        <w:rPr>
          <w:rFonts w:asciiTheme="minorHAnsi" w:hAnsiTheme="minorHAnsi"/>
          <w:sz w:val="20"/>
          <w:szCs w:val="20"/>
        </w:rPr>
        <w:t xml:space="preserve">buenas prácticas para contrarrestar el fenómeno. </w:t>
      </w:r>
      <w:r w:rsidR="005321D8" w:rsidRPr="00EF400F">
        <w:rPr>
          <w:rFonts w:asciiTheme="minorHAnsi" w:hAnsiTheme="minorHAnsi"/>
          <w:sz w:val="20"/>
          <w:szCs w:val="20"/>
        </w:rPr>
        <w:t>La relevancia de e</w:t>
      </w:r>
      <w:r w:rsidRPr="00EF400F">
        <w:rPr>
          <w:rFonts w:asciiTheme="minorHAnsi" w:hAnsiTheme="minorHAnsi"/>
          <w:sz w:val="20"/>
          <w:szCs w:val="20"/>
        </w:rPr>
        <w:t xml:space="preserve">ste informe se </w:t>
      </w:r>
      <w:r w:rsidR="005321D8" w:rsidRPr="00EF400F">
        <w:rPr>
          <w:rFonts w:asciiTheme="minorHAnsi" w:hAnsiTheme="minorHAnsi"/>
          <w:sz w:val="20"/>
          <w:szCs w:val="20"/>
        </w:rPr>
        <w:t xml:space="preserve">basa en </w:t>
      </w:r>
      <w:r w:rsidRPr="00EF400F">
        <w:rPr>
          <w:rFonts w:asciiTheme="minorHAnsi" w:hAnsiTheme="minorHAnsi"/>
          <w:sz w:val="20"/>
          <w:szCs w:val="20"/>
        </w:rPr>
        <w:t>la preocupación por el creciente uso abusivo de los mecanismos judiciales con el fin de silenciar expresiones de interés público</w:t>
      </w:r>
      <w:r w:rsidR="00E52022" w:rsidRPr="00EF400F">
        <w:rPr>
          <w:rFonts w:asciiTheme="minorHAnsi" w:hAnsiTheme="minorHAnsi"/>
          <w:sz w:val="20"/>
          <w:szCs w:val="20"/>
        </w:rPr>
        <w:t xml:space="preserve">. Además, busca </w:t>
      </w:r>
      <w:r w:rsidRPr="00EF400F">
        <w:rPr>
          <w:rFonts w:asciiTheme="minorHAnsi" w:hAnsiTheme="minorHAnsi"/>
          <w:sz w:val="20"/>
          <w:szCs w:val="20"/>
        </w:rPr>
        <w:t xml:space="preserve">atender la solicitud hecha por un grupo de organizaciones </w:t>
      </w:r>
      <w:r w:rsidR="00E52022" w:rsidRPr="00EF400F">
        <w:rPr>
          <w:rFonts w:asciiTheme="minorHAnsi" w:hAnsiTheme="minorHAnsi"/>
          <w:sz w:val="20"/>
          <w:szCs w:val="20"/>
        </w:rPr>
        <w:t xml:space="preserve">locales </w:t>
      </w:r>
      <w:r w:rsidRPr="00EF400F">
        <w:rPr>
          <w:rFonts w:asciiTheme="minorHAnsi" w:hAnsiTheme="minorHAnsi"/>
          <w:sz w:val="20"/>
          <w:szCs w:val="20"/>
        </w:rPr>
        <w:t>e internacionales</w:t>
      </w:r>
      <w:r w:rsidRPr="00EF400F">
        <w:rPr>
          <w:rFonts w:asciiTheme="minorHAnsi" w:hAnsiTheme="minorHAnsi"/>
          <w:sz w:val="20"/>
          <w:szCs w:val="20"/>
          <w:vertAlign w:val="superscript"/>
        </w:rPr>
        <w:footnoteReference w:id="1"/>
      </w:r>
      <w:r w:rsidR="00E52022" w:rsidRPr="00EF400F">
        <w:rPr>
          <w:rFonts w:asciiTheme="minorHAnsi" w:hAnsiTheme="minorHAnsi"/>
          <w:sz w:val="20"/>
          <w:szCs w:val="20"/>
        </w:rPr>
        <w:t xml:space="preserve"> durante </w:t>
      </w:r>
      <w:r w:rsidRPr="00EF400F">
        <w:rPr>
          <w:rFonts w:asciiTheme="minorHAnsi" w:hAnsiTheme="minorHAnsi"/>
          <w:sz w:val="20"/>
          <w:szCs w:val="20"/>
        </w:rPr>
        <w:t>la audiencia temática “Judicialización de asuntos de interés público contra personas que ejercen la libertad de expresión (</w:t>
      </w:r>
      <w:proofErr w:type="spellStart"/>
      <w:r w:rsidRPr="00EF400F">
        <w:rPr>
          <w:rFonts w:asciiTheme="minorHAnsi" w:hAnsiTheme="minorHAnsi"/>
          <w:sz w:val="20"/>
          <w:szCs w:val="20"/>
        </w:rPr>
        <w:t>SLAPPs</w:t>
      </w:r>
      <w:proofErr w:type="spellEnd"/>
      <w:r w:rsidRPr="00EF400F">
        <w:rPr>
          <w:rFonts w:asciiTheme="minorHAnsi" w:hAnsiTheme="minorHAnsi"/>
          <w:sz w:val="20"/>
          <w:szCs w:val="20"/>
        </w:rPr>
        <w:t xml:space="preserve">) en la región”, desarrollada el 12 de julio de 2023 en el marco del 187 </w:t>
      </w:r>
      <w:r w:rsidR="0001476D">
        <w:rPr>
          <w:rFonts w:asciiTheme="minorHAnsi" w:hAnsiTheme="minorHAnsi"/>
          <w:sz w:val="20"/>
          <w:szCs w:val="20"/>
        </w:rPr>
        <w:t>P</w:t>
      </w:r>
      <w:r w:rsidRPr="00EF400F">
        <w:rPr>
          <w:rFonts w:asciiTheme="minorHAnsi" w:hAnsiTheme="minorHAnsi"/>
          <w:sz w:val="20"/>
          <w:szCs w:val="20"/>
        </w:rPr>
        <w:t xml:space="preserve">eríodo de </w:t>
      </w:r>
      <w:r w:rsidR="0001476D">
        <w:rPr>
          <w:rFonts w:asciiTheme="minorHAnsi" w:hAnsiTheme="minorHAnsi"/>
          <w:sz w:val="20"/>
          <w:szCs w:val="20"/>
        </w:rPr>
        <w:t>S</w:t>
      </w:r>
      <w:r w:rsidRPr="00EF400F">
        <w:rPr>
          <w:rFonts w:asciiTheme="minorHAnsi" w:hAnsiTheme="minorHAnsi"/>
          <w:sz w:val="20"/>
          <w:szCs w:val="20"/>
        </w:rPr>
        <w:t>esiones</w:t>
      </w:r>
      <w:r w:rsidR="00E52022" w:rsidRPr="00EF400F">
        <w:rPr>
          <w:rFonts w:asciiTheme="minorHAnsi" w:hAnsiTheme="minorHAnsi"/>
          <w:sz w:val="20"/>
          <w:szCs w:val="20"/>
        </w:rPr>
        <w:t xml:space="preserve"> de la CIDH. Allí, las organizaciones de la sociedad civil resaltaron la importancia de que la RELE elabore </w:t>
      </w:r>
      <w:r w:rsidRPr="00EF400F">
        <w:rPr>
          <w:rFonts w:asciiTheme="minorHAnsi" w:hAnsiTheme="minorHAnsi"/>
          <w:sz w:val="20"/>
          <w:szCs w:val="20"/>
        </w:rPr>
        <w:t xml:space="preserve">un informe temático que </w:t>
      </w:r>
      <w:proofErr w:type="spellStart"/>
      <w:r w:rsidRPr="00EF400F">
        <w:rPr>
          <w:rFonts w:asciiTheme="minorHAnsi" w:hAnsiTheme="minorHAnsi"/>
          <w:sz w:val="20"/>
          <w:szCs w:val="20"/>
        </w:rPr>
        <w:t>d</w:t>
      </w:r>
      <w:r w:rsidR="002F1C2D" w:rsidRPr="00EF400F">
        <w:rPr>
          <w:rFonts w:asciiTheme="minorHAnsi" w:hAnsiTheme="minorHAnsi"/>
          <w:sz w:val="20"/>
          <w:szCs w:val="20"/>
        </w:rPr>
        <w:t>e</w:t>
      </w:r>
      <w:proofErr w:type="spellEnd"/>
      <w:r w:rsidRPr="00EF400F">
        <w:rPr>
          <w:rFonts w:asciiTheme="minorHAnsi" w:hAnsiTheme="minorHAnsi"/>
          <w:sz w:val="20"/>
          <w:szCs w:val="20"/>
        </w:rPr>
        <w:t xml:space="preserve"> cuenta de la dimensión e impacto de las </w:t>
      </w:r>
      <w:proofErr w:type="spellStart"/>
      <w:r w:rsidRPr="00EF400F">
        <w:rPr>
          <w:rFonts w:asciiTheme="minorHAnsi" w:hAnsiTheme="minorHAnsi"/>
          <w:sz w:val="20"/>
          <w:szCs w:val="20"/>
        </w:rPr>
        <w:t>SLAPPs</w:t>
      </w:r>
      <w:proofErr w:type="spellEnd"/>
      <w:r w:rsidRPr="00EF400F">
        <w:rPr>
          <w:rFonts w:asciiTheme="minorHAnsi" w:hAnsiTheme="minorHAnsi"/>
          <w:sz w:val="20"/>
          <w:szCs w:val="20"/>
        </w:rPr>
        <w:t xml:space="preserve"> </w:t>
      </w:r>
      <w:r w:rsidR="002F1C2D" w:rsidRPr="00EF400F">
        <w:rPr>
          <w:rFonts w:asciiTheme="minorHAnsi" w:hAnsiTheme="minorHAnsi"/>
          <w:sz w:val="20"/>
          <w:szCs w:val="20"/>
        </w:rPr>
        <w:t xml:space="preserve">en la libertad de expresión, </w:t>
      </w:r>
      <w:r w:rsidRPr="00EF400F">
        <w:rPr>
          <w:rFonts w:asciiTheme="minorHAnsi" w:hAnsiTheme="minorHAnsi"/>
          <w:sz w:val="20"/>
          <w:szCs w:val="20"/>
        </w:rPr>
        <w:t>a la luz de la Convención Americana</w:t>
      </w:r>
      <w:r w:rsidR="002F1C2D" w:rsidRPr="00EF400F">
        <w:rPr>
          <w:rFonts w:asciiTheme="minorHAnsi" w:hAnsiTheme="minorHAnsi"/>
          <w:sz w:val="20"/>
          <w:szCs w:val="20"/>
        </w:rPr>
        <w:t xml:space="preserve"> y los estándares del sistema interamericano de derechos humanos</w:t>
      </w:r>
      <w:r w:rsidRPr="00EF400F">
        <w:rPr>
          <w:rFonts w:asciiTheme="minorHAnsi" w:hAnsiTheme="minorHAnsi"/>
          <w:sz w:val="20"/>
          <w:szCs w:val="20"/>
        </w:rPr>
        <w:t xml:space="preserve">. </w:t>
      </w:r>
      <w:r w:rsidRPr="00EF400F">
        <w:rPr>
          <w:rFonts w:asciiTheme="minorHAnsi" w:hAnsiTheme="minorHAnsi"/>
          <w:sz w:val="20"/>
          <w:szCs w:val="20"/>
          <w:vertAlign w:val="superscript"/>
        </w:rPr>
        <w:footnoteReference w:id="2"/>
      </w:r>
    </w:p>
    <w:p w14:paraId="5C045FAF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2ED7A5DA" w14:textId="0917AFF2" w:rsidR="005F158A" w:rsidRPr="00EF400F" w:rsidRDefault="00AD73D7">
      <w:p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En este marco, la </w:t>
      </w:r>
      <w:r w:rsidR="002F1C2D" w:rsidRPr="00EF400F">
        <w:rPr>
          <w:rFonts w:asciiTheme="minorHAnsi" w:hAnsiTheme="minorHAnsi"/>
          <w:sz w:val="20"/>
          <w:szCs w:val="20"/>
        </w:rPr>
        <w:t xml:space="preserve">Relatoría Especial </w:t>
      </w:r>
      <w:r w:rsidRPr="00EF400F">
        <w:rPr>
          <w:rFonts w:asciiTheme="minorHAnsi" w:hAnsiTheme="minorHAnsi"/>
          <w:sz w:val="20"/>
          <w:szCs w:val="20"/>
        </w:rPr>
        <w:t xml:space="preserve">invita a los Estados, organizaciones de la sociedad civil, personas defensoras de derechos humanos, </w:t>
      </w:r>
      <w:r w:rsidR="002F1C2D" w:rsidRPr="00EF400F">
        <w:rPr>
          <w:rFonts w:asciiTheme="minorHAnsi" w:hAnsiTheme="minorHAnsi"/>
          <w:sz w:val="20"/>
          <w:szCs w:val="20"/>
        </w:rPr>
        <w:t xml:space="preserve">instituciones </w:t>
      </w:r>
      <w:r w:rsidRPr="00EF400F">
        <w:rPr>
          <w:rFonts w:asciiTheme="minorHAnsi" w:hAnsiTheme="minorHAnsi"/>
          <w:sz w:val="20"/>
          <w:szCs w:val="20"/>
        </w:rPr>
        <w:t>académicas</w:t>
      </w:r>
      <w:r w:rsidR="002F1C2D" w:rsidRPr="00EF400F">
        <w:rPr>
          <w:rFonts w:asciiTheme="minorHAnsi" w:hAnsiTheme="minorHAnsi"/>
          <w:sz w:val="20"/>
          <w:szCs w:val="20"/>
        </w:rPr>
        <w:t xml:space="preserve"> </w:t>
      </w:r>
      <w:r w:rsidRPr="00EF400F">
        <w:rPr>
          <w:rFonts w:asciiTheme="minorHAnsi" w:hAnsiTheme="minorHAnsi"/>
          <w:sz w:val="20"/>
          <w:szCs w:val="20"/>
        </w:rPr>
        <w:t xml:space="preserve">y </w:t>
      </w:r>
      <w:r w:rsidR="002F1C2D" w:rsidRPr="00EF400F">
        <w:rPr>
          <w:rFonts w:asciiTheme="minorHAnsi" w:hAnsiTheme="minorHAnsi"/>
          <w:sz w:val="20"/>
          <w:szCs w:val="20"/>
        </w:rPr>
        <w:t xml:space="preserve">cualquier </w:t>
      </w:r>
      <w:r w:rsidRPr="00EF400F">
        <w:rPr>
          <w:rFonts w:asciiTheme="minorHAnsi" w:hAnsiTheme="minorHAnsi"/>
          <w:sz w:val="20"/>
          <w:szCs w:val="20"/>
        </w:rPr>
        <w:t>persona interesada</w:t>
      </w:r>
      <w:r w:rsidR="002F1C2D" w:rsidRPr="00EF400F">
        <w:rPr>
          <w:rFonts w:asciiTheme="minorHAnsi" w:hAnsiTheme="minorHAnsi"/>
          <w:sz w:val="20"/>
          <w:szCs w:val="20"/>
        </w:rPr>
        <w:t xml:space="preserve"> a </w:t>
      </w:r>
      <w:r w:rsidRPr="00EF400F">
        <w:rPr>
          <w:rFonts w:asciiTheme="minorHAnsi" w:hAnsiTheme="minorHAnsi"/>
          <w:sz w:val="20"/>
          <w:szCs w:val="20"/>
        </w:rPr>
        <w:t>remitir información sobre los siguientes temas:</w:t>
      </w:r>
    </w:p>
    <w:p w14:paraId="2202578A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4EE51D94" w14:textId="77777777" w:rsidR="005F158A" w:rsidRPr="00EF400F" w:rsidRDefault="00AD73D7">
      <w:pPr>
        <w:jc w:val="both"/>
        <w:rPr>
          <w:rFonts w:asciiTheme="minorHAnsi" w:hAnsiTheme="minorHAnsi"/>
          <w:b/>
          <w:sz w:val="20"/>
          <w:szCs w:val="20"/>
        </w:rPr>
      </w:pPr>
      <w:r w:rsidRPr="00EF400F">
        <w:rPr>
          <w:rFonts w:asciiTheme="minorHAnsi" w:hAnsiTheme="minorHAnsi"/>
          <w:b/>
          <w:sz w:val="20"/>
          <w:szCs w:val="20"/>
        </w:rPr>
        <w:t xml:space="preserve">En relación con la identificación de los pleitos estratégicos contra la participación pública: </w:t>
      </w:r>
    </w:p>
    <w:p w14:paraId="46AC8571" w14:textId="77777777" w:rsidR="005F158A" w:rsidRPr="00EF400F" w:rsidRDefault="005F158A">
      <w:pPr>
        <w:jc w:val="both"/>
        <w:rPr>
          <w:rFonts w:asciiTheme="minorHAnsi" w:hAnsiTheme="minorHAnsi"/>
          <w:b/>
          <w:sz w:val="20"/>
          <w:szCs w:val="20"/>
        </w:rPr>
      </w:pPr>
    </w:p>
    <w:p w14:paraId="63880F40" w14:textId="77777777" w:rsidR="005F158A" w:rsidRPr="00EF400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¿Cuáles son los criterios que considera que deben aplicar para calificar un proceso judicial como un pleito estratégico contra la participación pública?</w:t>
      </w:r>
    </w:p>
    <w:p w14:paraId="75BDE3DC" w14:textId="77777777" w:rsidR="005F158A" w:rsidRPr="00EF400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jurisprudencia o normativa en su país estableciendo criterios para identificar este tipo de pleitos? ¿Qué factores establecen esas decisiones o normas para dicha identificación?</w:t>
      </w:r>
    </w:p>
    <w:p w14:paraId="10DB786B" w14:textId="77777777" w:rsidR="005F158A" w:rsidRPr="00EF400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¿Cuáles serían los factores diferenciadores de este tipo de pleitos y otros fenómenos de judicialización o criminalización de la expresión?</w:t>
      </w:r>
    </w:p>
    <w:p w14:paraId="4EA76056" w14:textId="10DB4BE2" w:rsidR="005F158A" w:rsidRPr="00EF400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¿En su país se presentan prácticas de “</w:t>
      </w:r>
      <w:proofErr w:type="spellStart"/>
      <w:r w:rsidRPr="00EF400F">
        <w:rPr>
          <w:rFonts w:asciiTheme="minorHAnsi" w:hAnsiTheme="minorHAnsi"/>
          <w:sz w:val="20"/>
          <w:szCs w:val="20"/>
        </w:rPr>
        <w:t>forum</w:t>
      </w:r>
      <w:proofErr w:type="spellEnd"/>
      <w:r w:rsidRPr="00EF400F">
        <w:rPr>
          <w:rFonts w:asciiTheme="minorHAnsi" w:hAnsiTheme="minorHAnsi"/>
          <w:sz w:val="20"/>
          <w:szCs w:val="20"/>
        </w:rPr>
        <w:t xml:space="preserve"> shopping”, es decir, de presentación de pleitos encaminados a silenciar</w:t>
      </w:r>
      <w:r w:rsidR="00EF400F">
        <w:rPr>
          <w:rFonts w:asciiTheme="minorHAnsi" w:hAnsiTheme="minorHAnsi"/>
          <w:sz w:val="20"/>
          <w:szCs w:val="20"/>
        </w:rPr>
        <w:t xml:space="preserve"> </w:t>
      </w:r>
      <w:r w:rsidRPr="00EF400F">
        <w:rPr>
          <w:rFonts w:asciiTheme="minorHAnsi" w:hAnsiTheme="minorHAnsi"/>
          <w:sz w:val="20"/>
          <w:szCs w:val="20"/>
        </w:rPr>
        <w:t>expresiones en jurisdicciones más favorables para el demandante/denunciante? ¿existen normas o jurisprudencia en su país que prevengan este fenómeno?</w:t>
      </w:r>
    </w:p>
    <w:p w14:paraId="06279751" w14:textId="77777777" w:rsidR="005F158A" w:rsidRPr="00EF400F" w:rsidRDefault="005F158A">
      <w:pPr>
        <w:jc w:val="both"/>
        <w:rPr>
          <w:rFonts w:asciiTheme="minorHAnsi" w:hAnsiTheme="minorHAnsi"/>
          <w:b/>
          <w:sz w:val="20"/>
          <w:szCs w:val="20"/>
        </w:rPr>
      </w:pPr>
    </w:p>
    <w:p w14:paraId="37E4AA42" w14:textId="77777777" w:rsidR="005F158A" w:rsidRPr="00EF400F" w:rsidRDefault="00AD73D7">
      <w:pPr>
        <w:jc w:val="both"/>
        <w:rPr>
          <w:rFonts w:asciiTheme="minorHAnsi" w:hAnsiTheme="minorHAnsi"/>
          <w:b/>
          <w:sz w:val="20"/>
          <w:szCs w:val="20"/>
        </w:rPr>
      </w:pPr>
      <w:r w:rsidRPr="00EF400F">
        <w:rPr>
          <w:rFonts w:asciiTheme="minorHAnsi" w:hAnsiTheme="minorHAnsi"/>
          <w:b/>
          <w:sz w:val="20"/>
          <w:szCs w:val="20"/>
        </w:rPr>
        <w:t xml:space="preserve">En relación con los impactos de los pleitos estratégicos contra la participación pública: </w:t>
      </w:r>
    </w:p>
    <w:p w14:paraId="5A6489C8" w14:textId="77777777" w:rsidR="005F158A" w:rsidRPr="00EF400F" w:rsidRDefault="005F158A">
      <w:pPr>
        <w:jc w:val="both"/>
        <w:rPr>
          <w:rFonts w:asciiTheme="minorHAnsi" w:hAnsiTheme="minorHAnsi"/>
          <w:b/>
          <w:sz w:val="20"/>
          <w:szCs w:val="20"/>
        </w:rPr>
      </w:pPr>
    </w:p>
    <w:p w14:paraId="5E069565" w14:textId="70BCE247" w:rsidR="005F158A" w:rsidRPr="00EF400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¿Cuáles son los derechos humanos que se ven principalmente </w:t>
      </w:r>
      <w:r w:rsidR="002F1C2D" w:rsidRPr="00EF400F">
        <w:rPr>
          <w:rFonts w:asciiTheme="minorHAnsi" w:hAnsiTheme="minorHAnsi"/>
          <w:sz w:val="20"/>
          <w:szCs w:val="20"/>
        </w:rPr>
        <w:t xml:space="preserve">afectados </w:t>
      </w:r>
      <w:r w:rsidRPr="00EF400F">
        <w:rPr>
          <w:rFonts w:asciiTheme="minorHAnsi" w:hAnsiTheme="minorHAnsi"/>
          <w:sz w:val="20"/>
          <w:szCs w:val="20"/>
        </w:rPr>
        <w:t>por el uso de pleitos estratégicos contra la participación pública? ¿Por qué?</w:t>
      </w:r>
    </w:p>
    <w:p w14:paraId="3D9E386E" w14:textId="3C29B145" w:rsidR="005F158A" w:rsidRPr="00EF400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¿Qué actividades o personas suelen ser las más afectadas por este </w:t>
      </w:r>
      <w:r w:rsidR="002F1C2D" w:rsidRPr="00EF400F">
        <w:rPr>
          <w:rFonts w:asciiTheme="minorHAnsi" w:hAnsiTheme="minorHAnsi"/>
          <w:sz w:val="20"/>
          <w:szCs w:val="20"/>
        </w:rPr>
        <w:t xml:space="preserve">tipo de pleitos </w:t>
      </w:r>
      <w:r w:rsidRPr="00EF400F">
        <w:rPr>
          <w:rFonts w:asciiTheme="minorHAnsi" w:hAnsiTheme="minorHAnsi"/>
          <w:sz w:val="20"/>
          <w:szCs w:val="20"/>
        </w:rPr>
        <w:t>en su país?</w:t>
      </w:r>
    </w:p>
    <w:p w14:paraId="79E7ADA6" w14:textId="77777777" w:rsidR="005F158A" w:rsidRPr="00EF400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De haberlas, comparta cifras sobre este fenómeno en su país, con fuente y enlace de ser posible. </w:t>
      </w:r>
    </w:p>
    <w:p w14:paraId="47FDA367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6872880C" w14:textId="77777777" w:rsidR="005F158A" w:rsidRPr="00EF400F" w:rsidRDefault="00AD73D7">
      <w:pPr>
        <w:jc w:val="both"/>
        <w:rPr>
          <w:rFonts w:asciiTheme="minorHAnsi" w:hAnsiTheme="minorHAnsi"/>
          <w:b/>
          <w:sz w:val="20"/>
          <w:szCs w:val="20"/>
        </w:rPr>
      </w:pPr>
      <w:r w:rsidRPr="00EF400F">
        <w:rPr>
          <w:rFonts w:asciiTheme="minorHAnsi" w:hAnsiTheme="minorHAnsi"/>
          <w:b/>
          <w:sz w:val="20"/>
          <w:szCs w:val="20"/>
        </w:rPr>
        <w:t>Marcos regulatorios, políticas públicas, jurisprudencia</w:t>
      </w:r>
    </w:p>
    <w:p w14:paraId="0CDA2834" w14:textId="77777777" w:rsidR="005F158A" w:rsidRPr="00EF400F" w:rsidRDefault="005F158A">
      <w:pPr>
        <w:jc w:val="both"/>
        <w:rPr>
          <w:rFonts w:asciiTheme="minorHAnsi" w:hAnsiTheme="minorHAnsi"/>
          <w:b/>
          <w:sz w:val="20"/>
          <w:szCs w:val="20"/>
        </w:rPr>
      </w:pPr>
    </w:p>
    <w:p w14:paraId="2844FF53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jurisprudencia en su país sobre los límites aplicables al derecho de acceso a la justicia?</w:t>
      </w:r>
    </w:p>
    <w:p w14:paraId="7A03E1F9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jurisprudencia o normatividad en su país relacionada con el abuso del derecho a litigar o figuras similares? ¿Cuáles son los criterios que utilizan para configurar dicho abuso y cuáles son las consecuencias en caso de configurarse?</w:t>
      </w:r>
    </w:p>
    <w:p w14:paraId="020110F6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jurisprudencia o normatividad en su país que esté facilitando, incentivando o creando un riesgo acentuado de la existencia de pleitos estratégicos contra la participación pública?</w:t>
      </w:r>
    </w:p>
    <w:p w14:paraId="7DF45873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jurisprudencia en su país en la que se aplique el control de convencionalidad o constitucionalidad con el fin de responder a un pleito estratégico contra la participación pública?</w:t>
      </w:r>
    </w:p>
    <w:p w14:paraId="21F21EA1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 normatividad en su país que permita la terminación o desestimación temprana de denuncias o demandas en razón de su temeridad, falta de mérito o finalidad ilegal?</w:t>
      </w:r>
    </w:p>
    <w:p w14:paraId="608DD1CA" w14:textId="77777777" w:rsidR="005F158A" w:rsidRPr="00EF400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¿Existen políticas públicas de capacitación o formación a funcionarios judiciales en libertad de expresión en su país? ¿Incluyen el estudio de temas relacionados con los impactos de los pleitos estratégicos contra la participación pública sobre los derechos humanos?</w:t>
      </w:r>
    </w:p>
    <w:p w14:paraId="3BB62147" w14:textId="77777777" w:rsidR="005F158A" w:rsidRPr="00EF400F" w:rsidRDefault="00AD73D7">
      <w:p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 </w:t>
      </w:r>
    </w:p>
    <w:p w14:paraId="5527740A" w14:textId="77777777" w:rsidR="005F158A" w:rsidRPr="00EF400F" w:rsidRDefault="00AD73D7">
      <w:pPr>
        <w:jc w:val="both"/>
        <w:rPr>
          <w:rFonts w:asciiTheme="minorHAnsi" w:hAnsiTheme="minorHAnsi"/>
          <w:b/>
          <w:sz w:val="20"/>
          <w:szCs w:val="20"/>
        </w:rPr>
      </w:pPr>
      <w:r w:rsidRPr="00EF400F">
        <w:rPr>
          <w:rFonts w:asciiTheme="minorHAnsi" w:hAnsiTheme="minorHAnsi"/>
          <w:b/>
          <w:sz w:val="20"/>
          <w:szCs w:val="20"/>
        </w:rPr>
        <w:t>Recomendaciones</w:t>
      </w:r>
    </w:p>
    <w:p w14:paraId="659B75E7" w14:textId="77777777" w:rsidR="005F158A" w:rsidRPr="00EF400F" w:rsidRDefault="005F158A">
      <w:pPr>
        <w:jc w:val="both"/>
        <w:rPr>
          <w:rFonts w:asciiTheme="minorHAnsi" w:hAnsiTheme="minorHAnsi"/>
          <w:b/>
          <w:sz w:val="20"/>
          <w:szCs w:val="20"/>
        </w:rPr>
      </w:pPr>
    </w:p>
    <w:p w14:paraId="180709B2" w14:textId="67C70ABA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¿Qué acciones concretas deberían tomar los Estados para prevenir los pleitos estratégicos contra la </w:t>
      </w:r>
      <w:r w:rsidR="000D1315">
        <w:rPr>
          <w:rFonts w:asciiTheme="minorHAnsi" w:hAnsiTheme="minorHAnsi"/>
          <w:sz w:val="20"/>
          <w:szCs w:val="20"/>
        </w:rPr>
        <w:t>participación</w:t>
      </w:r>
      <w:r w:rsidRPr="00EF400F">
        <w:rPr>
          <w:rFonts w:asciiTheme="minorHAnsi" w:hAnsiTheme="minorHAnsi"/>
          <w:sz w:val="20"/>
          <w:szCs w:val="20"/>
        </w:rPr>
        <w:t xml:space="preserve"> pública?</w:t>
      </w:r>
    </w:p>
    <w:p w14:paraId="610B9EEB" w14:textId="3896C639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¿Qué acciones concretas deberían tomar los Estados para contrarrestar los pleitos estratégicos contra la </w:t>
      </w:r>
      <w:r w:rsidR="000D1315">
        <w:rPr>
          <w:rFonts w:asciiTheme="minorHAnsi" w:hAnsiTheme="minorHAnsi"/>
          <w:sz w:val="20"/>
          <w:szCs w:val="20"/>
        </w:rPr>
        <w:t>participación</w:t>
      </w:r>
      <w:r w:rsidRPr="00EF400F">
        <w:rPr>
          <w:rFonts w:asciiTheme="minorHAnsi" w:hAnsiTheme="minorHAnsi"/>
          <w:sz w:val="20"/>
          <w:szCs w:val="20"/>
        </w:rPr>
        <w:t xml:space="preserve"> pública cuando estos se presenten?</w:t>
      </w:r>
    </w:p>
    <w:p w14:paraId="15DC927D" w14:textId="77777777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¿Qué acciones concretas deberían tomar los colegios de abogados, corporaciones, asociaciones, firmas, o demás entes reguladores o asociativos de la profesión legal para contrarrestar estos fenómenos?</w:t>
      </w:r>
    </w:p>
    <w:p w14:paraId="49EC7537" w14:textId="77777777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¿Qué mecanismos de apoyo deberían establecer los medios de comunicación y la sociedad civil para asistir a personas o entidades afectadas por este fenómeno?</w:t>
      </w:r>
    </w:p>
    <w:p w14:paraId="0F59947A" w14:textId="77777777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¿Qué medidas específicas deberían tomar los medios de comunicación y la sociedad civil para abordar o mitigar los impactos negativos en los derechos humanos que tienen los pleitos estratégicos contra la participación pública?</w:t>
      </w:r>
    </w:p>
    <w:p w14:paraId="7AA1C975" w14:textId="77777777" w:rsidR="005F158A" w:rsidRPr="00EF400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¿Qué acciones concretas pueden tomarse en el sector judicial para prevenir y sancionar este tipo de pleitos?</w:t>
      </w:r>
    </w:p>
    <w:p w14:paraId="2BBA961A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301D1C04" w14:textId="3DFB3175" w:rsidR="005F158A" w:rsidRPr="00EF400F" w:rsidRDefault="00AD73D7" w:rsidP="00EF400F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El cuestionario puede contestarse de forma parcial o total, dependiendo de la información disponible; se pueden presentar investigaciones, informes, guías y otros documentos que sean pertinentes al tema. La información debe ser concisa, objetiva, con fuentes verificables y actualizada, y puede incluir cifras y estadísticas vinculadas con el tema.</w:t>
      </w:r>
      <w:r w:rsidR="000D1315" w:rsidRPr="000D1315">
        <w:rPr>
          <w:rFonts w:asciiTheme="minorHAnsi" w:hAnsiTheme="minorHAnsi"/>
          <w:sz w:val="20"/>
          <w:szCs w:val="20"/>
        </w:rPr>
        <w:t xml:space="preserve"> </w:t>
      </w:r>
      <w:r w:rsidR="000D1315" w:rsidRPr="00EF400F">
        <w:rPr>
          <w:rFonts w:asciiTheme="minorHAnsi" w:hAnsiTheme="minorHAnsi"/>
          <w:sz w:val="20"/>
          <w:szCs w:val="20"/>
        </w:rPr>
        <w:t>La información puede ser enviada en español, inglés, y/o portugués.</w:t>
      </w:r>
    </w:p>
    <w:p w14:paraId="67C8A49C" w14:textId="31364CED" w:rsidR="005F158A" w:rsidRPr="00EF400F" w:rsidRDefault="00AD73D7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color w:val="333333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La CIDH recibirá a partir de hoy y hasta el  </w:t>
      </w:r>
      <w:r w:rsidR="00EF400F" w:rsidRPr="00EF400F">
        <w:rPr>
          <w:rFonts w:asciiTheme="minorHAnsi" w:hAnsiTheme="minorHAnsi"/>
          <w:b/>
          <w:bCs/>
          <w:sz w:val="20"/>
          <w:szCs w:val="20"/>
        </w:rPr>
        <w:t>8</w:t>
      </w:r>
      <w:r w:rsidRPr="00EF400F">
        <w:rPr>
          <w:rFonts w:asciiTheme="minorHAnsi" w:hAnsiTheme="minorHAnsi"/>
          <w:b/>
          <w:bCs/>
          <w:sz w:val="20"/>
          <w:szCs w:val="20"/>
        </w:rPr>
        <w:t xml:space="preserve">  de </w:t>
      </w:r>
      <w:r w:rsidR="00EF400F" w:rsidRPr="00EF400F">
        <w:rPr>
          <w:rFonts w:asciiTheme="minorHAnsi" w:hAnsiTheme="minorHAnsi"/>
          <w:b/>
          <w:bCs/>
          <w:sz w:val="20"/>
          <w:szCs w:val="20"/>
        </w:rPr>
        <w:t>noviembre</w:t>
      </w:r>
      <w:r w:rsidRPr="00EF400F">
        <w:rPr>
          <w:rFonts w:asciiTheme="minorHAnsi" w:hAnsiTheme="minorHAnsi"/>
          <w:b/>
          <w:bCs/>
          <w:sz w:val="20"/>
          <w:szCs w:val="20"/>
        </w:rPr>
        <w:t xml:space="preserve"> de 2024</w:t>
      </w:r>
      <w:r w:rsidRPr="00EF400F">
        <w:rPr>
          <w:rFonts w:asciiTheme="minorHAnsi" w:hAnsiTheme="minorHAnsi"/>
          <w:sz w:val="20"/>
          <w:szCs w:val="20"/>
        </w:rPr>
        <w:t xml:space="preserve"> la información enviada al correo electrónico</w:t>
      </w:r>
      <w:r w:rsidR="00EF400F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EF400F" w:rsidRPr="00926B1D">
          <w:rPr>
            <w:rStyle w:val="Hyperlink"/>
            <w:rFonts w:asciiTheme="minorHAnsi" w:hAnsiTheme="minorHAnsi"/>
            <w:sz w:val="20"/>
            <w:szCs w:val="20"/>
          </w:rPr>
          <w:t>CIDHexpresion@oas.org</w:t>
        </w:r>
      </w:hyperlink>
      <w:r w:rsidR="00EF400F">
        <w:rPr>
          <w:rFonts w:asciiTheme="minorHAnsi" w:hAnsiTheme="minorHAnsi"/>
          <w:sz w:val="20"/>
          <w:szCs w:val="20"/>
        </w:rPr>
        <w:t>.</w:t>
      </w:r>
    </w:p>
    <w:p w14:paraId="55705BFF" w14:textId="77777777" w:rsidR="005F158A" w:rsidRPr="00EF400F" w:rsidRDefault="00AD73D7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>La Relatoría Especial para la Libertad de Expresión es una oficina creada por la Comisión Interamericana de Derechos Humanos (CIDH) con el fin de estimular la defensa hemisférica del derecho a la libertad de pensamiento y expresión, considerando su papel fundamental en la consolidación y el desarrollo del sistema democrático.</w:t>
      </w:r>
    </w:p>
    <w:p w14:paraId="52862E76" w14:textId="77777777" w:rsidR="005F158A" w:rsidRPr="00EF400F" w:rsidRDefault="005F158A">
      <w:pPr>
        <w:jc w:val="both"/>
        <w:rPr>
          <w:rFonts w:asciiTheme="minorHAnsi" w:hAnsiTheme="minorHAnsi"/>
          <w:sz w:val="20"/>
          <w:szCs w:val="20"/>
        </w:rPr>
      </w:pPr>
    </w:p>
    <w:p w14:paraId="00B14322" w14:textId="77777777" w:rsidR="005F158A" w:rsidRPr="00EF400F" w:rsidRDefault="005F158A">
      <w:pPr>
        <w:rPr>
          <w:rFonts w:asciiTheme="minorHAnsi" w:hAnsiTheme="minorHAnsi"/>
          <w:sz w:val="20"/>
          <w:szCs w:val="20"/>
        </w:rPr>
      </w:pPr>
    </w:p>
    <w:p w14:paraId="2B690FCC" w14:textId="77777777" w:rsidR="005F158A" w:rsidRPr="00EF400F" w:rsidRDefault="00AD73D7">
      <w:pPr>
        <w:rPr>
          <w:rFonts w:asciiTheme="minorHAnsi" w:hAnsiTheme="minorHAnsi"/>
          <w:sz w:val="20"/>
          <w:szCs w:val="20"/>
        </w:rPr>
      </w:pPr>
      <w:r w:rsidRPr="00EF400F">
        <w:rPr>
          <w:rFonts w:asciiTheme="minorHAnsi" w:hAnsiTheme="minorHAnsi"/>
          <w:sz w:val="20"/>
          <w:szCs w:val="20"/>
        </w:rPr>
        <w:t xml:space="preserve"> </w:t>
      </w:r>
    </w:p>
    <w:p w14:paraId="788FD189" w14:textId="77777777" w:rsidR="005F158A" w:rsidRPr="00EF400F" w:rsidRDefault="005F158A">
      <w:pPr>
        <w:rPr>
          <w:rFonts w:asciiTheme="minorHAnsi" w:hAnsiTheme="minorHAnsi"/>
          <w:sz w:val="20"/>
          <w:szCs w:val="20"/>
        </w:rPr>
      </w:pPr>
    </w:p>
    <w:sectPr w:rsidR="005F158A" w:rsidRPr="00EF400F"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DF1F" w14:textId="77777777" w:rsidR="00D738E7" w:rsidRDefault="00D738E7">
      <w:pPr>
        <w:spacing w:line="240" w:lineRule="auto"/>
      </w:pPr>
      <w:r>
        <w:separator/>
      </w:r>
    </w:p>
  </w:endnote>
  <w:endnote w:type="continuationSeparator" w:id="0">
    <w:p w14:paraId="325E23D1" w14:textId="77777777" w:rsidR="00D738E7" w:rsidRDefault="00D7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F959" w14:textId="77777777" w:rsidR="00D738E7" w:rsidRDefault="00D738E7">
      <w:pPr>
        <w:spacing w:line="240" w:lineRule="auto"/>
      </w:pPr>
      <w:r>
        <w:separator/>
      </w:r>
    </w:p>
  </w:footnote>
  <w:footnote w:type="continuationSeparator" w:id="0">
    <w:p w14:paraId="469DFD51" w14:textId="77777777" w:rsidR="00D738E7" w:rsidRDefault="00D738E7">
      <w:pPr>
        <w:spacing w:line="240" w:lineRule="auto"/>
      </w:pPr>
      <w:r>
        <w:continuationSeparator/>
      </w:r>
    </w:p>
  </w:footnote>
  <w:footnote w:id="1">
    <w:p w14:paraId="1AF6268C" w14:textId="77777777" w:rsidR="005F158A" w:rsidRPr="00EF400F" w:rsidRDefault="00AD73D7" w:rsidP="00EF400F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 w:rsidRPr="00EF400F">
        <w:rPr>
          <w:rFonts w:ascii="Cambria" w:hAnsi="Cambria"/>
          <w:sz w:val="16"/>
          <w:szCs w:val="16"/>
          <w:vertAlign w:val="superscript"/>
        </w:rPr>
        <w:footnoteRef/>
      </w:r>
      <w:r w:rsidRPr="00EF400F">
        <w:rPr>
          <w:rFonts w:ascii="Cambria" w:eastAsia="Cambria" w:hAnsi="Cambria" w:cs="Cambria"/>
          <w:sz w:val="16"/>
          <w:szCs w:val="16"/>
        </w:rPr>
        <w:t xml:space="preserve"> Artículo 19, Fundación para la Libertad de Prensa (FLIP), El Veinte, Foro de Periodismo Argentino (FOPEA), Instituto de Prensa y Sociedad, Perú, (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IPyS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Perú), Columbia Global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Freedom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of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Expression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(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GFoE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),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Associação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Brasileira de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Jornalismo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Investigativo (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Abraji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>), Instituto DEMOS.</w:t>
      </w:r>
    </w:p>
  </w:footnote>
  <w:footnote w:id="2">
    <w:p w14:paraId="70318FE4" w14:textId="0CCB44CE" w:rsidR="005F158A" w:rsidRDefault="00AD73D7" w:rsidP="00EF400F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 w:rsidRPr="00EF400F">
        <w:rPr>
          <w:rFonts w:ascii="Cambria" w:hAnsi="Cambria"/>
          <w:sz w:val="16"/>
          <w:szCs w:val="16"/>
          <w:vertAlign w:val="superscript"/>
        </w:rPr>
        <w:footnoteRef/>
      </w:r>
      <w:r w:rsidRPr="00EF400F">
        <w:rPr>
          <w:rFonts w:ascii="Cambria" w:eastAsia="Cambria" w:hAnsi="Cambria" w:cs="Cambria"/>
          <w:sz w:val="16"/>
          <w:szCs w:val="16"/>
        </w:rPr>
        <w:t xml:space="preserve"> CIDH</w:t>
      </w:r>
      <w:r w:rsidR="00EF400F">
        <w:rPr>
          <w:rFonts w:ascii="Cambria" w:eastAsia="Cambria" w:hAnsi="Cambria" w:cs="Cambria"/>
          <w:sz w:val="16"/>
          <w:szCs w:val="16"/>
        </w:rPr>
        <w:t>,</w:t>
      </w:r>
      <w:r w:rsidRPr="00EF400F">
        <w:rPr>
          <w:rFonts w:ascii="Cambria" w:eastAsia="Cambria" w:hAnsi="Cambria" w:cs="Cambria"/>
          <w:sz w:val="16"/>
          <w:szCs w:val="16"/>
        </w:rPr>
        <w:t xml:space="preserve"> </w:t>
      </w:r>
      <w:hyperlink r:id="rId1"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187° </w:t>
        </w:r>
        <w:r w:rsidR="0001476D" w:rsidRPr="000D1315">
          <w:rPr>
            <w:rFonts w:ascii="Cambria" w:eastAsia="Cambria" w:hAnsi="Cambria" w:cs="Cambria"/>
            <w:sz w:val="16"/>
            <w:szCs w:val="16"/>
          </w:rPr>
          <w:t>P</w:t>
        </w:r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eríodo de </w:t>
        </w:r>
        <w:r w:rsidR="0001476D" w:rsidRPr="000D1315">
          <w:rPr>
            <w:rFonts w:ascii="Cambria" w:eastAsia="Cambria" w:hAnsi="Cambria" w:cs="Cambria"/>
            <w:sz w:val="16"/>
            <w:szCs w:val="16"/>
          </w:rPr>
          <w:t>S</w:t>
        </w:r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esiones, </w:t>
        </w:r>
        <w:proofErr w:type="spellStart"/>
        <w:r w:rsidR="005F158A" w:rsidRPr="000D1315">
          <w:rPr>
            <w:rFonts w:ascii="Cambria" w:eastAsia="Cambria" w:hAnsi="Cambria" w:cs="Cambria"/>
            <w:sz w:val="16"/>
            <w:szCs w:val="16"/>
          </w:rPr>
          <w:t>Judicialización</w:t>
        </w:r>
        <w:proofErr w:type="spellEnd"/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 de asuntos de </w:t>
        </w:r>
        <w:proofErr w:type="spellStart"/>
        <w:r w:rsidR="005F158A" w:rsidRPr="000D1315">
          <w:rPr>
            <w:rFonts w:ascii="Cambria" w:eastAsia="Cambria" w:hAnsi="Cambria" w:cs="Cambria"/>
            <w:sz w:val="16"/>
            <w:szCs w:val="16"/>
          </w:rPr>
          <w:t>interés</w:t>
        </w:r>
        <w:proofErr w:type="spellEnd"/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 </w:t>
        </w:r>
        <w:proofErr w:type="spellStart"/>
        <w:r w:rsidR="005F158A" w:rsidRPr="000D1315">
          <w:rPr>
            <w:rFonts w:ascii="Cambria" w:eastAsia="Cambria" w:hAnsi="Cambria" w:cs="Cambria"/>
            <w:sz w:val="16"/>
            <w:szCs w:val="16"/>
          </w:rPr>
          <w:t>público</w:t>
        </w:r>
        <w:proofErr w:type="spellEnd"/>
        <w:r w:rsidR="005F158A" w:rsidRPr="000D1315">
          <w:rPr>
            <w:rFonts w:ascii="Cambria" w:eastAsia="Cambria" w:hAnsi="Cambria" w:cs="Cambria"/>
            <w:sz w:val="16"/>
            <w:szCs w:val="16"/>
          </w:rPr>
          <w:t xml:space="preserve"> contra personas que ejercen la libertad de expresión</w:t>
        </w:r>
      </w:hyperlink>
      <w:r w:rsidRPr="000D1315">
        <w:rPr>
          <w:rFonts w:ascii="Cambria" w:eastAsia="Cambria" w:hAnsi="Cambria" w:cs="Cambria"/>
          <w:sz w:val="16"/>
          <w:szCs w:val="16"/>
        </w:rPr>
        <w:t xml:space="preserve">, </w:t>
      </w:r>
      <w:r w:rsidRPr="00EF400F">
        <w:rPr>
          <w:rFonts w:ascii="Cambria" w:eastAsia="Cambria" w:hAnsi="Cambria" w:cs="Cambria"/>
          <w:sz w:val="16"/>
          <w:szCs w:val="16"/>
        </w:rPr>
        <w:t>13 de julio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6703" w14:textId="77777777" w:rsidR="005F158A" w:rsidRDefault="00AD73D7" w:rsidP="00EF400F">
    <w:pPr>
      <w:jc w:val="center"/>
    </w:pPr>
    <w:r>
      <w:rPr>
        <w:noProof/>
      </w:rPr>
      <w:drawing>
        <wp:inline distT="114300" distB="114300" distL="114300" distR="114300" wp14:anchorId="50AF25F5" wp14:editId="644BC292">
          <wp:extent cx="4370664" cy="7046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07" cy="721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1A6"/>
    <w:multiLevelType w:val="multilevel"/>
    <w:tmpl w:val="C2EC6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253213"/>
    <w:multiLevelType w:val="multilevel"/>
    <w:tmpl w:val="6BFE7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9D466B"/>
    <w:multiLevelType w:val="multilevel"/>
    <w:tmpl w:val="9476D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191C9C"/>
    <w:multiLevelType w:val="multilevel"/>
    <w:tmpl w:val="6680C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7966949">
    <w:abstractNumId w:val="1"/>
  </w:num>
  <w:num w:numId="2" w16cid:durableId="1751611272">
    <w:abstractNumId w:val="2"/>
  </w:num>
  <w:num w:numId="3" w16cid:durableId="149910529">
    <w:abstractNumId w:val="3"/>
  </w:num>
  <w:num w:numId="4" w16cid:durableId="77352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A"/>
    <w:rsid w:val="000035F8"/>
    <w:rsid w:val="0001476D"/>
    <w:rsid w:val="000B2135"/>
    <w:rsid w:val="000D1315"/>
    <w:rsid w:val="000F05B5"/>
    <w:rsid w:val="001D47DA"/>
    <w:rsid w:val="002A27FB"/>
    <w:rsid w:val="002F1C2D"/>
    <w:rsid w:val="00465B90"/>
    <w:rsid w:val="004753C3"/>
    <w:rsid w:val="0048449D"/>
    <w:rsid w:val="005321D8"/>
    <w:rsid w:val="005F158A"/>
    <w:rsid w:val="009B6AE7"/>
    <w:rsid w:val="009C6BAE"/>
    <w:rsid w:val="00AD73D7"/>
    <w:rsid w:val="00D738E7"/>
    <w:rsid w:val="00E52022"/>
    <w:rsid w:val="00E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7E13"/>
  <w15:docId w15:val="{0775346D-B9EA-E647-B779-FBF4276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7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3C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0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0F"/>
  </w:style>
  <w:style w:type="paragraph" w:styleId="Footer">
    <w:name w:val="footer"/>
    <w:basedOn w:val="Normal"/>
    <w:link w:val="FooterChar"/>
    <w:uiPriority w:val="99"/>
    <w:unhideWhenUsed/>
    <w:rsid w:val="00EF40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0F"/>
  </w:style>
  <w:style w:type="character" w:styleId="Hyperlink">
    <w:name w:val="Hyperlink"/>
    <w:basedOn w:val="DefaultParagraphFont"/>
    <w:uiPriority w:val="99"/>
    <w:unhideWhenUsed/>
    <w:rsid w:val="00EF4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Hexpresion@o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75PQj1TOSH0&amp;t=7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B59CB-BAA3-9046-81E1-52E385EA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Roko</cp:lastModifiedBy>
  <cp:revision>6</cp:revision>
  <dcterms:created xsi:type="dcterms:W3CDTF">2024-09-19T15:08:00Z</dcterms:created>
  <dcterms:modified xsi:type="dcterms:W3CDTF">2024-10-01T18:35:00Z</dcterms:modified>
</cp:coreProperties>
</file>